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117"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ind w:right="-259"/>
        <w:spacing w:after="0"/>
        <w:rPr>
          <w:sz w:val="20"/>
          <w:szCs w:val="20"/>
          <w:color w:val="auto"/>
        </w:rPr>
      </w:pPr>
      <w:r>
        <w:rPr>
          <w:rFonts w:ascii="Arial" w:cs="Arial" w:eastAsia="Arial" w:hAnsi="Arial"/>
          <w:sz w:val="31"/>
          <w:szCs w:val="31"/>
          <w:b w:val="1"/>
          <w:bCs w:val="1"/>
          <w:color w:val="auto"/>
        </w:rPr>
        <w:t>SECURITIES AND EXCHANGE COMMISSION</w:t>
      </w:r>
    </w:p>
    <w:p>
      <w:pPr>
        <w:spacing w:after="0" w:line="6" w:lineRule="exact"/>
        <w:rPr>
          <w:sz w:val="24"/>
          <w:szCs w:val="24"/>
          <w:color w:val="auto"/>
        </w:rPr>
      </w:pPr>
    </w:p>
    <w:p>
      <w:pPr>
        <w:jc w:val="center"/>
        <w:ind w:right="-259"/>
        <w:spacing w:after="0"/>
        <w:rPr>
          <w:sz w:val="20"/>
          <w:szCs w:val="20"/>
          <w:color w:val="auto"/>
        </w:rPr>
      </w:pPr>
      <w:r>
        <w:rPr>
          <w:rFonts w:ascii="Arial" w:cs="Arial" w:eastAsia="Arial" w:hAnsi="Arial"/>
          <w:sz w:val="21"/>
          <w:szCs w:val="21"/>
          <w:b w:val="1"/>
          <w:bCs w:val="1"/>
          <w:color w:val="auto"/>
        </w:rPr>
        <w:t>Washington, D.C. 20549</w:t>
      </w:r>
    </w:p>
    <w:p>
      <w:pPr>
        <w:spacing w:after="0" w:line="128"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 INFORMATION</w:t>
      </w:r>
    </w:p>
    <w:p>
      <w:pPr>
        <w:spacing w:after="0" w:line="34" w:lineRule="exact"/>
        <w:rPr>
          <w:sz w:val="24"/>
          <w:szCs w:val="24"/>
          <w:color w:val="auto"/>
        </w:rPr>
      </w:pPr>
    </w:p>
    <w:p>
      <w:pPr>
        <w:jc w:val="center"/>
        <w:ind w:right="-259"/>
        <w:spacing w:after="0"/>
        <w:rPr>
          <w:sz w:val="20"/>
          <w:szCs w:val="20"/>
          <w:color w:val="auto"/>
        </w:rPr>
      </w:pPr>
      <w:r>
        <w:rPr>
          <w:rFonts w:ascii="Arial" w:cs="Arial" w:eastAsia="Arial" w:hAnsi="Arial"/>
          <w:sz w:val="21"/>
          <w:szCs w:val="21"/>
          <w:b w:val="1"/>
          <w:bCs w:val="1"/>
          <w:color w:val="auto"/>
        </w:rPr>
        <w:t>(Rule 14a-101)</w:t>
      </w:r>
    </w:p>
    <w:p>
      <w:pPr>
        <w:spacing w:after="0" w:line="131" w:lineRule="exact"/>
        <w:rPr>
          <w:sz w:val="24"/>
          <w:szCs w:val="24"/>
          <w:color w:val="auto"/>
        </w:rPr>
      </w:pPr>
    </w:p>
    <w:p>
      <w:pPr>
        <w:jc w:val="center"/>
        <w:ind w:right="-259"/>
        <w:spacing w:after="0"/>
        <w:rPr>
          <w:sz w:val="20"/>
          <w:szCs w:val="20"/>
          <w:color w:val="auto"/>
        </w:rPr>
      </w:pPr>
      <w:r>
        <w:rPr>
          <w:rFonts w:ascii="Arial" w:cs="Arial" w:eastAsia="Arial" w:hAnsi="Arial"/>
          <w:sz w:val="21"/>
          <w:szCs w:val="21"/>
          <w:b w:val="1"/>
          <w:bCs w:val="1"/>
          <w:color w:val="auto"/>
        </w:rPr>
        <w:t>Proxy Statement Pursuant to Section 14(a) of the</w:t>
      </w:r>
    </w:p>
    <w:p>
      <w:pPr>
        <w:spacing w:after="0" w:line="24" w:lineRule="exact"/>
        <w:rPr>
          <w:sz w:val="24"/>
          <w:szCs w:val="24"/>
          <w:color w:val="auto"/>
        </w:rPr>
      </w:pPr>
    </w:p>
    <w:p>
      <w:pPr>
        <w:jc w:val="center"/>
        <w:ind w:right="-259"/>
        <w:spacing w:after="0"/>
        <w:rPr>
          <w:sz w:val="20"/>
          <w:szCs w:val="20"/>
          <w:color w:val="auto"/>
        </w:rPr>
      </w:pPr>
      <w:r>
        <w:rPr>
          <w:rFonts w:ascii="Arial" w:cs="Arial" w:eastAsia="Arial" w:hAnsi="Arial"/>
          <w:sz w:val="21"/>
          <w:szCs w:val="21"/>
          <w:b w:val="1"/>
          <w:bCs w:val="1"/>
          <w:color w:val="auto"/>
        </w:rPr>
        <w:t>Securities Exchange Act of 1934</w:t>
      </w:r>
    </w:p>
    <w:p>
      <w:pPr>
        <w:sectPr>
          <w:pgSz w:w="11900" w:h="16838" w:orient="portrait"/>
          <w:cols w:equalWidth="0" w:num="1">
            <w:col w:w="11000"/>
          </w:cols>
          <w:pgMar w:left="320" w:top="245" w:right="579" w:bottom="1440" w:gutter="0" w:footer="0" w:header="0"/>
        </w:sectPr>
      </w:pPr>
    </w:p>
    <w:p>
      <w:pPr>
        <w:spacing w:after="0" w:line="117" w:lineRule="exact"/>
        <w:rPr>
          <w:sz w:val="24"/>
          <w:szCs w:val="24"/>
          <w:color w:val="auto"/>
        </w:rPr>
      </w:pPr>
    </w:p>
    <w:p>
      <w:pPr>
        <w:ind w:left="20"/>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rPr>
          <w:sz w:val="20"/>
          <w:szCs w:val="20"/>
          <w:color w:val="auto"/>
        </w:rPr>
      </w:pPr>
      <w:r>
        <w:rPr>
          <w:rFonts w:ascii="Arial" w:cs="Arial" w:eastAsia="Arial" w:hAnsi="Arial"/>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78" w:lineRule="exact"/>
        <w:rPr>
          <w:sz w:val="24"/>
          <w:szCs w:val="24"/>
          <w:color w:val="auto"/>
        </w:rPr>
      </w:pPr>
    </w:p>
    <w:p>
      <w:pPr>
        <w:sectPr>
          <w:pgSz w:w="11900" w:h="16838" w:orient="portrait"/>
          <w:cols w:equalWidth="0" w:num="3">
            <w:col w:w="2700" w:space="720"/>
            <w:col w:w="3240" w:space="100"/>
            <w:col w:w="4240"/>
          </w:cols>
          <w:pgMar w:left="320" w:top="245" w:right="57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Check the appropriate box:</w:t>
      </w:r>
    </w:p>
    <w:p>
      <w:pPr>
        <w:sectPr>
          <w:pgSz w:w="11900" w:h="16838" w:orient="portrait"/>
          <w:cols w:equalWidth="0" w:num="1">
            <w:col w:w="11000"/>
          </w:cols>
          <w:pgMar w:left="320" w:top="245" w:right="579" w:bottom="1440" w:gutter="0" w:footer="0" w:header="0"/>
          <w:type w:val="continuous"/>
        </w:sectPr>
      </w:pPr>
    </w:p>
    <w:p>
      <w:pPr>
        <w:spacing w:after="0" w:line="190" w:lineRule="exact"/>
        <w:rPr>
          <w:sz w:val="24"/>
          <w:szCs w:val="24"/>
          <w:color w:val="auto"/>
        </w:rPr>
      </w:pPr>
    </w:p>
    <w:p>
      <w:pPr>
        <w:ind w:left="440" w:hanging="43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63" w:lineRule="exact"/>
        <w:rPr>
          <w:rFonts w:ascii="MS PGothic" w:cs="MS PGothic" w:eastAsia="MS PGothic" w:hAnsi="MS PGothic"/>
          <w:sz w:val="18"/>
          <w:szCs w:val="18"/>
          <w:color w:val="auto"/>
        </w:rPr>
      </w:pPr>
    </w:p>
    <w:p>
      <w:pPr>
        <w:ind w:left="440" w:hanging="43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1"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31" w:lineRule="exact"/>
        <w:rPr>
          <w:rFonts w:ascii="MS PGothic" w:cs="MS PGothic" w:eastAsia="MS PGothic" w:hAnsi="MS PGothic"/>
          <w:sz w:val="18"/>
          <w:szCs w:val="18"/>
          <w:color w:val="auto"/>
        </w:rPr>
      </w:pPr>
    </w:p>
    <w:p>
      <w:pPr>
        <w:ind w:left="440" w:hanging="43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85" w:lineRule="exact"/>
        <w:rPr>
          <w:rFonts w:ascii="MS PGothic" w:cs="MS PGothic" w:eastAsia="MS PGothic" w:hAnsi="MS PGothic"/>
          <w:sz w:val="18"/>
          <w:szCs w:val="18"/>
          <w:color w:val="auto"/>
        </w:rPr>
      </w:pPr>
    </w:p>
    <w:p>
      <w:pPr>
        <w:ind w:left="440" w:hanging="43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25"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The Toro Company</w:t>
      </w:r>
    </w:p>
    <w:p>
      <w:pPr>
        <w:spacing w:after="0" w:line="50"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79" w:lineRule="exact"/>
        <w:rPr>
          <w:sz w:val="24"/>
          <w:szCs w:val="24"/>
          <w:color w:val="auto"/>
        </w:rPr>
      </w:pPr>
    </w:p>
    <w:p>
      <w:pPr>
        <w:ind w:left="440" w:hanging="434"/>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9" w:lineRule="exact"/>
        <w:rPr>
          <w:sz w:val="24"/>
          <w:szCs w:val="24"/>
          <w:color w:val="auto"/>
        </w:rPr>
      </w:pPr>
    </w:p>
    <w:p>
      <w:pPr>
        <w:ind w:left="440" w:hanging="434"/>
        <w:spacing w:after="0"/>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8" w:lineRule="exact"/>
        <w:rPr>
          <w:rFonts w:ascii="MS PGothic" w:cs="MS PGothic" w:eastAsia="MS PGothic" w:hAnsi="MS PGothic"/>
          <w:sz w:val="18"/>
          <w:szCs w:val="18"/>
          <w:color w:val="auto"/>
        </w:rPr>
      </w:pPr>
    </w:p>
    <w:p>
      <w:pPr>
        <w:ind w:left="880" w:hanging="435"/>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72" w:lineRule="exact"/>
        <w:rPr>
          <w:rFonts w:ascii="Arial" w:cs="Arial" w:eastAsia="Arial" w:hAnsi="Arial"/>
          <w:sz w:val="18"/>
          <w:szCs w:val="18"/>
          <w:color w:val="auto"/>
        </w:rPr>
      </w:pPr>
    </w:p>
    <w:p>
      <w:pPr>
        <w:ind w:left="880" w:hanging="435"/>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45" w:lineRule="exact"/>
        <w:rPr>
          <w:rFonts w:ascii="Arial" w:cs="Arial" w:eastAsia="Arial" w:hAnsi="Arial"/>
          <w:sz w:val="18"/>
          <w:szCs w:val="18"/>
          <w:color w:val="auto"/>
        </w:rPr>
      </w:pPr>
    </w:p>
    <w:p>
      <w:pPr>
        <w:ind w:left="880" w:hanging="435"/>
        <w:spacing w:after="0" w:line="238" w:lineRule="auto"/>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41" w:lineRule="exact"/>
        <w:rPr>
          <w:rFonts w:ascii="Arial" w:cs="Arial" w:eastAsia="Arial" w:hAnsi="Arial"/>
          <w:sz w:val="18"/>
          <w:szCs w:val="18"/>
          <w:color w:val="auto"/>
        </w:rPr>
      </w:pPr>
    </w:p>
    <w:p>
      <w:pPr>
        <w:ind w:left="880" w:hanging="435"/>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45" w:lineRule="exact"/>
        <w:rPr>
          <w:rFonts w:ascii="Arial" w:cs="Arial" w:eastAsia="Arial" w:hAnsi="Arial"/>
          <w:sz w:val="18"/>
          <w:szCs w:val="18"/>
          <w:color w:val="auto"/>
        </w:rPr>
      </w:pPr>
    </w:p>
    <w:p>
      <w:pPr>
        <w:ind w:left="880" w:hanging="435"/>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5" w:lineRule="exact"/>
        <w:rPr>
          <w:rFonts w:ascii="Arial" w:cs="Arial" w:eastAsia="Arial" w:hAnsi="Arial"/>
          <w:sz w:val="18"/>
          <w:szCs w:val="18"/>
          <w:color w:val="auto"/>
        </w:rPr>
      </w:pPr>
    </w:p>
    <w:p>
      <w:pPr>
        <w:ind w:left="440" w:hanging="434"/>
        <w:spacing w:after="0"/>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65" w:lineRule="exact"/>
        <w:rPr>
          <w:rFonts w:ascii="MS PGothic" w:cs="MS PGothic" w:eastAsia="MS PGothic" w:hAnsi="MS PGothic"/>
          <w:sz w:val="18"/>
          <w:szCs w:val="18"/>
          <w:color w:val="auto"/>
        </w:rPr>
      </w:pPr>
    </w:p>
    <w:p>
      <w:pPr>
        <w:ind w:left="440" w:right="80" w:hanging="434"/>
        <w:spacing w:after="0" w:line="265" w:lineRule="auto"/>
        <w:tabs>
          <w:tab w:leader="none" w:pos="44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6" w:lineRule="exact"/>
        <w:rPr>
          <w:rFonts w:ascii="MS PGothic" w:cs="MS PGothic" w:eastAsia="MS PGothic" w:hAnsi="MS PGothic"/>
          <w:sz w:val="17"/>
          <w:szCs w:val="17"/>
          <w:color w:val="auto"/>
        </w:rPr>
      </w:pPr>
    </w:p>
    <w:p>
      <w:pPr>
        <w:ind w:left="880" w:hanging="435"/>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58" w:lineRule="exact"/>
        <w:rPr>
          <w:rFonts w:ascii="Arial" w:cs="Arial" w:eastAsia="Arial" w:hAnsi="Arial"/>
          <w:sz w:val="18"/>
          <w:szCs w:val="18"/>
          <w:color w:val="auto"/>
        </w:rPr>
      </w:pPr>
    </w:p>
    <w:p>
      <w:pPr>
        <w:ind w:left="880" w:hanging="435"/>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72" w:lineRule="exact"/>
        <w:rPr>
          <w:rFonts w:ascii="Arial" w:cs="Arial" w:eastAsia="Arial" w:hAnsi="Arial"/>
          <w:sz w:val="18"/>
          <w:szCs w:val="18"/>
          <w:color w:val="auto"/>
        </w:rPr>
      </w:pPr>
    </w:p>
    <w:p>
      <w:pPr>
        <w:ind w:left="880" w:hanging="435"/>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58" w:lineRule="exact"/>
        <w:rPr>
          <w:rFonts w:ascii="Arial" w:cs="Arial" w:eastAsia="Arial" w:hAnsi="Arial"/>
          <w:sz w:val="18"/>
          <w:szCs w:val="18"/>
          <w:color w:val="auto"/>
        </w:rPr>
      </w:pPr>
    </w:p>
    <w:p>
      <w:pPr>
        <w:ind w:left="880" w:hanging="435"/>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266065</wp:posOffset>
            </wp:positionH>
            <wp:positionV relativeFrom="paragraph">
              <wp:posOffset>-2114550</wp:posOffset>
            </wp:positionV>
            <wp:extent cx="68726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72605" cy="8255"/>
                    </a:xfrm>
                    <a:prstGeom prst="rect">
                      <a:avLst/>
                    </a:prstGeom>
                    <a:noFill/>
                  </pic:spPr>
                </pic:pic>
              </a:graphicData>
            </a:graphic>
          </wp:anchor>
        </w:drawing>
        <w:drawing>
          <wp:anchor simplePos="0" relativeHeight="251657728" behindDoc="1" locked="0" layoutInCell="0" allowOverlap="1">
            <wp:simplePos x="0" y="0"/>
            <wp:positionH relativeFrom="column">
              <wp:posOffset>266065</wp:posOffset>
            </wp:positionH>
            <wp:positionV relativeFrom="paragraph">
              <wp:posOffset>-1953895</wp:posOffset>
            </wp:positionV>
            <wp:extent cx="68726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72605" cy="8255"/>
                    </a:xfrm>
                    <a:prstGeom prst="rect">
                      <a:avLst/>
                    </a:prstGeom>
                    <a:noFill/>
                  </pic:spPr>
                </pic:pic>
              </a:graphicData>
            </a:graphic>
          </wp:anchor>
        </w:drawing>
        <w:drawing>
          <wp:anchor simplePos="0" relativeHeight="251657728" behindDoc="1" locked="0" layoutInCell="0" allowOverlap="1">
            <wp:simplePos x="0" y="0"/>
            <wp:positionH relativeFrom="column">
              <wp:posOffset>266065</wp:posOffset>
            </wp:positionH>
            <wp:positionV relativeFrom="paragraph">
              <wp:posOffset>-1666875</wp:posOffset>
            </wp:positionV>
            <wp:extent cx="68726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72605" cy="8255"/>
                    </a:xfrm>
                    <a:prstGeom prst="rect">
                      <a:avLst/>
                    </a:prstGeom>
                    <a:noFill/>
                  </pic:spPr>
                </pic:pic>
              </a:graphicData>
            </a:graphic>
          </wp:anchor>
        </w:drawing>
        <w:drawing>
          <wp:anchor simplePos="0" relativeHeight="251657728" behindDoc="1" locked="0" layoutInCell="0" allowOverlap="1">
            <wp:simplePos x="0" y="0"/>
            <wp:positionH relativeFrom="column">
              <wp:posOffset>266065</wp:posOffset>
            </wp:positionH>
            <wp:positionV relativeFrom="paragraph">
              <wp:posOffset>-1506220</wp:posOffset>
            </wp:positionV>
            <wp:extent cx="68726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72605" cy="8255"/>
                    </a:xfrm>
                    <a:prstGeom prst="rect">
                      <a:avLst/>
                    </a:prstGeom>
                    <a:noFill/>
                  </pic:spPr>
                </pic:pic>
              </a:graphicData>
            </a:graphic>
          </wp:anchor>
        </w:drawing>
        <w:drawing>
          <wp:anchor simplePos="0" relativeHeight="251657728" behindDoc="1" locked="0" layoutInCell="0" allowOverlap="1">
            <wp:simplePos x="0" y="0"/>
            <wp:positionH relativeFrom="column">
              <wp:posOffset>266065</wp:posOffset>
            </wp:positionH>
            <wp:positionV relativeFrom="paragraph">
              <wp:posOffset>-1346200</wp:posOffset>
            </wp:positionV>
            <wp:extent cx="68726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72605" cy="8255"/>
                    </a:xfrm>
                    <a:prstGeom prst="rect">
                      <a:avLst/>
                    </a:prstGeom>
                    <a:noFill/>
                  </pic:spPr>
                </pic:pic>
              </a:graphicData>
            </a:graphic>
          </wp:anchor>
        </w:drawing>
        <w:drawing>
          <wp:anchor simplePos="0" relativeHeight="251657728" behindDoc="1" locked="0" layoutInCell="0" allowOverlap="1">
            <wp:simplePos x="0" y="0"/>
            <wp:positionH relativeFrom="column">
              <wp:posOffset>266065</wp:posOffset>
            </wp:positionH>
            <wp:positionV relativeFrom="paragraph">
              <wp:posOffset>-493395</wp:posOffset>
            </wp:positionV>
            <wp:extent cx="68726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72605" cy="8255"/>
                    </a:xfrm>
                    <a:prstGeom prst="rect">
                      <a:avLst/>
                    </a:prstGeom>
                    <a:noFill/>
                  </pic:spPr>
                </pic:pic>
              </a:graphicData>
            </a:graphic>
          </wp:anchor>
        </w:drawing>
        <w:drawing>
          <wp:anchor simplePos="0" relativeHeight="251657728" behindDoc="1" locked="0" layoutInCell="0" allowOverlap="1">
            <wp:simplePos x="0" y="0"/>
            <wp:positionH relativeFrom="column">
              <wp:posOffset>266065</wp:posOffset>
            </wp:positionH>
            <wp:positionV relativeFrom="paragraph">
              <wp:posOffset>-324485</wp:posOffset>
            </wp:positionV>
            <wp:extent cx="68726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72605" cy="8255"/>
                    </a:xfrm>
                    <a:prstGeom prst="rect">
                      <a:avLst/>
                    </a:prstGeom>
                    <a:noFill/>
                  </pic:spPr>
                </pic:pic>
              </a:graphicData>
            </a:graphic>
          </wp:anchor>
        </w:drawing>
        <w:drawing>
          <wp:anchor simplePos="0" relativeHeight="251657728" behindDoc="1" locked="0" layoutInCell="0" allowOverlap="1">
            <wp:simplePos x="0" y="0"/>
            <wp:positionH relativeFrom="column">
              <wp:posOffset>266065</wp:posOffset>
            </wp:positionH>
            <wp:positionV relativeFrom="paragraph">
              <wp:posOffset>-147320</wp:posOffset>
            </wp:positionV>
            <wp:extent cx="68726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72605" cy="8255"/>
                    </a:xfrm>
                    <a:prstGeom prst="rect">
                      <a:avLst/>
                    </a:prstGeom>
                    <a:noFill/>
                  </pic:spPr>
                </pic:pic>
              </a:graphicData>
            </a:graphic>
          </wp:anchor>
        </w:drawing>
        <w:drawing>
          <wp:anchor simplePos="0" relativeHeight="251657728" behindDoc="1" locked="0" layoutInCell="0" allowOverlap="1">
            <wp:simplePos x="0" y="0"/>
            <wp:positionH relativeFrom="column">
              <wp:posOffset>257175</wp:posOffset>
            </wp:positionH>
            <wp:positionV relativeFrom="paragraph">
              <wp:posOffset>54610</wp:posOffset>
            </wp:positionV>
            <wp:extent cx="68808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80860"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658495</wp:posOffset>
            </wp:positionV>
            <wp:extent cx="717677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000"/>
          </w:cols>
          <w:pgMar w:left="320" w:top="245" w:right="5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70"/>
          <w:szCs w:val="70"/>
          <w:b w:val="1"/>
          <w:bCs w:val="1"/>
          <w:color w:val="C00000"/>
        </w:rPr>
        <w:t>The Toro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4939"/>
        <w:spacing w:after="0" w:line="248" w:lineRule="auto"/>
        <w:rPr>
          <w:sz w:val="20"/>
          <w:szCs w:val="20"/>
          <w:color w:val="auto"/>
        </w:rPr>
      </w:pPr>
      <w:r>
        <w:rPr>
          <w:rFonts w:ascii="Arial" w:cs="Arial" w:eastAsia="Arial" w:hAnsi="Arial"/>
          <w:sz w:val="46"/>
          <w:szCs w:val="46"/>
          <w:color w:val="auto"/>
        </w:rPr>
        <w:t>NOTICE OF 2022 ANNUAL MEETING AND</w:t>
      </w:r>
    </w:p>
    <w:p>
      <w:pPr>
        <w:spacing w:after="0" w:line="63" w:lineRule="exact"/>
        <w:rPr>
          <w:sz w:val="20"/>
          <w:szCs w:val="20"/>
          <w:color w:val="auto"/>
        </w:rPr>
      </w:pPr>
    </w:p>
    <w:p>
      <w:pPr>
        <w:spacing w:after="0"/>
        <w:rPr>
          <w:sz w:val="20"/>
          <w:szCs w:val="20"/>
          <w:color w:val="auto"/>
        </w:rPr>
      </w:pPr>
      <w:r>
        <w:rPr>
          <w:rFonts w:ascii="Arial" w:cs="Arial" w:eastAsia="Arial" w:hAnsi="Arial"/>
          <w:sz w:val="64"/>
          <w:szCs w:val="64"/>
          <w:color w:val="auto"/>
        </w:rPr>
        <w:t>PROXY STATEMENT</w:t>
      </w:r>
    </w:p>
    <w:p>
      <w:pPr>
        <w:spacing w:after="0" w:line="308" w:lineRule="exact"/>
        <w:rPr>
          <w:sz w:val="20"/>
          <w:szCs w:val="20"/>
          <w:color w:val="auto"/>
        </w:rPr>
      </w:pPr>
    </w:p>
    <w:p>
      <w:pPr>
        <w:spacing w:after="0"/>
        <w:rPr>
          <w:sz w:val="20"/>
          <w:szCs w:val="20"/>
          <w:color w:val="auto"/>
        </w:rPr>
      </w:pPr>
      <w:r>
        <w:rPr>
          <w:rFonts w:ascii="Arial" w:cs="Arial" w:eastAsia="Arial" w:hAnsi="Arial"/>
          <w:sz w:val="43"/>
          <w:szCs w:val="43"/>
          <w:color w:val="auto"/>
        </w:rPr>
        <w:t>FOR MARCH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3642360</wp:posOffset>
            </wp:positionV>
            <wp:extent cx="717677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6770" cy="42545"/>
                    </a:xfrm>
                    <a:prstGeom prst="rect">
                      <a:avLst/>
                    </a:prstGeom>
                    <a:noFill/>
                  </pic:spPr>
                </pic:pic>
              </a:graphicData>
            </a:graphic>
          </wp:anchor>
        </w:drawing>
        <w:drawing>
          <wp:anchor simplePos="0" relativeHeight="251657728" behindDoc="1" locked="0" layoutInCell="0" allowOverlap="1">
            <wp:simplePos x="0" y="0"/>
            <wp:positionH relativeFrom="column">
              <wp:posOffset>738505</wp:posOffset>
            </wp:positionH>
            <wp:positionV relativeFrom="paragraph">
              <wp:posOffset>2202815</wp:posOffset>
            </wp:positionV>
            <wp:extent cx="5673725" cy="8102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73725" cy="810260"/>
                    </a:xfrm>
                    <a:prstGeom prst="rect">
                      <a:avLst/>
                    </a:prstGeom>
                    <a:noFill/>
                  </pic:spPr>
                </pic:pic>
              </a:graphicData>
            </a:graphic>
          </wp:anchor>
        </w:drawing>
      </w:r>
    </w:p>
    <w:p>
      <w:pPr>
        <w:sectPr>
          <w:pgSz w:w="11900" w:h="16838" w:orient="portrait"/>
          <w:cols w:equalWidth="0" w:num="1">
            <w:col w:w="10139"/>
          </w:cols>
          <w:pgMar w:left="320" w:top="140" w:right="1440"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5925185</wp:posOffset>
            </wp:positionV>
            <wp:extent cx="717677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0139"/>
          </w:cols>
          <w:pgMar w:left="320" w:top="140" w:right="1440"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5930900</wp:posOffset>
            </wp:positionH>
            <wp:positionV relativeFrom="paragraph">
              <wp:posOffset>467995</wp:posOffset>
            </wp:positionV>
            <wp:extent cx="1207135" cy="8102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07135" cy="810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Worldwide Headquarters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8111 Lyndale Avenue South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Bloomington, MN 55420-1196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952-888-8801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February 2, 2022</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Shareholders:</w:t>
      </w:r>
    </w:p>
    <w:p>
      <w:pPr>
        <w:spacing w:after="0" w:line="20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On behalf of The Toro Company Board of Directors and management team, we are pleased to invite you to join us for The Toro Company</w:t>
      </w:r>
    </w:p>
    <w:p>
      <w:pPr>
        <w:spacing w:after="0" w:line="4"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2022 Annual Meeting of Shareholders to be held virtually on Tuesday, March 15, 2022, at 1:30 p.m., Central Daylight Time. Details about the annual meeting, nominees for election to the Board of Directors and other matters to be acted on at the annual meeting are presented in the notice and proxy statement that follow. Information regarding attending the virtual annual meeting can be found on page 1 of the proxy statement. It is important that your shares be represented at the annual meeting, regardless of the number of shares you hold. Accordingly, please exercise your right to vote by following the instructions for voting contained in the Notice Regarding the Availability of Proxy Materials or the paper or electronic copy of our proxy materials you received for the meeting.</w:t>
      </w:r>
    </w:p>
    <w:p>
      <w:pPr>
        <w:spacing w:after="0" w:line="20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Thank you for your continued support for our company.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29210</wp:posOffset>
            </wp:positionV>
            <wp:extent cx="1435100" cy="4895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35100" cy="489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0"/>
        <w:spacing w:after="0"/>
        <w:rPr>
          <w:sz w:val="20"/>
          <w:szCs w:val="20"/>
          <w:color w:val="auto"/>
        </w:rPr>
      </w:pPr>
      <w:r>
        <w:rPr>
          <w:rFonts w:ascii="Arial" w:cs="Arial" w:eastAsia="Arial" w:hAnsi="Arial"/>
          <w:sz w:val="18"/>
          <w:szCs w:val="18"/>
          <w:color w:val="C00000"/>
        </w:rPr>
        <w:t>Richard M. Olson</w:t>
      </w:r>
    </w:p>
    <w:p>
      <w:pPr>
        <w:ind w:left="40"/>
        <w:spacing w:after="0"/>
        <w:rPr>
          <w:sz w:val="20"/>
          <w:szCs w:val="20"/>
          <w:color w:val="auto"/>
        </w:rPr>
      </w:pPr>
      <w:r>
        <w:rPr>
          <w:rFonts w:ascii="Arial" w:cs="Arial" w:eastAsia="Arial" w:hAnsi="Arial"/>
          <w:sz w:val="18"/>
          <w:szCs w:val="18"/>
          <w:color w:val="auto"/>
        </w:rPr>
        <w:t>Chairman of the Board, 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C00000"/>
        </w:rPr>
        <w:t>You can help us make a difference by eliminating paper proxy mailings. With your consent, we will provide all</w:t>
      </w:r>
    </w:p>
    <w:p>
      <w:pPr>
        <w:spacing w:after="0" w:line="14" w:lineRule="exact"/>
        <w:rPr>
          <w:sz w:val="20"/>
          <w:szCs w:val="20"/>
          <w:color w:val="auto"/>
        </w:rPr>
      </w:pPr>
    </w:p>
    <w:p>
      <w:pPr>
        <w:jc w:val="center"/>
        <w:ind w:left="400" w:right="740"/>
        <w:spacing w:after="0" w:line="236" w:lineRule="auto"/>
        <w:rPr>
          <w:sz w:val="20"/>
          <w:szCs w:val="20"/>
          <w:color w:val="auto"/>
        </w:rPr>
      </w:pPr>
      <w:r>
        <w:rPr>
          <w:rFonts w:ascii="Arial" w:cs="Arial" w:eastAsia="Arial" w:hAnsi="Arial"/>
          <w:sz w:val="18"/>
          <w:szCs w:val="18"/>
          <w:b w:val="1"/>
          <w:bCs w:val="1"/>
          <w:color w:val="C00000"/>
        </w:rPr>
        <w:t>future proxy materials electronically. Instructions for consenting to electronic delivery can be found on your proxy card or at www.proxyvote.com. Your consent to receive shareholder materials electronically will remain in effect until canceled.</w:t>
      </w:r>
    </w:p>
    <w:p>
      <w:pPr>
        <w:spacing w:after="0" w:line="2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ind w:right="2739"/>
        <w:spacing w:after="0"/>
        <w:rPr>
          <w:sz w:val="20"/>
          <w:szCs w:val="20"/>
          <w:color w:val="auto"/>
        </w:rPr>
      </w:pPr>
      <w:r>
        <w:rPr>
          <w:rFonts w:ascii="Arial" w:cs="Arial" w:eastAsia="Arial" w:hAnsi="Arial"/>
          <w:sz w:val="18"/>
          <w:szCs w:val="18"/>
          <w:color w:val="auto"/>
        </w:rPr>
        <w:t>[THIS PAGE INTENTIONALLY LEFT BLANK]</w:t>
      </w:r>
    </w:p>
    <w:p>
      <w:pPr>
        <w:spacing w:after="0" w:line="200" w:lineRule="exact"/>
        <w:rPr>
          <w:sz w:val="20"/>
          <w:szCs w:val="20"/>
          <w:color w:val="auto"/>
        </w:rPr>
      </w:pPr>
    </w:p>
    <w:p>
      <w:pPr>
        <w:spacing w:after="0" w:line="21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0139"/>
          </w:cols>
          <w:pgMar w:left="320" w:top="140" w:right="1440"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5930900</wp:posOffset>
            </wp:positionH>
            <wp:positionV relativeFrom="paragraph">
              <wp:posOffset>198120</wp:posOffset>
            </wp:positionV>
            <wp:extent cx="1207135" cy="8102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07135" cy="810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NOTICE OF 2022 ANNUAL MEETING OF SHAREHOLDERS</w:t>
      </w:r>
    </w:p>
    <w:p>
      <w:pPr>
        <w:sectPr>
          <w:pgSz w:w="11900" w:h="16838" w:orient="portrait"/>
          <w:cols w:equalWidth="0" w:num="1">
            <w:col w:w="11160"/>
          </w:cols>
          <w:pgMar w:left="320" w:top="140" w:right="419" w:bottom="1440" w:gutter="0" w:footer="0" w:header="0"/>
        </w:sect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Date:</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C00000"/>
        </w:rPr>
        <w:t>Tuesday, March 15, 2022</w:t>
      </w:r>
    </w:p>
    <w:p>
      <w:pPr>
        <w:spacing w:after="0" w:line="70" w:lineRule="exact"/>
        <w:rPr>
          <w:sz w:val="20"/>
          <w:szCs w:val="20"/>
          <w:color w:val="auto"/>
        </w:rPr>
      </w:pPr>
    </w:p>
    <w:p>
      <w:pPr>
        <w:sectPr>
          <w:pgSz w:w="11900" w:h="16838" w:orient="portrait"/>
          <w:cols w:equalWidth="0" w:num="2">
            <w:col w:w="580" w:space="720"/>
            <w:col w:w="9860"/>
          </w:cols>
          <w:pgMar w:left="320" w:top="140" w:right="41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C00000"/>
        </w:rPr>
        <w:t>1:30 p.m., Central Daylight Time</w:t>
      </w:r>
    </w:p>
    <w:p>
      <w:pPr>
        <w:spacing w:after="0" w:line="70" w:lineRule="exact"/>
        <w:rPr>
          <w:sz w:val="20"/>
          <w:szCs w:val="20"/>
          <w:color w:val="auto"/>
        </w:rPr>
      </w:pPr>
    </w:p>
    <w:p>
      <w:pPr>
        <w:sectPr>
          <w:pgSz w:w="11900" w:h="16838" w:orient="portrait"/>
          <w:cols w:equalWidth="0" w:num="2">
            <w:col w:w="580" w:space="720"/>
            <w:col w:w="9860"/>
          </w:cols>
          <w:pgMar w:left="320" w:top="140" w:right="41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Location: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C00000"/>
        </w:rPr>
        <w:t>Virtual</w:t>
      </w:r>
    </w:p>
    <w:p>
      <w:pPr>
        <w:spacing w:after="0" w:line="79" w:lineRule="exact"/>
        <w:rPr>
          <w:sz w:val="20"/>
          <w:szCs w:val="20"/>
          <w:color w:val="auto"/>
        </w:rPr>
      </w:pPr>
    </w:p>
    <w:p>
      <w:pPr>
        <w:sectPr>
          <w:pgSz w:w="11900" w:h="16838" w:orient="portrait"/>
          <w:cols w:equalWidth="0" w:num="2">
            <w:col w:w="800" w:space="500"/>
            <w:col w:w="9860"/>
          </w:cols>
          <w:pgMar w:left="320" w:top="140" w:right="419" w:bottom="1440" w:gutter="0" w:footer="0" w:header="0"/>
          <w:type w:val="continuous"/>
        </w:sectPr>
      </w:pPr>
    </w:p>
    <w:p>
      <w:pPr>
        <w:ind w:left="1300"/>
        <w:spacing w:after="0"/>
        <w:rPr>
          <w:sz w:val="20"/>
          <w:szCs w:val="20"/>
          <w:color w:val="auto"/>
        </w:rPr>
      </w:pPr>
      <w:r>
        <w:rPr>
          <w:rFonts w:ascii="Arial" w:cs="Arial" w:eastAsia="Arial" w:hAnsi="Arial"/>
          <w:sz w:val="17"/>
          <w:szCs w:val="17"/>
          <w:color w:val="C00000"/>
        </w:rPr>
        <w:t>www.virtualshareholdermeeting.com/TTC2022</w:t>
      </w:r>
    </w:p>
    <w:p>
      <w:pPr>
        <w:sectPr>
          <w:pgSz w:w="11900" w:h="16838" w:orient="portrait"/>
          <w:cols w:equalWidth="0" w:num="1">
            <w:col w:w="11160"/>
          </w:cols>
          <w:pgMar w:left="320" w:top="140" w:right="419" w:bottom="1440" w:gutter="0" w:footer="0" w:header="0"/>
          <w:type w:val="continuous"/>
        </w:sectPr>
      </w:pPr>
    </w:p>
    <w:p>
      <w:pPr>
        <w:spacing w:after="0" w:line="200" w:lineRule="exact"/>
        <w:rPr>
          <w:sz w:val="20"/>
          <w:szCs w:val="20"/>
          <w:color w:val="auto"/>
        </w:rPr>
      </w:pPr>
    </w:p>
    <w:p>
      <w:pPr>
        <w:spacing w:after="0" w:line="394" w:lineRule="exact"/>
        <w:rPr>
          <w:sz w:val="20"/>
          <w:szCs w:val="20"/>
          <w:color w:val="auto"/>
        </w:rPr>
      </w:pPr>
    </w:p>
    <w:p>
      <w:pPr>
        <w:ind w:left="1300" w:right="300" w:hanging="1608"/>
        <w:spacing w:after="0" w:line="238" w:lineRule="auto"/>
        <w:tabs>
          <w:tab w:leader="none" w:pos="1280" w:val="left"/>
        </w:tabs>
        <w:rPr>
          <w:sz w:val="20"/>
          <w:szCs w:val="20"/>
          <w:color w:val="auto"/>
        </w:rPr>
      </w:pPr>
      <w:r>
        <w:rPr>
          <w:rFonts w:ascii="Arial" w:cs="Arial" w:eastAsia="Arial" w:hAnsi="Arial"/>
          <w:sz w:val="18"/>
          <w:szCs w:val="18"/>
          <w:b w:val="1"/>
          <w:bCs w:val="1"/>
          <w:color w:val="auto"/>
        </w:rPr>
        <w:t>Agenda:</w:t>
      </w:r>
      <w:r>
        <w:rPr>
          <w:sz w:val="20"/>
          <w:szCs w:val="20"/>
          <w:color w:val="auto"/>
        </w:rPr>
        <w:tab/>
      </w:r>
      <w:r>
        <w:rPr>
          <w:rFonts w:ascii="Arial" w:cs="Arial" w:eastAsia="Arial" w:hAnsi="Arial"/>
          <w:sz w:val="18"/>
          <w:szCs w:val="18"/>
          <w:color w:val="C00000"/>
        </w:rPr>
        <w:t xml:space="preserve">1. </w:t>
      </w:r>
      <w:r>
        <w:rPr>
          <w:rFonts w:ascii="Arial" w:cs="Arial" w:eastAsia="Arial" w:hAnsi="Arial"/>
          <w:sz w:val="18"/>
          <w:szCs w:val="18"/>
          <w:color w:val="000000"/>
        </w:rPr>
        <w:t>To elect as directors the six nominees named in the proxy statement, each to serve for a term as specified in the proxy</w:t>
      </w:r>
      <w:r>
        <w:rPr>
          <w:rFonts w:ascii="Arial" w:cs="Arial" w:eastAsia="Arial" w:hAnsi="Arial"/>
          <w:sz w:val="18"/>
          <w:szCs w:val="18"/>
          <w:color w:val="C00000"/>
        </w:rPr>
        <w:t xml:space="preserve"> </w:t>
      </w:r>
      <w:r>
        <w:rPr>
          <w:rFonts w:ascii="Arial" w:cs="Arial" w:eastAsia="Arial" w:hAnsi="Arial"/>
          <w:sz w:val="18"/>
          <w:szCs w:val="18"/>
          <w:color w:val="000000"/>
        </w:rPr>
        <w:t>statement;</w:t>
      </w:r>
    </w:p>
    <w:p>
      <w:pPr>
        <w:spacing w:after="0" w:line="77" w:lineRule="exact"/>
        <w:rPr>
          <w:sz w:val="20"/>
          <w:szCs w:val="20"/>
          <w:color w:val="auto"/>
        </w:rPr>
      </w:pPr>
    </w:p>
    <w:p>
      <w:pPr>
        <w:ind w:left="1620" w:right="620" w:hanging="324"/>
        <w:spacing w:after="0" w:line="238" w:lineRule="auto"/>
        <w:tabs>
          <w:tab w:leader="none" w:pos="1596" w:val="left"/>
        </w:tabs>
        <w:numPr>
          <w:ilvl w:val="0"/>
          <w:numId w:val="4"/>
        </w:numPr>
        <w:rPr>
          <w:rFonts w:ascii="Arial" w:cs="Arial" w:eastAsia="Arial" w:hAnsi="Arial"/>
          <w:sz w:val="18"/>
          <w:szCs w:val="18"/>
          <w:color w:val="C00000"/>
        </w:rPr>
      </w:pPr>
      <w:r>
        <w:rPr>
          <w:rFonts w:ascii="Arial" w:cs="Arial" w:eastAsia="Arial" w:hAnsi="Arial"/>
          <w:sz w:val="18"/>
          <w:szCs w:val="18"/>
          <w:color w:val="auto"/>
        </w:rPr>
        <w:t>To ratify the selection of KPMG LLP as our independent registered public accounting firm for our fiscal year ending October 31, 2022;</w:t>
      </w:r>
    </w:p>
    <w:p>
      <w:pPr>
        <w:spacing w:after="0" w:line="54" w:lineRule="exact"/>
        <w:rPr>
          <w:rFonts w:ascii="Arial" w:cs="Arial" w:eastAsia="Arial" w:hAnsi="Arial"/>
          <w:sz w:val="18"/>
          <w:szCs w:val="18"/>
          <w:color w:val="C00000"/>
        </w:rPr>
      </w:pPr>
    </w:p>
    <w:p>
      <w:pPr>
        <w:ind w:left="1600" w:hanging="304"/>
        <w:spacing w:after="0"/>
        <w:tabs>
          <w:tab w:leader="none" w:pos="1600" w:val="left"/>
        </w:tabs>
        <w:numPr>
          <w:ilvl w:val="0"/>
          <w:numId w:val="4"/>
        </w:numPr>
        <w:rPr>
          <w:rFonts w:ascii="Arial" w:cs="Arial" w:eastAsia="Arial" w:hAnsi="Arial"/>
          <w:sz w:val="18"/>
          <w:szCs w:val="18"/>
          <w:color w:val="C00000"/>
        </w:rPr>
      </w:pPr>
      <w:r>
        <w:rPr>
          <w:rFonts w:ascii="Arial" w:cs="Arial" w:eastAsia="Arial" w:hAnsi="Arial"/>
          <w:sz w:val="18"/>
          <w:szCs w:val="18"/>
          <w:color w:val="auto"/>
        </w:rPr>
        <w:t>To approve, on an advisory basis, our executive compensation;</w:t>
      </w:r>
    </w:p>
    <w:p>
      <w:pPr>
        <w:spacing w:after="0" w:line="72" w:lineRule="exact"/>
        <w:rPr>
          <w:rFonts w:ascii="Arial" w:cs="Arial" w:eastAsia="Arial" w:hAnsi="Arial"/>
          <w:sz w:val="18"/>
          <w:szCs w:val="18"/>
          <w:color w:val="C00000"/>
        </w:rPr>
      </w:pPr>
    </w:p>
    <w:p>
      <w:pPr>
        <w:ind w:left="1580" w:hanging="284"/>
        <w:spacing w:after="0"/>
        <w:tabs>
          <w:tab w:leader="none" w:pos="1580" w:val="left"/>
        </w:tabs>
        <w:numPr>
          <w:ilvl w:val="0"/>
          <w:numId w:val="4"/>
        </w:numPr>
        <w:rPr>
          <w:rFonts w:ascii="Arial" w:cs="Arial" w:eastAsia="Arial" w:hAnsi="Arial"/>
          <w:sz w:val="18"/>
          <w:szCs w:val="18"/>
          <w:color w:val="C00000"/>
        </w:rPr>
      </w:pPr>
      <w:r>
        <w:rPr>
          <w:rFonts w:ascii="Arial" w:cs="Arial" w:eastAsia="Arial" w:hAnsi="Arial"/>
          <w:sz w:val="18"/>
          <w:szCs w:val="18"/>
          <w:color w:val="auto"/>
        </w:rPr>
        <w:t>To approve The Toro Company 2022 Equity and Incentive Plan; and</w:t>
      </w:r>
    </w:p>
    <w:p>
      <w:pPr>
        <w:spacing w:after="0" w:line="72" w:lineRule="exact"/>
        <w:rPr>
          <w:rFonts w:ascii="Arial" w:cs="Arial" w:eastAsia="Arial" w:hAnsi="Arial"/>
          <w:sz w:val="18"/>
          <w:szCs w:val="18"/>
          <w:color w:val="C00000"/>
        </w:rPr>
      </w:pPr>
    </w:p>
    <w:p>
      <w:pPr>
        <w:ind w:left="1620" w:right="260" w:hanging="324"/>
        <w:spacing w:after="0" w:line="238" w:lineRule="auto"/>
        <w:tabs>
          <w:tab w:leader="none" w:pos="1596" w:val="left"/>
        </w:tabs>
        <w:numPr>
          <w:ilvl w:val="0"/>
          <w:numId w:val="4"/>
        </w:numPr>
        <w:rPr>
          <w:rFonts w:ascii="Arial" w:cs="Arial" w:eastAsia="Arial" w:hAnsi="Arial"/>
          <w:sz w:val="18"/>
          <w:szCs w:val="18"/>
          <w:color w:val="C00000"/>
        </w:rPr>
      </w:pPr>
      <w:r>
        <w:rPr>
          <w:rFonts w:ascii="Arial" w:cs="Arial" w:eastAsia="Arial" w:hAnsi="Arial"/>
          <w:sz w:val="18"/>
          <w:szCs w:val="18"/>
          <w:color w:val="auto"/>
        </w:rPr>
        <w:t>To transact any other business properly brought before the annual meeting or any adjournment or postponement of the annual meeting.</w:t>
      </w:r>
    </w:p>
    <w:p>
      <w:pPr>
        <w:spacing w:after="0" w:line="108" w:lineRule="exact"/>
        <w:rPr>
          <w:sz w:val="20"/>
          <w:szCs w:val="20"/>
          <w:color w:val="auto"/>
        </w:rPr>
      </w:pPr>
    </w:p>
    <w:p>
      <w:pPr>
        <w:ind w:firstLine="401"/>
        <w:spacing w:after="0" w:line="233" w:lineRule="auto"/>
        <w:rPr>
          <w:sz w:val="20"/>
          <w:szCs w:val="20"/>
          <w:color w:val="auto"/>
        </w:rPr>
      </w:pPr>
      <w:r>
        <w:rPr>
          <w:rFonts w:ascii="Arial" w:cs="Arial" w:eastAsia="Arial" w:hAnsi="Arial"/>
          <w:sz w:val="18"/>
          <w:szCs w:val="18"/>
          <w:color w:val="auto"/>
        </w:rPr>
        <w:t>We currently are not aware of any other business to be brought before the annual meeting. Shareholders of record at the close of business on January 18, 2022, the record date, will be entitled to vote at the annual meeting or at any adjournment or postponement of the annual meeting. A shareholder list will be made available at our principal executive offices during ordinary business hours beginning March 4, 2022, for examination by any shareholder registered on our stock ledger as of the record date for any purpose germane to the annual meeting and will be open for examination by any shareholder electronically during the annual meeting at www.virtualshareholdermeeting.com/TTC2022 when you enter your 16-Digit Control Number.</w:t>
      </w:r>
    </w:p>
    <w:p>
      <w:pPr>
        <w:spacing w:after="0" w:line="97" w:lineRule="exact"/>
        <w:rPr>
          <w:sz w:val="20"/>
          <w:szCs w:val="20"/>
          <w:color w:val="auto"/>
        </w:rPr>
      </w:pPr>
    </w:p>
    <w:p>
      <w:pPr>
        <w:ind w:right="100" w:firstLine="401"/>
        <w:spacing w:after="0" w:line="251" w:lineRule="auto"/>
        <w:rPr>
          <w:sz w:val="20"/>
          <w:szCs w:val="20"/>
          <w:color w:val="auto"/>
        </w:rPr>
      </w:pPr>
      <w:r>
        <w:rPr>
          <w:rFonts w:ascii="Arial" w:cs="Arial" w:eastAsia="Arial" w:hAnsi="Arial"/>
          <w:sz w:val="17"/>
          <w:szCs w:val="17"/>
          <w:color w:val="auto"/>
        </w:rPr>
        <w:t>Your vote is important. A majority of the outstanding shares of our common stock must be present either by attending the virtual meeting or by proxy to constitute a quorum for the conduct of business. Please promptly vote your shares by following the instructions for voting contained in the Notice Regarding the Availability of Proxy Materials or, if you received a paper or electronic copy of our proxy materials, by completing, signing, dating and returning your proxy card or by Internet, telephone or mobile device voting as described on your proxy card.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February 2, 2022</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139065</wp:posOffset>
            </wp:positionV>
            <wp:extent cx="1334135" cy="4305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34135" cy="430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
        <w:spacing w:after="0"/>
        <w:rPr>
          <w:sz w:val="20"/>
          <w:szCs w:val="20"/>
          <w:color w:val="auto"/>
        </w:rPr>
      </w:pPr>
      <w:r>
        <w:rPr>
          <w:rFonts w:ascii="Arial" w:cs="Arial" w:eastAsia="Arial" w:hAnsi="Arial"/>
          <w:sz w:val="18"/>
          <w:szCs w:val="18"/>
          <w:color w:val="C00000"/>
        </w:rPr>
        <w:t>Amy E. Dahl</w:t>
      </w:r>
    </w:p>
    <w:p>
      <w:pPr>
        <w:ind w:left="40"/>
        <w:spacing w:after="0" w:line="231" w:lineRule="auto"/>
        <w:rPr>
          <w:sz w:val="20"/>
          <w:szCs w:val="20"/>
          <w:color w:val="auto"/>
        </w:rPr>
      </w:pPr>
      <w:r>
        <w:rPr>
          <w:rFonts w:ascii="Arial" w:cs="Arial" w:eastAsia="Arial" w:hAnsi="Arial"/>
          <w:sz w:val="18"/>
          <w:szCs w:val="18"/>
          <w:color w:val="auto"/>
        </w:rPr>
        <w:t>Vice President, Human Resources and General Counsel and</w:t>
      </w:r>
    </w:p>
    <w:p>
      <w:pPr>
        <w:ind w:left="360"/>
        <w:spacing w:after="0"/>
        <w:rPr>
          <w:sz w:val="20"/>
          <w:szCs w:val="20"/>
          <w:color w:val="auto"/>
        </w:rPr>
      </w:pPr>
      <w:r>
        <w:rPr>
          <w:rFonts w:ascii="Arial" w:cs="Arial" w:eastAsia="Arial" w:hAnsi="Arial"/>
          <w:sz w:val="18"/>
          <w:szCs w:val="18"/>
          <w:color w:val="auto"/>
        </w:rPr>
        <w:t>Corporate Secretary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160"/>
          </w:cols>
          <w:pgMar w:left="320" w:top="140" w:right="41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8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TABLE OF CONTENTS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00" w:type="dxa"/>
            <w:vAlign w:val="bottom"/>
            <w:tcBorders>
              <w:bottom w:val="single" w:sz="8" w:color="0000EE"/>
            </w:tcBorders>
            <w:gridSpan w:val="10"/>
          </w:tcPr>
          <w:p>
            <w:pPr>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LETTER TO SHAREHOLDERS</w:t>
              </w:r>
            </w:hyperlink>
          </w:p>
        </w:tc>
        <w:tc>
          <w:tcPr>
            <w:tcW w:w="8320" w:type="dxa"/>
            <w:vAlign w:val="bottom"/>
            <w:gridSpan w:val="29"/>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46"/>
        </w:trPr>
        <w:tc>
          <w:tcPr>
            <w:tcW w:w="4860" w:type="dxa"/>
            <w:vAlign w:val="bottom"/>
            <w:tcBorders>
              <w:bottom w:val="single" w:sz="8" w:color="0000EE"/>
            </w:tcBorders>
            <w:gridSpan w:val="29"/>
          </w:tcPr>
          <w:p>
            <w:pPr>
              <w:spacing w:after="0"/>
              <w:rPr>
                <w:rFonts w:ascii="Arial" w:cs="Arial" w:eastAsia="Arial" w:hAnsi="Arial"/>
                <w:sz w:val="18"/>
                <w:szCs w:val="18"/>
                <w:color w:val="0000EE"/>
                <w:w w:val="98"/>
              </w:rPr>
            </w:pPr>
            <w:hyperlink w:anchor="page6">
              <w:r>
                <w:rPr>
                  <w:rFonts w:ascii="Arial" w:cs="Arial" w:eastAsia="Arial" w:hAnsi="Arial"/>
                  <w:sz w:val="18"/>
                  <w:szCs w:val="18"/>
                  <w:color w:val="0000EE"/>
                  <w:w w:val="98"/>
                </w:rPr>
                <w:t>NOTICE OF 2022 ANNUAL MEETING OF SHAREHOLDERS</w:t>
              </w:r>
            </w:hyperlink>
          </w:p>
        </w:tc>
        <w:tc>
          <w:tcPr>
            <w:tcW w:w="5960" w:type="dxa"/>
            <w:vAlign w:val="bottom"/>
            <w:gridSpan w:val="10"/>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iii</w:t>
            </w:r>
          </w:p>
        </w:tc>
      </w:tr>
      <w:tr>
        <w:trPr>
          <w:trHeight w:val="246"/>
        </w:trPr>
        <w:tc>
          <w:tcPr>
            <w:tcW w:w="7180" w:type="dxa"/>
            <w:vAlign w:val="bottom"/>
            <w:tcBorders>
              <w:bottom w:val="single" w:sz="8" w:color="0000EE"/>
            </w:tcBorders>
            <w:gridSpan w:val="33"/>
          </w:tcPr>
          <w:p>
            <w:pPr>
              <w:spacing w:after="0"/>
              <w:rPr>
                <w:rFonts w:ascii="Arial" w:cs="Arial" w:eastAsia="Arial" w:hAnsi="Arial"/>
                <w:sz w:val="18"/>
                <w:szCs w:val="18"/>
                <w:color w:val="0000EE"/>
                <w:w w:val="97"/>
              </w:rPr>
            </w:pPr>
            <w:hyperlink w:anchor="page10">
              <w:r>
                <w:rPr>
                  <w:rFonts w:ascii="Arial" w:cs="Arial" w:eastAsia="Arial" w:hAnsi="Arial"/>
                  <w:sz w:val="18"/>
                  <w:szCs w:val="18"/>
                  <w:color w:val="0000EE"/>
                  <w:w w:val="97"/>
                </w:rPr>
                <w:t>THE TORO COMPANY HIGHLIGHTS AND PROXY STATEMENT EXECUTIVE SUMMARY</w:t>
              </w:r>
            </w:hyperlink>
          </w:p>
        </w:tc>
        <w:tc>
          <w:tcPr>
            <w:tcW w:w="3640" w:type="dxa"/>
            <w:vAlign w:val="bottom"/>
            <w:gridSpan w:val="6"/>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vii</w:t>
            </w:r>
          </w:p>
        </w:tc>
      </w:tr>
      <w:tr>
        <w:trPr>
          <w:trHeight w:val="246"/>
        </w:trPr>
        <w:tc>
          <w:tcPr>
            <w:tcW w:w="10820" w:type="dxa"/>
            <w:vAlign w:val="bottom"/>
            <w:gridSpan w:val="39"/>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PROXY STATEMENT</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3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46"/>
        </w:trPr>
        <w:tc>
          <w:tcPr>
            <w:tcW w:w="6420" w:type="dxa"/>
            <w:vAlign w:val="bottom"/>
            <w:tcBorders>
              <w:bottom w:val="single" w:sz="8" w:color="0000EE"/>
            </w:tcBorders>
            <w:gridSpan w:val="31"/>
          </w:tcPr>
          <w:p>
            <w:pPr>
              <w:spacing w:after="0"/>
              <w:rPr>
                <w:rFonts w:ascii="Arial" w:cs="Arial" w:eastAsia="Arial" w:hAnsi="Arial"/>
                <w:sz w:val="18"/>
                <w:szCs w:val="18"/>
                <w:color w:val="0000EE"/>
                <w:w w:val="98"/>
              </w:rPr>
            </w:pPr>
            <w:hyperlink w:anchor="page14">
              <w:r>
                <w:rPr>
                  <w:rFonts w:ascii="Arial" w:cs="Arial" w:eastAsia="Arial" w:hAnsi="Arial"/>
                  <w:sz w:val="18"/>
                  <w:szCs w:val="18"/>
                  <w:color w:val="0000EE"/>
                  <w:w w:val="98"/>
                </w:rPr>
                <w:t>GENERAL INFORMATION ABOUT THE 2022 ANNUAL MEETING AND VOTING</w:t>
              </w:r>
            </w:hyperlink>
          </w:p>
        </w:tc>
        <w:tc>
          <w:tcPr>
            <w:tcW w:w="4400" w:type="dxa"/>
            <w:vAlign w:val="bottom"/>
            <w:gridSpan w:val="8"/>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3"/>
        </w:trPr>
        <w:tc>
          <w:tcPr>
            <w:tcW w:w="360" w:type="dxa"/>
            <w:vAlign w:val="bottom"/>
          </w:tcPr>
          <w:p>
            <w:pPr>
              <w:spacing w:after="0"/>
              <w:rPr>
                <w:sz w:val="20"/>
                <w:szCs w:val="20"/>
                <w:color w:val="auto"/>
              </w:rPr>
            </w:pPr>
          </w:p>
        </w:tc>
        <w:tc>
          <w:tcPr>
            <w:tcW w:w="10460" w:type="dxa"/>
            <w:vAlign w:val="bottom"/>
            <w:gridSpan w:val="38"/>
          </w:tcPr>
          <w:p>
            <w:pPr>
              <w:spacing w:after="0"/>
              <w:rPr>
                <w:rFonts w:ascii="Arial" w:cs="Arial" w:eastAsia="Arial" w:hAnsi="Arial"/>
                <w:sz w:val="18"/>
                <w:szCs w:val="18"/>
                <w:color w:val="0000EE"/>
                <w:w w:val="99"/>
              </w:rPr>
            </w:pPr>
            <w:hyperlink w:anchor="page14">
              <w:r>
                <w:rPr>
                  <w:rFonts w:ascii="Arial" w:cs="Arial" w:eastAsia="Arial" w:hAnsi="Arial"/>
                  <w:sz w:val="18"/>
                  <w:szCs w:val="18"/>
                  <w:color w:val="0000EE"/>
                  <w:w w:val="99"/>
                </w:rPr>
                <w:t>Important Notice Regarding the Availability of Proxy Materials for the Shareholder Meeting To Be Held on Tuesday, March 15, 202</w:t>
              </w:r>
            </w:hyperlink>
            <w:r>
              <w:rPr>
                <w:rFonts w:ascii="Arial" w:cs="Arial" w:eastAsia="Arial" w:hAnsi="Arial"/>
                <w:sz w:val="18"/>
                <w:szCs w:val="18"/>
                <w:color w:val="000000"/>
                <w:w w:val="99"/>
              </w:rPr>
              <w:t>2</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3"/>
        </w:trPr>
        <w:tc>
          <w:tcPr>
            <w:tcW w:w="360" w:type="dxa"/>
            <w:vAlign w:val="bottom"/>
          </w:tcPr>
          <w:p>
            <w:pPr>
              <w:spacing w:after="0"/>
              <w:rPr>
                <w:sz w:val="20"/>
                <w:szCs w:val="20"/>
                <w:color w:val="auto"/>
              </w:rPr>
            </w:pPr>
          </w:p>
        </w:tc>
        <w:tc>
          <w:tcPr>
            <w:tcW w:w="10160" w:type="dxa"/>
            <w:vAlign w:val="bottom"/>
            <w:tcBorders>
              <w:top w:val="single" w:sz="8" w:color="0000EE"/>
            </w:tcBorders>
            <w:gridSpan w:val="37"/>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When and Where Will the Annual Meeting Be Held?</w:t>
              </w:r>
            </w:hyperlink>
          </w:p>
        </w:tc>
        <w:tc>
          <w:tcPr>
            <w:tcW w:w="3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3"/>
        </w:trPr>
        <w:tc>
          <w:tcPr>
            <w:tcW w:w="360" w:type="dxa"/>
            <w:vAlign w:val="bottom"/>
          </w:tcPr>
          <w:p>
            <w:pPr>
              <w:spacing w:after="0"/>
              <w:rPr>
                <w:sz w:val="20"/>
                <w:szCs w:val="20"/>
                <w:color w:val="auto"/>
              </w:rPr>
            </w:pPr>
          </w:p>
        </w:tc>
        <w:tc>
          <w:tcPr>
            <w:tcW w:w="4060" w:type="dxa"/>
            <w:vAlign w:val="bottom"/>
            <w:tcBorders>
              <w:top w:val="single" w:sz="8" w:color="0000EE"/>
            </w:tcBorders>
            <w:gridSpan w:val="25"/>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How Can I Attend the Virtual Annual Meeting?</w:t>
              </w:r>
            </w:hyperlink>
          </w:p>
        </w:tc>
        <w:tc>
          <w:tcPr>
            <w:tcW w:w="6400" w:type="dxa"/>
            <w:vAlign w:val="bottom"/>
            <w:gridSpan w:val="13"/>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36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3"/>
        </w:trPr>
        <w:tc>
          <w:tcPr>
            <w:tcW w:w="360" w:type="dxa"/>
            <w:vAlign w:val="bottom"/>
          </w:tcPr>
          <w:p>
            <w:pPr>
              <w:spacing w:after="0"/>
              <w:rPr>
                <w:sz w:val="20"/>
                <w:szCs w:val="20"/>
                <w:color w:val="auto"/>
              </w:rPr>
            </w:pPr>
          </w:p>
        </w:tc>
        <w:tc>
          <w:tcPr>
            <w:tcW w:w="3700" w:type="dxa"/>
            <w:vAlign w:val="bottom"/>
            <w:tcBorders>
              <w:bottom w:val="single" w:sz="8" w:color="0000EE"/>
            </w:tcBorders>
            <w:gridSpan w:val="23"/>
          </w:tcPr>
          <w:p>
            <w:pPr>
              <w:spacing w:after="0"/>
              <w:rPr>
                <w:rFonts w:ascii="Arial" w:cs="Arial" w:eastAsia="Arial" w:hAnsi="Arial"/>
                <w:sz w:val="18"/>
                <w:szCs w:val="18"/>
                <w:color w:val="0000EE"/>
                <w:w w:val="97"/>
              </w:rPr>
            </w:pPr>
            <w:hyperlink w:anchor="page14">
              <w:r>
                <w:rPr>
                  <w:rFonts w:ascii="Arial" w:cs="Arial" w:eastAsia="Arial" w:hAnsi="Arial"/>
                  <w:sz w:val="18"/>
                  <w:szCs w:val="18"/>
                  <w:color w:val="0000EE"/>
                  <w:w w:val="97"/>
                </w:rPr>
                <w:t>What Are the Purposes of the Annual Meeting?</w:t>
              </w:r>
            </w:hyperlink>
          </w:p>
        </w:tc>
        <w:tc>
          <w:tcPr>
            <w:tcW w:w="6760" w:type="dxa"/>
            <w:vAlign w:val="bottom"/>
            <w:gridSpan w:val="15"/>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3"/>
        </w:trPr>
        <w:tc>
          <w:tcPr>
            <w:tcW w:w="360" w:type="dxa"/>
            <w:vAlign w:val="bottom"/>
          </w:tcPr>
          <w:p>
            <w:pPr>
              <w:spacing w:after="0"/>
              <w:rPr>
                <w:sz w:val="20"/>
                <w:szCs w:val="20"/>
                <w:color w:val="auto"/>
              </w:rPr>
            </w:pPr>
          </w:p>
        </w:tc>
        <w:tc>
          <w:tcPr>
            <w:tcW w:w="10460" w:type="dxa"/>
            <w:vAlign w:val="bottom"/>
            <w:gridSpan w:val="38"/>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Are There Any Matters To Be Voted On at the Annual Meeting that Are Not Included in this Proxy Statement?</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3"/>
        </w:trPr>
        <w:tc>
          <w:tcPr>
            <w:tcW w:w="360" w:type="dxa"/>
            <w:vAlign w:val="bottom"/>
          </w:tcPr>
          <w:p>
            <w:pPr>
              <w:spacing w:after="0"/>
              <w:rPr>
                <w:sz w:val="20"/>
                <w:szCs w:val="20"/>
                <w:color w:val="auto"/>
              </w:rPr>
            </w:pPr>
          </w:p>
        </w:tc>
        <w:tc>
          <w:tcPr>
            <w:tcW w:w="7280" w:type="dxa"/>
            <w:vAlign w:val="bottom"/>
            <w:tcBorders>
              <w:top w:val="single" w:sz="8" w:color="0000EE"/>
              <w:bottom w:val="single" w:sz="8" w:color="0000EE"/>
            </w:tcBorders>
            <w:gridSpan w:val="34"/>
          </w:tcPr>
          <w:p>
            <w:pPr>
              <w:spacing w:after="0"/>
              <w:rPr>
                <w:rFonts w:ascii="Arial" w:cs="Arial" w:eastAsia="Arial" w:hAnsi="Arial"/>
                <w:sz w:val="18"/>
                <w:szCs w:val="18"/>
                <w:color w:val="0000EE"/>
                <w:w w:val="98"/>
              </w:rPr>
            </w:pPr>
            <w:hyperlink w:anchor="page15">
              <w:r>
                <w:rPr>
                  <w:rFonts w:ascii="Arial" w:cs="Arial" w:eastAsia="Arial" w:hAnsi="Arial"/>
                  <w:sz w:val="18"/>
                  <w:szCs w:val="18"/>
                  <w:color w:val="0000EE"/>
                  <w:w w:val="98"/>
                </w:rPr>
                <w:t>Who Is Entitled to Vote and How Many Shares Must Be Present to Hold the Annual Meeting?</w:t>
              </w:r>
            </w:hyperlink>
          </w:p>
        </w:tc>
        <w:tc>
          <w:tcPr>
            <w:tcW w:w="1240" w:type="dxa"/>
            <w:vAlign w:val="bottom"/>
            <w:tcBorders>
              <w:top w:val="single" w:sz="8" w:color="0000EE"/>
            </w:tcBorders>
            <w:gridSpan w:val="2"/>
          </w:tcPr>
          <w:p>
            <w:pPr>
              <w:spacing w:after="0"/>
              <w:rPr>
                <w:sz w:val="20"/>
                <w:szCs w:val="20"/>
                <w:color w:val="auto"/>
              </w:rPr>
            </w:pPr>
          </w:p>
        </w:tc>
        <w:tc>
          <w:tcPr>
            <w:tcW w:w="1940" w:type="dxa"/>
            <w:vAlign w:val="bottom"/>
            <w:gridSpan w:val="2"/>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3"/>
        </w:trPr>
        <w:tc>
          <w:tcPr>
            <w:tcW w:w="360" w:type="dxa"/>
            <w:vAlign w:val="bottom"/>
          </w:tcPr>
          <w:p>
            <w:pPr>
              <w:spacing w:after="0"/>
              <w:rPr>
                <w:sz w:val="20"/>
                <w:szCs w:val="20"/>
                <w:color w:val="auto"/>
              </w:rPr>
            </w:pPr>
          </w:p>
        </w:tc>
        <w:tc>
          <w:tcPr>
            <w:tcW w:w="2120" w:type="dxa"/>
            <w:vAlign w:val="bottom"/>
            <w:tcBorders>
              <w:bottom w:val="single" w:sz="8" w:color="0000EE"/>
            </w:tcBorders>
            <w:gridSpan w:val="8"/>
          </w:tcPr>
          <w:p>
            <w:pPr>
              <w:spacing w:after="0"/>
              <w:rPr>
                <w:rFonts w:ascii="Arial" w:cs="Arial" w:eastAsia="Arial" w:hAnsi="Arial"/>
                <w:sz w:val="18"/>
                <w:szCs w:val="18"/>
                <w:color w:val="0000EE"/>
                <w:w w:val="96"/>
              </w:rPr>
            </w:pPr>
            <w:hyperlink w:anchor="page15">
              <w:r>
                <w:rPr>
                  <w:rFonts w:ascii="Arial" w:cs="Arial" w:eastAsia="Arial" w:hAnsi="Arial"/>
                  <w:sz w:val="18"/>
                  <w:szCs w:val="18"/>
                  <w:color w:val="0000EE"/>
                  <w:w w:val="96"/>
                </w:rPr>
                <w:t>How Do I Vote My Shares?</w:t>
              </w:r>
            </w:hyperlink>
          </w:p>
        </w:tc>
        <w:tc>
          <w:tcPr>
            <w:tcW w:w="8340" w:type="dxa"/>
            <w:vAlign w:val="bottom"/>
            <w:gridSpan w:val="30"/>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3"/>
        </w:trPr>
        <w:tc>
          <w:tcPr>
            <w:tcW w:w="360" w:type="dxa"/>
            <w:vAlign w:val="bottom"/>
          </w:tcPr>
          <w:p>
            <w:pPr>
              <w:spacing w:after="0"/>
              <w:rPr>
                <w:sz w:val="20"/>
                <w:szCs w:val="20"/>
                <w:color w:val="auto"/>
              </w:rPr>
            </w:pPr>
          </w:p>
        </w:tc>
        <w:tc>
          <w:tcPr>
            <w:tcW w:w="10460" w:type="dxa"/>
            <w:vAlign w:val="bottom"/>
            <w:gridSpan w:val="38"/>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How Does the Board Recommend that I Vote and What Vote is Required for Each Proposal?</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3"/>
        </w:trPr>
        <w:tc>
          <w:tcPr>
            <w:tcW w:w="360" w:type="dxa"/>
            <w:vAlign w:val="bottom"/>
          </w:tcPr>
          <w:p>
            <w:pPr>
              <w:spacing w:after="0"/>
              <w:rPr>
                <w:sz w:val="20"/>
                <w:szCs w:val="20"/>
                <w:color w:val="auto"/>
              </w:rPr>
            </w:pPr>
          </w:p>
        </w:tc>
        <w:tc>
          <w:tcPr>
            <w:tcW w:w="246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7"/>
              </w:rPr>
            </w:pPr>
            <w:hyperlink w:anchor="page16">
              <w:r>
                <w:rPr>
                  <w:rFonts w:ascii="Arial" w:cs="Arial" w:eastAsia="Arial" w:hAnsi="Arial"/>
                  <w:sz w:val="18"/>
                  <w:szCs w:val="18"/>
                  <w:color w:val="0000EE"/>
                  <w:w w:val="97"/>
                </w:rPr>
                <w:t>How Will My Shares Be Voted?</w:t>
              </w:r>
            </w:hyperlink>
          </w:p>
        </w:tc>
        <w:tc>
          <w:tcPr>
            <w:tcW w:w="4780" w:type="dxa"/>
            <w:vAlign w:val="bottom"/>
            <w:tcBorders>
              <w:top w:val="single" w:sz="8" w:color="0000EE"/>
            </w:tcBorders>
            <w:gridSpan w:val="20"/>
          </w:tcPr>
          <w:p>
            <w:pPr>
              <w:spacing w:after="0"/>
              <w:rPr>
                <w:sz w:val="20"/>
                <w:szCs w:val="20"/>
                <w:color w:val="auto"/>
              </w:rPr>
            </w:pPr>
          </w:p>
        </w:tc>
        <w:tc>
          <w:tcPr>
            <w:tcW w:w="3220" w:type="dxa"/>
            <w:vAlign w:val="bottom"/>
            <w:gridSpan w:val="5"/>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3"/>
        </w:trPr>
        <w:tc>
          <w:tcPr>
            <w:tcW w:w="360" w:type="dxa"/>
            <w:vAlign w:val="bottom"/>
          </w:tcPr>
          <w:p>
            <w:pPr>
              <w:spacing w:after="0"/>
              <w:rPr>
                <w:sz w:val="20"/>
                <w:szCs w:val="20"/>
                <w:color w:val="auto"/>
              </w:rPr>
            </w:pPr>
          </w:p>
        </w:tc>
        <w:tc>
          <w:tcPr>
            <w:tcW w:w="6380" w:type="dxa"/>
            <w:vAlign w:val="bottom"/>
            <w:tcBorders>
              <w:bottom w:val="single" w:sz="8" w:color="0000EE"/>
            </w:tcBorders>
            <w:gridSpan w:val="31"/>
          </w:tcPr>
          <w:p>
            <w:pPr>
              <w:spacing w:after="0"/>
              <w:rPr>
                <w:rFonts w:ascii="Arial" w:cs="Arial" w:eastAsia="Arial" w:hAnsi="Arial"/>
                <w:sz w:val="18"/>
                <w:szCs w:val="18"/>
                <w:color w:val="0000EE"/>
                <w:w w:val="98"/>
              </w:rPr>
            </w:pPr>
            <w:hyperlink w:anchor="page17">
              <w:r>
                <w:rPr>
                  <w:rFonts w:ascii="Arial" w:cs="Arial" w:eastAsia="Arial" w:hAnsi="Arial"/>
                  <w:sz w:val="18"/>
                  <w:szCs w:val="18"/>
                  <w:color w:val="0000EE"/>
                  <w:w w:val="98"/>
                </w:rPr>
                <w:t>What Does It Mean If I Receive More Than One Notice or Set of Proxy Materials?</w:t>
              </w:r>
            </w:hyperlink>
          </w:p>
        </w:tc>
        <w:tc>
          <w:tcPr>
            <w:tcW w:w="4080" w:type="dxa"/>
            <w:vAlign w:val="bottom"/>
            <w:gridSpan w:val="7"/>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3"/>
        </w:trPr>
        <w:tc>
          <w:tcPr>
            <w:tcW w:w="360" w:type="dxa"/>
            <w:vAlign w:val="bottom"/>
          </w:tcPr>
          <w:p>
            <w:pPr>
              <w:spacing w:after="0"/>
              <w:rPr>
                <w:sz w:val="20"/>
                <w:szCs w:val="20"/>
                <w:color w:val="auto"/>
              </w:rPr>
            </w:pPr>
          </w:p>
        </w:tc>
        <w:tc>
          <w:tcPr>
            <w:tcW w:w="3140" w:type="dxa"/>
            <w:vAlign w:val="bottom"/>
            <w:tcBorders>
              <w:bottom w:val="single" w:sz="8" w:color="0000EE"/>
            </w:tcBorders>
            <w:gridSpan w:val="18"/>
          </w:tcPr>
          <w:p>
            <w:pPr>
              <w:spacing w:after="0"/>
              <w:rPr>
                <w:rFonts w:ascii="Arial" w:cs="Arial" w:eastAsia="Arial" w:hAnsi="Arial"/>
                <w:sz w:val="18"/>
                <w:szCs w:val="18"/>
                <w:color w:val="0000EE"/>
                <w:w w:val="97"/>
              </w:rPr>
            </w:pPr>
            <w:hyperlink w:anchor="page17">
              <w:r>
                <w:rPr>
                  <w:rFonts w:ascii="Arial" w:cs="Arial" w:eastAsia="Arial" w:hAnsi="Arial"/>
                  <w:sz w:val="18"/>
                  <w:szCs w:val="18"/>
                  <w:color w:val="0000EE"/>
                  <w:w w:val="97"/>
                </w:rPr>
                <w:t>How Can I Revoke or Change My Vote?</w:t>
              </w:r>
            </w:hyperlink>
          </w:p>
        </w:tc>
        <w:tc>
          <w:tcPr>
            <w:tcW w:w="7320" w:type="dxa"/>
            <w:vAlign w:val="bottom"/>
            <w:gridSpan w:val="20"/>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3"/>
        </w:trPr>
        <w:tc>
          <w:tcPr>
            <w:tcW w:w="360" w:type="dxa"/>
            <w:vAlign w:val="bottom"/>
          </w:tcPr>
          <w:p>
            <w:pPr>
              <w:spacing w:after="0"/>
              <w:rPr>
                <w:sz w:val="20"/>
                <w:szCs w:val="20"/>
                <w:color w:val="auto"/>
              </w:rPr>
            </w:pPr>
          </w:p>
        </w:tc>
        <w:tc>
          <w:tcPr>
            <w:tcW w:w="2100" w:type="dxa"/>
            <w:vAlign w:val="bottom"/>
            <w:tcBorders>
              <w:bottom w:val="single" w:sz="8" w:color="0000EE"/>
            </w:tcBorders>
            <w:gridSpan w:val="7"/>
          </w:tcPr>
          <w:p>
            <w:pPr>
              <w:spacing w:after="0"/>
              <w:rPr>
                <w:rFonts w:ascii="Arial" w:cs="Arial" w:eastAsia="Arial" w:hAnsi="Arial"/>
                <w:sz w:val="18"/>
                <w:szCs w:val="18"/>
                <w:color w:val="0000EE"/>
                <w:w w:val="96"/>
              </w:rPr>
            </w:pPr>
            <w:hyperlink w:anchor="page17">
              <w:r>
                <w:rPr>
                  <w:rFonts w:ascii="Arial" w:cs="Arial" w:eastAsia="Arial" w:hAnsi="Arial"/>
                  <w:sz w:val="18"/>
                  <w:szCs w:val="18"/>
                  <w:color w:val="0000EE"/>
                  <w:w w:val="96"/>
                </w:rPr>
                <w:t>Who Will Count the Votes?</w:t>
              </w:r>
            </w:hyperlink>
          </w:p>
        </w:tc>
        <w:tc>
          <w:tcPr>
            <w:tcW w:w="8360" w:type="dxa"/>
            <w:vAlign w:val="bottom"/>
            <w:gridSpan w:val="31"/>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3"/>
        </w:trPr>
        <w:tc>
          <w:tcPr>
            <w:tcW w:w="360" w:type="dxa"/>
            <w:vAlign w:val="bottom"/>
          </w:tcPr>
          <w:p>
            <w:pPr>
              <w:spacing w:after="0"/>
              <w:rPr>
                <w:sz w:val="20"/>
                <w:szCs w:val="20"/>
                <w:color w:val="auto"/>
              </w:rPr>
            </w:pPr>
          </w:p>
        </w:tc>
        <w:tc>
          <w:tcPr>
            <w:tcW w:w="4500" w:type="dxa"/>
            <w:vAlign w:val="bottom"/>
            <w:tcBorders>
              <w:bottom w:val="single" w:sz="8" w:color="0000EE"/>
            </w:tcBorders>
            <w:gridSpan w:val="28"/>
          </w:tcPr>
          <w:p>
            <w:pPr>
              <w:spacing w:after="0"/>
              <w:rPr>
                <w:rFonts w:ascii="Arial" w:cs="Arial" w:eastAsia="Arial" w:hAnsi="Arial"/>
                <w:sz w:val="18"/>
                <w:szCs w:val="18"/>
                <w:color w:val="0000EE"/>
                <w:w w:val="97"/>
              </w:rPr>
            </w:pPr>
            <w:hyperlink w:anchor="page17">
              <w:r>
                <w:rPr>
                  <w:rFonts w:ascii="Arial" w:cs="Arial" w:eastAsia="Arial" w:hAnsi="Arial"/>
                  <w:sz w:val="18"/>
                  <w:szCs w:val="18"/>
                  <w:color w:val="0000EE"/>
                  <w:w w:val="97"/>
                </w:rPr>
                <w:t>How Will Business Be Conducted at the Annual Meeting?</w:t>
              </w:r>
            </w:hyperlink>
          </w:p>
        </w:tc>
        <w:tc>
          <w:tcPr>
            <w:tcW w:w="5960" w:type="dxa"/>
            <w:vAlign w:val="bottom"/>
            <w:gridSpan w:val="10"/>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3"/>
        </w:trPr>
        <w:tc>
          <w:tcPr>
            <w:tcW w:w="360" w:type="dxa"/>
            <w:vAlign w:val="bottom"/>
          </w:tcPr>
          <w:p>
            <w:pPr>
              <w:spacing w:after="0"/>
              <w:rPr>
                <w:sz w:val="20"/>
                <w:szCs w:val="20"/>
                <w:color w:val="auto"/>
              </w:rPr>
            </w:pPr>
          </w:p>
        </w:tc>
        <w:tc>
          <w:tcPr>
            <w:tcW w:w="4260" w:type="dxa"/>
            <w:vAlign w:val="bottom"/>
            <w:tcBorders>
              <w:bottom w:val="single" w:sz="8" w:color="0000EE"/>
            </w:tcBorders>
            <w:gridSpan w:val="27"/>
          </w:tcPr>
          <w:p>
            <w:pPr>
              <w:spacing w:after="0"/>
              <w:rPr>
                <w:rFonts w:ascii="Arial" w:cs="Arial" w:eastAsia="Arial" w:hAnsi="Arial"/>
                <w:sz w:val="18"/>
                <w:szCs w:val="18"/>
                <w:color w:val="0000EE"/>
                <w:w w:val="97"/>
              </w:rPr>
            </w:pPr>
            <w:hyperlink w:anchor="page17">
              <w:r>
                <w:rPr>
                  <w:rFonts w:ascii="Arial" w:cs="Arial" w:eastAsia="Arial" w:hAnsi="Arial"/>
                  <w:sz w:val="18"/>
                  <w:szCs w:val="18"/>
                  <w:color w:val="0000EE"/>
                  <w:w w:val="97"/>
                </w:rPr>
                <w:t>How Can I Ask Questions During the Annual Meeting?</w:t>
              </w:r>
            </w:hyperlink>
          </w:p>
        </w:tc>
        <w:tc>
          <w:tcPr>
            <w:tcW w:w="6200" w:type="dxa"/>
            <w:vAlign w:val="bottom"/>
            <w:gridSpan w:val="11"/>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46"/>
        </w:trPr>
        <w:tc>
          <w:tcPr>
            <w:tcW w:w="10820" w:type="dxa"/>
            <w:vAlign w:val="bottom"/>
            <w:gridSpan w:val="39"/>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PROPOSAL ONE—ELECTION OF DIRECTORS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3"/>
        </w:trPr>
        <w:tc>
          <w:tcPr>
            <w:tcW w:w="360" w:type="dxa"/>
            <w:vAlign w:val="bottom"/>
            <w:tcBorders>
              <w:top w:val="single" w:sz="8" w:color="0000EE"/>
            </w:tcBorders>
          </w:tcPr>
          <w:p>
            <w:pPr>
              <w:spacing w:after="0"/>
              <w:rPr>
                <w:sz w:val="20"/>
                <w:szCs w:val="20"/>
                <w:color w:val="auto"/>
              </w:rPr>
            </w:pPr>
          </w:p>
        </w:tc>
        <w:tc>
          <w:tcPr>
            <w:tcW w:w="292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7"/>
              </w:rPr>
            </w:pPr>
            <w:hyperlink w:anchor="page18">
              <w:r>
                <w:rPr>
                  <w:rFonts w:ascii="Arial" w:cs="Arial" w:eastAsia="Arial" w:hAnsi="Arial"/>
                  <w:sz w:val="18"/>
                  <w:szCs w:val="18"/>
                  <w:color w:val="0000EE"/>
                  <w:w w:val="97"/>
                </w:rPr>
                <w:t>Number of Directors; Board Structure</w:t>
              </w:r>
            </w:hyperlink>
          </w:p>
        </w:tc>
        <w:tc>
          <w:tcPr>
            <w:tcW w:w="580" w:type="dxa"/>
            <w:vAlign w:val="bottom"/>
            <w:tcBorders>
              <w:top w:val="single" w:sz="8" w:color="0000EE"/>
            </w:tcBorders>
            <w:gridSpan w:val="4"/>
          </w:tcPr>
          <w:p>
            <w:pPr>
              <w:spacing w:after="0"/>
              <w:rPr>
                <w:sz w:val="20"/>
                <w:szCs w:val="20"/>
                <w:color w:val="auto"/>
              </w:rPr>
            </w:pPr>
          </w:p>
        </w:tc>
        <w:tc>
          <w:tcPr>
            <w:tcW w:w="6960" w:type="dxa"/>
            <w:vAlign w:val="bottom"/>
            <w:gridSpan w:val="18"/>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3"/>
        </w:trPr>
        <w:tc>
          <w:tcPr>
            <w:tcW w:w="360" w:type="dxa"/>
            <w:vAlign w:val="bottom"/>
          </w:tcPr>
          <w:p>
            <w:pPr>
              <w:spacing w:after="0"/>
              <w:rPr>
                <w:sz w:val="20"/>
                <w:szCs w:val="20"/>
                <w:color w:val="auto"/>
              </w:rPr>
            </w:pPr>
          </w:p>
        </w:tc>
        <w:tc>
          <w:tcPr>
            <w:tcW w:w="1720" w:type="dxa"/>
            <w:vAlign w:val="bottom"/>
            <w:tcBorders>
              <w:bottom w:val="single" w:sz="8" w:color="0000EE"/>
            </w:tcBorders>
            <w:gridSpan w:val="3"/>
          </w:tcPr>
          <w:p>
            <w:pPr>
              <w:spacing w:after="0"/>
              <w:rPr>
                <w:rFonts w:ascii="Arial" w:cs="Arial" w:eastAsia="Arial" w:hAnsi="Arial"/>
                <w:sz w:val="18"/>
                <w:szCs w:val="18"/>
                <w:color w:val="0000EE"/>
                <w:w w:val="97"/>
              </w:rPr>
            </w:pPr>
            <w:hyperlink w:anchor="page18">
              <w:r>
                <w:rPr>
                  <w:rFonts w:ascii="Arial" w:cs="Arial" w:eastAsia="Arial" w:hAnsi="Arial"/>
                  <w:sz w:val="18"/>
                  <w:szCs w:val="18"/>
                  <w:color w:val="0000EE"/>
                  <w:w w:val="97"/>
                </w:rPr>
                <w:t>Nominees for Director</w:t>
              </w:r>
            </w:hyperlink>
          </w:p>
        </w:tc>
        <w:tc>
          <w:tcPr>
            <w:tcW w:w="8740" w:type="dxa"/>
            <w:vAlign w:val="bottom"/>
            <w:gridSpan w:val="35"/>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3"/>
        </w:trPr>
        <w:tc>
          <w:tcPr>
            <w:tcW w:w="360" w:type="dxa"/>
            <w:vAlign w:val="bottom"/>
          </w:tcPr>
          <w:p>
            <w:pPr>
              <w:spacing w:after="0"/>
              <w:rPr>
                <w:sz w:val="20"/>
                <w:szCs w:val="20"/>
                <w:color w:val="auto"/>
              </w:rPr>
            </w:pPr>
          </w:p>
        </w:tc>
        <w:tc>
          <w:tcPr>
            <w:tcW w:w="10460" w:type="dxa"/>
            <w:vAlign w:val="bottom"/>
            <w:gridSpan w:val="38"/>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Board Recommendation</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36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3"/>
        </w:trPr>
        <w:tc>
          <w:tcPr>
            <w:tcW w:w="360" w:type="dxa"/>
            <w:vAlign w:val="bottom"/>
          </w:tcPr>
          <w:p>
            <w:pPr>
              <w:spacing w:after="0"/>
              <w:rPr>
                <w:sz w:val="20"/>
                <w:szCs w:val="20"/>
                <w:color w:val="auto"/>
              </w:rPr>
            </w:pPr>
          </w:p>
        </w:tc>
        <w:tc>
          <w:tcPr>
            <w:tcW w:w="10460" w:type="dxa"/>
            <w:vAlign w:val="bottom"/>
            <w:gridSpan w:val="38"/>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Information About Director Nominees and Continuing Directors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36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46"/>
        </w:trPr>
        <w:tc>
          <w:tcPr>
            <w:tcW w:w="10820" w:type="dxa"/>
            <w:vAlign w:val="bottom"/>
            <w:gridSpan w:val="39"/>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CORPORATE GOVERNANCE</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36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3"/>
        </w:trPr>
        <w:tc>
          <w:tcPr>
            <w:tcW w:w="360" w:type="dxa"/>
            <w:vAlign w:val="bottom"/>
          </w:tcPr>
          <w:p>
            <w:pPr>
              <w:spacing w:after="0"/>
              <w:rPr>
                <w:sz w:val="20"/>
                <w:szCs w:val="20"/>
                <w:color w:val="auto"/>
              </w:rPr>
            </w:pPr>
          </w:p>
        </w:tc>
        <w:tc>
          <w:tcPr>
            <w:tcW w:w="10460" w:type="dxa"/>
            <w:vAlign w:val="bottom"/>
            <w:gridSpan w:val="38"/>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Corporate Governance Guidelines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3"/>
        </w:trPr>
        <w:tc>
          <w:tcPr>
            <w:tcW w:w="360" w:type="dxa"/>
            <w:vAlign w:val="bottom"/>
          </w:tcPr>
          <w:p>
            <w:pPr>
              <w:spacing w:after="0"/>
              <w:rPr>
                <w:sz w:val="20"/>
                <w:szCs w:val="20"/>
                <w:color w:val="auto"/>
              </w:rPr>
            </w:pPr>
          </w:p>
        </w:tc>
        <w:tc>
          <w:tcPr>
            <w:tcW w:w="21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7"/>
              </w:rPr>
            </w:pPr>
            <w:hyperlink w:anchor="page26">
              <w:r>
                <w:rPr>
                  <w:rFonts w:ascii="Arial" w:cs="Arial" w:eastAsia="Arial" w:hAnsi="Arial"/>
                  <w:sz w:val="18"/>
                  <w:szCs w:val="18"/>
                  <w:color w:val="0000EE"/>
                  <w:w w:val="97"/>
                </w:rPr>
                <w:t>Board Leadership Structure</w:t>
              </w:r>
            </w:hyperlink>
          </w:p>
        </w:tc>
        <w:tc>
          <w:tcPr>
            <w:tcW w:w="520" w:type="dxa"/>
            <w:vAlign w:val="bottom"/>
            <w:tcBorders>
              <w:top w:val="single" w:sz="8" w:color="0000EE"/>
            </w:tcBorders>
            <w:gridSpan w:val="5"/>
          </w:tcPr>
          <w:p>
            <w:pPr>
              <w:spacing w:after="0"/>
              <w:rPr>
                <w:sz w:val="20"/>
                <w:szCs w:val="20"/>
                <w:color w:val="auto"/>
              </w:rPr>
            </w:pPr>
          </w:p>
        </w:tc>
        <w:tc>
          <w:tcPr>
            <w:tcW w:w="7780" w:type="dxa"/>
            <w:vAlign w:val="bottom"/>
            <w:gridSpan w:val="23"/>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3"/>
        </w:trPr>
        <w:tc>
          <w:tcPr>
            <w:tcW w:w="360" w:type="dxa"/>
            <w:vAlign w:val="bottom"/>
          </w:tcPr>
          <w:p>
            <w:pPr>
              <w:spacing w:after="0"/>
              <w:rPr>
                <w:sz w:val="20"/>
                <w:szCs w:val="20"/>
                <w:color w:val="auto"/>
              </w:rPr>
            </w:pPr>
          </w:p>
        </w:tc>
        <w:tc>
          <w:tcPr>
            <w:tcW w:w="10460" w:type="dxa"/>
            <w:vAlign w:val="bottom"/>
            <w:gridSpan w:val="3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Director Independence</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36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3"/>
        </w:trPr>
        <w:tc>
          <w:tcPr>
            <w:tcW w:w="360" w:type="dxa"/>
            <w:vAlign w:val="bottom"/>
          </w:tcPr>
          <w:p>
            <w:pPr>
              <w:spacing w:after="0"/>
              <w:rPr>
                <w:sz w:val="20"/>
                <w:szCs w:val="20"/>
                <w:color w:val="auto"/>
              </w:rPr>
            </w:pPr>
          </w:p>
        </w:tc>
        <w:tc>
          <w:tcPr>
            <w:tcW w:w="3200" w:type="dxa"/>
            <w:vAlign w:val="bottom"/>
            <w:tcBorders>
              <w:bottom w:val="single" w:sz="8" w:color="0000EE"/>
            </w:tcBorders>
            <w:gridSpan w:val="19"/>
          </w:tcPr>
          <w:p>
            <w:pPr>
              <w:spacing w:after="0"/>
              <w:rPr>
                <w:rFonts w:ascii="Arial" w:cs="Arial" w:eastAsia="Arial" w:hAnsi="Arial"/>
                <w:sz w:val="18"/>
                <w:szCs w:val="18"/>
                <w:color w:val="0000EE"/>
                <w:w w:val="97"/>
              </w:rPr>
            </w:pPr>
            <w:hyperlink w:anchor="page27">
              <w:r>
                <w:rPr>
                  <w:rFonts w:ascii="Arial" w:cs="Arial" w:eastAsia="Arial" w:hAnsi="Arial"/>
                  <w:sz w:val="18"/>
                  <w:szCs w:val="18"/>
                  <w:color w:val="0000EE"/>
                  <w:w w:val="97"/>
                </w:rPr>
                <w:t>Director Attendance; Executive Sessions</w:t>
              </w:r>
            </w:hyperlink>
          </w:p>
        </w:tc>
        <w:tc>
          <w:tcPr>
            <w:tcW w:w="7260" w:type="dxa"/>
            <w:vAlign w:val="bottom"/>
            <w:gridSpan w:val="19"/>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3"/>
        </w:trPr>
        <w:tc>
          <w:tcPr>
            <w:tcW w:w="360" w:type="dxa"/>
            <w:vAlign w:val="bottom"/>
          </w:tcPr>
          <w:p>
            <w:pPr>
              <w:spacing w:after="0"/>
              <w:rPr>
                <w:sz w:val="20"/>
                <w:szCs w:val="20"/>
                <w:color w:val="auto"/>
              </w:rPr>
            </w:pPr>
          </w:p>
        </w:tc>
        <w:tc>
          <w:tcPr>
            <w:tcW w:w="1460" w:type="dxa"/>
            <w:vAlign w:val="bottom"/>
            <w:tcBorders>
              <w:bottom w:val="single" w:sz="8" w:color="0000EE"/>
            </w:tcBorders>
            <w:gridSpan w:val="2"/>
          </w:tcPr>
          <w:p>
            <w:pPr>
              <w:spacing w:after="0"/>
              <w:rPr>
                <w:rFonts w:ascii="Arial" w:cs="Arial" w:eastAsia="Arial" w:hAnsi="Arial"/>
                <w:sz w:val="18"/>
                <w:szCs w:val="18"/>
                <w:color w:val="0000EE"/>
                <w:w w:val="96"/>
              </w:rPr>
            </w:pPr>
            <w:hyperlink w:anchor="page27">
              <w:r>
                <w:rPr>
                  <w:rFonts w:ascii="Arial" w:cs="Arial" w:eastAsia="Arial" w:hAnsi="Arial"/>
                  <w:sz w:val="18"/>
                  <w:szCs w:val="18"/>
                  <w:color w:val="0000EE"/>
                  <w:w w:val="96"/>
                </w:rPr>
                <w:t>Board Committees</w:t>
              </w:r>
            </w:hyperlink>
          </w:p>
        </w:tc>
        <w:tc>
          <w:tcPr>
            <w:tcW w:w="9000" w:type="dxa"/>
            <w:vAlign w:val="bottom"/>
            <w:gridSpan w:val="36"/>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3"/>
        </w:trPr>
        <w:tc>
          <w:tcPr>
            <w:tcW w:w="360" w:type="dxa"/>
            <w:vAlign w:val="bottom"/>
          </w:tcPr>
          <w:p>
            <w:pPr>
              <w:spacing w:after="0"/>
              <w:rPr>
                <w:sz w:val="20"/>
                <w:szCs w:val="20"/>
                <w:color w:val="auto"/>
              </w:rPr>
            </w:pPr>
          </w:p>
        </w:tc>
        <w:tc>
          <w:tcPr>
            <w:tcW w:w="2400" w:type="dxa"/>
            <w:vAlign w:val="bottom"/>
            <w:tcBorders>
              <w:bottom w:val="single" w:sz="8" w:color="0000EE"/>
            </w:tcBorders>
            <w:gridSpan w:val="11"/>
          </w:tcPr>
          <w:p>
            <w:pPr>
              <w:spacing w:after="0"/>
              <w:rPr>
                <w:rFonts w:ascii="Arial" w:cs="Arial" w:eastAsia="Arial" w:hAnsi="Arial"/>
                <w:sz w:val="18"/>
                <w:szCs w:val="18"/>
                <w:color w:val="0000EE"/>
                <w:w w:val="97"/>
              </w:rPr>
            </w:pPr>
            <w:hyperlink w:anchor="page29">
              <w:r>
                <w:rPr>
                  <w:rFonts w:ascii="Arial" w:cs="Arial" w:eastAsia="Arial" w:hAnsi="Arial"/>
                  <w:sz w:val="18"/>
                  <w:szCs w:val="18"/>
                  <w:color w:val="0000EE"/>
                  <w:w w:val="97"/>
                </w:rPr>
                <w:t>Board’s Role in Risk Oversight</w:t>
              </w:r>
            </w:hyperlink>
          </w:p>
        </w:tc>
        <w:tc>
          <w:tcPr>
            <w:tcW w:w="8060" w:type="dxa"/>
            <w:vAlign w:val="bottom"/>
            <w:gridSpan w:val="27"/>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3"/>
        </w:trPr>
        <w:tc>
          <w:tcPr>
            <w:tcW w:w="360" w:type="dxa"/>
            <w:vAlign w:val="bottom"/>
          </w:tcPr>
          <w:p>
            <w:pPr>
              <w:spacing w:after="0"/>
              <w:rPr>
                <w:sz w:val="20"/>
                <w:szCs w:val="20"/>
                <w:color w:val="auto"/>
              </w:rPr>
            </w:pPr>
          </w:p>
        </w:tc>
        <w:tc>
          <w:tcPr>
            <w:tcW w:w="10460" w:type="dxa"/>
            <w:vAlign w:val="bottom"/>
            <w:gridSpan w:val="3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Executive Compensation Process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360" w:type="dxa"/>
            <w:vAlign w:val="bottom"/>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6"/>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3"/>
        </w:trPr>
        <w:tc>
          <w:tcPr>
            <w:tcW w:w="360" w:type="dxa"/>
            <w:vAlign w:val="bottom"/>
          </w:tcPr>
          <w:p>
            <w:pPr>
              <w:spacing w:after="0"/>
              <w:rPr>
                <w:sz w:val="20"/>
                <w:szCs w:val="20"/>
                <w:color w:val="auto"/>
              </w:rPr>
            </w:pPr>
          </w:p>
        </w:tc>
        <w:tc>
          <w:tcPr>
            <w:tcW w:w="3660" w:type="dxa"/>
            <w:vAlign w:val="bottom"/>
            <w:tcBorders>
              <w:bottom w:val="single" w:sz="8" w:color="0000EE"/>
            </w:tcBorders>
            <w:gridSpan w:val="22"/>
          </w:tcPr>
          <w:p>
            <w:pPr>
              <w:spacing w:after="0"/>
              <w:rPr>
                <w:rFonts w:ascii="Arial" w:cs="Arial" w:eastAsia="Arial" w:hAnsi="Arial"/>
                <w:sz w:val="18"/>
                <w:szCs w:val="18"/>
                <w:color w:val="0000EE"/>
                <w:w w:val="97"/>
              </w:rPr>
            </w:pPr>
            <w:hyperlink w:anchor="page31">
              <w:r>
                <w:rPr>
                  <w:rFonts w:ascii="Arial" w:cs="Arial" w:eastAsia="Arial" w:hAnsi="Arial"/>
                  <w:sz w:val="18"/>
                  <w:szCs w:val="18"/>
                  <w:color w:val="0000EE"/>
                  <w:w w:val="97"/>
                </w:rPr>
                <w:t>Director Nomination and Refreshment Process</w:t>
              </w:r>
            </w:hyperlink>
          </w:p>
        </w:tc>
        <w:tc>
          <w:tcPr>
            <w:tcW w:w="6800" w:type="dxa"/>
            <w:vAlign w:val="bottom"/>
            <w:gridSpan w:val="16"/>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3"/>
        </w:trPr>
        <w:tc>
          <w:tcPr>
            <w:tcW w:w="360" w:type="dxa"/>
            <w:vAlign w:val="bottom"/>
          </w:tcPr>
          <w:p>
            <w:pPr>
              <w:spacing w:after="0"/>
              <w:rPr>
                <w:sz w:val="20"/>
                <w:szCs w:val="20"/>
                <w:color w:val="auto"/>
              </w:rPr>
            </w:pPr>
          </w:p>
        </w:tc>
        <w:tc>
          <w:tcPr>
            <w:tcW w:w="7780" w:type="dxa"/>
            <w:vAlign w:val="bottom"/>
            <w:tcBorders>
              <w:bottom w:val="single" w:sz="8" w:color="0000EE"/>
            </w:tcBorders>
            <w:gridSpan w:val="35"/>
          </w:tcPr>
          <w:p>
            <w:pPr>
              <w:spacing w:after="0"/>
              <w:rPr>
                <w:rFonts w:ascii="Arial" w:cs="Arial" w:eastAsia="Arial" w:hAnsi="Arial"/>
                <w:sz w:val="18"/>
                <w:szCs w:val="18"/>
                <w:color w:val="0000EE"/>
                <w:w w:val="98"/>
              </w:rPr>
            </w:pPr>
            <w:hyperlink w:anchor="page32">
              <w:r>
                <w:rPr>
                  <w:rFonts w:ascii="Arial" w:cs="Arial" w:eastAsia="Arial" w:hAnsi="Arial"/>
                  <w:sz w:val="18"/>
                  <w:szCs w:val="18"/>
                  <w:color w:val="0000EE"/>
                  <w:w w:val="98"/>
                </w:rPr>
                <w:t>Related Person Transactions and Policies and Procedures Regarding Related Person Transactions</w:t>
              </w:r>
            </w:hyperlink>
          </w:p>
        </w:tc>
        <w:tc>
          <w:tcPr>
            <w:tcW w:w="2680" w:type="dxa"/>
            <w:vAlign w:val="bottom"/>
            <w:gridSpan w:val="3"/>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3"/>
        </w:trPr>
        <w:tc>
          <w:tcPr>
            <w:tcW w:w="360" w:type="dxa"/>
            <w:vAlign w:val="bottom"/>
          </w:tcPr>
          <w:p>
            <w:pPr>
              <w:spacing w:after="0"/>
              <w:rPr>
                <w:sz w:val="20"/>
                <w:szCs w:val="20"/>
                <w:color w:val="auto"/>
              </w:rPr>
            </w:pPr>
          </w:p>
        </w:tc>
        <w:tc>
          <w:tcPr>
            <w:tcW w:w="4100" w:type="dxa"/>
            <w:vAlign w:val="bottom"/>
            <w:tcBorders>
              <w:bottom w:val="single" w:sz="8" w:color="0000EE"/>
            </w:tcBorders>
            <w:gridSpan w:val="26"/>
          </w:tcPr>
          <w:p>
            <w:pPr>
              <w:spacing w:after="0"/>
              <w:rPr>
                <w:rFonts w:ascii="Arial" w:cs="Arial" w:eastAsia="Arial" w:hAnsi="Arial"/>
                <w:sz w:val="18"/>
                <w:szCs w:val="18"/>
                <w:color w:val="0000EE"/>
                <w:w w:val="97"/>
              </w:rPr>
            </w:pPr>
            <w:hyperlink w:anchor="page32">
              <w:r>
                <w:rPr>
                  <w:rFonts w:ascii="Arial" w:cs="Arial" w:eastAsia="Arial" w:hAnsi="Arial"/>
                  <w:sz w:val="18"/>
                  <w:szCs w:val="18"/>
                  <w:color w:val="0000EE"/>
                  <w:w w:val="97"/>
                </w:rPr>
                <w:t>Board of Directors Business Ethics Policy Statement</w:t>
              </w:r>
            </w:hyperlink>
          </w:p>
        </w:tc>
        <w:tc>
          <w:tcPr>
            <w:tcW w:w="6360" w:type="dxa"/>
            <w:vAlign w:val="bottom"/>
            <w:gridSpan w:val="12"/>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3"/>
        </w:trPr>
        <w:tc>
          <w:tcPr>
            <w:tcW w:w="360" w:type="dxa"/>
            <w:vAlign w:val="bottom"/>
          </w:tcPr>
          <w:p>
            <w:pPr>
              <w:spacing w:after="0"/>
              <w:rPr>
                <w:sz w:val="20"/>
                <w:szCs w:val="20"/>
                <w:color w:val="auto"/>
              </w:rPr>
            </w:pPr>
          </w:p>
        </w:tc>
        <w:tc>
          <w:tcPr>
            <w:tcW w:w="6380" w:type="dxa"/>
            <w:vAlign w:val="bottom"/>
            <w:tcBorders>
              <w:bottom w:val="single" w:sz="8" w:color="0000EE"/>
            </w:tcBorders>
            <w:gridSpan w:val="31"/>
          </w:tcPr>
          <w:p>
            <w:pPr>
              <w:spacing w:after="0"/>
              <w:rPr>
                <w:rFonts w:ascii="Arial" w:cs="Arial" w:eastAsia="Arial" w:hAnsi="Arial"/>
                <w:sz w:val="18"/>
                <w:szCs w:val="18"/>
                <w:color w:val="0000EE"/>
                <w:w w:val="98"/>
              </w:rPr>
            </w:pPr>
            <w:hyperlink w:anchor="page33">
              <w:r>
                <w:rPr>
                  <w:rFonts w:ascii="Arial" w:cs="Arial" w:eastAsia="Arial" w:hAnsi="Arial"/>
                  <w:sz w:val="18"/>
                  <w:szCs w:val="18"/>
                  <w:color w:val="0000EE"/>
                  <w:w w:val="98"/>
                </w:rPr>
                <w:t>Code of Conduct and Code of Ethics for our CEO and Senior Financial Personnel</w:t>
              </w:r>
            </w:hyperlink>
          </w:p>
        </w:tc>
        <w:tc>
          <w:tcPr>
            <w:tcW w:w="4080" w:type="dxa"/>
            <w:vAlign w:val="bottom"/>
            <w:gridSpan w:val="7"/>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3"/>
        </w:trPr>
        <w:tc>
          <w:tcPr>
            <w:tcW w:w="360" w:type="dxa"/>
            <w:vAlign w:val="bottom"/>
          </w:tcPr>
          <w:p>
            <w:pPr>
              <w:spacing w:after="0"/>
              <w:rPr>
                <w:sz w:val="20"/>
                <w:szCs w:val="20"/>
                <w:color w:val="auto"/>
              </w:rPr>
            </w:pPr>
          </w:p>
        </w:tc>
        <w:tc>
          <w:tcPr>
            <w:tcW w:w="2440" w:type="dxa"/>
            <w:vAlign w:val="bottom"/>
            <w:tcBorders>
              <w:bottom w:val="single" w:sz="8" w:color="0000EE"/>
            </w:tcBorders>
            <w:gridSpan w:val="12"/>
          </w:tcPr>
          <w:p>
            <w:pPr>
              <w:spacing w:after="0"/>
              <w:rPr>
                <w:rFonts w:ascii="Arial" w:cs="Arial" w:eastAsia="Arial" w:hAnsi="Arial"/>
                <w:sz w:val="18"/>
                <w:szCs w:val="18"/>
                <w:color w:val="0000EE"/>
                <w:w w:val="97"/>
              </w:rPr>
            </w:pPr>
            <w:hyperlink w:anchor="page33">
              <w:r>
                <w:rPr>
                  <w:rFonts w:ascii="Arial" w:cs="Arial" w:eastAsia="Arial" w:hAnsi="Arial"/>
                  <w:sz w:val="18"/>
                  <w:szCs w:val="18"/>
                  <w:color w:val="0000EE"/>
                  <w:w w:val="97"/>
                </w:rPr>
                <w:t>Communications with Directors</w:t>
              </w:r>
            </w:hyperlink>
          </w:p>
        </w:tc>
        <w:tc>
          <w:tcPr>
            <w:tcW w:w="8020" w:type="dxa"/>
            <w:vAlign w:val="bottom"/>
            <w:gridSpan w:val="26"/>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3"/>
        </w:trPr>
        <w:tc>
          <w:tcPr>
            <w:tcW w:w="360" w:type="dxa"/>
            <w:vAlign w:val="bottom"/>
          </w:tcPr>
          <w:p>
            <w:pPr>
              <w:spacing w:after="0"/>
              <w:rPr>
                <w:sz w:val="20"/>
                <w:szCs w:val="20"/>
                <w:color w:val="auto"/>
              </w:rPr>
            </w:pPr>
          </w:p>
        </w:tc>
        <w:tc>
          <w:tcPr>
            <w:tcW w:w="10460" w:type="dxa"/>
            <w:vAlign w:val="bottom"/>
            <w:gridSpan w:val="3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Complaint Procedures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360" w:type="dxa"/>
            <w:vAlign w:val="bottom"/>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80" w:type="dxa"/>
            <w:vAlign w:val="bottom"/>
            <w:gridSpan w:val="11"/>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6720" w:type="dxa"/>
            <w:vAlign w:val="bottom"/>
            <w:gridSpan w:val="1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3"/>
        </w:trPr>
        <w:tc>
          <w:tcPr>
            <w:tcW w:w="10820" w:type="dxa"/>
            <w:vAlign w:val="bottom"/>
            <w:gridSpan w:val="3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DIRECTOR COMPENSATION</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360" w:type="dxa"/>
            <w:vAlign w:val="bottom"/>
            <w:shd w:val="clear" w:color="auto" w:fill="0000EE"/>
          </w:tcPr>
          <w:p>
            <w:pPr>
              <w:spacing w:after="0" w:line="20" w:lineRule="exact"/>
              <w:rPr>
                <w:sz w:val="1"/>
                <w:szCs w:val="1"/>
                <w:color w:val="auto"/>
              </w:rPr>
            </w:pPr>
          </w:p>
        </w:tc>
        <w:tc>
          <w:tcPr>
            <w:tcW w:w="2040" w:type="dxa"/>
            <w:vAlign w:val="bottom"/>
            <w:gridSpan w:val="6"/>
            <w:shd w:val="clear" w:color="auto" w:fill="0000EE"/>
          </w:tcPr>
          <w:p>
            <w:pPr>
              <w:spacing w:after="0" w:line="20" w:lineRule="exact"/>
              <w:rPr>
                <w:sz w:val="1"/>
                <w:szCs w:val="1"/>
                <w:color w:val="auto"/>
              </w:rPr>
            </w:pPr>
          </w:p>
        </w:tc>
        <w:tc>
          <w:tcPr>
            <w:tcW w:w="980" w:type="dxa"/>
            <w:vAlign w:val="bottom"/>
            <w:gridSpan w:val="11"/>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6720" w:type="dxa"/>
            <w:vAlign w:val="bottom"/>
            <w:gridSpan w:val="1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3"/>
        </w:trPr>
        <w:tc>
          <w:tcPr>
            <w:tcW w:w="360" w:type="dxa"/>
            <w:vAlign w:val="bottom"/>
          </w:tcPr>
          <w:p>
            <w:pPr>
              <w:spacing w:after="0"/>
              <w:rPr>
                <w:sz w:val="20"/>
                <w:szCs w:val="20"/>
                <w:color w:val="auto"/>
              </w:rPr>
            </w:pPr>
          </w:p>
        </w:tc>
        <w:tc>
          <w:tcPr>
            <w:tcW w:w="10460" w:type="dxa"/>
            <w:vAlign w:val="bottom"/>
            <w:gridSpan w:val="3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Director Compensation Program for Fiscal 2021</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3"/>
        </w:trPr>
        <w:tc>
          <w:tcPr>
            <w:tcW w:w="360" w:type="dxa"/>
            <w:vAlign w:val="bottom"/>
          </w:tcPr>
          <w:p>
            <w:pPr>
              <w:spacing w:after="0"/>
              <w:rPr>
                <w:sz w:val="20"/>
                <w:szCs w:val="20"/>
                <w:color w:val="auto"/>
              </w:rPr>
            </w:pPr>
          </w:p>
        </w:tc>
        <w:tc>
          <w:tcPr>
            <w:tcW w:w="302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97"/>
              </w:rPr>
            </w:pPr>
            <w:hyperlink w:anchor="page36">
              <w:r>
                <w:rPr>
                  <w:rFonts w:ascii="Arial" w:cs="Arial" w:eastAsia="Arial" w:hAnsi="Arial"/>
                  <w:sz w:val="18"/>
                  <w:szCs w:val="18"/>
                  <w:color w:val="0000EE"/>
                  <w:w w:val="97"/>
                </w:rPr>
                <w:t>Director Compensation for Fiscal 2021</w:t>
              </w:r>
            </w:hyperlink>
          </w:p>
        </w:tc>
        <w:tc>
          <w:tcPr>
            <w:tcW w:w="720" w:type="dxa"/>
            <w:vAlign w:val="bottom"/>
            <w:tcBorders>
              <w:top w:val="single" w:sz="8" w:color="0000EE"/>
            </w:tcBorders>
            <w:gridSpan w:val="7"/>
          </w:tcPr>
          <w:p>
            <w:pPr>
              <w:spacing w:after="0"/>
              <w:rPr>
                <w:sz w:val="20"/>
                <w:szCs w:val="20"/>
                <w:color w:val="auto"/>
              </w:rPr>
            </w:pPr>
          </w:p>
        </w:tc>
        <w:tc>
          <w:tcPr>
            <w:tcW w:w="6720" w:type="dxa"/>
            <w:vAlign w:val="bottom"/>
            <w:gridSpan w:val="14"/>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10220" w:type="dxa"/>
            <w:vAlign w:val="bottom"/>
            <w:gridSpan w:val="4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Table of Contents</w:t>
              </w:r>
            </w:hyperlink>
          </w:p>
        </w:tc>
        <w:tc>
          <w:tcPr>
            <w:tcW w:w="1020" w:type="dxa"/>
            <w:vAlign w:val="bottom"/>
          </w:tcPr>
          <w:p>
            <w:pPr>
              <w:spacing w:after="0"/>
              <w:rPr>
                <w:sz w:val="17"/>
                <w:szCs w:val="17"/>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578"/>
        </w:trPr>
        <w:tc>
          <w:tcPr>
            <w:tcW w:w="10220" w:type="dxa"/>
            <w:vAlign w:val="bottom"/>
            <w:gridSpan w:val="41"/>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PROPOSAL TWO—RATIFICATION OF SELECTION OF INDEPENDENT REGISTERED PUBLIC ACCOUNTING FIRM</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3"/>
        </w:trPr>
        <w:tc>
          <w:tcPr>
            <w:tcW w:w="360" w:type="dxa"/>
            <w:vAlign w:val="bottom"/>
            <w:tcBorders>
              <w:top w:val="single" w:sz="8" w:color="0000EE"/>
            </w:tcBorders>
          </w:tcPr>
          <w:p>
            <w:pPr>
              <w:spacing w:after="0"/>
              <w:rPr>
                <w:sz w:val="20"/>
                <w:szCs w:val="20"/>
                <w:color w:val="auto"/>
              </w:rPr>
            </w:pPr>
          </w:p>
        </w:tc>
        <w:tc>
          <w:tcPr>
            <w:tcW w:w="9040" w:type="dxa"/>
            <w:vAlign w:val="bottom"/>
            <w:tcBorders>
              <w:top w:val="single" w:sz="8" w:color="0000EE"/>
            </w:tcBorders>
            <w:gridSpan w:val="39"/>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Selection of Independent Registered Public Accounting Firm</w:t>
              </w:r>
            </w:hyperlink>
          </w:p>
        </w:tc>
        <w:tc>
          <w:tcPr>
            <w:tcW w:w="8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3"/>
        </w:trPr>
        <w:tc>
          <w:tcPr>
            <w:tcW w:w="360" w:type="dxa"/>
            <w:vAlign w:val="bottom"/>
          </w:tcPr>
          <w:p>
            <w:pPr>
              <w:spacing w:after="0"/>
              <w:rPr>
                <w:sz w:val="20"/>
                <w:szCs w:val="20"/>
                <w:color w:val="auto"/>
              </w:rPr>
            </w:pPr>
          </w:p>
        </w:tc>
        <w:tc>
          <w:tcPr>
            <w:tcW w:w="4720" w:type="dxa"/>
            <w:vAlign w:val="bottom"/>
            <w:tcBorders>
              <w:top w:val="single" w:sz="8" w:color="0000EE"/>
            </w:tcBorders>
            <w:gridSpan w:val="3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Audit, Audit-Related, Tax and Other Fees</w:t>
              </w:r>
            </w:hyperlink>
          </w:p>
        </w:tc>
        <w:tc>
          <w:tcPr>
            <w:tcW w:w="5140" w:type="dxa"/>
            <w:vAlign w:val="bottom"/>
            <w:gridSpan w:val="6"/>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3"/>
        </w:trPr>
        <w:tc>
          <w:tcPr>
            <w:tcW w:w="360" w:type="dxa"/>
            <w:vAlign w:val="bottom"/>
          </w:tcPr>
          <w:p>
            <w:pPr>
              <w:spacing w:after="0"/>
              <w:rPr>
                <w:sz w:val="20"/>
                <w:szCs w:val="20"/>
                <w:color w:val="auto"/>
              </w:rPr>
            </w:pPr>
          </w:p>
        </w:tc>
        <w:tc>
          <w:tcPr>
            <w:tcW w:w="3220" w:type="dxa"/>
            <w:vAlign w:val="bottom"/>
            <w:tcBorders>
              <w:top w:val="single" w:sz="8" w:color="0000EE"/>
            </w:tcBorders>
            <w:gridSpan w:val="22"/>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Pre-Approval Policies and Procedures</w:t>
              </w:r>
            </w:hyperlink>
          </w:p>
        </w:tc>
        <w:tc>
          <w:tcPr>
            <w:tcW w:w="6640" w:type="dxa"/>
            <w:vAlign w:val="bottom"/>
            <w:gridSpan w:val="18"/>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3"/>
        </w:trPr>
        <w:tc>
          <w:tcPr>
            <w:tcW w:w="360" w:type="dxa"/>
            <w:vAlign w:val="bottom"/>
          </w:tcPr>
          <w:p>
            <w:pPr>
              <w:spacing w:after="0"/>
              <w:rPr>
                <w:sz w:val="20"/>
                <w:szCs w:val="20"/>
                <w:color w:val="auto"/>
              </w:rPr>
            </w:pPr>
          </w:p>
        </w:tc>
        <w:tc>
          <w:tcPr>
            <w:tcW w:w="2980" w:type="dxa"/>
            <w:vAlign w:val="bottom"/>
            <w:tcBorders>
              <w:top w:val="single" w:sz="8" w:color="0000EE"/>
            </w:tcBorders>
            <w:gridSpan w:val="18"/>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Board Recommendation</w:t>
              </w:r>
            </w:hyperlink>
          </w:p>
        </w:tc>
        <w:tc>
          <w:tcPr>
            <w:tcW w:w="6880" w:type="dxa"/>
            <w:vAlign w:val="bottom"/>
            <w:gridSpan w:val="22"/>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3"/>
        </w:trPr>
        <w:tc>
          <w:tcPr>
            <w:tcW w:w="360" w:type="dxa"/>
            <w:vAlign w:val="bottom"/>
          </w:tcPr>
          <w:p>
            <w:pPr>
              <w:spacing w:after="0"/>
              <w:rPr>
                <w:sz w:val="20"/>
                <w:szCs w:val="20"/>
                <w:color w:val="auto"/>
              </w:rPr>
            </w:pPr>
          </w:p>
        </w:tc>
        <w:tc>
          <w:tcPr>
            <w:tcW w:w="1900" w:type="dxa"/>
            <w:vAlign w:val="bottom"/>
            <w:tcBorders>
              <w:top w:val="single" w:sz="8" w:color="0000EE"/>
            </w:tcBorders>
            <w:gridSpan w:val="11"/>
          </w:tcPr>
          <w:p>
            <w:pPr>
              <w:spacing w:after="0"/>
              <w:rPr>
                <w:rFonts w:ascii="Arial" w:cs="Arial" w:eastAsia="Arial" w:hAnsi="Arial"/>
                <w:sz w:val="18"/>
                <w:szCs w:val="18"/>
                <w:color w:val="0000EE"/>
                <w:w w:val="97"/>
              </w:rPr>
            </w:pPr>
            <w:hyperlink w:anchor="page39">
              <w:r>
                <w:rPr>
                  <w:rFonts w:ascii="Arial" w:cs="Arial" w:eastAsia="Arial" w:hAnsi="Arial"/>
                  <w:sz w:val="18"/>
                  <w:szCs w:val="18"/>
                  <w:color w:val="0000EE"/>
                  <w:w w:val="97"/>
                </w:rPr>
                <w:t>Audit Committee Report</w:t>
              </w:r>
            </w:hyperlink>
          </w:p>
        </w:tc>
        <w:tc>
          <w:tcPr>
            <w:tcW w:w="7960" w:type="dxa"/>
            <w:vAlign w:val="bottom"/>
            <w:gridSpan w:val="29"/>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3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46"/>
        </w:trPr>
        <w:tc>
          <w:tcPr>
            <w:tcW w:w="6980" w:type="dxa"/>
            <w:vAlign w:val="bottom"/>
            <w:tcBorders>
              <w:bottom w:val="single" w:sz="8" w:color="0000EE"/>
            </w:tcBorders>
            <w:gridSpan w:val="38"/>
          </w:tcPr>
          <w:p>
            <w:pPr>
              <w:spacing w:after="0"/>
              <w:rPr>
                <w:rFonts w:ascii="Arial" w:cs="Arial" w:eastAsia="Arial" w:hAnsi="Arial"/>
                <w:sz w:val="18"/>
                <w:szCs w:val="18"/>
                <w:color w:val="0000EE"/>
                <w:w w:val="97"/>
              </w:rPr>
            </w:pPr>
            <w:hyperlink w:anchor="page40">
              <w:r>
                <w:rPr>
                  <w:rFonts w:ascii="Arial" w:cs="Arial" w:eastAsia="Arial" w:hAnsi="Arial"/>
                  <w:sz w:val="18"/>
                  <w:szCs w:val="18"/>
                  <w:color w:val="0000EE"/>
                  <w:w w:val="97"/>
                </w:rPr>
                <w:t>PROPOSAL THREE—ADVISORY APPROVAL OF OUR EXECUTIVE COMPENSATION</w:t>
              </w:r>
            </w:hyperlink>
          </w:p>
        </w:tc>
        <w:tc>
          <w:tcPr>
            <w:tcW w:w="3240" w:type="dxa"/>
            <w:vAlign w:val="bottom"/>
            <w:gridSpan w:val="3"/>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46"/>
        </w:trPr>
        <w:tc>
          <w:tcPr>
            <w:tcW w:w="360" w:type="dxa"/>
            <w:vAlign w:val="bottom"/>
          </w:tcPr>
          <w:p>
            <w:pPr>
              <w:spacing w:after="0"/>
              <w:rPr>
                <w:sz w:val="21"/>
                <w:szCs w:val="21"/>
                <w:color w:val="auto"/>
              </w:rPr>
            </w:pPr>
          </w:p>
        </w:tc>
        <w:tc>
          <w:tcPr>
            <w:tcW w:w="940" w:type="dxa"/>
            <w:vAlign w:val="bottom"/>
            <w:tcBorders>
              <w:bottom w:val="single" w:sz="8" w:color="0000EE"/>
            </w:tcBorders>
          </w:tcPr>
          <w:p>
            <w:pPr>
              <w:spacing w:after="0"/>
              <w:rPr>
                <w:rFonts w:ascii="Arial" w:cs="Arial" w:eastAsia="Arial" w:hAnsi="Arial"/>
                <w:sz w:val="18"/>
                <w:szCs w:val="18"/>
                <w:color w:val="0000EE"/>
                <w:w w:val="95"/>
              </w:rPr>
            </w:pPr>
            <w:hyperlink w:anchor="page40">
              <w:r>
                <w:rPr>
                  <w:rFonts w:ascii="Arial" w:cs="Arial" w:eastAsia="Arial" w:hAnsi="Arial"/>
                  <w:sz w:val="18"/>
                  <w:szCs w:val="18"/>
                  <w:color w:val="0000EE"/>
                  <w:w w:val="95"/>
                </w:rPr>
                <w:t>Background</w:t>
              </w:r>
            </w:hyperlink>
          </w:p>
        </w:tc>
        <w:tc>
          <w:tcPr>
            <w:tcW w:w="8920" w:type="dxa"/>
            <w:vAlign w:val="bottom"/>
            <w:gridSpan w:val="39"/>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46"/>
        </w:trPr>
        <w:tc>
          <w:tcPr>
            <w:tcW w:w="360" w:type="dxa"/>
            <w:vAlign w:val="bottom"/>
          </w:tcPr>
          <w:p>
            <w:pPr>
              <w:spacing w:after="0"/>
              <w:rPr>
                <w:sz w:val="21"/>
                <w:szCs w:val="21"/>
                <w:color w:val="auto"/>
              </w:rPr>
            </w:pPr>
          </w:p>
        </w:tc>
        <w:tc>
          <w:tcPr>
            <w:tcW w:w="1560" w:type="dxa"/>
            <w:vAlign w:val="bottom"/>
            <w:tcBorders>
              <w:bottom w:val="single" w:sz="8" w:color="0000EE"/>
            </w:tcBorders>
            <w:gridSpan w:val="6"/>
          </w:tcPr>
          <w:p>
            <w:pPr>
              <w:spacing w:after="0"/>
              <w:rPr>
                <w:rFonts w:ascii="Arial" w:cs="Arial" w:eastAsia="Arial" w:hAnsi="Arial"/>
                <w:sz w:val="18"/>
                <w:szCs w:val="18"/>
                <w:color w:val="0000EE"/>
                <w:w w:val="96"/>
              </w:rPr>
            </w:pPr>
            <w:hyperlink w:anchor="page40">
              <w:r>
                <w:rPr>
                  <w:rFonts w:ascii="Arial" w:cs="Arial" w:eastAsia="Arial" w:hAnsi="Arial"/>
                  <w:sz w:val="18"/>
                  <w:szCs w:val="18"/>
                  <w:color w:val="0000EE"/>
                  <w:w w:val="96"/>
                </w:rPr>
                <w:t>Our Pay Philosophy</w:t>
              </w:r>
            </w:hyperlink>
          </w:p>
        </w:tc>
        <w:tc>
          <w:tcPr>
            <w:tcW w:w="8300" w:type="dxa"/>
            <w:vAlign w:val="bottom"/>
            <w:gridSpan w:val="34"/>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46"/>
        </w:trPr>
        <w:tc>
          <w:tcPr>
            <w:tcW w:w="360" w:type="dxa"/>
            <w:vAlign w:val="bottom"/>
          </w:tcPr>
          <w:p>
            <w:pPr>
              <w:spacing w:after="0"/>
              <w:rPr>
                <w:sz w:val="21"/>
                <w:szCs w:val="21"/>
                <w:color w:val="auto"/>
              </w:rPr>
            </w:pPr>
          </w:p>
        </w:tc>
        <w:tc>
          <w:tcPr>
            <w:tcW w:w="9860" w:type="dxa"/>
            <w:vAlign w:val="bottom"/>
            <w:gridSpan w:val="40"/>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Best Practices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360" w:type="dxa"/>
            <w:vAlign w:val="bottom"/>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46"/>
        </w:trPr>
        <w:tc>
          <w:tcPr>
            <w:tcW w:w="360" w:type="dxa"/>
            <w:vAlign w:val="bottom"/>
          </w:tcPr>
          <w:p>
            <w:pPr>
              <w:spacing w:after="0"/>
              <w:rPr>
                <w:sz w:val="21"/>
                <w:szCs w:val="21"/>
                <w:color w:val="auto"/>
              </w:rPr>
            </w:pPr>
          </w:p>
        </w:tc>
        <w:tc>
          <w:tcPr>
            <w:tcW w:w="1660" w:type="dxa"/>
            <w:vAlign w:val="bottom"/>
            <w:tcBorders>
              <w:bottom w:val="single" w:sz="8" w:color="0000EE"/>
            </w:tcBorders>
            <w:gridSpan w:val="8"/>
          </w:tcPr>
          <w:p>
            <w:pPr>
              <w:spacing w:after="0"/>
              <w:rPr>
                <w:rFonts w:ascii="Arial" w:cs="Arial" w:eastAsia="Arial" w:hAnsi="Arial"/>
                <w:sz w:val="18"/>
                <w:szCs w:val="18"/>
                <w:color w:val="0000EE"/>
                <w:w w:val="98"/>
              </w:rPr>
            </w:pPr>
            <w:hyperlink w:anchor="page41">
              <w:r>
                <w:rPr>
                  <w:rFonts w:ascii="Arial" w:cs="Arial" w:eastAsia="Arial" w:hAnsi="Arial"/>
                  <w:sz w:val="18"/>
                  <w:szCs w:val="18"/>
                  <w:color w:val="0000EE"/>
                  <w:w w:val="98"/>
                </w:rPr>
                <w:t>Proposed Resolution</w:t>
              </w:r>
            </w:hyperlink>
          </w:p>
        </w:tc>
        <w:tc>
          <w:tcPr>
            <w:tcW w:w="8200" w:type="dxa"/>
            <w:vAlign w:val="bottom"/>
            <w:gridSpan w:val="32"/>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46"/>
        </w:trPr>
        <w:tc>
          <w:tcPr>
            <w:tcW w:w="360" w:type="dxa"/>
            <w:vAlign w:val="bottom"/>
          </w:tcPr>
          <w:p>
            <w:pPr>
              <w:spacing w:after="0"/>
              <w:rPr>
                <w:sz w:val="21"/>
                <w:szCs w:val="21"/>
                <w:color w:val="auto"/>
              </w:rPr>
            </w:pPr>
          </w:p>
        </w:tc>
        <w:tc>
          <w:tcPr>
            <w:tcW w:w="1740" w:type="dxa"/>
            <w:vAlign w:val="bottom"/>
            <w:tcBorders>
              <w:bottom w:val="single" w:sz="8" w:color="0000EE"/>
            </w:tcBorders>
            <w:gridSpan w:val="9"/>
          </w:tcPr>
          <w:p>
            <w:pPr>
              <w:spacing w:after="0"/>
              <w:rPr>
                <w:rFonts w:ascii="Arial" w:cs="Arial" w:eastAsia="Arial" w:hAnsi="Arial"/>
                <w:sz w:val="18"/>
                <w:szCs w:val="18"/>
                <w:color w:val="0000EE"/>
                <w:w w:val="96"/>
              </w:rPr>
            </w:pPr>
            <w:hyperlink w:anchor="page41">
              <w:r>
                <w:rPr>
                  <w:rFonts w:ascii="Arial" w:cs="Arial" w:eastAsia="Arial" w:hAnsi="Arial"/>
                  <w:sz w:val="18"/>
                  <w:szCs w:val="18"/>
                  <w:color w:val="0000EE"/>
                  <w:w w:val="96"/>
                </w:rPr>
                <w:t>Next Say-on-Pay Vote</w:t>
              </w:r>
            </w:hyperlink>
          </w:p>
        </w:tc>
        <w:tc>
          <w:tcPr>
            <w:tcW w:w="8120" w:type="dxa"/>
            <w:vAlign w:val="bottom"/>
            <w:gridSpan w:val="31"/>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3"/>
        </w:trPr>
        <w:tc>
          <w:tcPr>
            <w:tcW w:w="360" w:type="dxa"/>
            <w:vAlign w:val="bottom"/>
          </w:tcPr>
          <w:p>
            <w:pPr>
              <w:spacing w:after="0"/>
              <w:rPr>
                <w:sz w:val="20"/>
                <w:szCs w:val="20"/>
                <w:color w:val="auto"/>
              </w:rPr>
            </w:pPr>
          </w:p>
        </w:tc>
        <w:tc>
          <w:tcPr>
            <w:tcW w:w="9860" w:type="dxa"/>
            <w:vAlign w:val="bottom"/>
            <w:gridSpan w:val="40"/>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Board Recommendation</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36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46"/>
        </w:trPr>
        <w:tc>
          <w:tcPr>
            <w:tcW w:w="10220" w:type="dxa"/>
            <w:vAlign w:val="bottom"/>
            <w:gridSpan w:val="41"/>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PROPOSAL FOUR—APPROVAL OF THE TORO COMPANY 2022 EQUITY AND INCENTIVE PLAN</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46"/>
        </w:trPr>
        <w:tc>
          <w:tcPr>
            <w:tcW w:w="360" w:type="dxa"/>
            <w:vAlign w:val="bottom"/>
            <w:tcBorders>
              <w:top w:val="single" w:sz="8" w:color="0000EE"/>
            </w:tcBorders>
          </w:tcPr>
          <w:p>
            <w:pPr>
              <w:spacing w:after="0"/>
              <w:rPr>
                <w:sz w:val="21"/>
                <w:szCs w:val="21"/>
                <w:color w:val="auto"/>
              </w:rPr>
            </w:pPr>
          </w:p>
        </w:tc>
        <w:tc>
          <w:tcPr>
            <w:tcW w:w="7560" w:type="dxa"/>
            <w:vAlign w:val="bottom"/>
            <w:tcBorders>
              <w:top w:val="single" w:sz="8" w:color="0000EE"/>
            </w:tcBorders>
            <w:gridSpan w:val="38"/>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Proposed 2022 Equity and Incentive Plan</w:t>
              </w:r>
            </w:hyperlink>
          </w:p>
        </w:tc>
        <w:tc>
          <w:tcPr>
            <w:tcW w:w="2300" w:type="dxa"/>
            <w:vAlign w:val="bottom"/>
            <w:gridSpan w:val="2"/>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36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6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46"/>
        </w:trPr>
        <w:tc>
          <w:tcPr>
            <w:tcW w:w="360" w:type="dxa"/>
            <w:vAlign w:val="bottom"/>
          </w:tcPr>
          <w:p>
            <w:pPr>
              <w:spacing w:after="0"/>
              <w:rPr>
                <w:sz w:val="21"/>
                <w:szCs w:val="21"/>
                <w:color w:val="auto"/>
              </w:rPr>
            </w:pPr>
          </w:p>
        </w:tc>
        <w:tc>
          <w:tcPr>
            <w:tcW w:w="4500" w:type="dxa"/>
            <w:vAlign w:val="bottom"/>
            <w:tcBorders>
              <w:bottom w:val="single" w:sz="8" w:color="0000EE"/>
            </w:tcBorders>
            <w:gridSpan w:val="31"/>
          </w:tcPr>
          <w:p>
            <w:pPr>
              <w:spacing w:after="0"/>
              <w:rPr>
                <w:rFonts w:ascii="Arial" w:cs="Arial" w:eastAsia="Arial" w:hAnsi="Arial"/>
                <w:sz w:val="18"/>
                <w:szCs w:val="18"/>
                <w:color w:val="0000EE"/>
                <w:w w:val="97"/>
              </w:rPr>
            </w:pPr>
            <w:hyperlink w:anchor="page42">
              <w:r>
                <w:rPr>
                  <w:rFonts w:ascii="Arial" w:cs="Arial" w:eastAsia="Arial" w:hAnsi="Arial"/>
                  <w:sz w:val="18"/>
                  <w:szCs w:val="18"/>
                  <w:color w:val="0000EE"/>
                  <w:w w:val="97"/>
                </w:rPr>
                <w:t>Reasons Why You Should Vote to Approve the 2022 Plan</w:t>
              </w:r>
            </w:hyperlink>
          </w:p>
        </w:tc>
        <w:tc>
          <w:tcPr>
            <w:tcW w:w="5360" w:type="dxa"/>
            <w:vAlign w:val="bottom"/>
            <w:gridSpan w:val="9"/>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46"/>
        </w:trPr>
        <w:tc>
          <w:tcPr>
            <w:tcW w:w="360" w:type="dxa"/>
            <w:vAlign w:val="bottom"/>
          </w:tcPr>
          <w:p>
            <w:pPr>
              <w:spacing w:after="0"/>
              <w:rPr>
                <w:sz w:val="21"/>
                <w:szCs w:val="21"/>
                <w:color w:val="auto"/>
              </w:rPr>
            </w:pPr>
          </w:p>
        </w:tc>
        <w:tc>
          <w:tcPr>
            <w:tcW w:w="4620" w:type="dxa"/>
            <w:vAlign w:val="bottom"/>
            <w:tcBorders>
              <w:bottom w:val="single" w:sz="8" w:color="0000EE"/>
            </w:tcBorders>
            <w:gridSpan w:val="32"/>
          </w:tcPr>
          <w:p>
            <w:pPr>
              <w:spacing w:after="0"/>
              <w:rPr>
                <w:rFonts w:ascii="Arial" w:cs="Arial" w:eastAsia="Arial" w:hAnsi="Arial"/>
                <w:sz w:val="18"/>
                <w:szCs w:val="18"/>
                <w:color w:val="0000EE"/>
                <w:w w:val="98"/>
              </w:rPr>
            </w:pPr>
            <w:hyperlink w:anchor="page45">
              <w:r>
                <w:rPr>
                  <w:rFonts w:ascii="Arial" w:cs="Arial" w:eastAsia="Arial" w:hAnsi="Arial"/>
                  <w:sz w:val="18"/>
                  <w:szCs w:val="18"/>
                  <w:color w:val="0000EE"/>
                  <w:w w:val="98"/>
                </w:rPr>
                <w:t>Summary of Sound Governance Features of the 2022 Plan</w:t>
              </w:r>
            </w:hyperlink>
          </w:p>
        </w:tc>
        <w:tc>
          <w:tcPr>
            <w:tcW w:w="5240" w:type="dxa"/>
            <w:vAlign w:val="bottom"/>
            <w:gridSpan w:val="8"/>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46"/>
        </w:trPr>
        <w:tc>
          <w:tcPr>
            <w:tcW w:w="360" w:type="dxa"/>
            <w:vAlign w:val="bottom"/>
          </w:tcPr>
          <w:p>
            <w:pPr>
              <w:spacing w:after="0"/>
              <w:rPr>
                <w:sz w:val="21"/>
                <w:szCs w:val="21"/>
                <w:color w:val="auto"/>
              </w:rPr>
            </w:pPr>
          </w:p>
        </w:tc>
        <w:tc>
          <w:tcPr>
            <w:tcW w:w="5400" w:type="dxa"/>
            <w:vAlign w:val="bottom"/>
            <w:tcBorders>
              <w:bottom w:val="single" w:sz="8" w:color="0000EE"/>
            </w:tcBorders>
            <w:gridSpan w:val="36"/>
          </w:tcPr>
          <w:p>
            <w:pPr>
              <w:spacing w:after="0"/>
              <w:rPr>
                <w:rFonts w:ascii="Arial" w:cs="Arial" w:eastAsia="Arial" w:hAnsi="Arial"/>
                <w:sz w:val="18"/>
                <w:szCs w:val="18"/>
                <w:color w:val="0000EE"/>
                <w:w w:val="98"/>
              </w:rPr>
            </w:pPr>
            <w:hyperlink w:anchor="page43">
              <w:r>
                <w:rPr>
                  <w:rFonts w:ascii="Arial" w:cs="Arial" w:eastAsia="Arial" w:hAnsi="Arial"/>
                  <w:sz w:val="18"/>
                  <w:szCs w:val="18"/>
                  <w:color w:val="0000EE"/>
                  <w:w w:val="98"/>
                </w:rPr>
                <w:t>Background for Shares Authorized for Issuance Under the 2022 Plan</w:t>
              </w:r>
            </w:hyperlink>
          </w:p>
        </w:tc>
        <w:tc>
          <w:tcPr>
            <w:tcW w:w="4460" w:type="dxa"/>
            <w:vAlign w:val="bottom"/>
            <w:gridSpan w:val="4"/>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46"/>
        </w:trPr>
        <w:tc>
          <w:tcPr>
            <w:tcW w:w="360" w:type="dxa"/>
            <w:vAlign w:val="bottom"/>
          </w:tcPr>
          <w:p>
            <w:pPr>
              <w:spacing w:after="0"/>
              <w:rPr>
                <w:sz w:val="21"/>
                <w:szCs w:val="21"/>
                <w:color w:val="auto"/>
              </w:rPr>
            </w:pPr>
          </w:p>
        </w:tc>
        <w:tc>
          <w:tcPr>
            <w:tcW w:w="2840" w:type="dxa"/>
            <w:vAlign w:val="bottom"/>
            <w:tcBorders>
              <w:bottom w:val="single" w:sz="8" w:color="0000EE"/>
            </w:tcBorders>
            <w:gridSpan w:val="16"/>
          </w:tcPr>
          <w:p>
            <w:pPr>
              <w:spacing w:after="0"/>
              <w:rPr>
                <w:rFonts w:ascii="Arial" w:cs="Arial" w:eastAsia="Arial" w:hAnsi="Arial"/>
                <w:sz w:val="18"/>
                <w:szCs w:val="18"/>
                <w:color w:val="0000EE"/>
                <w:w w:val="97"/>
              </w:rPr>
            </w:pPr>
            <w:hyperlink w:anchor="page45">
              <w:r>
                <w:rPr>
                  <w:rFonts w:ascii="Arial" w:cs="Arial" w:eastAsia="Arial" w:hAnsi="Arial"/>
                  <w:sz w:val="18"/>
                  <w:szCs w:val="18"/>
                  <w:color w:val="0000EE"/>
                  <w:w w:val="97"/>
                </w:rPr>
                <w:t>Summary of the 2022 Plan Features</w:t>
              </w:r>
            </w:hyperlink>
          </w:p>
        </w:tc>
        <w:tc>
          <w:tcPr>
            <w:tcW w:w="7020" w:type="dxa"/>
            <w:vAlign w:val="bottom"/>
            <w:gridSpan w:val="24"/>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46"/>
        </w:trPr>
        <w:tc>
          <w:tcPr>
            <w:tcW w:w="360" w:type="dxa"/>
            <w:vAlign w:val="bottom"/>
          </w:tcPr>
          <w:p>
            <w:pPr>
              <w:spacing w:after="0"/>
              <w:rPr>
                <w:sz w:val="21"/>
                <w:szCs w:val="21"/>
                <w:color w:val="auto"/>
              </w:rPr>
            </w:pPr>
          </w:p>
        </w:tc>
        <w:tc>
          <w:tcPr>
            <w:tcW w:w="2880" w:type="dxa"/>
            <w:vAlign w:val="bottom"/>
            <w:tcBorders>
              <w:bottom w:val="single" w:sz="8" w:color="0000EE"/>
            </w:tcBorders>
            <w:gridSpan w:val="17"/>
          </w:tcPr>
          <w:p>
            <w:pPr>
              <w:spacing w:after="0"/>
              <w:rPr>
                <w:rFonts w:ascii="Arial" w:cs="Arial" w:eastAsia="Arial" w:hAnsi="Arial"/>
                <w:sz w:val="18"/>
                <w:szCs w:val="18"/>
                <w:color w:val="0000EE"/>
                <w:w w:val="96"/>
              </w:rPr>
            </w:pPr>
            <w:hyperlink w:anchor="page53">
              <w:r>
                <w:rPr>
                  <w:rFonts w:ascii="Arial" w:cs="Arial" w:eastAsia="Arial" w:hAnsi="Arial"/>
                  <w:sz w:val="18"/>
                  <w:szCs w:val="18"/>
                  <w:color w:val="0000EE"/>
                  <w:w w:val="96"/>
                </w:rPr>
                <w:t>U.S. Federal Income Tax Information</w:t>
              </w:r>
            </w:hyperlink>
          </w:p>
        </w:tc>
        <w:tc>
          <w:tcPr>
            <w:tcW w:w="6980" w:type="dxa"/>
            <w:vAlign w:val="bottom"/>
            <w:gridSpan w:val="23"/>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46"/>
        </w:trPr>
        <w:tc>
          <w:tcPr>
            <w:tcW w:w="360" w:type="dxa"/>
            <w:vAlign w:val="bottom"/>
          </w:tcPr>
          <w:p>
            <w:pPr>
              <w:spacing w:after="0"/>
              <w:rPr>
                <w:sz w:val="21"/>
                <w:szCs w:val="21"/>
                <w:color w:val="auto"/>
              </w:rPr>
            </w:pPr>
          </w:p>
        </w:tc>
        <w:tc>
          <w:tcPr>
            <w:tcW w:w="1440" w:type="dxa"/>
            <w:vAlign w:val="bottom"/>
            <w:tcBorders>
              <w:bottom w:val="single" w:sz="8" w:color="0000EE"/>
            </w:tcBorders>
            <w:gridSpan w:val="5"/>
          </w:tcPr>
          <w:p>
            <w:pPr>
              <w:spacing w:after="0"/>
              <w:rPr>
                <w:rFonts w:ascii="Arial" w:cs="Arial" w:eastAsia="Arial" w:hAnsi="Arial"/>
                <w:sz w:val="18"/>
                <w:szCs w:val="18"/>
                <w:color w:val="0000EE"/>
                <w:w w:val="96"/>
              </w:rPr>
            </w:pPr>
            <w:hyperlink w:anchor="page55">
              <w:r>
                <w:rPr>
                  <w:rFonts w:ascii="Arial" w:cs="Arial" w:eastAsia="Arial" w:hAnsi="Arial"/>
                  <w:sz w:val="18"/>
                  <w:szCs w:val="18"/>
                  <w:color w:val="0000EE"/>
                  <w:w w:val="96"/>
                </w:rPr>
                <w:t>New Plan Benefits</w:t>
              </w:r>
            </w:hyperlink>
          </w:p>
        </w:tc>
        <w:tc>
          <w:tcPr>
            <w:tcW w:w="8420" w:type="dxa"/>
            <w:vAlign w:val="bottom"/>
            <w:gridSpan w:val="35"/>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46"/>
        </w:trPr>
        <w:tc>
          <w:tcPr>
            <w:tcW w:w="360" w:type="dxa"/>
            <w:vAlign w:val="bottom"/>
          </w:tcPr>
          <w:p>
            <w:pPr>
              <w:spacing w:after="0"/>
              <w:rPr>
                <w:sz w:val="21"/>
                <w:szCs w:val="21"/>
                <w:color w:val="auto"/>
              </w:rPr>
            </w:pPr>
          </w:p>
        </w:tc>
        <w:tc>
          <w:tcPr>
            <w:tcW w:w="9860" w:type="dxa"/>
            <w:vAlign w:val="bottom"/>
            <w:gridSpan w:val="40"/>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Board Recommendation</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36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46"/>
        </w:trPr>
        <w:tc>
          <w:tcPr>
            <w:tcW w:w="10220" w:type="dxa"/>
            <w:vAlign w:val="bottom"/>
            <w:gridSpan w:val="41"/>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EXECUTIVE COMPENSATION</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360" w:type="dxa"/>
            <w:vAlign w:val="bottom"/>
            <w:shd w:val="clear" w:color="auto" w:fill="0000EE"/>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3"/>
        </w:trPr>
        <w:tc>
          <w:tcPr>
            <w:tcW w:w="360" w:type="dxa"/>
            <w:vAlign w:val="bottom"/>
          </w:tcPr>
          <w:p>
            <w:pPr>
              <w:spacing w:after="0"/>
              <w:rPr>
                <w:sz w:val="20"/>
                <w:szCs w:val="20"/>
                <w:color w:val="auto"/>
              </w:rPr>
            </w:pPr>
          </w:p>
        </w:tc>
        <w:tc>
          <w:tcPr>
            <w:tcW w:w="9860" w:type="dxa"/>
            <w:vAlign w:val="bottom"/>
            <w:gridSpan w:val="40"/>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Compensation &amp; Human Resources Committee Report</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3"/>
        </w:trPr>
        <w:tc>
          <w:tcPr>
            <w:tcW w:w="360" w:type="dxa"/>
            <w:vAlign w:val="bottom"/>
          </w:tcPr>
          <w:p>
            <w:pPr>
              <w:spacing w:after="0"/>
              <w:rPr>
                <w:sz w:val="20"/>
                <w:szCs w:val="20"/>
                <w:color w:val="auto"/>
              </w:rPr>
            </w:pPr>
          </w:p>
        </w:tc>
        <w:tc>
          <w:tcPr>
            <w:tcW w:w="3100" w:type="dxa"/>
            <w:vAlign w:val="bottom"/>
            <w:tcBorders>
              <w:top w:val="single" w:sz="8" w:color="0000EE"/>
              <w:bottom w:val="single" w:sz="8" w:color="0000EE"/>
            </w:tcBorders>
            <w:gridSpan w:val="20"/>
          </w:tcPr>
          <w:p>
            <w:pPr>
              <w:spacing w:after="0"/>
              <w:rPr>
                <w:rFonts w:ascii="Arial" w:cs="Arial" w:eastAsia="Arial" w:hAnsi="Arial"/>
                <w:sz w:val="18"/>
                <w:szCs w:val="18"/>
                <w:color w:val="0000EE"/>
                <w:w w:val="97"/>
              </w:rPr>
            </w:pPr>
            <w:hyperlink w:anchor="page56">
              <w:r>
                <w:rPr>
                  <w:rFonts w:ascii="Arial" w:cs="Arial" w:eastAsia="Arial" w:hAnsi="Arial"/>
                  <w:sz w:val="18"/>
                  <w:szCs w:val="18"/>
                  <w:color w:val="0000EE"/>
                  <w:w w:val="97"/>
                </w:rPr>
                <w:t>Compensation Discussion and Analysis</w:t>
              </w:r>
            </w:hyperlink>
          </w:p>
        </w:tc>
        <w:tc>
          <w:tcPr>
            <w:tcW w:w="1200" w:type="dxa"/>
            <w:vAlign w:val="bottom"/>
            <w:tcBorders>
              <w:top w:val="single" w:sz="8" w:color="0000EE"/>
            </w:tcBorders>
            <w:gridSpan w:val="8"/>
          </w:tcPr>
          <w:p>
            <w:pPr>
              <w:spacing w:after="0"/>
              <w:rPr>
                <w:sz w:val="20"/>
                <w:szCs w:val="20"/>
                <w:color w:val="auto"/>
              </w:rPr>
            </w:pPr>
          </w:p>
        </w:tc>
        <w:tc>
          <w:tcPr>
            <w:tcW w:w="5560" w:type="dxa"/>
            <w:vAlign w:val="bottom"/>
            <w:gridSpan w:val="12"/>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3"/>
        </w:trPr>
        <w:tc>
          <w:tcPr>
            <w:tcW w:w="360" w:type="dxa"/>
            <w:vAlign w:val="bottom"/>
          </w:tcPr>
          <w:p>
            <w:pPr>
              <w:spacing w:after="0"/>
              <w:rPr>
                <w:sz w:val="20"/>
                <w:szCs w:val="20"/>
                <w:color w:val="auto"/>
              </w:rPr>
            </w:pPr>
          </w:p>
        </w:tc>
        <w:tc>
          <w:tcPr>
            <w:tcW w:w="4420" w:type="dxa"/>
            <w:vAlign w:val="bottom"/>
            <w:tcBorders>
              <w:bottom w:val="single" w:sz="8" w:color="0000EE"/>
            </w:tcBorders>
            <w:gridSpan w:val="30"/>
          </w:tcPr>
          <w:p>
            <w:pPr>
              <w:spacing w:after="0"/>
              <w:rPr>
                <w:rFonts w:ascii="Arial" w:cs="Arial" w:eastAsia="Arial" w:hAnsi="Arial"/>
                <w:sz w:val="18"/>
                <w:szCs w:val="18"/>
                <w:color w:val="0000EE"/>
                <w:w w:val="97"/>
              </w:rPr>
            </w:pPr>
            <w:hyperlink w:anchor="page68">
              <w:r>
                <w:rPr>
                  <w:rFonts w:ascii="Arial" w:cs="Arial" w:eastAsia="Arial" w:hAnsi="Arial"/>
                  <w:sz w:val="18"/>
                  <w:szCs w:val="18"/>
                  <w:color w:val="0000EE"/>
                  <w:w w:val="97"/>
                </w:rPr>
                <w:t>Assessment of Risk Related to Compensation Programs</w:t>
              </w:r>
            </w:hyperlink>
          </w:p>
        </w:tc>
        <w:tc>
          <w:tcPr>
            <w:tcW w:w="5440" w:type="dxa"/>
            <w:vAlign w:val="bottom"/>
            <w:gridSpan w:val="10"/>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3"/>
        </w:trPr>
        <w:tc>
          <w:tcPr>
            <w:tcW w:w="360" w:type="dxa"/>
            <w:vAlign w:val="bottom"/>
          </w:tcPr>
          <w:p>
            <w:pPr>
              <w:spacing w:after="0"/>
              <w:rPr>
                <w:sz w:val="20"/>
                <w:szCs w:val="20"/>
                <w:color w:val="auto"/>
              </w:rPr>
            </w:pPr>
          </w:p>
        </w:tc>
        <w:tc>
          <w:tcPr>
            <w:tcW w:w="2500" w:type="dxa"/>
            <w:vAlign w:val="bottom"/>
            <w:tcBorders>
              <w:bottom w:val="single" w:sz="8" w:color="0000EE"/>
            </w:tcBorders>
            <w:gridSpan w:val="15"/>
          </w:tcPr>
          <w:p>
            <w:pPr>
              <w:spacing w:after="0"/>
              <w:rPr>
                <w:rFonts w:ascii="Arial" w:cs="Arial" w:eastAsia="Arial" w:hAnsi="Arial"/>
                <w:sz w:val="18"/>
                <w:szCs w:val="18"/>
                <w:color w:val="0000EE"/>
                <w:w w:val="97"/>
              </w:rPr>
            </w:pPr>
            <w:hyperlink w:anchor="page68">
              <w:r>
                <w:rPr>
                  <w:rFonts w:ascii="Arial" w:cs="Arial" w:eastAsia="Arial" w:hAnsi="Arial"/>
                  <w:sz w:val="18"/>
                  <w:szCs w:val="18"/>
                  <w:color w:val="0000EE"/>
                  <w:w w:val="97"/>
                </w:rPr>
                <w:t>Clawback Policy and Provisions</w:t>
              </w:r>
            </w:hyperlink>
          </w:p>
        </w:tc>
        <w:tc>
          <w:tcPr>
            <w:tcW w:w="7360" w:type="dxa"/>
            <w:vAlign w:val="bottom"/>
            <w:gridSpan w:val="25"/>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3"/>
        </w:trPr>
        <w:tc>
          <w:tcPr>
            <w:tcW w:w="360" w:type="dxa"/>
            <w:vAlign w:val="bottom"/>
          </w:tcPr>
          <w:p>
            <w:pPr>
              <w:spacing w:after="0"/>
              <w:rPr>
                <w:sz w:val="20"/>
                <w:szCs w:val="20"/>
                <w:color w:val="auto"/>
              </w:rPr>
            </w:pPr>
          </w:p>
        </w:tc>
        <w:tc>
          <w:tcPr>
            <w:tcW w:w="2420" w:type="dxa"/>
            <w:vAlign w:val="bottom"/>
            <w:tcBorders>
              <w:bottom w:val="single" w:sz="8" w:color="0000EE"/>
            </w:tcBorders>
            <w:gridSpan w:val="14"/>
          </w:tcPr>
          <w:p>
            <w:pPr>
              <w:spacing w:after="0"/>
              <w:rPr>
                <w:rFonts w:ascii="Arial" w:cs="Arial" w:eastAsia="Arial" w:hAnsi="Arial"/>
                <w:sz w:val="18"/>
                <w:szCs w:val="18"/>
                <w:color w:val="0000EE"/>
                <w:w w:val="96"/>
              </w:rPr>
            </w:pPr>
            <w:hyperlink w:anchor="page69">
              <w:r>
                <w:rPr>
                  <w:rFonts w:ascii="Arial" w:cs="Arial" w:eastAsia="Arial" w:hAnsi="Arial"/>
                  <w:sz w:val="18"/>
                  <w:szCs w:val="18"/>
                  <w:color w:val="0000EE"/>
                  <w:w w:val="96"/>
                </w:rPr>
                <w:t>Summary Compensation Table</w:t>
              </w:r>
            </w:hyperlink>
          </w:p>
        </w:tc>
        <w:tc>
          <w:tcPr>
            <w:tcW w:w="7440" w:type="dxa"/>
            <w:vAlign w:val="bottom"/>
            <w:gridSpan w:val="26"/>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3"/>
        </w:trPr>
        <w:tc>
          <w:tcPr>
            <w:tcW w:w="360" w:type="dxa"/>
            <w:vAlign w:val="bottom"/>
          </w:tcPr>
          <w:p>
            <w:pPr>
              <w:spacing w:after="0"/>
              <w:rPr>
                <w:sz w:val="20"/>
                <w:szCs w:val="20"/>
                <w:color w:val="auto"/>
              </w:rPr>
            </w:pPr>
          </w:p>
        </w:tc>
        <w:tc>
          <w:tcPr>
            <w:tcW w:w="9860" w:type="dxa"/>
            <w:vAlign w:val="bottom"/>
            <w:gridSpan w:val="40"/>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All Other Compensation for Fiscal 2021</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36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40" w:type="dxa"/>
            <w:vAlign w:val="bottom"/>
            <w:tcBorders>
              <w:right w:val="single" w:sz="8" w:color="0000EE"/>
            </w:tcBorders>
            <w:gridSpan w:val="6"/>
            <w:shd w:val="clear" w:color="auto" w:fill="0000EE"/>
          </w:tcPr>
          <w:p>
            <w:pPr>
              <w:spacing w:after="0" w:line="20" w:lineRule="exact"/>
              <w:rPr>
                <w:sz w:val="1"/>
                <w:szCs w:val="1"/>
                <w:color w:val="auto"/>
              </w:rPr>
            </w:pPr>
          </w:p>
        </w:tc>
        <w:tc>
          <w:tcPr>
            <w:tcW w:w="800" w:type="dxa"/>
            <w:vAlign w:val="bottom"/>
            <w:gridSpan w:val="6"/>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3"/>
        </w:trPr>
        <w:tc>
          <w:tcPr>
            <w:tcW w:w="360" w:type="dxa"/>
            <w:vAlign w:val="bottom"/>
          </w:tcPr>
          <w:p>
            <w:pPr>
              <w:spacing w:after="0"/>
              <w:rPr>
                <w:sz w:val="20"/>
                <w:szCs w:val="20"/>
                <w:color w:val="auto"/>
              </w:rPr>
            </w:pPr>
          </w:p>
        </w:tc>
        <w:tc>
          <w:tcPr>
            <w:tcW w:w="3560" w:type="dxa"/>
            <w:vAlign w:val="bottom"/>
            <w:tcBorders>
              <w:bottom w:val="single" w:sz="8" w:color="0000EE"/>
            </w:tcBorders>
            <w:gridSpan w:val="24"/>
          </w:tcPr>
          <w:p>
            <w:pPr>
              <w:spacing w:after="0"/>
              <w:rPr>
                <w:rFonts w:ascii="Arial" w:cs="Arial" w:eastAsia="Arial" w:hAnsi="Arial"/>
                <w:sz w:val="18"/>
                <w:szCs w:val="18"/>
                <w:color w:val="0000EE"/>
                <w:w w:val="97"/>
              </w:rPr>
            </w:pPr>
            <w:hyperlink w:anchor="page71">
              <w:r>
                <w:rPr>
                  <w:rFonts w:ascii="Arial" w:cs="Arial" w:eastAsia="Arial" w:hAnsi="Arial"/>
                  <w:sz w:val="18"/>
                  <w:szCs w:val="18"/>
                  <w:color w:val="0000EE"/>
                  <w:w w:val="97"/>
                </w:rPr>
                <w:t>Grants of Plan-Based Awards for Fiscal 2021</w:t>
              </w:r>
            </w:hyperlink>
          </w:p>
        </w:tc>
        <w:tc>
          <w:tcPr>
            <w:tcW w:w="6300" w:type="dxa"/>
            <w:vAlign w:val="bottom"/>
            <w:gridSpan w:val="16"/>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3"/>
        </w:trPr>
        <w:tc>
          <w:tcPr>
            <w:tcW w:w="360" w:type="dxa"/>
            <w:vAlign w:val="bottom"/>
          </w:tcPr>
          <w:p>
            <w:pPr>
              <w:spacing w:after="0"/>
              <w:rPr>
                <w:sz w:val="20"/>
                <w:szCs w:val="20"/>
                <w:color w:val="auto"/>
              </w:rPr>
            </w:pPr>
          </w:p>
        </w:tc>
        <w:tc>
          <w:tcPr>
            <w:tcW w:w="4320" w:type="dxa"/>
            <w:vAlign w:val="bottom"/>
            <w:tcBorders>
              <w:bottom w:val="single" w:sz="8" w:color="0000EE"/>
            </w:tcBorders>
            <w:gridSpan w:val="29"/>
          </w:tcPr>
          <w:p>
            <w:pPr>
              <w:spacing w:after="0"/>
              <w:rPr>
                <w:rFonts w:ascii="Arial" w:cs="Arial" w:eastAsia="Arial" w:hAnsi="Arial"/>
                <w:sz w:val="18"/>
                <w:szCs w:val="18"/>
                <w:color w:val="0000EE"/>
                <w:w w:val="97"/>
              </w:rPr>
            </w:pPr>
            <w:hyperlink w:anchor="page73">
              <w:r>
                <w:rPr>
                  <w:rFonts w:ascii="Arial" w:cs="Arial" w:eastAsia="Arial" w:hAnsi="Arial"/>
                  <w:sz w:val="18"/>
                  <w:szCs w:val="18"/>
                  <w:color w:val="0000EE"/>
                  <w:w w:val="97"/>
                </w:rPr>
                <w:t>Outstanding Equity Awards at Fiscal Year-End for 2021</w:t>
              </w:r>
            </w:hyperlink>
          </w:p>
        </w:tc>
        <w:tc>
          <w:tcPr>
            <w:tcW w:w="5540" w:type="dxa"/>
            <w:vAlign w:val="bottom"/>
            <w:gridSpan w:val="11"/>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3"/>
        </w:trPr>
        <w:tc>
          <w:tcPr>
            <w:tcW w:w="360" w:type="dxa"/>
            <w:vAlign w:val="bottom"/>
          </w:tcPr>
          <w:p>
            <w:pPr>
              <w:spacing w:after="0"/>
              <w:rPr>
                <w:sz w:val="20"/>
                <w:szCs w:val="20"/>
                <w:color w:val="auto"/>
              </w:rPr>
            </w:pPr>
          </w:p>
        </w:tc>
        <w:tc>
          <w:tcPr>
            <w:tcW w:w="3980" w:type="dxa"/>
            <w:vAlign w:val="bottom"/>
            <w:tcBorders>
              <w:bottom w:val="single" w:sz="8" w:color="0000EE"/>
            </w:tcBorders>
            <w:gridSpan w:val="25"/>
          </w:tcPr>
          <w:p>
            <w:pPr>
              <w:spacing w:after="0"/>
              <w:rPr>
                <w:rFonts w:ascii="Arial" w:cs="Arial" w:eastAsia="Arial" w:hAnsi="Arial"/>
                <w:sz w:val="18"/>
                <w:szCs w:val="18"/>
                <w:color w:val="0000EE"/>
                <w:w w:val="97"/>
              </w:rPr>
            </w:pPr>
            <w:hyperlink w:anchor="page75">
              <w:r>
                <w:rPr>
                  <w:rFonts w:ascii="Arial" w:cs="Arial" w:eastAsia="Arial" w:hAnsi="Arial"/>
                  <w:sz w:val="18"/>
                  <w:szCs w:val="18"/>
                  <w:color w:val="0000EE"/>
                  <w:w w:val="97"/>
                </w:rPr>
                <w:t>Option Exercises and Stock Vested for Fiscal 2021</w:t>
              </w:r>
            </w:hyperlink>
          </w:p>
        </w:tc>
        <w:tc>
          <w:tcPr>
            <w:tcW w:w="5880" w:type="dxa"/>
            <w:vAlign w:val="bottom"/>
            <w:gridSpan w:val="15"/>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3"/>
        </w:trPr>
        <w:tc>
          <w:tcPr>
            <w:tcW w:w="360" w:type="dxa"/>
            <w:vAlign w:val="bottom"/>
          </w:tcPr>
          <w:p>
            <w:pPr>
              <w:spacing w:after="0"/>
              <w:rPr>
                <w:sz w:val="20"/>
                <w:szCs w:val="20"/>
                <w:color w:val="auto"/>
              </w:rPr>
            </w:pPr>
          </w:p>
        </w:tc>
        <w:tc>
          <w:tcPr>
            <w:tcW w:w="4120" w:type="dxa"/>
            <w:vAlign w:val="bottom"/>
            <w:tcBorders>
              <w:bottom w:val="single" w:sz="8" w:color="0000EE"/>
            </w:tcBorders>
            <w:gridSpan w:val="27"/>
          </w:tcPr>
          <w:p>
            <w:pPr>
              <w:spacing w:after="0"/>
              <w:rPr>
                <w:rFonts w:ascii="Arial" w:cs="Arial" w:eastAsia="Arial" w:hAnsi="Arial"/>
                <w:sz w:val="18"/>
                <w:szCs w:val="18"/>
                <w:color w:val="0000EE"/>
                <w:w w:val="97"/>
              </w:rPr>
            </w:pPr>
            <w:hyperlink w:anchor="page76">
              <w:r>
                <w:rPr>
                  <w:rFonts w:ascii="Arial" w:cs="Arial" w:eastAsia="Arial" w:hAnsi="Arial"/>
                  <w:sz w:val="18"/>
                  <w:szCs w:val="18"/>
                  <w:color w:val="0000EE"/>
                  <w:w w:val="97"/>
                </w:rPr>
                <w:t>Nonqualified Deferred Compensation for Fiscal 2021</w:t>
              </w:r>
            </w:hyperlink>
          </w:p>
        </w:tc>
        <w:tc>
          <w:tcPr>
            <w:tcW w:w="5740" w:type="dxa"/>
            <w:vAlign w:val="bottom"/>
            <w:gridSpan w:val="13"/>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3"/>
        </w:trPr>
        <w:tc>
          <w:tcPr>
            <w:tcW w:w="360" w:type="dxa"/>
            <w:vAlign w:val="bottom"/>
          </w:tcPr>
          <w:p>
            <w:pPr>
              <w:spacing w:after="0"/>
              <w:rPr>
                <w:sz w:val="20"/>
                <w:szCs w:val="20"/>
                <w:color w:val="auto"/>
              </w:rPr>
            </w:pPr>
          </w:p>
        </w:tc>
        <w:tc>
          <w:tcPr>
            <w:tcW w:w="4660" w:type="dxa"/>
            <w:vAlign w:val="bottom"/>
            <w:tcBorders>
              <w:bottom w:val="single" w:sz="8" w:color="0000EE"/>
            </w:tcBorders>
            <w:gridSpan w:val="33"/>
          </w:tcPr>
          <w:p>
            <w:pPr>
              <w:spacing w:after="0"/>
              <w:rPr>
                <w:rFonts w:ascii="Arial" w:cs="Arial" w:eastAsia="Arial" w:hAnsi="Arial"/>
                <w:sz w:val="18"/>
                <w:szCs w:val="18"/>
                <w:color w:val="0000EE"/>
                <w:w w:val="97"/>
              </w:rPr>
            </w:pPr>
            <w:hyperlink w:anchor="page79">
              <w:r>
                <w:rPr>
                  <w:rFonts w:ascii="Arial" w:cs="Arial" w:eastAsia="Arial" w:hAnsi="Arial"/>
                  <w:sz w:val="18"/>
                  <w:szCs w:val="18"/>
                  <w:color w:val="0000EE"/>
                  <w:w w:val="97"/>
                </w:rPr>
                <w:t>Potential Payments Upon Termination or Change In Control</w:t>
              </w:r>
            </w:hyperlink>
          </w:p>
        </w:tc>
        <w:tc>
          <w:tcPr>
            <w:tcW w:w="5200" w:type="dxa"/>
            <w:vAlign w:val="bottom"/>
            <w:gridSpan w:val="7"/>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3"/>
        </w:trPr>
        <w:tc>
          <w:tcPr>
            <w:tcW w:w="360" w:type="dxa"/>
            <w:vAlign w:val="bottom"/>
          </w:tcPr>
          <w:p>
            <w:pPr>
              <w:spacing w:after="0"/>
              <w:rPr>
                <w:sz w:val="20"/>
                <w:szCs w:val="20"/>
                <w:color w:val="auto"/>
              </w:rPr>
            </w:pPr>
          </w:p>
        </w:tc>
        <w:tc>
          <w:tcPr>
            <w:tcW w:w="1640" w:type="dxa"/>
            <w:vAlign w:val="bottom"/>
            <w:tcBorders>
              <w:bottom w:val="single" w:sz="8" w:color="0000EE"/>
            </w:tcBorders>
            <w:gridSpan w:val="7"/>
          </w:tcPr>
          <w:p>
            <w:pPr>
              <w:spacing w:after="0"/>
              <w:rPr>
                <w:rFonts w:ascii="Arial" w:cs="Arial" w:eastAsia="Arial" w:hAnsi="Arial"/>
                <w:sz w:val="18"/>
                <w:szCs w:val="18"/>
                <w:color w:val="0000EE"/>
                <w:w w:val="96"/>
              </w:rPr>
            </w:pPr>
            <w:hyperlink w:anchor="page83">
              <w:r>
                <w:rPr>
                  <w:rFonts w:ascii="Arial" w:cs="Arial" w:eastAsia="Arial" w:hAnsi="Arial"/>
                  <w:sz w:val="18"/>
                  <w:szCs w:val="18"/>
                  <w:color w:val="0000EE"/>
                  <w:w w:val="96"/>
                </w:rPr>
                <w:t>Pay Ratio Disclosure</w:t>
              </w:r>
            </w:hyperlink>
          </w:p>
        </w:tc>
        <w:tc>
          <w:tcPr>
            <w:tcW w:w="8220" w:type="dxa"/>
            <w:vAlign w:val="bottom"/>
            <w:gridSpan w:val="33"/>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3"/>
        </w:trPr>
        <w:tc>
          <w:tcPr>
            <w:tcW w:w="360" w:type="dxa"/>
            <w:vAlign w:val="bottom"/>
          </w:tcPr>
          <w:p>
            <w:pPr>
              <w:spacing w:after="0"/>
              <w:rPr>
                <w:sz w:val="20"/>
                <w:szCs w:val="20"/>
                <w:color w:val="auto"/>
              </w:rPr>
            </w:pPr>
          </w:p>
        </w:tc>
        <w:tc>
          <w:tcPr>
            <w:tcW w:w="4800" w:type="dxa"/>
            <w:vAlign w:val="bottom"/>
            <w:tcBorders>
              <w:bottom w:val="single" w:sz="8" w:color="0000EE"/>
            </w:tcBorders>
            <w:gridSpan w:val="35"/>
          </w:tcPr>
          <w:p>
            <w:pPr>
              <w:spacing w:after="0"/>
              <w:rPr>
                <w:rFonts w:ascii="Arial" w:cs="Arial" w:eastAsia="Arial" w:hAnsi="Arial"/>
                <w:sz w:val="18"/>
                <w:szCs w:val="18"/>
                <w:color w:val="0000EE"/>
                <w:w w:val="97"/>
              </w:rPr>
            </w:pPr>
            <w:hyperlink w:anchor="page84">
              <w:r>
                <w:rPr>
                  <w:rFonts w:ascii="Arial" w:cs="Arial" w:eastAsia="Arial" w:hAnsi="Arial"/>
                  <w:sz w:val="18"/>
                  <w:szCs w:val="18"/>
                  <w:color w:val="0000EE"/>
                  <w:w w:val="97"/>
                </w:rPr>
                <w:t>Compensation Committee Interlocks and Insider Participation</w:t>
              </w:r>
            </w:hyperlink>
          </w:p>
        </w:tc>
        <w:tc>
          <w:tcPr>
            <w:tcW w:w="5060" w:type="dxa"/>
            <w:vAlign w:val="bottom"/>
            <w:gridSpan w:val="5"/>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46"/>
        </w:trPr>
        <w:tc>
          <w:tcPr>
            <w:tcW w:w="1760" w:type="dxa"/>
            <w:vAlign w:val="bottom"/>
            <w:tcBorders>
              <w:bottom w:val="single" w:sz="8" w:color="0000EE"/>
            </w:tcBorders>
            <w:gridSpan w:val="5"/>
          </w:tcPr>
          <w:p>
            <w:pPr>
              <w:spacing w:after="0"/>
              <w:rPr>
                <w:rFonts w:ascii="Arial" w:cs="Arial" w:eastAsia="Arial" w:hAnsi="Arial"/>
                <w:sz w:val="18"/>
                <w:szCs w:val="18"/>
                <w:color w:val="0000EE"/>
                <w:w w:val="97"/>
              </w:rPr>
            </w:pPr>
            <w:hyperlink w:anchor="page85">
              <w:r>
                <w:rPr>
                  <w:rFonts w:ascii="Arial" w:cs="Arial" w:eastAsia="Arial" w:hAnsi="Arial"/>
                  <w:sz w:val="18"/>
                  <w:szCs w:val="18"/>
                  <w:color w:val="0000EE"/>
                  <w:w w:val="97"/>
                </w:rPr>
                <w:t>STOCK OWNERSHIP</w:t>
              </w:r>
            </w:hyperlink>
          </w:p>
        </w:tc>
        <w:tc>
          <w:tcPr>
            <w:tcW w:w="8460" w:type="dxa"/>
            <w:vAlign w:val="bottom"/>
            <w:gridSpan w:val="36"/>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3"/>
        </w:trPr>
        <w:tc>
          <w:tcPr>
            <w:tcW w:w="360" w:type="dxa"/>
            <w:vAlign w:val="bottom"/>
          </w:tcPr>
          <w:p>
            <w:pPr>
              <w:spacing w:after="0"/>
              <w:rPr>
                <w:sz w:val="20"/>
                <w:szCs w:val="20"/>
                <w:color w:val="auto"/>
              </w:rPr>
            </w:pPr>
          </w:p>
        </w:tc>
        <w:tc>
          <w:tcPr>
            <w:tcW w:w="9860" w:type="dxa"/>
            <w:vAlign w:val="bottom"/>
            <w:gridSpan w:val="40"/>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Significant Beneficial Owners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360" w:type="dxa"/>
            <w:vAlign w:val="bottom"/>
          </w:tcPr>
          <w:p>
            <w:pPr>
              <w:spacing w:after="0" w:line="20" w:lineRule="exact"/>
              <w:rPr>
                <w:sz w:val="1"/>
                <w:szCs w:val="1"/>
                <w:color w:val="auto"/>
              </w:rPr>
            </w:pPr>
          </w:p>
        </w:tc>
        <w:tc>
          <w:tcPr>
            <w:tcW w:w="2280" w:type="dxa"/>
            <w:vAlign w:val="bottom"/>
            <w:tcBorders>
              <w:right w:val="single" w:sz="8" w:color="0000EE"/>
            </w:tcBorders>
            <w:gridSpan w:val="13"/>
            <w:shd w:val="clear" w:color="auto" w:fill="0000EE"/>
          </w:tcPr>
          <w:p>
            <w:pPr>
              <w:spacing w:after="0" w:line="20" w:lineRule="exact"/>
              <w:rPr>
                <w:sz w:val="1"/>
                <w:szCs w:val="1"/>
                <w:color w:val="auto"/>
              </w:rPr>
            </w:pPr>
          </w:p>
        </w:tc>
        <w:tc>
          <w:tcPr>
            <w:tcW w:w="840" w:type="dxa"/>
            <w:vAlign w:val="bottom"/>
            <w:gridSpan w:val="8"/>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780" w:type="dxa"/>
            <w:vAlign w:val="bottom"/>
            <w:gridSpan w:val="1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3"/>
        </w:trPr>
        <w:tc>
          <w:tcPr>
            <w:tcW w:w="360" w:type="dxa"/>
            <w:vAlign w:val="bottom"/>
          </w:tcPr>
          <w:p>
            <w:pPr>
              <w:spacing w:after="0"/>
              <w:rPr>
                <w:sz w:val="20"/>
                <w:szCs w:val="20"/>
                <w:color w:val="auto"/>
              </w:rPr>
            </w:pPr>
          </w:p>
        </w:tc>
        <w:tc>
          <w:tcPr>
            <w:tcW w:w="9860" w:type="dxa"/>
            <w:vAlign w:val="bottom"/>
            <w:gridSpan w:val="40"/>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Directors, Director Nominees and Executive Officers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3"/>
        </w:trPr>
        <w:tc>
          <w:tcPr>
            <w:tcW w:w="360" w:type="dxa"/>
            <w:vAlign w:val="bottom"/>
          </w:tcPr>
          <w:p>
            <w:pPr>
              <w:spacing w:after="0"/>
              <w:rPr>
                <w:sz w:val="20"/>
                <w:szCs w:val="20"/>
                <w:color w:val="auto"/>
              </w:rPr>
            </w:pPr>
          </w:p>
        </w:tc>
        <w:tc>
          <w:tcPr>
            <w:tcW w:w="228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9"/>
              </w:rPr>
            </w:pPr>
            <w:hyperlink w:anchor="page88">
              <w:r>
                <w:rPr>
                  <w:rFonts w:ascii="Arial" w:cs="Arial" w:eastAsia="Arial" w:hAnsi="Arial"/>
                  <w:sz w:val="18"/>
                  <w:szCs w:val="18"/>
                  <w:color w:val="0000EE"/>
                  <w:w w:val="99"/>
                </w:rPr>
                <w:t>Stock Ownership Guidelines</w:t>
              </w:r>
            </w:hyperlink>
          </w:p>
        </w:tc>
        <w:tc>
          <w:tcPr>
            <w:tcW w:w="1800" w:type="dxa"/>
            <w:vAlign w:val="bottom"/>
            <w:tcBorders>
              <w:top w:val="single" w:sz="8" w:color="0000EE"/>
            </w:tcBorders>
            <w:gridSpan w:val="13"/>
          </w:tcPr>
          <w:p>
            <w:pPr>
              <w:spacing w:after="0"/>
              <w:rPr>
                <w:sz w:val="20"/>
                <w:szCs w:val="20"/>
                <w:color w:val="auto"/>
              </w:rPr>
            </w:pPr>
          </w:p>
        </w:tc>
        <w:tc>
          <w:tcPr>
            <w:tcW w:w="5780" w:type="dxa"/>
            <w:vAlign w:val="bottom"/>
            <w:gridSpan w:val="14"/>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3"/>
        </w:trPr>
        <w:tc>
          <w:tcPr>
            <w:tcW w:w="360" w:type="dxa"/>
            <w:vAlign w:val="bottom"/>
          </w:tcPr>
          <w:p>
            <w:pPr>
              <w:spacing w:after="0"/>
              <w:rPr>
                <w:sz w:val="20"/>
                <w:szCs w:val="20"/>
                <w:color w:val="auto"/>
              </w:rPr>
            </w:pPr>
          </w:p>
        </w:tc>
        <w:tc>
          <w:tcPr>
            <w:tcW w:w="9860" w:type="dxa"/>
            <w:vAlign w:val="bottom"/>
            <w:gridSpan w:val="40"/>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Anti-Hedging and Anti-Pledging Policies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0"/>
        </w:trPr>
        <w:tc>
          <w:tcPr>
            <w:tcW w:w="360" w:type="dxa"/>
            <w:vAlign w:val="bottom"/>
          </w:tcPr>
          <w:p>
            <w:pPr>
              <w:spacing w:after="0" w:line="20" w:lineRule="exact"/>
              <w:rPr>
                <w:sz w:val="1"/>
                <w:szCs w:val="1"/>
                <w:color w:val="auto"/>
              </w:rPr>
            </w:pPr>
          </w:p>
        </w:tc>
        <w:tc>
          <w:tcPr>
            <w:tcW w:w="3120" w:type="dxa"/>
            <w:vAlign w:val="bottom"/>
            <w:gridSpan w:val="21"/>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300" w:type="dxa"/>
            <w:vAlign w:val="bottom"/>
            <w:gridSpan w:val="1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46"/>
        </w:trPr>
        <w:tc>
          <w:tcPr>
            <w:tcW w:w="10220" w:type="dxa"/>
            <w:vAlign w:val="bottom"/>
            <w:gridSpan w:val="41"/>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EQUITY COMPENSATION PLAN INFORMATION</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0"/>
        </w:trPr>
        <w:tc>
          <w:tcPr>
            <w:tcW w:w="3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8760" w:type="dxa"/>
            <w:vAlign w:val="bottom"/>
            <w:gridSpan w:val="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Table of Contents</w:t>
              </w:r>
            </w:hyperlink>
          </w:p>
        </w:tc>
        <w:tc>
          <w:tcPr>
            <w:tcW w:w="2480" w:type="dxa"/>
            <w:vAlign w:val="bottom"/>
          </w:tcPr>
          <w:p>
            <w:pPr>
              <w:spacing w:after="0"/>
              <w:rPr>
                <w:sz w:val="17"/>
                <w:szCs w:val="17"/>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565"/>
        </w:trPr>
        <w:tc>
          <w:tcPr>
            <w:tcW w:w="8760" w:type="dxa"/>
            <w:vAlign w:val="bottom"/>
            <w:gridSpan w:val="8"/>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OTHER INFORMATION</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0"/>
        </w:trPr>
        <w:tc>
          <w:tcPr>
            <w:tcW w:w="36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33"/>
        </w:trPr>
        <w:tc>
          <w:tcPr>
            <w:tcW w:w="360" w:type="dxa"/>
            <w:vAlign w:val="bottom"/>
          </w:tcPr>
          <w:p>
            <w:pPr>
              <w:spacing w:after="0"/>
              <w:rPr>
                <w:sz w:val="20"/>
                <w:szCs w:val="20"/>
                <w:color w:val="auto"/>
              </w:rPr>
            </w:pPr>
          </w:p>
        </w:tc>
        <w:tc>
          <w:tcPr>
            <w:tcW w:w="6120" w:type="dxa"/>
            <w:vAlign w:val="bottom"/>
            <w:tcBorders>
              <w:bottom w:val="single" w:sz="8" w:color="0000EE"/>
            </w:tcBorders>
            <w:gridSpan w:val="6"/>
          </w:tcPr>
          <w:p>
            <w:pPr>
              <w:spacing w:after="0"/>
              <w:rPr>
                <w:rFonts w:ascii="Arial" w:cs="Arial" w:eastAsia="Arial" w:hAnsi="Arial"/>
                <w:sz w:val="18"/>
                <w:szCs w:val="18"/>
                <w:color w:val="0000EE"/>
                <w:w w:val="98"/>
              </w:rPr>
            </w:pPr>
            <w:hyperlink w:anchor="page89">
              <w:r>
                <w:rPr>
                  <w:rFonts w:ascii="Arial" w:cs="Arial" w:eastAsia="Arial" w:hAnsi="Arial"/>
                  <w:sz w:val="18"/>
                  <w:szCs w:val="18"/>
                  <w:color w:val="0000EE"/>
                  <w:w w:val="98"/>
                </w:rPr>
                <w:t>Shareholder Proposals and Director Nominations for the 2023 Annual Meeting</w:t>
              </w:r>
            </w:hyperlink>
          </w:p>
        </w:tc>
        <w:tc>
          <w:tcPr>
            <w:tcW w:w="2280" w:type="dxa"/>
            <w:vAlign w:val="bottom"/>
          </w:tcPr>
          <w:p>
            <w:pPr>
              <w:spacing w:after="0"/>
              <w:rPr>
                <w:sz w:val="20"/>
                <w:szCs w:val="20"/>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33"/>
        </w:trPr>
        <w:tc>
          <w:tcPr>
            <w:tcW w:w="360" w:type="dxa"/>
            <w:vAlign w:val="bottom"/>
          </w:tcPr>
          <w:p>
            <w:pPr>
              <w:spacing w:after="0"/>
              <w:rPr>
                <w:sz w:val="20"/>
                <w:szCs w:val="20"/>
                <w:color w:val="auto"/>
              </w:rPr>
            </w:pPr>
          </w:p>
        </w:tc>
        <w:tc>
          <w:tcPr>
            <w:tcW w:w="8400" w:type="dxa"/>
            <w:vAlign w:val="bottom"/>
            <w:gridSpan w:val="7"/>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Householding of Annual Meeting Materials</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3"/>
        </w:trPr>
        <w:tc>
          <w:tcPr>
            <w:tcW w:w="360" w:type="dxa"/>
            <w:vAlign w:val="bottom"/>
          </w:tcPr>
          <w:p>
            <w:pPr>
              <w:spacing w:after="0"/>
              <w:rPr>
                <w:sz w:val="20"/>
                <w:szCs w:val="20"/>
                <w:color w:val="auto"/>
              </w:rPr>
            </w:pPr>
          </w:p>
        </w:tc>
        <w:tc>
          <w:tcPr>
            <w:tcW w:w="3320" w:type="dxa"/>
            <w:vAlign w:val="bottom"/>
            <w:tcBorders>
              <w:top w:val="single" w:sz="8" w:color="0000EE"/>
            </w:tcBorders>
            <w:gridSpan w:val="5"/>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Annual Report</w:t>
              </w:r>
            </w:hyperlink>
          </w:p>
        </w:tc>
        <w:tc>
          <w:tcPr>
            <w:tcW w:w="5080" w:type="dxa"/>
            <w:vAlign w:val="bottom"/>
            <w:gridSpan w:val="2"/>
          </w:tcPr>
          <w:p>
            <w:pPr>
              <w:spacing w:after="0"/>
              <w:rPr>
                <w:sz w:val="20"/>
                <w:szCs w:val="20"/>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0"/>
        </w:trPr>
        <w:tc>
          <w:tcPr>
            <w:tcW w:w="36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960" w:type="dxa"/>
            <w:vAlign w:val="bottom"/>
            <w:gridSpan w:val="3"/>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33"/>
        </w:trPr>
        <w:tc>
          <w:tcPr>
            <w:tcW w:w="360" w:type="dxa"/>
            <w:vAlign w:val="bottom"/>
          </w:tcPr>
          <w:p>
            <w:pPr>
              <w:spacing w:after="0"/>
              <w:rPr>
                <w:sz w:val="20"/>
                <w:szCs w:val="20"/>
                <w:color w:val="auto"/>
              </w:rPr>
            </w:pPr>
          </w:p>
        </w:tc>
        <w:tc>
          <w:tcPr>
            <w:tcW w:w="8400" w:type="dxa"/>
            <w:vAlign w:val="bottom"/>
            <w:gridSpan w:val="7"/>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Cost and Method of Solicitation</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0"/>
        </w:trPr>
        <w:tc>
          <w:tcPr>
            <w:tcW w:w="36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_____________________</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References in this proxy statement to:</w:t>
      </w:r>
    </w:p>
    <w:p>
      <w:pPr>
        <w:spacing w:after="0" w:line="97" w:lineRule="exact"/>
        <w:rPr>
          <w:sz w:val="20"/>
          <w:szCs w:val="20"/>
          <w:color w:val="auto"/>
        </w:rPr>
      </w:pPr>
    </w:p>
    <w:p>
      <w:pPr>
        <w:ind w:left="1100" w:hanging="693"/>
        <w:spacing w:after="0"/>
        <w:tabs>
          <w:tab w:leader="none" w:pos="11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“TTC,” “we,” “us,” “our,” or the “Company” refer to The Toro Company;</w:t>
      </w:r>
    </w:p>
    <w:p>
      <w:pPr>
        <w:spacing w:after="0" w:line="97" w:lineRule="exact"/>
        <w:rPr>
          <w:rFonts w:ascii="Arial" w:cs="Arial" w:eastAsia="Arial" w:hAnsi="Arial"/>
          <w:sz w:val="17"/>
          <w:szCs w:val="17"/>
          <w:color w:val="auto"/>
        </w:rPr>
      </w:pPr>
    </w:p>
    <w:p>
      <w:pPr>
        <w:ind w:left="1100" w:hanging="693"/>
        <w:spacing w:after="0"/>
        <w:tabs>
          <w:tab w:leader="none" w:pos="1100" w:val="left"/>
        </w:tabs>
        <w:numPr>
          <w:ilvl w:val="0"/>
          <w:numId w:val="5"/>
        </w:numPr>
        <w:rPr>
          <w:rFonts w:ascii="Arial" w:cs="Arial" w:eastAsia="Arial" w:hAnsi="Arial"/>
          <w:sz w:val="17"/>
          <w:szCs w:val="17"/>
          <w:color w:val="auto"/>
        </w:rPr>
      </w:pPr>
      <w:r>
        <w:rPr>
          <w:rFonts w:ascii="Arial" w:cs="Arial" w:eastAsia="Arial" w:hAnsi="Arial"/>
          <w:sz w:val="17"/>
          <w:szCs w:val="17"/>
          <w:color w:val="auto"/>
        </w:rPr>
        <w:t>“Board” refer to the Board of Directors of TTC;</w:t>
      </w:r>
    </w:p>
    <w:p>
      <w:pPr>
        <w:spacing w:after="0" w:line="97" w:lineRule="exact"/>
        <w:rPr>
          <w:rFonts w:ascii="Arial" w:cs="Arial" w:eastAsia="Arial" w:hAnsi="Arial"/>
          <w:sz w:val="17"/>
          <w:szCs w:val="17"/>
          <w:color w:val="auto"/>
        </w:rPr>
      </w:pPr>
    </w:p>
    <w:p>
      <w:pPr>
        <w:ind w:left="1100" w:hanging="693"/>
        <w:spacing w:after="0"/>
        <w:tabs>
          <w:tab w:leader="none" w:pos="11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“annual meeting” refer to our 2022 Annual Meeting of Shareholders; and</w:t>
      </w:r>
    </w:p>
    <w:p>
      <w:pPr>
        <w:spacing w:after="0" w:line="97" w:lineRule="exact"/>
        <w:rPr>
          <w:rFonts w:ascii="Arial" w:cs="Arial" w:eastAsia="Arial" w:hAnsi="Arial"/>
          <w:sz w:val="17"/>
          <w:szCs w:val="17"/>
          <w:color w:val="auto"/>
        </w:rPr>
      </w:pPr>
    </w:p>
    <w:p>
      <w:pPr>
        <w:ind w:left="800" w:right="180" w:hanging="395"/>
        <w:spacing w:after="0" w:line="238" w:lineRule="auto"/>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color w:val="auto"/>
        </w:rPr>
        <w:t>“2021 Annual Report” or “2021 Annual Report to Shareholders” refer to our Annual Report on Form 10-K for the fiscal year ended October 31, 2021, being made available together with this proxy statement.</w:t>
      </w:r>
    </w:p>
    <w:p>
      <w:pPr>
        <w:spacing w:after="0" w:line="91" w:lineRule="exact"/>
        <w:rPr>
          <w:sz w:val="20"/>
          <w:szCs w:val="20"/>
          <w:color w:val="auto"/>
        </w:rPr>
      </w:pPr>
    </w:p>
    <w:p>
      <w:pPr>
        <w:ind w:right="200" w:firstLine="401"/>
        <w:spacing w:after="0" w:line="238" w:lineRule="auto"/>
        <w:rPr>
          <w:sz w:val="20"/>
          <w:szCs w:val="20"/>
          <w:color w:val="auto"/>
        </w:rPr>
      </w:pPr>
      <w:r>
        <w:rPr>
          <w:rFonts w:ascii="Arial" w:cs="Arial" w:eastAsia="Arial" w:hAnsi="Arial"/>
          <w:sz w:val="17"/>
          <w:szCs w:val="17"/>
          <w:color w:val="auto"/>
        </w:rPr>
        <w:t>Information on our website and any other website referenced herein is not incorporated by reference into, and does not constitute a part of, this proxy statement.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34225" cy="2025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202565"/>
                    </a:xfrm>
                    <a:prstGeom prst="rect">
                      <a:avLst/>
                    </a:prstGeom>
                    <a:noFill/>
                  </pic:spPr>
                </pic:pic>
              </a:graphicData>
            </a:graphic>
          </wp:anchor>
        </w:drawing>
      </w:r>
    </w:p>
    <w:p>
      <w:pPr>
        <w:spacing w:after="0" w:line="118" w:lineRule="exact"/>
        <w:rPr>
          <w:sz w:val="20"/>
          <w:szCs w:val="20"/>
          <w:color w:val="auto"/>
        </w:rPr>
      </w:pPr>
    </w:p>
    <w:p>
      <w:pPr>
        <w:ind w:left="1660"/>
        <w:spacing w:after="0"/>
        <w:rPr>
          <w:sz w:val="20"/>
          <w:szCs w:val="20"/>
          <w:color w:val="auto"/>
        </w:rPr>
      </w:pPr>
      <w:r>
        <w:rPr>
          <w:rFonts w:ascii="Arial" w:cs="Arial" w:eastAsia="Arial" w:hAnsi="Arial"/>
          <w:sz w:val="19"/>
          <w:szCs w:val="19"/>
          <w:b w:val="1"/>
          <w:bCs w:val="1"/>
          <w:color w:val="FFFFFF"/>
        </w:rPr>
        <w:t>THE TORO COMPANY HIGHLIGHTS AND PROXY STATEMENT EXECUTIVE SUMMARY</w:t>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Business Overview</w:t>
      </w:r>
    </w:p>
    <w:p>
      <w:pPr>
        <w:spacing w:after="0" w:line="114" w:lineRule="exact"/>
        <w:rPr>
          <w:sz w:val="20"/>
          <w:szCs w:val="20"/>
          <w:color w:val="auto"/>
        </w:rPr>
      </w:pPr>
    </w:p>
    <w:p>
      <w:pPr>
        <w:ind w:right="60" w:firstLine="401"/>
        <w:spacing w:after="0" w:line="233" w:lineRule="auto"/>
        <w:rPr>
          <w:sz w:val="20"/>
          <w:szCs w:val="20"/>
          <w:color w:val="auto"/>
        </w:rPr>
      </w:pPr>
      <w:r>
        <w:rPr>
          <w:rFonts w:ascii="Arial" w:cs="Arial" w:eastAsia="Arial" w:hAnsi="Arial"/>
          <w:sz w:val="18"/>
          <w:szCs w:val="18"/>
          <w:color w:val="auto"/>
        </w:rPr>
        <w:t>The Toro Company is a leading worldwide provider of innovative solutions for the outdoor environment including turf and landscape maintenance, snow and ice management, underground utility construction, rental and specialty construction, and irrigation and outdoor lighting solutions. The Toro Company’s global presence extends to more than 125 countries through a family of brands that includes, among others, Toro, Ditch Witch, Exmark, BOSS and Ventrac. Through constant innovation and caring relationships built on trust and integrity, The Toro Company and its family of brands have built a legacy of excellence by helping customers on golf courses, sports fields, construction sites, public green spaces, commercial and residential properties and agricultural operations.</w:t>
      </w:r>
    </w:p>
    <w:p>
      <w:pPr>
        <w:spacing w:after="0" w:line="52" w:lineRule="exact"/>
        <w:rPr>
          <w:sz w:val="20"/>
          <w:szCs w:val="20"/>
          <w:color w:val="auto"/>
        </w:rPr>
      </w:pPr>
    </w:p>
    <w:tbl>
      <w:tblPr>
        <w:tblLayout w:type="fixed"/>
        <w:tblInd w:w="890" w:type="dxa"/>
        <w:tblCellMar>
          <w:top w:w="0" w:type="dxa"/>
          <w:left w:w="0" w:type="dxa"/>
          <w:bottom w:w="0" w:type="dxa"/>
          <w:right w:w="0" w:type="dxa"/>
        </w:tblCellMar>
      </w:tblPr>
      <w:tr>
        <w:trPr>
          <w:trHeight w:val="278"/>
        </w:trPr>
        <w:tc>
          <w:tcPr>
            <w:tcW w:w="2980" w:type="dxa"/>
            <w:vAlign w:val="bottom"/>
            <w:tcBorders>
              <w:top w:val="single" w:sz="8" w:color="auto"/>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C00000"/>
                <w:w w:val="97"/>
              </w:rPr>
              <w:t>OUR PURPOSE</w:t>
            </w:r>
          </w:p>
        </w:tc>
        <w:tc>
          <w:tcPr>
            <w:tcW w:w="100" w:type="dxa"/>
            <w:vAlign w:val="bottom"/>
            <w:tcBorders>
              <w:right w:val="single" w:sz="8" w:color="auto"/>
            </w:tcBorders>
          </w:tcPr>
          <w:p>
            <w:pPr>
              <w:spacing w:after="0"/>
              <w:rPr>
                <w:sz w:val="24"/>
                <w:szCs w:val="24"/>
                <w:color w:val="auto"/>
              </w:rPr>
            </w:pPr>
          </w:p>
        </w:tc>
        <w:tc>
          <w:tcPr>
            <w:tcW w:w="32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C00000"/>
                <w:w w:val="98"/>
              </w:rPr>
              <w:t>OUR VISION</w:t>
            </w:r>
          </w:p>
        </w:tc>
        <w:tc>
          <w:tcPr>
            <w:tcW w:w="100" w:type="dxa"/>
            <w:vAlign w:val="bottom"/>
            <w:tcBorders>
              <w:right w:val="single" w:sz="8" w:color="auto"/>
            </w:tcBorders>
          </w:tcPr>
          <w:p>
            <w:pPr>
              <w:spacing w:after="0"/>
              <w:rPr>
                <w:sz w:val="24"/>
                <w:szCs w:val="24"/>
                <w:color w:val="auto"/>
              </w:rPr>
            </w:pPr>
          </w:p>
        </w:tc>
        <w:tc>
          <w:tcPr>
            <w:tcW w:w="30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C00000"/>
                <w:w w:val="97"/>
              </w:rPr>
              <w:t>OUR MISSION</w:t>
            </w:r>
          </w:p>
        </w:tc>
      </w:tr>
      <w:tr>
        <w:trPr>
          <w:trHeight w:val="226"/>
        </w:trPr>
        <w:tc>
          <w:tcPr>
            <w:tcW w:w="2980" w:type="dxa"/>
            <w:vAlign w:val="bottom"/>
            <w:tcBorders>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8"/>
              </w:rPr>
              <w:t>To help our customers enrich the</w:t>
            </w:r>
          </w:p>
        </w:tc>
        <w:tc>
          <w:tcPr>
            <w:tcW w:w="100" w:type="dxa"/>
            <w:vAlign w:val="bottom"/>
            <w:tcBorders>
              <w:right w:val="single" w:sz="8" w:color="auto"/>
            </w:tcBorders>
          </w:tcPr>
          <w:p>
            <w:pPr>
              <w:spacing w:after="0"/>
              <w:rPr>
                <w:sz w:val="19"/>
                <w:szCs w:val="19"/>
                <w:color w:val="auto"/>
              </w:rPr>
            </w:pPr>
          </w:p>
        </w:tc>
        <w:tc>
          <w:tcPr>
            <w:tcW w:w="32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7"/>
              </w:rPr>
              <w:t>To be the most trusted leader</w:t>
            </w:r>
          </w:p>
        </w:tc>
        <w:tc>
          <w:tcPr>
            <w:tcW w:w="100" w:type="dxa"/>
            <w:vAlign w:val="bottom"/>
            <w:tcBorders>
              <w:right w:val="single" w:sz="8" w:color="auto"/>
            </w:tcBorders>
          </w:tcPr>
          <w:p>
            <w:pPr>
              <w:spacing w:after="0"/>
              <w:rPr>
                <w:sz w:val="19"/>
                <w:szCs w:val="19"/>
                <w:color w:val="auto"/>
              </w:rPr>
            </w:pPr>
          </w:p>
        </w:tc>
        <w:tc>
          <w:tcPr>
            <w:tcW w:w="30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8"/>
              </w:rPr>
              <w:t>To deliver superior innovation and to</w:t>
            </w:r>
          </w:p>
        </w:tc>
      </w:tr>
      <w:tr>
        <w:trPr>
          <w:trHeight w:val="199"/>
        </w:trPr>
        <w:tc>
          <w:tcPr>
            <w:tcW w:w="2980" w:type="dxa"/>
            <w:vAlign w:val="bottom"/>
            <w:tcBorders>
              <w:left w:val="single" w:sz="8" w:color="auto"/>
              <w:right w:val="single" w:sz="8" w:color="auto"/>
            </w:tcBorders>
            <w:shd w:val="clear" w:color="auto" w:fill="D9D9D9"/>
          </w:tcPr>
          <w:p>
            <w:pPr>
              <w:jc w:val="center"/>
              <w:spacing w:after="0" w:line="200" w:lineRule="exact"/>
              <w:rPr>
                <w:sz w:val="20"/>
                <w:szCs w:val="20"/>
                <w:color w:val="auto"/>
              </w:rPr>
            </w:pPr>
            <w:r>
              <w:rPr>
                <w:rFonts w:ascii="Arial" w:cs="Arial" w:eastAsia="Arial" w:hAnsi="Arial"/>
                <w:sz w:val="18"/>
                <w:szCs w:val="18"/>
                <w:color w:val="auto"/>
                <w:w w:val="97"/>
              </w:rPr>
              <w:t>beauty, productivity and sustainability</w:t>
            </w:r>
          </w:p>
        </w:tc>
        <w:tc>
          <w:tcPr>
            <w:tcW w:w="100" w:type="dxa"/>
            <w:vAlign w:val="bottom"/>
            <w:tcBorders>
              <w:right w:val="single" w:sz="8" w:color="auto"/>
            </w:tcBorders>
          </w:tcPr>
          <w:p>
            <w:pPr>
              <w:spacing w:after="0"/>
              <w:rPr>
                <w:sz w:val="17"/>
                <w:szCs w:val="17"/>
                <w:color w:val="auto"/>
              </w:rPr>
            </w:pPr>
          </w:p>
        </w:tc>
        <w:tc>
          <w:tcPr>
            <w:tcW w:w="3260" w:type="dxa"/>
            <w:vAlign w:val="bottom"/>
            <w:tcBorders>
              <w:right w:val="single" w:sz="8" w:color="auto"/>
            </w:tcBorders>
            <w:shd w:val="clear" w:color="auto" w:fill="D9D9D9"/>
          </w:tcPr>
          <w:p>
            <w:pPr>
              <w:jc w:val="center"/>
              <w:spacing w:after="0" w:line="200" w:lineRule="exact"/>
              <w:rPr>
                <w:sz w:val="20"/>
                <w:szCs w:val="20"/>
                <w:color w:val="auto"/>
              </w:rPr>
            </w:pPr>
            <w:r>
              <w:rPr>
                <w:rFonts w:ascii="Arial" w:cs="Arial" w:eastAsia="Arial" w:hAnsi="Arial"/>
                <w:sz w:val="18"/>
                <w:szCs w:val="18"/>
                <w:color w:val="auto"/>
                <w:w w:val="98"/>
              </w:rPr>
              <w:t>in solutions for the outdoor environment.</w:t>
            </w:r>
          </w:p>
        </w:tc>
        <w:tc>
          <w:tcPr>
            <w:tcW w:w="100" w:type="dxa"/>
            <w:vAlign w:val="bottom"/>
            <w:tcBorders>
              <w:right w:val="single" w:sz="8" w:color="auto"/>
            </w:tcBorders>
          </w:tcPr>
          <w:p>
            <w:pPr>
              <w:spacing w:after="0"/>
              <w:rPr>
                <w:sz w:val="17"/>
                <w:szCs w:val="17"/>
                <w:color w:val="auto"/>
              </w:rPr>
            </w:pPr>
          </w:p>
        </w:tc>
        <w:tc>
          <w:tcPr>
            <w:tcW w:w="3060" w:type="dxa"/>
            <w:vAlign w:val="bottom"/>
            <w:tcBorders>
              <w:right w:val="single" w:sz="8" w:color="auto"/>
            </w:tcBorders>
            <w:shd w:val="clear" w:color="auto" w:fill="D9D9D9"/>
          </w:tcPr>
          <w:p>
            <w:pPr>
              <w:jc w:val="center"/>
              <w:spacing w:after="0" w:line="200" w:lineRule="exact"/>
              <w:rPr>
                <w:sz w:val="20"/>
                <w:szCs w:val="20"/>
                <w:color w:val="auto"/>
              </w:rPr>
            </w:pPr>
            <w:r>
              <w:rPr>
                <w:rFonts w:ascii="Arial" w:cs="Arial" w:eastAsia="Arial" w:hAnsi="Arial"/>
                <w:sz w:val="18"/>
                <w:szCs w:val="18"/>
                <w:color w:val="auto"/>
                <w:w w:val="97"/>
              </w:rPr>
              <w:t>deliver superior customer care.</w:t>
            </w:r>
          </w:p>
        </w:tc>
      </w:tr>
      <w:tr>
        <w:trPr>
          <w:trHeight w:val="200"/>
        </w:trPr>
        <w:tc>
          <w:tcPr>
            <w:tcW w:w="2980" w:type="dxa"/>
            <w:vAlign w:val="bottom"/>
            <w:tcBorders>
              <w:left w:val="single" w:sz="8" w:color="auto"/>
              <w:bottom w:val="single" w:sz="8" w:color="auto"/>
              <w:right w:val="single" w:sz="8" w:color="auto"/>
            </w:tcBorders>
            <w:shd w:val="clear" w:color="auto" w:fill="D9D9D9"/>
          </w:tcPr>
          <w:p>
            <w:pPr>
              <w:jc w:val="center"/>
              <w:spacing w:after="0" w:line="201" w:lineRule="exact"/>
              <w:rPr>
                <w:sz w:val="20"/>
                <w:szCs w:val="20"/>
                <w:color w:val="auto"/>
              </w:rPr>
            </w:pPr>
            <w:r>
              <w:rPr>
                <w:rFonts w:ascii="Arial" w:cs="Arial" w:eastAsia="Arial" w:hAnsi="Arial"/>
                <w:sz w:val="18"/>
                <w:szCs w:val="18"/>
                <w:color w:val="auto"/>
                <w:w w:val="98"/>
              </w:rPr>
              <w:t>of the land.</w:t>
            </w:r>
          </w:p>
        </w:tc>
        <w:tc>
          <w:tcPr>
            <w:tcW w:w="100" w:type="dxa"/>
            <w:vAlign w:val="bottom"/>
            <w:tcBorders>
              <w:right w:val="single" w:sz="8" w:color="auto"/>
            </w:tcBorders>
          </w:tcPr>
          <w:p>
            <w:pPr>
              <w:spacing w:after="0"/>
              <w:rPr>
                <w:sz w:val="17"/>
                <w:szCs w:val="17"/>
                <w:color w:val="auto"/>
              </w:rPr>
            </w:pPr>
          </w:p>
        </w:tc>
        <w:tc>
          <w:tcPr>
            <w:tcW w:w="3260" w:type="dxa"/>
            <w:vAlign w:val="bottom"/>
            <w:tcBorders>
              <w:bottom w:val="single" w:sz="8" w:color="auto"/>
              <w:right w:val="single" w:sz="8" w:color="auto"/>
            </w:tcBorders>
            <w:shd w:val="clear" w:color="auto" w:fill="D9D9D9"/>
          </w:tcPr>
          <w:p>
            <w:pPr>
              <w:jc w:val="center"/>
              <w:spacing w:after="0" w:line="201" w:lineRule="exact"/>
              <w:rPr>
                <w:sz w:val="20"/>
                <w:szCs w:val="20"/>
                <w:color w:val="auto"/>
              </w:rPr>
            </w:pPr>
            <w:r>
              <w:rPr>
                <w:rFonts w:ascii="Arial" w:cs="Arial" w:eastAsia="Arial" w:hAnsi="Arial"/>
                <w:sz w:val="18"/>
                <w:szCs w:val="18"/>
                <w:color w:val="auto"/>
                <w:w w:val="97"/>
              </w:rPr>
              <w:t>Every day. Everywhere.</w:t>
            </w:r>
          </w:p>
        </w:tc>
        <w:tc>
          <w:tcPr>
            <w:tcW w:w="100" w:type="dxa"/>
            <w:vAlign w:val="bottom"/>
            <w:tcBorders>
              <w:right w:val="single" w:sz="8" w:color="auto"/>
            </w:tcBorders>
          </w:tcPr>
          <w:p>
            <w:pPr>
              <w:spacing w:after="0"/>
              <w:rPr>
                <w:sz w:val="17"/>
                <w:szCs w:val="17"/>
                <w:color w:val="auto"/>
              </w:rPr>
            </w:pPr>
          </w:p>
        </w:tc>
        <w:tc>
          <w:tcPr>
            <w:tcW w:w="3060" w:type="dxa"/>
            <w:vAlign w:val="bottom"/>
            <w:tcBorders>
              <w:bottom w:val="single" w:sz="8" w:color="auto"/>
              <w:right w:val="single" w:sz="8" w:color="auto"/>
            </w:tcBorders>
            <w:shd w:val="clear" w:color="auto" w:fill="D9D9D9"/>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wp:posOffset>
            </wp:positionH>
            <wp:positionV relativeFrom="paragraph">
              <wp:posOffset>50800</wp:posOffset>
            </wp:positionV>
            <wp:extent cx="6019800" cy="7346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19800" cy="734695"/>
                    </a:xfrm>
                    <a:prstGeom prst="rect">
                      <a:avLst/>
                    </a:prstGeom>
                    <a:noFill/>
                  </pic:spPr>
                </pic:pic>
              </a:graphicData>
            </a:graphic>
          </wp:anchor>
        </w:drawing>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C00000"/>
        </w:rPr>
        <w:t>OUR GUIDING PRINCIPLES</w:t>
      </w:r>
    </w:p>
    <w:p>
      <w:pPr>
        <w:spacing w:after="0" w:line="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Our success is founded on a long history of caring relationships based on trust and integrity. These relationships are the</w:t>
      </w:r>
    </w:p>
    <w:p>
      <w:pPr>
        <w:jc w:val="center"/>
        <w:ind w:right="-39"/>
        <w:spacing w:after="0" w:line="235" w:lineRule="auto"/>
        <w:rPr>
          <w:sz w:val="20"/>
          <w:szCs w:val="20"/>
          <w:color w:val="auto"/>
        </w:rPr>
      </w:pPr>
      <w:r>
        <w:rPr>
          <w:rFonts w:ascii="Arial" w:cs="Arial" w:eastAsia="Arial" w:hAnsi="Arial"/>
          <w:sz w:val="18"/>
          <w:szCs w:val="18"/>
          <w:color w:val="auto"/>
        </w:rPr>
        <w:t>foundation on which we build market leadership with the best in innovative products and solutions to make outdoor</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environments beautiful, productive, and sustainable. We are entrusted to strengthen this legacy of excellence.</w:t>
      </w:r>
    </w:p>
    <w:p>
      <w:pPr>
        <w:spacing w:after="0" w:line="378"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Quick Facts About The Toro Company</w:t>
      </w:r>
    </w:p>
    <w:p>
      <w:pPr>
        <w:spacing w:after="0" w:line="108" w:lineRule="exact"/>
        <w:rPr>
          <w:sz w:val="20"/>
          <w:szCs w:val="20"/>
          <w:color w:val="auto"/>
        </w:rPr>
      </w:pPr>
    </w:p>
    <w:tbl>
      <w:tblPr>
        <w:tblLayout w:type="fixed"/>
        <w:tblInd w:w="860" w:type="dxa"/>
        <w:tblCellMar>
          <w:top w:w="0" w:type="dxa"/>
          <w:left w:w="0" w:type="dxa"/>
          <w:bottom w:w="0" w:type="dxa"/>
          <w:right w:w="0" w:type="dxa"/>
        </w:tblCellMar>
      </w:tblPr>
      <w:tr>
        <w:trPr>
          <w:trHeight w:val="213"/>
        </w:trPr>
        <w:tc>
          <w:tcPr>
            <w:tcW w:w="40" w:type="dxa"/>
            <w:vAlign w:val="bottom"/>
            <w:tcBorders>
              <w:top w:val="single" w:sz="8" w:color="auto"/>
              <w:right w:val="single" w:sz="8" w:color="D9D9D9"/>
            </w:tcBorders>
            <w:shd w:val="clear" w:color="auto" w:fill="000000"/>
          </w:tcPr>
          <w:p>
            <w:pPr>
              <w:spacing w:after="0"/>
              <w:rPr>
                <w:sz w:val="18"/>
                <w:szCs w:val="18"/>
                <w:color w:val="auto"/>
              </w:rPr>
            </w:pPr>
          </w:p>
        </w:tc>
        <w:tc>
          <w:tcPr>
            <w:tcW w:w="31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C00000"/>
                <w:w w:val="97"/>
              </w:rPr>
              <w:t>Founded</w:t>
            </w:r>
          </w:p>
        </w:tc>
        <w:tc>
          <w:tcPr>
            <w:tcW w:w="100" w:type="dxa"/>
            <w:vAlign w:val="bottom"/>
            <w:tcBorders>
              <w:right w:val="single" w:sz="8" w:color="auto"/>
            </w:tcBorders>
          </w:tcPr>
          <w:p>
            <w:pPr>
              <w:spacing w:after="0"/>
              <w:rPr>
                <w:sz w:val="18"/>
                <w:szCs w:val="18"/>
                <w:color w:val="auto"/>
              </w:rPr>
            </w:pPr>
          </w:p>
        </w:tc>
        <w:tc>
          <w:tcPr>
            <w:tcW w:w="2840" w:type="dxa"/>
            <w:vAlign w:val="bottom"/>
            <w:tcBorders>
              <w:top w:val="single" w:sz="8" w:color="auto"/>
              <w:right w:val="single" w:sz="8" w:color="D9D9D9"/>
            </w:tcBorders>
            <w:shd w:val="clear" w:color="auto" w:fill="D9D9D9"/>
          </w:tcPr>
          <w:p>
            <w:pPr>
              <w:jc w:val="center"/>
              <w:spacing w:after="0"/>
              <w:rPr>
                <w:sz w:val="20"/>
                <w:szCs w:val="20"/>
                <w:color w:val="auto"/>
              </w:rPr>
            </w:pPr>
            <w:r>
              <w:rPr>
                <w:rFonts w:ascii="Arial" w:cs="Arial" w:eastAsia="Arial" w:hAnsi="Arial"/>
                <w:sz w:val="18"/>
                <w:szCs w:val="18"/>
                <w:b w:val="1"/>
                <w:bCs w:val="1"/>
                <w:color w:val="C00000"/>
                <w:w w:val="97"/>
              </w:rPr>
              <w:t>Fiscal 2021 Net Sales</w:t>
            </w:r>
          </w:p>
        </w:tc>
        <w:tc>
          <w:tcPr>
            <w:tcW w:w="100" w:type="dxa"/>
            <w:vAlign w:val="bottom"/>
            <w:tcBorders>
              <w:left w:val="single" w:sz="8" w:color="auto"/>
              <w:right w:val="single" w:sz="8" w:color="auto"/>
            </w:tcBorders>
          </w:tcPr>
          <w:p>
            <w:pPr>
              <w:spacing w:after="0"/>
              <w:rPr>
                <w:sz w:val="18"/>
                <w:szCs w:val="18"/>
                <w:color w:val="auto"/>
              </w:rPr>
            </w:pPr>
          </w:p>
        </w:tc>
        <w:tc>
          <w:tcPr>
            <w:tcW w:w="3360" w:type="dxa"/>
            <w:vAlign w:val="bottom"/>
            <w:tcBorders>
              <w:top w:val="single" w:sz="8" w:color="auto"/>
              <w:right w:val="single" w:sz="8" w:color="auto"/>
            </w:tcBorders>
            <w:gridSpan w:val="2"/>
            <w:shd w:val="clear" w:color="auto" w:fill="D9D9D9"/>
          </w:tcPr>
          <w:p>
            <w:pPr>
              <w:jc w:val="center"/>
              <w:ind w:right="60"/>
              <w:spacing w:after="0"/>
              <w:rPr>
                <w:sz w:val="20"/>
                <w:szCs w:val="20"/>
                <w:color w:val="auto"/>
              </w:rPr>
            </w:pPr>
            <w:r>
              <w:rPr>
                <w:rFonts w:ascii="Arial" w:cs="Arial" w:eastAsia="Arial" w:hAnsi="Arial"/>
                <w:sz w:val="18"/>
                <w:szCs w:val="18"/>
                <w:b w:val="1"/>
                <w:bCs w:val="1"/>
                <w:color w:val="C00000"/>
                <w:w w:val="99"/>
              </w:rPr>
              <w:t>Worldwide Headquarters</w:t>
            </w:r>
          </w:p>
        </w:tc>
      </w:tr>
      <w:tr>
        <w:trPr>
          <w:trHeight w:val="284"/>
        </w:trPr>
        <w:tc>
          <w:tcPr>
            <w:tcW w:w="40" w:type="dxa"/>
            <w:vAlign w:val="bottom"/>
            <w:tcBorders>
              <w:bottom w:val="single" w:sz="8" w:color="auto"/>
              <w:right w:val="single" w:sz="8" w:color="D9D9D9"/>
            </w:tcBorders>
            <w:shd w:val="clear" w:color="auto" w:fill="000000"/>
          </w:tcPr>
          <w:p>
            <w:pPr>
              <w:spacing w:after="0"/>
              <w:rPr>
                <w:sz w:val="24"/>
                <w:szCs w:val="24"/>
                <w:color w:val="auto"/>
              </w:rPr>
            </w:pPr>
          </w:p>
        </w:tc>
        <w:tc>
          <w:tcPr>
            <w:tcW w:w="312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9"/>
              </w:rPr>
              <w:t>1914</w:t>
            </w:r>
          </w:p>
        </w:tc>
        <w:tc>
          <w:tcPr>
            <w:tcW w:w="100" w:type="dxa"/>
            <w:vAlign w:val="bottom"/>
            <w:tcBorders>
              <w:right w:val="single" w:sz="8" w:color="auto"/>
            </w:tcBorders>
          </w:tcPr>
          <w:p>
            <w:pPr>
              <w:spacing w:after="0"/>
              <w:rPr>
                <w:sz w:val="24"/>
                <w:szCs w:val="24"/>
                <w:color w:val="auto"/>
              </w:rPr>
            </w:pPr>
          </w:p>
        </w:tc>
        <w:tc>
          <w:tcPr>
            <w:tcW w:w="2840" w:type="dxa"/>
            <w:vAlign w:val="bottom"/>
            <w:tcBorders>
              <w:bottom w:val="single" w:sz="8" w:color="D9D9D9"/>
              <w:right w:val="single" w:sz="8" w:color="D9D9D9"/>
            </w:tcBorders>
            <w:shd w:val="clear" w:color="auto" w:fill="D9D9D9"/>
          </w:tcPr>
          <w:p>
            <w:pPr>
              <w:jc w:val="center"/>
              <w:spacing w:after="0"/>
              <w:rPr>
                <w:sz w:val="20"/>
                <w:szCs w:val="20"/>
                <w:color w:val="auto"/>
              </w:rPr>
            </w:pPr>
            <w:r>
              <w:rPr>
                <w:rFonts w:ascii="Arial" w:cs="Arial" w:eastAsia="Arial" w:hAnsi="Arial"/>
                <w:sz w:val="18"/>
                <w:szCs w:val="18"/>
                <w:color w:val="auto"/>
                <w:w w:val="97"/>
              </w:rPr>
              <w:t>$3.96 billion</w:t>
            </w:r>
          </w:p>
        </w:tc>
        <w:tc>
          <w:tcPr>
            <w:tcW w:w="100" w:type="dxa"/>
            <w:vAlign w:val="bottom"/>
            <w:tcBorders>
              <w:left w:val="single" w:sz="8" w:color="auto"/>
              <w:right w:val="single" w:sz="8" w:color="auto"/>
            </w:tcBorders>
          </w:tcPr>
          <w:p>
            <w:pPr>
              <w:spacing w:after="0"/>
              <w:rPr>
                <w:sz w:val="24"/>
                <w:szCs w:val="24"/>
                <w:color w:val="auto"/>
              </w:rPr>
            </w:pPr>
          </w:p>
        </w:tc>
        <w:tc>
          <w:tcPr>
            <w:tcW w:w="3360" w:type="dxa"/>
            <w:vAlign w:val="bottom"/>
            <w:tcBorders>
              <w:bottom w:val="single" w:sz="8" w:color="D9D9D9"/>
              <w:right w:val="single" w:sz="8" w:color="auto"/>
            </w:tcBorders>
            <w:gridSpan w:val="2"/>
            <w:shd w:val="clear" w:color="auto" w:fill="D9D9D9"/>
          </w:tcPr>
          <w:p>
            <w:pPr>
              <w:jc w:val="center"/>
              <w:ind w:right="60"/>
              <w:spacing w:after="0"/>
              <w:rPr>
                <w:sz w:val="20"/>
                <w:szCs w:val="20"/>
                <w:color w:val="auto"/>
              </w:rPr>
            </w:pPr>
            <w:r>
              <w:rPr>
                <w:rFonts w:ascii="Arial" w:cs="Arial" w:eastAsia="Arial" w:hAnsi="Arial"/>
                <w:sz w:val="18"/>
                <w:szCs w:val="18"/>
                <w:color w:val="auto"/>
                <w:w w:val="97"/>
              </w:rPr>
              <w:t>Bloomington, Minnesota, U.S.A.</w:t>
            </w:r>
          </w:p>
        </w:tc>
      </w:tr>
      <w:tr>
        <w:trPr>
          <w:trHeight w:val="73"/>
        </w:trPr>
        <w:tc>
          <w:tcPr>
            <w:tcW w:w="40" w:type="dxa"/>
            <w:vAlign w:val="bottom"/>
            <w:tcBorders>
              <w:top w:val="single" w:sz="8" w:color="auto"/>
            </w:tcBorders>
          </w:tcPr>
          <w:p>
            <w:pPr>
              <w:spacing w:after="0"/>
              <w:rPr>
                <w:sz w:val="6"/>
                <w:szCs w:val="6"/>
                <w:color w:val="auto"/>
              </w:rPr>
            </w:pPr>
          </w:p>
        </w:tc>
        <w:tc>
          <w:tcPr>
            <w:tcW w:w="3120" w:type="dxa"/>
            <w:vAlign w:val="bottom"/>
            <w:tcBorders>
              <w:top w:val="single" w:sz="8" w:color="auto"/>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840" w:type="dxa"/>
            <w:vAlign w:val="bottom"/>
            <w:tcBorders>
              <w:top w:val="single" w:sz="8" w:color="auto"/>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32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31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C00000"/>
                <w:w w:val="98"/>
              </w:rPr>
              <w:t>Fiscal 2021 Net Earnings</w:t>
            </w:r>
          </w:p>
        </w:tc>
        <w:tc>
          <w:tcPr>
            <w:tcW w:w="100" w:type="dxa"/>
            <w:vAlign w:val="bottom"/>
            <w:tcBorders>
              <w:right w:val="single" w:sz="8" w:color="auto"/>
            </w:tcBorders>
          </w:tcPr>
          <w:p>
            <w:pPr>
              <w:spacing w:after="0"/>
              <w:rPr>
                <w:sz w:val="18"/>
                <w:szCs w:val="18"/>
                <w:color w:val="auto"/>
              </w:rPr>
            </w:pPr>
          </w:p>
        </w:tc>
        <w:tc>
          <w:tcPr>
            <w:tcW w:w="28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C00000"/>
                <w:w w:val="97"/>
              </w:rPr>
              <w:t>Fiscal 2021 Net Sales</w:t>
            </w:r>
          </w:p>
        </w:tc>
        <w:tc>
          <w:tcPr>
            <w:tcW w:w="10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C00000"/>
                <w:w w:val="98"/>
              </w:rPr>
              <w:t>Fiscal 2021 % Net Sales</w:t>
            </w:r>
          </w:p>
        </w:tc>
        <w:tc>
          <w:tcPr>
            <w:tcW w:w="40" w:type="dxa"/>
            <w:vAlign w:val="bottom"/>
          </w:tcPr>
          <w:p>
            <w:pPr>
              <w:spacing w:after="0"/>
              <w:rPr>
                <w:sz w:val="18"/>
                <w:szCs w:val="18"/>
                <w:color w:val="auto"/>
              </w:rPr>
            </w:pPr>
          </w:p>
        </w:tc>
      </w:tr>
      <w:tr>
        <w:trPr>
          <w:trHeight w:val="221"/>
        </w:trPr>
        <w:tc>
          <w:tcPr>
            <w:tcW w:w="40" w:type="dxa"/>
            <w:vAlign w:val="bottom"/>
            <w:tcBorders>
              <w:right w:val="single" w:sz="8" w:color="auto"/>
            </w:tcBorders>
          </w:tcPr>
          <w:p>
            <w:pPr>
              <w:spacing w:after="0"/>
              <w:rPr>
                <w:sz w:val="19"/>
                <w:szCs w:val="19"/>
                <w:color w:val="auto"/>
              </w:rPr>
            </w:pPr>
          </w:p>
        </w:tc>
        <w:tc>
          <w:tcPr>
            <w:tcW w:w="31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9"/>
              </w:rPr>
              <w:t>$409.9 million</w:t>
            </w:r>
          </w:p>
        </w:tc>
        <w:tc>
          <w:tcPr>
            <w:tcW w:w="100" w:type="dxa"/>
            <w:vAlign w:val="bottom"/>
            <w:tcBorders>
              <w:right w:val="single" w:sz="8" w:color="auto"/>
            </w:tcBorders>
          </w:tcPr>
          <w:p>
            <w:pPr>
              <w:spacing w:after="0"/>
              <w:rPr>
                <w:sz w:val="19"/>
                <w:szCs w:val="19"/>
                <w:color w:val="auto"/>
              </w:rPr>
            </w:pPr>
          </w:p>
        </w:tc>
        <w:tc>
          <w:tcPr>
            <w:tcW w:w="28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8"/>
              </w:rPr>
              <w:t>U.S.A. – 79%</w:t>
            </w:r>
          </w:p>
        </w:tc>
        <w:tc>
          <w:tcPr>
            <w:tcW w:w="100" w:type="dxa"/>
            <w:vAlign w:val="bottom"/>
            <w:tcBorders>
              <w:right w:val="single" w:sz="8" w:color="auto"/>
            </w:tcBorders>
          </w:tcPr>
          <w:p>
            <w:pPr>
              <w:spacing w:after="0"/>
              <w:rPr>
                <w:sz w:val="19"/>
                <w:szCs w:val="19"/>
                <w:color w:val="auto"/>
              </w:rPr>
            </w:pPr>
          </w:p>
        </w:tc>
        <w:tc>
          <w:tcPr>
            <w:tcW w:w="33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C00000"/>
                <w:w w:val="98"/>
              </w:rPr>
              <w:t>from New Products</w:t>
            </w:r>
          </w:p>
        </w:tc>
        <w:tc>
          <w:tcPr>
            <w:tcW w:w="40" w:type="dxa"/>
            <w:vAlign w:val="bottom"/>
          </w:tcPr>
          <w:p>
            <w:pPr>
              <w:spacing w:after="0"/>
              <w:rPr>
                <w:sz w:val="19"/>
                <w:szCs w:val="19"/>
                <w:color w:val="auto"/>
              </w:rPr>
            </w:pPr>
          </w:p>
        </w:tc>
      </w:tr>
      <w:tr>
        <w:trPr>
          <w:trHeight w:val="245"/>
        </w:trPr>
        <w:tc>
          <w:tcPr>
            <w:tcW w:w="40" w:type="dxa"/>
            <w:vAlign w:val="bottom"/>
            <w:tcBorders>
              <w:right w:val="single" w:sz="8" w:color="auto"/>
            </w:tcBorders>
          </w:tcPr>
          <w:p>
            <w:pPr>
              <w:spacing w:after="0"/>
              <w:rPr>
                <w:sz w:val="20"/>
                <w:szCs w:val="20"/>
                <w:color w:val="auto"/>
              </w:rPr>
            </w:pPr>
          </w:p>
        </w:tc>
        <w:tc>
          <w:tcPr>
            <w:tcW w:w="3120" w:type="dxa"/>
            <w:vAlign w:val="bottom"/>
            <w:tcBorders>
              <w:bottom w:val="single" w:sz="8" w:color="D9D9D9"/>
              <w:right w:val="single" w:sz="8" w:color="auto"/>
            </w:tcBorders>
            <w:shd w:val="clear" w:color="auto" w:fill="D9D9D9"/>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84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9"/>
              </w:rPr>
              <w:t>International – 21%</w:t>
            </w:r>
          </w:p>
        </w:tc>
        <w:tc>
          <w:tcPr>
            <w:tcW w:w="100" w:type="dxa"/>
            <w:vAlign w:val="bottom"/>
            <w:tcBorders>
              <w:right w:val="single" w:sz="8" w:color="auto"/>
            </w:tcBorders>
          </w:tcPr>
          <w:p>
            <w:pPr>
              <w:spacing w:after="0"/>
              <w:rPr>
                <w:sz w:val="20"/>
                <w:szCs w:val="20"/>
                <w:color w:val="auto"/>
              </w:rPr>
            </w:pPr>
          </w:p>
        </w:tc>
        <w:tc>
          <w:tcPr>
            <w:tcW w:w="332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4"/>
              </w:rPr>
              <w:t>37%</w:t>
            </w:r>
          </w:p>
        </w:tc>
        <w:tc>
          <w:tcPr>
            <w:tcW w:w="40" w:type="dxa"/>
            <w:vAlign w:val="bottom"/>
          </w:tcPr>
          <w:p>
            <w:pPr>
              <w:spacing w:after="0"/>
              <w:rPr>
                <w:sz w:val="20"/>
                <w:szCs w:val="20"/>
                <w:color w:val="auto"/>
              </w:rPr>
            </w:pPr>
          </w:p>
        </w:tc>
      </w:tr>
      <w:tr>
        <w:trPr>
          <w:trHeight w:val="140"/>
        </w:trPr>
        <w:tc>
          <w:tcPr>
            <w:tcW w:w="40" w:type="dxa"/>
            <w:vAlign w:val="bottom"/>
          </w:tcPr>
          <w:p>
            <w:pPr>
              <w:spacing w:after="0"/>
              <w:rPr>
                <w:sz w:val="12"/>
                <w:szCs w:val="12"/>
                <w:color w:val="auto"/>
              </w:rPr>
            </w:pPr>
          </w:p>
        </w:tc>
        <w:tc>
          <w:tcPr>
            <w:tcW w:w="31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32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232"/>
        </w:trPr>
        <w:tc>
          <w:tcPr>
            <w:tcW w:w="4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C00000"/>
                <w:w w:val="98"/>
              </w:rPr>
              <w:t>Fiscal 2021 Products</w:t>
            </w:r>
          </w:p>
        </w:tc>
        <w:tc>
          <w:tcPr>
            <w:tcW w:w="100" w:type="dxa"/>
            <w:vAlign w:val="bottom"/>
            <w:tcBorders>
              <w:right w:val="single" w:sz="8" w:color="auto"/>
            </w:tcBorders>
          </w:tcPr>
          <w:p>
            <w:pPr>
              <w:spacing w:after="0"/>
              <w:rPr>
                <w:sz w:val="20"/>
                <w:szCs w:val="20"/>
                <w:color w:val="auto"/>
              </w:rPr>
            </w:pPr>
          </w:p>
        </w:tc>
        <w:tc>
          <w:tcPr>
            <w:tcW w:w="28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C00000"/>
                <w:w w:val="98"/>
              </w:rPr>
              <w:t>Fiscal 2021 Segments</w:t>
            </w:r>
          </w:p>
        </w:tc>
        <w:tc>
          <w:tcPr>
            <w:tcW w:w="100" w:type="dxa"/>
            <w:vAlign w:val="bottom"/>
            <w:tcBorders>
              <w:right w:val="single" w:sz="8" w:color="auto"/>
            </w:tcBorders>
          </w:tcPr>
          <w:p>
            <w:pPr>
              <w:spacing w:after="0"/>
              <w:rPr>
                <w:sz w:val="20"/>
                <w:szCs w:val="20"/>
                <w:color w:val="auto"/>
              </w:rPr>
            </w:pPr>
          </w:p>
        </w:tc>
        <w:tc>
          <w:tcPr>
            <w:tcW w:w="33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C00000"/>
                <w:w w:val="98"/>
              </w:rPr>
              <w:t>Manufacturing Locations</w:t>
            </w:r>
          </w:p>
        </w:tc>
        <w:tc>
          <w:tcPr>
            <w:tcW w:w="40" w:type="dxa"/>
            <w:vAlign w:val="bottom"/>
          </w:tcPr>
          <w:p>
            <w:pPr>
              <w:spacing w:after="0"/>
              <w:rPr>
                <w:sz w:val="20"/>
                <w:szCs w:val="20"/>
                <w:color w:val="auto"/>
              </w:rPr>
            </w:pPr>
          </w:p>
        </w:tc>
      </w:tr>
      <w:tr>
        <w:trPr>
          <w:trHeight w:val="199"/>
        </w:trPr>
        <w:tc>
          <w:tcPr>
            <w:tcW w:w="40" w:type="dxa"/>
            <w:vAlign w:val="bottom"/>
            <w:tcBorders>
              <w:right w:val="single" w:sz="8" w:color="auto"/>
            </w:tcBorders>
          </w:tcPr>
          <w:p>
            <w:pPr>
              <w:spacing w:after="0"/>
              <w:rPr>
                <w:sz w:val="17"/>
                <w:szCs w:val="17"/>
                <w:color w:val="auto"/>
              </w:rPr>
            </w:pPr>
          </w:p>
        </w:tc>
        <w:tc>
          <w:tcPr>
            <w:tcW w:w="3120" w:type="dxa"/>
            <w:vAlign w:val="bottom"/>
            <w:tcBorders>
              <w:right w:val="single" w:sz="8" w:color="auto"/>
            </w:tcBorders>
            <w:shd w:val="clear" w:color="auto" w:fill="D9D9D9"/>
          </w:tcPr>
          <w:p>
            <w:pPr>
              <w:jc w:val="center"/>
              <w:spacing w:after="0" w:line="200" w:lineRule="exact"/>
              <w:rPr>
                <w:sz w:val="20"/>
                <w:szCs w:val="20"/>
                <w:color w:val="auto"/>
              </w:rPr>
            </w:pPr>
            <w:r>
              <w:rPr>
                <w:rFonts w:ascii="Arial" w:cs="Arial" w:eastAsia="Arial" w:hAnsi="Arial"/>
                <w:sz w:val="18"/>
                <w:szCs w:val="18"/>
                <w:color w:val="auto"/>
                <w:w w:val="98"/>
              </w:rPr>
              <w:t>Equipment – 89%</w:t>
            </w:r>
          </w:p>
        </w:tc>
        <w:tc>
          <w:tcPr>
            <w:tcW w:w="100" w:type="dxa"/>
            <w:vAlign w:val="bottom"/>
            <w:tcBorders>
              <w:right w:val="single" w:sz="8" w:color="auto"/>
            </w:tcBorders>
          </w:tcPr>
          <w:p>
            <w:pPr>
              <w:spacing w:after="0"/>
              <w:rPr>
                <w:sz w:val="17"/>
                <w:szCs w:val="17"/>
                <w:color w:val="auto"/>
              </w:rPr>
            </w:pPr>
          </w:p>
        </w:tc>
        <w:tc>
          <w:tcPr>
            <w:tcW w:w="2840" w:type="dxa"/>
            <w:vAlign w:val="bottom"/>
            <w:tcBorders>
              <w:right w:val="single" w:sz="8" w:color="auto"/>
            </w:tcBorders>
            <w:shd w:val="clear" w:color="auto" w:fill="D9D9D9"/>
          </w:tcPr>
          <w:p>
            <w:pPr>
              <w:jc w:val="center"/>
              <w:spacing w:after="0" w:line="200" w:lineRule="exact"/>
              <w:rPr>
                <w:sz w:val="20"/>
                <w:szCs w:val="20"/>
                <w:color w:val="auto"/>
              </w:rPr>
            </w:pPr>
            <w:r>
              <w:rPr>
                <w:rFonts w:ascii="Arial" w:cs="Arial" w:eastAsia="Arial" w:hAnsi="Arial"/>
                <w:sz w:val="18"/>
                <w:szCs w:val="18"/>
                <w:color w:val="auto"/>
                <w:w w:val="99"/>
              </w:rPr>
              <w:t>Professional – 74%</w:t>
            </w:r>
          </w:p>
        </w:tc>
        <w:tc>
          <w:tcPr>
            <w:tcW w:w="100" w:type="dxa"/>
            <w:vAlign w:val="bottom"/>
            <w:tcBorders>
              <w:right w:val="single" w:sz="8" w:color="auto"/>
            </w:tcBorders>
          </w:tcPr>
          <w:p>
            <w:pPr>
              <w:spacing w:after="0"/>
              <w:rPr>
                <w:sz w:val="17"/>
                <w:szCs w:val="17"/>
                <w:color w:val="auto"/>
              </w:rPr>
            </w:pPr>
          </w:p>
        </w:tc>
        <w:tc>
          <w:tcPr>
            <w:tcW w:w="3320" w:type="dxa"/>
            <w:vAlign w:val="bottom"/>
            <w:tcBorders>
              <w:right w:val="single" w:sz="8" w:color="auto"/>
            </w:tcBorders>
            <w:shd w:val="clear" w:color="auto" w:fill="D9D9D9"/>
          </w:tcPr>
          <w:p>
            <w:pPr>
              <w:jc w:val="center"/>
              <w:spacing w:after="0" w:line="200" w:lineRule="exact"/>
              <w:rPr>
                <w:sz w:val="20"/>
                <w:szCs w:val="20"/>
                <w:color w:val="auto"/>
              </w:rPr>
            </w:pPr>
            <w:r>
              <w:rPr>
                <w:rFonts w:ascii="Arial" w:cs="Arial" w:eastAsia="Arial" w:hAnsi="Arial"/>
                <w:sz w:val="18"/>
                <w:szCs w:val="18"/>
                <w:color w:val="auto"/>
                <w:w w:val="97"/>
              </w:rPr>
              <w:t>U.S.A. – 15</w:t>
            </w:r>
          </w:p>
        </w:tc>
        <w:tc>
          <w:tcPr>
            <w:tcW w:w="40" w:type="dxa"/>
            <w:vAlign w:val="bottom"/>
          </w:tcPr>
          <w:p>
            <w:pPr>
              <w:spacing w:after="0"/>
              <w:rPr>
                <w:sz w:val="17"/>
                <w:szCs w:val="17"/>
                <w:color w:val="auto"/>
              </w:rPr>
            </w:pPr>
          </w:p>
        </w:tc>
      </w:tr>
      <w:tr>
        <w:trPr>
          <w:trHeight w:val="199"/>
        </w:trPr>
        <w:tc>
          <w:tcPr>
            <w:tcW w:w="40" w:type="dxa"/>
            <w:vAlign w:val="bottom"/>
            <w:tcBorders>
              <w:right w:val="single" w:sz="8" w:color="auto"/>
            </w:tcBorders>
          </w:tcPr>
          <w:p>
            <w:pPr>
              <w:spacing w:after="0"/>
              <w:rPr>
                <w:sz w:val="17"/>
                <w:szCs w:val="17"/>
                <w:color w:val="auto"/>
              </w:rPr>
            </w:pPr>
          </w:p>
        </w:tc>
        <w:tc>
          <w:tcPr>
            <w:tcW w:w="3120" w:type="dxa"/>
            <w:vAlign w:val="bottom"/>
            <w:tcBorders>
              <w:right w:val="single" w:sz="8" w:color="auto"/>
            </w:tcBorders>
            <w:shd w:val="clear" w:color="auto" w:fill="D9D9D9"/>
          </w:tcPr>
          <w:p>
            <w:pPr>
              <w:jc w:val="center"/>
              <w:spacing w:after="0" w:line="200" w:lineRule="exact"/>
              <w:rPr>
                <w:sz w:val="20"/>
                <w:szCs w:val="20"/>
                <w:color w:val="auto"/>
              </w:rPr>
            </w:pPr>
            <w:r>
              <w:rPr>
                <w:rFonts w:ascii="Arial" w:cs="Arial" w:eastAsia="Arial" w:hAnsi="Arial"/>
                <w:sz w:val="18"/>
                <w:szCs w:val="18"/>
                <w:color w:val="auto"/>
                <w:w w:val="98"/>
              </w:rPr>
              <w:t>Irrigation – 11%</w:t>
            </w:r>
          </w:p>
        </w:tc>
        <w:tc>
          <w:tcPr>
            <w:tcW w:w="100" w:type="dxa"/>
            <w:vAlign w:val="bottom"/>
            <w:tcBorders>
              <w:right w:val="single" w:sz="8" w:color="auto"/>
            </w:tcBorders>
          </w:tcPr>
          <w:p>
            <w:pPr>
              <w:spacing w:after="0"/>
              <w:rPr>
                <w:sz w:val="17"/>
                <w:szCs w:val="17"/>
                <w:color w:val="auto"/>
              </w:rPr>
            </w:pPr>
          </w:p>
        </w:tc>
        <w:tc>
          <w:tcPr>
            <w:tcW w:w="2840" w:type="dxa"/>
            <w:vAlign w:val="bottom"/>
            <w:tcBorders>
              <w:right w:val="single" w:sz="8" w:color="auto"/>
            </w:tcBorders>
            <w:shd w:val="clear" w:color="auto" w:fill="D9D9D9"/>
          </w:tcPr>
          <w:p>
            <w:pPr>
              <w:jc w:val="center"/>
              <w:spacing w:after="0" w:line="200" w:lineRule="exact"/>
              <w:rPr>
                <w:sz w:val="20"/>
                <w:szCs w:val="20"/>
                <w:color w:val="auto"/>
              </w:rPr>
            </w:pPr>
            <w:r>
              <w:rPr>
                <w:rFonts w:ascii="Arial" w:cs="Arial" w:eastAsia="Arial" w:hAnsi="Arial"/>
                <w:sz w:val="18"/>
                <w:szCs w:val="18"/>
                <w:color w:val="auto"/>
                <w:w w:val="97"/>
              </w:rPr>
              <w:t>Residential – 25%</w:t>
            </w:r>
          </w:p>
        </w:tc>
        <w:tc>
          <w:tcPr>
            <w:tcW w:w="100" w:type="dxa"/>
            <w:vAlign w:val="bottom"/>
            <w:tcBorders>
              <w:right w:val="single" w:sz="8" w:color="auto"/>
            </w:tcBorders>
          </w:tcPr>
          <w:p>
            <w:pPr>
              <w:spacing w:after="0"/>
              <w:rPr>
                <w:sz w:val="17"/>
                <w:szCs w:val="17"/>
                <w:color w:val="auto"/>
              </w:rPr>
            </w:pPr>
          </w:p>
        </w:tc>
        <w:tc>
          <w:tcPr>
            <w:tcW w:w="3320" w:type="dxa"/>
            <w:vAlign w:val="bottom"/>
            <w:tcBorders>
              <w:right w:val="single" w:sz="8" w:color="auto"/>
            </w:tcBorders>
            <w:shd w:val="clear" w:color="auto" w:fill="D9D9D9"/>
          </w:tcPr>
          <w:p>
            <w:pPr>
              <w:jc w:val="center"/>
              <w:spacing w:after="0" w:line="200" w:lineRule="exact"/>
              <w:rPr>
                <w:sz w:val="20"/>
                <w:szCs w:val="20"/>
                <w:color w:val="auto"/>
              </w:rPr>
            </w:pPr>
            <w:r>
              <w:rPr>
                <w:rFonts w:ascii="Arial" w:cs="Arial" w:eastAsia="Arial" w:hAnsi="Arial"/>
                <w:sz w:val="18"/>
                <w:szCs w:val="18"/>
                <w:color w:val="auto"/>
                <w:w w:val="97"/>
              </w:rPr>
              <w:t>International – 7</w:t>
            </w:r>
          </w:p>
        </w:tc>
        <w:tc>
          <w:tcPr>
            <w:tcW w:w="40" w:type="dxa"/>
            <w:vAlign w:val="bottom"/>
          </w:tcPr>
          <w:p>
            <w:pPr>
              <w:spacing w:after="0"/>
              <w:rPr>
                <w:sz w:val="17"/>
                <w:szCs w:val="17"/>
                <w:color w:val="auto"/>
              </w:rPr>
            </w:pPr>
          </w:p>
        </w:tc>
      </w:tr>
      <w:tr>
        <w:trPr>
          <w:trHeight w:val="220"/>
        </w:trPr>
        <w:tc>
          <w:tcPr>
            <w:tcW w:w="40" w:type="dxa"/>
            <w:vAlign w:val="bottom"/>
            <w:tcBorders>
              <w:right w:val="single" w:sz="8" w:color="auto"/>
            </w:tcBorders>
          </w:tcPr>
          <w:p>
            <w:pPr>
              <w:spacing w:after="0"/>
              <w:rPr>
                <w:sz w:val="19"/>
                <w:szCs w:val="19"/>
                <w:color w:val="auto"/>
              </w:rPr>
            </w:pPr>
          </w:p>
        </w:tc>
        <w:tc>
          <w:tcPr>
            <w:tcW w:w="3120" w:type="dxa"/>
            <w:vAlign w:val="bottom"/>
            <w:tcBorders>
              <w:bottom w:val="single" w:sz="8" w:color="D9D9D9"/>
              <w:right w:val="single" w:sz="8" w:color="auto"/>
            </w:tcBorders>
            <w:shd w:val="clear" w:color="auto" w:fill="D9D9D9"/>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284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8"/>
              </w:rPr>
              <w:t>Other – 1%</w:t>
            </w:r>
          </w:p>
        </w:tc>
        <w:tc>
          <w:tcPr>
            <w:tcW w:w="100" w:type="dxa"/>
            <w:vAlign w:val="bottom"/>
            <w:tcBorders>
              <w:right w:val="single" w:sz="8" w:color="auto"/>
            </w:tcBorders>
          </w:tcPr>
          <w:p>
            <w:pPr>
              <w:spacing w:after="0"/>
              <w:rPr>
                <w:sz w:val="19"/>
                <w:szCs w:val="19"/>
                <w:color w:val="auto"/>
              </w:rPr>
            </w:pPr>
          </w:p>
        </w:tc>
        <w:tc>
          <w:tcPr>
            <w:tcW w:w="3320" w:type="dxa"/>
            <w:vAlign w:val="bottom"/>
            <w:tcBorders>
              <w:bottom w:val="single" w:sz="8" w:color="D9D9D9"/>
              <w:right w:val="single" w:sz="8" w:color="auto"/>
            </w:tcBorders>
            <w:shd w:val="clear" w:color="auto" w:fill="D9D9D9"/>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3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8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3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The Toro Company’s Commitment to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7134225" cy="8528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852805"/>
                    </a:xfrm>
                    <a:prstGeom prst="rect">
                      <a:avLst/>
                    </a:prstGeom>
                    <a:noFill/>
                  </pic:spPr>
                </pic:pic>
              </a:graphicData>
            </a:graphic>
          </wp:anchor>
        </w:drawing>
      </w:r>
    </w:p>
    <w:p>
      <w:pPr>
        <w:spacing w:after="0" w:line="200" w:lineRule="exact"/>
        <w:rPr>
          <w:sz w:val="20"/>
          <w:szCs w:val="20"/>
          <w:color w:val="auto"/>
        </w:rPr>
      </w:pPr>
    </w:p>
    <w:p>
      <w:pPr>
        <w:ind w:left="220" w:hanging="200"/>
        <w:spacing w:after="0"/>
        <w:tabs>
          <w:tab w:leader="none" w:pos="220" w:val="left"/>
        </w:tabs>
        <w:numPr>
          <w:ilvl w:val="0"/>
          <w:numId w:val="6"/>
        </w:numPr>
        <w:rPr>
          <w:rFonts w:ascii="MS PGothic" w:cs="MS PGothic" w:eastAsia="MS PGothic" w:hAnsi="MS PGothic"/>
          <w:sz w:val="18"/>
          <w:szCs w:val="18"/>
          <w:color w:val="C00000"/>
        </w:rPr>
      </w:pPr>
      <w:r>
        <w:rPr>
          <w:rFonts w:ascii="Arial" w:cs="Arial" w:eastAsia="Arial" w:hAnsi="Arial"/>
          <w:sz w:val="18"/>
          <w:szCs w:val="18"/>
          <w:color w:val="C00000"/>
        </w:rPr>
        <w:t>Deeply rooted in our purpose and strategic business priorities</w:t>
      </w:r>
    </w:p>
    <w:p>
      <w:pPr>
        <w:spacing w:after="0" w:line="40" w:lineRule="exact"/>
        <w:rPr>
          <w:rFonts w:ascii="MS PGothic" w:cs="MS PGothic" w:eastAsia="MS PGothic" w:hAnsi="MS PGothic"/>
          <w:sz w:val="18"/>
          <w:szCs w:val="18"/>
          <w:color w:val="C00000"/>
        </w:rPr>
      </w:pPr>
    </w:p>
    <w:p>
      <w:pPr>
        <w:ind w:left="220" w:right="4320" w:hanging="200"/>
        <w:spacing w:after="0" w:line="256" w:lineRule="auto"/>
        <w:tabs>
          <w:tab w:leader="none" w:pos="219" w:val="left"/>
        </w:tabs>
        <w:numPr>
          <w:ilvl w:val="0"/>
          <w:numId w:val="6"/>
        </w:numPr>
        <w:rPr>
          <w:rFonts w:ascii="MS PGothic" w:cs="MS PGothic" w:eastAsia="MS PGothic" w:hAnsi="MS PGothic"/>
          <w:sz w:val="18"/>
          <w:szCs w:val="18"/>
          <w:color w:val="C00000"/>
        </w:rPr>
      </w:pPr>
      <w:r>
        <w:rPr>
          <w:rFonts w:ascii="Arial" w:cs="Arial" w:eastAsia="Arial" w:hAnsi="Arial"/>
          <w:sz w:val="18"/>
          <w:szCs w:val="18"/>
          <w:color w:val="C00000"/>
        </w:rPr>
        <w:t xml:space="preserve">Continuing to advance our sustainability platform, </w:t>
      </w:r>
      <w:r>
        <w:rPr>
          <w:rFonts w:ascii="Arial" w:cs="Arial" w:eastAsia="Arial" w:hAnsi="Arial"/>
          <w:sz w:val="18"/>
          <w:szCs w:val="18"/>
          <w:i w:val="1"/>
          <w:iCs w:val="1"/>
          <w:color w:val="C00000"/>
        </w:rPr>
        <w:t>Sustainability Endures</w:t>
      </w:r>
      <w:r>
        <w:rPr>
          <w:rFonts w:ascii="Arial" w:cs="Arial" w:eastAsia="Arial" w:hAnsi="Arial"/>
          <w:sz w:val="18"/>
          <w:szCs w:val="18"/>
          <w:color w:val="C00000"/>
        </w:rPr>
        <w:t>, through our focus on Products, Process and People, facilitated by Planning</w:t>
      </w:r>
    </w:p>
    <w:p>
      <w:pPr>
        <w:spacing w:after="0" w:line="41" w:lineRule="exact"/>
        <w:rPr>
          <w:rFonts w:ascii="MS PGothic" w:cs="MS PGothic" w:eastAsia="MS PGothic" w:hAnsi="MS PGothic"/>
          <w:sz w:val="18"/>
          <w:szCs w:val="18"/>
          <w:color w:val="C00000"/>
        </w:rPr>
      </w:pPr>
    </w:p>
    <w:p>
      <w:pPr>
        <w:ind w:left="220" w:right="4100" w:hanging="200"/>
        <w:spacing w:after="0" w:line="252" w:lineRule="auto"/>
        <w:tabs>
          <w:tab w:leader="none" w:pos="219" w:val="left"/>
        </w:tabs>
        <w:numPr>
          <w:ilvl w:val="0"/>
          <w:numId w:val="6"/>
        </w:numPr>
        <w:rPr>
          <w:rFonts w:ascii="MS PGothic" w:cs="MS PGothic" w:eastAsia="MS PGothic" w:hAnsi="MS PGothic"/>
          <w:sz w:val="18"/>
          <w:szCs w:val="18"/>
          <w:color w:val="C00000"/>
        </w:rPr>
      </w:pPr>
      <w:r>
        <w:rPr>
          <w:rFonts w:ascii="Arial" w:cs="Arial" w:eastAsia="Arial" w:hAnsi="Arial"/>
          <w:sz w:val="18"/>
          <w:szCs w:val="18"/>
          <w:color w:val="C00000"/>
        </w:rPr>
        <w:t>Demonstrating our commitment with an executive leadership role leading our efforts and enhancing our focus</w:t>
      </w:r>
    </w:p>
    <w:p>
      <w:pPr>
        <w:spacing w:after="0" w:line="158" w:lineRule="exact"/>
        <w:rPr>
          <w:sz w:val="20"/>
          <w:szCs w:val="20"/>
          <w:color w:val="auto"/>
        </w:rPr>
      </w:pPr>
    </w:p>
    <w:tbl>
      <w:tblPr>
        <w:tblLayout w:type="fixed"/>
        <w:tblInd w:w="50" w:type="dxa"/>
        <w:tblCellMar>
          <w:top w:w="0" w:type="dxa"/>
          <w:left w:w="0" w:type="dxa"/>
          <w:bottom w:w="0" w:type="dxa"/>
          <w:right w:w="0" w:type="dxa"/>
        </w:tblCellMar>
      </w:tblPr>
      <w:tr>
        <w:trPr>
          <w:trHeight w:val="225"/>
        </w:trPr>
        <w:tc>
          <w:tcPr>
            <w:tcW w:w="4360" w:type="dxa"/>
            <w:vAlign w:val="bottom"/>
            <w:tcBorders>
              <w:top w:val="single" w:sz="8" w:color="auto"/>
              <w:left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8"/>
                <w:szCs w:val="18"/>
                <w:b w:val="1"/>
                <w:bCs w:val="1"/>
                <w:color w:val="C00000"/>
              </w:rPr>
              <w:t xml:space="preserve">PRODUCTS: </w:t>
            </w:r>
            <w:r>
              <w:rPr>
                <w:rFonts w:ascii="Arial" w:cs="Arial" w:eastAsia="Arial" w:hAnsi="Arial"/>
                <w:sz w:val="18"/>
                <w:szCs w:val="18"/>
                <w:color w:val="000000"/>
              </w:rPr>
              <w:t>Develop innovative, safe and high-</w:t>
            </w:r>
          </w:p>
        </w:tc>
        <w:tc>
          <w:tcPr>
            <w:tcW w:w="120" w:type="dxa"/>
            <w:vAlign w:val="bottom"/>
            <w:tcBorders>
              <w:right w:val="single" w:sz="8" w:color="auto"/>
            </w:tcBorders>
          </w:tcPr>
          <w:p>
            <w:pPr>
              <w:spacing w:after="0"/>
              <w:rPr>
                <w:sz w:val="19"/>
                <w:szCs w:val="19"/>
                <w:color w:val="auto"/>
              </w:rPr>
            </w:pPr>
          </w:p>
        </w:tc>
        <w:tc>
          <w:tcPr>
            <w:tcW w:w="2400" w:type="dxa"/>
            <w:vAlign w:val="bottom"/>
            <w:tcBorders>
              <w:top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8"/>
                <w:szCs w:val="18"/>
                <w:b w:val="1"/>
                <w:bCs w:val="1"/>
                <w:color w:val="C00000"/>
              </w:rPr>
              <w:t xml:space="preserve">PROCESS: </w:t>
            </w:r>
            <w:r>
              <w:rPr>
                <w:rFonts w:ascii="Arial" w:cs="Arial" w:eastAsia="Arial" w:hAnsi="Arial"/>
                <w:sz w:val="18"/>
                <w:szCs w:val="18"/>
                <w:color w:val="000000"/>
              </w:rPr>
              <w:t>Maximize</w:t>
            </w:r>
          </w:p>
        </w:tc>
        <w:tc>
          <w:tcPr>
            <w:tcW w:w="120" w:type="dxa"/>
            <w:vAlign w:val="bottom"/>
            <w:tcBorders>
              <w:right w:val="single" w:sz="8" w:color="auto"/>
            </w:tcBorders>
          </w:tcPr>
          <w:p>
            <w:pPr>
              <w:spacing w:after="0"/>
              <w:rPr>
                <w:sz w:val="19"/>
                <w:szCs w:val="19"/>
                <w:color w:val="auto"/>
              </w:rPr>
            </w:pPr>
          </w:p>
        </w:tc>
        <w:tc>
          <w:tcPr>
            <w:tcW w:w="4200" w:type="dxa"/>
            <w:vAlign w:val="bottom"/>
            <w:tcBorders>
              <w:top w:val="single" w:sz="8" w:color="auto"/>
              <w:right w:val="single" w:sz="8" w:color="auto"/>
            </w:tcBorders>
            <w:shd w:val="clear" w:color="auto" w:fill="D9D9D9"/>
          </w:tcPr>
          <w:p>
            <w:pPr>
              <w:spacing w:after="0"/>
              <w:rPr>
                <w:sz w:val="20"/>
                <w:szCs w:val="20"/>
                <w:color w:val="auto"/>
              </w:rPr>
            </w:pPr>
            <w:r>
              <w:rPr>
                <w:rFonts w:ascii="Arial" w:cs="Arial" w:eastAsia="Arial" w:hAnsi="Arial"/>
                <w:sz w:val="18"/>
                <w:szCs w:val="18"/>
                <w:b w:val="1"/>
                <w:bCs w:val="1"/>
                <w:color w:val="C00000"/>
              </w:rPr>
              <w:t xml:space="preserve">PEOPLE: </w:t>
            </w:r>
            <w:r>
              <w:rPr>
                <w:rFonts w:ascii="Arial" w:cs="Arial" w:eastAsia="Arial" w:hAnsi="Arial"/>
                <w:sz w:val="18"/>
                <w:szCs w:val="18"/>
                <w:color w:val="000000"/>
              </w:rPr>
              <w:t>Foster a culture that embraces workplace</w:t>
            </w:r>
          </w:p>
        </w:tc>
      </w:tr>
      <w:tr>
        <w:trPr>
          <w:trHeight w:val="199"/>
        </w:trPr>
        <w:tc>
          <w:tcPr>
            <w:tcW w:w="4360" w:type="dxa"/>
            <w:vAlign w:val="bottom"/>
            <w:tcBorders>
              <w:left w:val="single" w:sz="8" w:color="auto"/>
              <w:right w:val="single" w:sz="8" w:color="auto"/>
            </w:tcBorders>
            <w:shd w:val="clear" w:color="auto" w:fill="D9D9D9"/>
          </w:tcPr>
          <w:p>
            <w:pPr>
              <w:ind w:left="20"/>
              <w:spacing w:after="0" w:line="200" w:lineRule="exact"/>
              <w:rPr>
                <w:sz w:val="20"/>
                <w:szCs w:val="20"/>
                <w:color w:val="auto"/>
              </w:rPr>
            </w:pPr>
            <w:r>
              <w:rPr>
                <w:rFonts w:ascii="Arial" w:cs="Arial" w:eastAsia="Arial" w:hAnsi="Arial"/>
                <w:sz w:val="18"/>
                <w:szCs w:val="18"/>
                <w:color w:val="auto"/>
              </w:rPr>
              <w:t>quality products and emerging technologies that are</w:t>
            </w:r>
          </w:p>
        </w:tc>
        <w:tc>
          <w:tcPr>
            <w:tcW w:w="120" w:type="dxa"/>
            <w:vAlign w:val="bottom"/>
            <w:tcBorders>
              <w:right w:val="single" w:sz="8" w:color="auto"/>
            </w:tcBorders>
          </w:tcPr>
          <w:p>
            <w:pPr>
              <w:spacing w:after="0"/>
              <w:rPr>
                <w:sz w:val="17"/>
                <w:szCs w:val="17"/>
                <w:color w:val="auto"/>
              </w:rPr>
            </w:pPr>
          </w:p>
        </w:tc>
        <w:tc>
          <w:tcPr>
            <w:tcW w:w="2400" w:type="dxa"/>
            <w:vAlign w:val="bottom"/>
            <w:tcBorders>
              <w:right w:val="single" w:sz="8" w:color="auto"/>
            </w:tcBorders>
            <w:shd w:val="clear" w:color="auto" w:fill="D9D9D9"/>
          </w:tcPr>
          <w:p>
            <w:pPr>
              <w:ind w:left="20"/>
              <w:spacing w:after="0" w:line="200" w:lineRule="exact"/>
              <w:rPr>
                <w:sz w:val="20"/>
                <w:szCs w:val="20"/>
                <w:color w:val="auto"/>
              </w:rPr>
            </w:pPr>
            <w:r>
              <w:rPr>
                <w:rFonts w:ascii="Arial" w:cs="Arial" w:eastAsia="Arial" w:hAnsi="Arial"/>
                <w:sz w:val="18"/>
                <w:szCs w:val="18"/>
                <w:color w:val="auto"/>
              </w:rPr>
              <w:t>resource efficiency and</w:t>
            </w:r>
          </w:p>
        </w:tc>
        <w:tc>
          <w:tcPr>
            <w:tcW w:w="120" w:type="dxa"/>
            <w:vAlign w:val="bottom"/>
            <w:tcBorders>
              <w:right w:val="single" w:sz="8" w:color="auto"/>
            </w:tcBorders>
          </w:tcPr>
          <w:p>
            <w:pPr>
              <w:spacing w:after="0"/>
              <w:rPr>
                <w:sz w:val="17"/>
                <w:szCs w:val="17"/>
                <w:color w:val="auto"/>
              </w:rPr>
            </w:pPr>
          </w:p>
        </w:tc>
        <w:tc>
          <w:tcPr>
            <w:tcW w:w="4200" w:type="dxa"/>
            <w:vAlign w:val="bottom"/>
            <w:tcBorders>
              <w:right w:val="single" w:sz="8" w:color="auto"/>
            </w:tcBorders>
            <w:shd w:val="clear" w:color="auto" w:fill="D9D9D9"/>
          </w:tcPr>
          <w:p>
            <w:pPr>
              <w:spacing w:after="0" w:line="200" w:lineRule="exact"/>
              <w:rPr>
                <w:sz w:val="20"/>
                <w:szCs w:val="20"/>
                <w:color w:val="auto"/>
              </w:rPr>
            </w:pPr>
            <w:r>
              <w:rPr>
                <w:rFonts w:ascii="Arial" w:cs="Arial" w:eastAsia="Arial" w:hAnsi="Arial"/>
                <w:sz w:val="18"/>
                <w:szCs w:val="18"/>
                <w:color w:val="auto"/>
              </w:rPr>
              <w:t>safety and diversity, equity and inclusion; continue</w:t>
            </w:r>
          </w:p>
        </w:tc>
      </w:tr>
      <w:tr>
        <w:trPr>
          <w:trHeight w:val="199"/>
        </w:trPr>
        <w:tc>
          <w:tcPr>
            <w:tcW w:w="4360" w:type="dxa"/>
            <w:vAlign w:val="bottom"/>
            <w:tcBorders>
              <w:left w:val="single" w:sz="8" w:color="auto"/>
              <w:right w:val="single" w:sz="8" w:color="auto"/>
            </w:tcBorders>
            <w:shd w:val="clear" w:color="auto" w:fill="D9D9D9"/>
          </w:tcPr>
          <w:p>
            <w:pPr>
              <w:ind w:left="20"/>
              <w:spacing w:after="0" w:line="200" w:lineRule="exact"/>
              <w:rPr>
                <w:sz w:val="20"/>
                <w:szCs w:val="20"/>
                <w:color w:val="auto"/>
              </w:rPr>
            </w:pPr>
            <w:r>
              <w:rPr>
                <w:rFonts w:ascii="Arial" w:cs="Arial" w:eastAsia="Arial" w:hAnsi="Arial"/>
                <w:sz w:val="18"/>
                <w:szCs w:val="18"/>
                <w:color w:val="auto"/>
              </w:rPr>
              <w:t>designed to yield performance and productivity and</w:t>
            </w:r>
          </w:p>
        </w:tc>
        <w:tc>
          <w:tcPr>
            <w:tcW w:w="120" w:type="dxa"/>
            <w:vAlign w:val="bottom"/>
            <w:tcBorders>
              <w:right w:val="single" w:sz="8" w:color="auto"/>
            </w:tcBorders>
          </w:tcPr>
          <w:p>
            <w:pPr>
              <w:spacing w:after="0"/>
              <w:rPr>
                <w:sz w:val="17"/>
                <w:szCs w:val="17"/>
                <w:color w:val="auto"/>
              </w:rPr>
            </w:pPr>
          </w:p>
        </w:tc>
        <w:tc>
          <w:tcPr>
            <w:tcW w:w="2400" w:type="dxa"/>
            <w:vAlign w:val="bottom"/>
            <w:tcBorders>
              <w:right w:val="single" w:sz="8" w:color="auto"/>
            </w:tcBorders>
            <w:shd w:val="clear" w:color="auto" w:fill="D9D9D9"/>
          </w:tcPr>
          <w:p>
            <w:pPr>
              <w:ind w:left="20"/>
              <w:spacing w:after="0" w:line="200" w:lineRule="exact"/>
              <w:rPr>
                <w:sz w:val="20"/>
                <w:szCs w:val="20"/>
                <w:color w:val="auto"/>
              </w:rPr>
            </w:pPr>
            <w:r>
              <w:rPr>
                <w:rFonts w:ascii="Arial" w:cs="Arial" w:eastAsia="Arial" w:hAnsi="Arial"/>
                <w:sz w:val="18"/>
                <w:szCs w:val="18"/>
                <w:color w:val="auto"/>
              </w:rPr>
              <w:t>reduce environmental</w:t>
            </w:r>
          </w:p>
        </w:tc>
        <w:tc>
          <w:tcPr>
            <w:tcW w:w="120" w:type="dxa"/>
            <w:vAlign w:val="bottom"/>
            <w:tcBorders>
              <w:right w:val="single" w:sz="8" w:color="auto"/>
            </w:tcBorders>
          </w:tcPr>
          <w:p>
            <w:pPr>
              <w:spacing w:after="0"/>
              <w:rPr>
                <w:sz w:val="17"/>
                <w:szCs w:val="17"/>
                <w:color w:val="auto"/>
              </w:rPr>
            </w:pPr>
          </w:p>
        </w:tc>
        <w:tc>
          <w:tcPr>
            <w:tcW w:w="4200" w:type="dxa"/>
            <w:vAlign w:val="bottom"/>
            <w:tcBorders>
              <w:right w:val="single" w:sz="8" w:color="auto"/>
            </w:tcBorders>
            <w:shd w:val="clear" w:color="auto" w:fill="D9D9D9"/>
          </w:tcPr>
          <w:p>
            <w:pPr>
              <w:spacing w:after="0" w:line="200" w:lineRule="exact"/>
              <w:rPr>
                <w:sz w:val="20"/>
                <w:szCs w:val="20"/>
                <w:color w:val="auto"/>
              </w:rPr>
            </w:pPr>
            <w:r>
              <w:rPr>
                <w:rFonts w:ascii="Arial" w:cs="Arial" w:eastAsia="Arial" w:hAnsi="Arial"/>
                <w:sz w:val="18"/>
                <w:szCs w:val="18"/>
                <w:color w:val="auto"/>
              </w:rPr>
              <w:t>our legacy of giving back to our communities; and</w:t>
            </w:r>
          </w:p>
        </w:tc>
      </w:tr>
      <w:tr>
        <w:trPr>
          <w:trHeight w:val="199"/>
        </w:trPr>
        <w:tc>
          <w:tcPr>
            <w:tcW w:w="4360" w:type="dxa"/>
            <w:vAlign w:val="bottom"/>
            <w:tcBorders>
              <w:left w:val="single" w:sz="8" w:color="auto"/>
              <w:right w:val="single" w:sz="8" w:color="auto"/>
            </w:tcBorders>
            <w:shd w:val="clear" w:color="auto" w:fill="D9D9D9"/>
          </w:tcPr>
          <w:p>
            <w:pPr>
              <w:ind w:left="20"/>
              <w:spacing w:after="0" w:line="200" w:lineRule="exact"/>
              <w:rPr>
                <w:sz w:val="20"/>
                <w:szCs w:val="20"/>
                <w:color w:val="auto"/>
              </w:rPr>
            </w:pPr>
            <w:r>
              <w:rPr>
                <w:rFonts w:ascii="Arial" w:cs="Arial" w:eastAsia="Arial" w:hAnsi="Arial"/>
                <w:sz w:val="18"/>
                <w:szCs w:val="18"/>
                <w:color w:val="auto"/>
              </w:rPr>
              <w:t>reduce environmental impact for the benefit for our</w:t>
            </w:r>
          </w:p>
        </w:tc>
        <w:tc>
          <w:tcPr>
            <w:tcW w:w="120" w:type="dxa"/>
            <w:vAlign w:val="bottom"/>
            <w:tcBorders>
              <w:right w:val="single" w:sz="8" w:color="auto"/>
            </w:tcBorders>
          </w:tcPr>
          <w:p>
            <w:pPr>
              <w:spacing w:after="0"/>
              <w:rPr>
                <w:sz w:val="17"/>
                <w:szCs w:val="17"/>
                <w:color w:val="auto"/>
              </w:rPr>
            </w:pPr>
          </w:p>
        </w:tc>
        <w:tc>
          <w:tcPr>
            <w:tcW w:w="2400" w:type="dxa"/>
            <w:vAlign w:val="bottom"/>
            <w:tcBorders>
              <w:right w:val="single" w:sz="8" w:color="auto"/>
            </w:tcBorders>
            <w:shd w:val="clear" w:color="auto" w:fill="D9D9D9"/>
          </w:tcPr>
          <w:p>
            <w:pPr>
              <w:ind w:left="20"/>
              <w:spacing w:after="0" w:line="200" w:lineRule="exact"/>
              <w:rPr>
                <w:sz w:val="20"/>
                <w:szCs w:val="20"/>
                <w:color w:val="auto"/>
              </w:rPr>
            </w:pPr>
            <w:r>
              <w:rPr>
                <w:rFonts w:ascii="Arial" w:cs="Arial" w:eastAsia="Arial" w:hAnsi="Arial"/>
                <w:sz w:val="18"/>
                <w:szCs w:val="18"/>
                <w:color w:val="auto"/>
              </w:rPr>
              <w:t>impacts across our</w:t>
            </w:r>
          </w:p>
        </w:tc>
        <w:tc>
          <w:tcPr>
            <w:tcW w:w="120" w:type="dxa"/>
            <w:vAlign w:val="bottom"/>
            <w:tcBorders>
              <w:right w:val="single" w:sz="8" w:color="auto"/>
            </w:tcBorders>
          </w:tcPr>
          <w:p>
            <w:pPr>
              <w:spacing w:after="0"/>
              <w:rPr>
                <w:sz w:val="17"/>
                <w:szCs w:val="17"/>
                <w:color w:val="auto"/>
              </w:rPr>
            </w:pPr>
          </w:p>
        </w:tc>
        <w:tc>
          <w:tcPr>
            <w:tcW w:w="4200" w:type="dxa"/>
            <w:vAlign w:val="bottom"/>
            <w:tcBorders>
              <w:right w:val="single" w:sz="8" w:color="auto"/>
            </w:tcBorders>
            <w:shd w:val="clear" w:color="auto" w:fill="D9D9D9"/>
          </w:tcPr>
          <w:p>
            <w:pPr>
              <w:spacing w:after="0" w:line="200" w:lineRule="exact"/>
              <w:rPr>
                <w:sz w:val="20"/>
                <w:szCs w:val="20"/>
                <w:color w:val="auto"/>
              </w:rPr>
            </w:pPr>
            <w:r>
              <w:rPr>
                <w:rFonts w:ascii="Arial" w:cs="Arial" w:eastAsia="Arial" w:hAnsi="Arial"/>
                <w:sz w:val="18"/>
                <w:szCs w:val="18"/>
                <w:color w:val="auto"/>
              </w:rPr>
              <w:t>conduct business with integrity and the highest</w:t>
            </w:r>
          </w:p>
        </w:tc>
      </w:tr>
      <w:tr>
        <w:trPr>
          <w:trHeight w:val="213"/>
        </w:trPr>
        <w:tc>
          <w:tcPr>
            <w:tcW w:w="4360" w:type="dxa"/>
            <w:vAlign w:val="bottom"/>
            <w:tcBorders>
              <w:left w:val="single" w:sz="8" w:color="auto"/>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8"/>
                <w:szCs w:val="18"/>
                <w:color w:val="auto"/>
              </w:rPr>
              <w:t>customers.</w:t>
            </w:r>
          </w:p>
        </w:tc>
        <w:tc>
          <w:tcPr>
            <w:tcW w:w="120" w:type="dxa"/>
            <w:vAlign w:val="bottom"/>
            <w:tcBorders>
              <w:right w:val="single" w:sz="8" w:color="auto"/>
            </w:tcBorders>
          </w:tcPr>
          <w:p>
            <w:pPr>
              <w:spacing w:after="0"/>
              <w:rPr>
                <w:sz w:val="18"/>
                <w:szCs w:val="18"/>
                <w:color w:val="auto"/>
              </w:rPr>
            </w:pPr>
          </w:p>
        </w:tc>
        <w:tc>
          <w:tcPr>
            <w:tcW w:w="240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8"/>
                <w:szCs w:val="18"/>
                <w:color w:val="auto"/>
              </w:rPr>
              <w:t>operations.</w:t>
            </w:r>
          </w:p>
        </w:tc>
        <w:tc>
          <w:tcPr>
            <w:tcW w:w="120" w:type="dxa"/>
            <w:vAlign w:val="bottom"/>
            <w:tcBorders>
              <w:right w:val="single" w:sz="8" w:color="auto"/>
            </w:tcBorders>
          </w:tcPr>
          <w:p>
            <w:pPr>
              <w:spacing w:after="0"/>
              <w:rPr>
                <w:sz w:val="18"/>
                <w:szCs w:val="18"/>
                <w:color w:val="auto"/>
              </w:rPr>
            </w:pPr>
          </w:p>
        </w:tc>
        <w:tc>
          <w:tcPr>
            <w:tcW w:w="4200" w:type="dxa"/>
            <w:vAlign w:val="bottom"/>
            <w:tcBorders>
              <w:bottom w:val="single" w:sz="8" w:color="auto"/>
              <w:right w:val="single" w:sz="8" w:color="auto"/>
            </w:tcBorders>
            <w:shd w:val="clear" w:color="auto" w:fill="D9D9D9"/>
          </w:tcPr>
          <w:p>
            <w:pPr>
              <w:spacing w:after="0"/>
              <w:rPr>
                <w:sz w:val="20"/>
                <w:szCs w:val="20"/>
                <w:color w:val="auto"/>
              </w:rPr>
            </w:pPr>
            <w:r>
              <w:rPr>
                <w:rFonts w:ascii="Arial" w:cs="Arial" w:eastAsia="Arial" w:hAnsi="Arial"/>
                <w:sz w:val="18"/>
                <w:szCs w:val="18"/>
                <w:color w:val="auto"/>
              </w:rPr>
              <w:t>standards of ethical behavior.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34225" cy="168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168910"/>
                    </a:xfrm>
                    <a:prstGeom prst="rect">
                      <a:avLst/>
                    </a:prstGeom>
                    <a:noFill/>
                  </pic:spPr>
                </pic:pic>
              </a:graphicData>
            </a:graphic>
          </wp:anchor>
        </w:drawing>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C00000"/>
        </w:rPr>
        <w:t xml:space="preserve">PLANNING: </w:t>
      </w:r>
      <w:r>
        <w:rPr>
          <w:rFonts w:ascii="Arial" w:cs="Arial" w:eastAsia="Arial" w:hAnsi="Arial"/>
          <w:sz w:val="18"/>
          <w:szCs w:val="18"/>
          <w:color w:val="000000"/>
        </w:rPr>
        <w:t>Enhance transparency and disclosure of goals and achievements.</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2022 Annual Meeting of Shareholders</w:t>
      </w:r>
    </w:p>
    <w:p>
      <w:pPr>
        <w:spacing w:after="0" w:line="108" w:lineRule="exact"/>
        <w:rPr>
          <w:sz w:val="20"/>
          <w:szCs w:val="20"/>
          <w:color w:val="auto"/>
        </w:rPr>
      </w:pPr>
    </w:p>
    <w:tbl>
      <w:tblPr>
        <w:tblLayout w:type="fixed"/>
        <w:tblInd w:w="610" w:type="dxa"/>
        <w:tblCellMar>
          <w:top w:w="0" w:type="dxa"/>
          <w:left w:w="0" w:type="dxa"/>
          <w:bottom w:w="0" w:type="dxa"/>
          <w:right w:w="0" w:type="dxa"/>
        </w:tblCellMar>
      </w:tblPr>
      <w:tr>
        <w:trPr>
          <w:trHeight w:val="278"/>
        </w:trPr>
        <w:tc>
          <w:tcPr>
            <w:tcW w:w="3080" w:type="dxa"/>
            <w:vAlign w:val="bottom"/>
            <w:tcBorders>
              <w:top w:val="single" w:sz="8" w:color="auto"/>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C00000"/>
              </w:rPr>
              <w:t>Date and Time</w:t>
            </w:r>
          </w:p>
        </w:tc>
        <w:tc>
          <w:tcPr>
            <w:tcW w:w="100" w:type="dxa"/>
            <w:vAlign w:val="bottom"/>
            <w:tcBorders>
              <w:right w:val="single" w:sz="8" w:color="auto"/>
            </w:tcBorders>
          </w:tcPr>
          <w:p>
            <w:pPr>
              <w:spacing w:after="0"/>
              <w:rPr>
                <w:sz w:val="24"/>
                <w:szCs w:val="24"/>
                <w:color w:val="auto"/>
              </w:rPr>
            </w:pPr>
          </w:p>
        </w:tc>
        <w:tc>
          <w:tcPr>
            <w:tcW w:w="4900" w:type="dxa"/>
            <w:vAlign w:val="bottom"/>
            <w:tcBorders>
              <w:top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18"/>
                <w:szCs w:val="18"/>
                <w:b w:val="1"/>
                <w:bCs w:val="1"/>
                <w:color w:val="C00000"/>
              </w:rPr>
              <w:t>Location</w:t>
            </w:r>
          </w:p>
        </w:tc>
        <w:tc>
          <w:tcPr>
            <w:tcW w:w="100" w:type="dxa"/>
            <w:vAlign w:val="bottom"/>
            <w:tcBorders>
              <w:right w:val="single" w:sz="8" w:color="auto"/>
            </w:tcBorders>
          </w:tcPr>
          <w:p>
            <w:pPr>
              <w:spacing w:after="0"/>
              <w:rPr>
                <w:sz w:val="24"/>
                <w:szCs w:val="24"/>
                <w:color w:val="auto"/>
              </w:rPr>
            </w:pPr>
          </w:p>
        </w:tc>
        <w:tc>
          <w:tcPr>
            <w:tcW w:w="1880" w:type="dxa"/>
            <w:vAlign w:val="bottom"/>
            <w:tcBorders>
              <w:top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18"/>
                <w:szCs w:val="18"/>
                <w:b w:val="1"/>
                <w:bCs w:val="1"/>
                <w:color w:val="C00000"/>
              </w:rPr>
              <w:t>Record Date</w:t>
            </w:r>
          </w:p>
        </w:tc>
      </w:tr>
      <w:tr>
        <w:trPr>
          <w:trHeight w:val="199"/>
        </w:trPr>
        <w:tc>
          <w:tcPr>
            <w:tcW w:w="3080" w:type="dxa"/>
            <w:vAlign w:val="bottom"/>
            <w:tcBorders>
              <w:left w:val="single" w:sz="8" w:color="auto"/>
              <w:right w:val="single" w:sz="8" w:color="auto"/>
            </w:tcBorders>
            <w:shd w:val="clear" w:color="auto" w:fill="D9D9D9"/>
          </w:tcPr>
          <w:p>
            <w:pPr>
              <w:ind w:left="140"/>
              <w:spacing w:after="0" w:line="200" w:lineRule="exact"/>
              <w:rPr>
                <w:sz w:val="20"/>
                <w:szCs w:val="20"/>
                <w:color w:val="auto"/>
              </w:rPr>
            </w:pPr>
            <w:r>
              <w:rPr>
                <w:rFonts w:ascii="Arial" w:cs="Arial" w:eastAsia="Arial" w:hAnsi="Arial"/>
                <w:sz w:val="18"/>
                <w:szCs w:val="18"/>
                <w:color w:val="auto"/>
              </w:rPr>
              <w:t>Tuesday, March 15, 2022</w:t>
            </w:r>
          </w:p>
        </w:tc>
        <w:tc>
          <w:tcPr>
            <w:tcW w:w="100" w:type="dxa"/>
            <w:vAlign w:val="bottom"/>
            <w:tcBorders>
              <w:right w:val="single" w:sz="8" w:color="auto"/>
            </w:tcBorders>
          </w:tcPr>
          <w:p>
            <w:pPr>
              <w:spacing w:after="0"/>
              <w:rPr>
                <w:sz w:val="17"/>
                <w:szCs w:val="17"/>
                <w:color w:val="auto"/>
              </w:rPr>
            </w:pPr>
          </w:p>
        </w:tc>
        <w:tc>
          <w:tcPr>
            <w:tcW w:w="4900" w:type="dxa"/>
            <w:vAlign w:val="bottom"/>
            <w:tcBorders>
              <w:right w:val="single" w:sz="8" w:color="auto"/>
            </w:tcBorders>
            <w:shd w:val="clear" w:color="auto" w:fill="D9D9D9"/>
          </w:tcPr>
          <w:p>
            <w:pPr>
              <w:ind w:left="120"/>
              <w:spacing w:after="0" w:line="200" w:lineRule="exact"/>
              <w:rPr>
                <w:sz w:val="20"/>
                <w:szCs w:val="20"/>
                <w:color w:val="auto"/>
              </w:rPr>
            </w:pPr>
            <w:r>
              <w:rPr>
                <w:rFonts w:ascii="Arial" w:cs="Arial" w:eastAsia="Arial" w:hAnsi="Arial"/>
                <w:sz w:val="18"/>
                <w:szCs w:val="18"/>
                <w:color w:val="auto"/>
              </w:rPr>
              <w:t>www.virtualshareholdermeeting.com/TTC2022</w:t>
            </w:r>
          </w:p>
        </w:tc>
        <w:tc>
          <w:tcPr>
            <w:tcW w:w="10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shd w:val="clear" w:color="auto" w:fill="D9D9D9"/>
          </w:tcPr>
          <w:p>
            <w:pPr>
              <w:ind w:left="100"/>
              <w:spacing w:after="0" w:line="200" w:lineRule="exact"/>
              <w:rPr>
                <w:sz w:val="20"/>
                <w:szCs w:val="20"/>
                <w:color w:val="auto"/>
              </w:rPr>
            </w:pPr>
            <w:r>
              <w:rPr>
                <w:rFonts w:ascii="Arial" w:cs="Arial" w:eastAsia="Arial" w:hAnsi="Arial"/>
                <w:sz w:val="18"/>
                <w:szCs w:val="18"/>
                <w:color w:val="auto"/>
              </w:rPr>
              <w:t>January 18, 2022</w:t>
            </w:r>
          </w:p>
        </w:tc>
      </w:tr>
      <w:tr>
        <w:trPr>
          <w:trHeight w:val="213"/>
        </w:trPr>
        <w:tc>
          <w:tcPr>
            <w:tcW w:w="3080" w:type="dxa"/>
            <w:vAlign w:val="bottom"/>
            <w:tcBorders>
              <w:left w:val="single" w:sz="8" w:color="auto"/>
              <w:bottom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color w:val="auto"/>
              </w:rPr>
              <w:t>1:30 p.m. CDT</w:t>
            </w:r>
          </w:p>
        </w:tc>
        <w:tc>
          <w:tcPr>
            <w:tcW w:w="100" w:type="dxa"/>
            <w:vAlign w:val="bottom"/>
            <w:tcBorders>
              <w:right w:val="single" w:sz="8" w:color="auto"/>
            </w:tcBorders>
          </w:tcPr>
          <w:p>
            <w:pPr>
              <w:spacing w:after="0"/>
              <w:rPr>
                <w:sz w:val="18"/>
                <w:szCs w:val="18"/>
                <w:color w:val="auto"/>
              </w:rPr>
            </w:pPr>
          </w:p>
        </w:tc>
        <w:tc>
          <w:tcPr>
            <w:tcW w:w="4900" w:type="dxa"/>
            <w:vAlign w:val="bottom"/>
            <w:tcBorders>
              <w:bottom w:val="single" w:sz="8" w:color="auto"/>
              <w:right w:val="single" w:sz="8" w:color="auto"/>
            </w:tcBorders>
            <w:shd w:val="clear" w:color="auto" w:fill="D9D9D9"/>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shd w:val="clear" w:color="auto" w:fill="D9D9D9"/>
          </w:tcPr>
          <w:p>
            <w:pPr>
              <w:spacing w:after="0"/>
              <w:rPr>
                <w:sz w:val="18"/>
                <w:szCs w:val="18"/>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Meeting Agenda Voting Matters and Recommendations</w:t>
      </w:r>
    </w:p>
    <w:p>
      <w:pPr>
        <w:spacing w:after="0" w:line="108" w:lineRule="exact"/>
        <w:rPr>
          <w:sz w:val="20"/>
          <w:szCs w:val="20"/>
          <w:color w:val="auto"/>
        </w:rPr>
      </w:pPr>
    </w:p>
    <w:tbl>
      <w:tblPr>
        <w:tblLayout w:type="fixed"/>
        <w:tblInd w:w="10" w:type="dxa"/>
        <w:tblCellMar>
          <w:top w:w="0" w:type="dxa"/>
          <w:left w:w="0" w:type="dxa"/>
          <w:bottom w:w="0" w:type="dxa"/>
          <w:right w:w="0" w:type="dxa"/>
        </w:tblCellMar>
      </w:tblPr>
      <w:tr>
        <w:trPr>
          <w:trHeight w:val="278"/>
        </w:trPr>
        <w:tc>
          <w:tcPr>
            <w:tcW w:w="8520" w:type="dxa"/>
            <w:vAlign w:val="bottom"/>
            <w:tcBorders>
              <w:top w:val="single" w:sz="8" w:color="auto"/>
              <w:left w:val="single" w:sz="8" w:color="auto"/>
            </w:tcBorders>
            <w:shd w:val="clear" w:color="auto" w:fill="D9D9D9"/>
          </w:tcPr>
          <w:p>
            <w:pPr>
              <w:ind w:left="60"/>
              <w:spacing w:after="0"/>
              <w:rPr>
                <w:sz w:val="20"/>
                <w:szCs w:val="20"/>
                <w:color w:val="auto"/>
              </w:rPr>
            </w:pPr>
            <w:r>
              <w:rPr>
                <w:rFonts w:ascii="Arial" w:cs="Arial" w:eastAsia="Arial" w:hAnsi="Arial"/>
                <w:sz w:val="18"/>
                <w:szCs w:val="18"/>
                <w:b w:val="1"/>
                <w:bCs w:val="1"/>
                <w:color w:val="C00000"/>
              </w:rPr>
              <w:t>Proposal One</w:t>
            </w:r>
          </w:p>
        </w:tc>
        <w:tc>
          <w:tcPr>
            <w:tcW w:w="1460" w:type="dxa"/>
            <w:vAlign w:val="bottom"/>
            <w:tcBorders>
              <w:top w:val="single" w:sz="8" w:color="auto"/>
            </w:tcBorders>
            <w:vMerge w:val="restart"/>
            <w:shd w:val="clear" w:color="auto" w:fill="D9D9D9"/>
          </w:tcPr>
          <w:p>
            <w:pPr>
              <w:ind w:left="100"/>
              <w:spacing w:after="0" w:line="564" w:lineRule="exact"/>
              <w:rPr>
                <w:sz w:val="20"/>
                <w:szCs w:val="20"/>
                <w:color w:val="auto"/>
              </w:rPr>
            </w:pPr>
            <w:r>
              <w:rPr>
                <w:rFonts w:ascii="MS PGothic" w:cs="MS PGothic" w:eastAsia="MS PGothic" w:hAnsi="MS PGothic"/>
                <w:sz w:val="49"/>
                <w:szCs w:val="49"/>
                <w:color w:val="C00000"/>
              </w:rPr>
              <w:t>☑</w:t>
            </w:r>
            <w:r>
              <w:rPr>
                <w:rFonts w:ascii="Arial" w:cs="Arial" w:eastAsia="Arial" w:hAnsi="Arial"/>
                <w:sz w:val="18"/>
                <w:szCs w:val="18"/>
                <w:color w:val="auto"/>
              </w:rPr>
              <w:t>FOR</w:t>
            </w:r>
          </w:p>
        </w:tc>
        <w:tc>
          <w:tcPr>
            <w:tcW w:w="1260" w:type="dxa"/>
            <w:vAlign w:val="bottom"/>
            <w:tcBorders>
              <w:top w:val="single" w:sz="8" w:color="auto"/>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8520" w:type="dxa"/>
            <w:vAlign w:val="bottom"/>
            <w:tcBorders>
              <w:left w:val="single" w:sz="8" w:color="auto"/>
            </w:tcBorders>
            <w:shd w:val="clear" w:color="auto" w:fill="D9D9D9"/>
          </w:tcPr>
          <w:p>
            <w:pPr>
              <w:ind w:left="60"/>
              <w:spacing w:after="0"/>
              <w:rPr>
                <w:sz w:val="20"/>
                <w:szCs w:val="20"/>
                <w:color w:val="auto"/>
              </w:rPr>
            </w:pPr>
            <w:r>
              <w:rPr>
                <w:rFonts w:ascii="Arial" w:cs="Arial" w:eastAsia="Arial" w:hAnsi="Arial"/>
                <w:sz w:val="18"/>
                <w:szCs w:val="18"/>
                <w:color w:val="auto"/>
              </w:rPr>
              <w:t>To elect as directors the six nominees named in this proxy statement, each to serve</w:t>
            </w:r>
          </w:p>
        </w:tc>
        <w:tc>
          <w:tcPr>
            <w:tcW w:w="1460" w:type="dxa"/>
            <w:vAlign w:val="bottom"/>
            <w:vMerge w:val="continue"/>
            <w:shd w:val="clear" w:color="auto" w:fill="D9D9D9"/>
          </w:tcPr>
          <w:p>
            <w:pPr>
              <w:spacing w:after="0"/>
              <w:rPr>
                <w:sz w:val="18"/>
                <w:szCs w:val="18"/>
                <w:color w:val="auto"/>
              </w:rPr>
            </w:pPr>
          </w:p>
        </w:tc>
        <w:tc>
          <w:tcPr>
            <w:tcW w:w="1260" w:type="dxa"/>
            <w:vAlign w:val="bottom"/>
            <w:tcBorders>
              <w:right w:val="single" w:sz="8" w:color="auto"/>
            </w:tcBorders>
            <w:shd w:val="clear" w:color="auto" w:fill="D9D9D9"/>
          </w:tcPr>
          <w:p>
            <w:pPr>
              <w:ind w:left="260"/>
              <w:spacing w:after="0"/>
              <w:rPr>
                <w:sz w:val="20"/>
                <w:szCs w:val="20"/>
                <w:color w:val="auto"/>
              </w:rPr>
            </w:pPr>
            <w:r>
              <w:rPr>
                <w:rFonts w:ascii="Arial" w:cs="Arial" w:eastAsia="Arial" w:hAnsi="Arial"/>
                <w:sz w:val="18"/>
                <w:szCs w:val="18"/>
                <w:color w:val="auto"/>
              </w:rPr>
              <w:t>Page 5</w:t>
            </w:r>
          </w:p>
        </w:tc>
        <w:tc>
          <w:tcPr>
            <w:tcW w:w="0" w:type="dxa"/>
            <w:vAlign w:val="bottom"/>
          </w:tcPr>
          <w:p>
            <w:pPr>
              <w:spacing w:after="0"/>
              <w:rPr>
                <w:sz w:val="1"/>
                <w:szCs w:val="1"/>
                <w:color w:val="auto"/>
              </w:rPr>
            </w:pPr>
          </w:p>
        </w:tc>
      </w:tr>
      <w:tr>
        <w:trPr>
          <w:trHeight w:val="160"/>
        </w:trPr>
        <w:tc>
          <w:tcPr>
            <w:tcW w:w="8520" w:type="dxa"/>
            <w:vAlign w:val="bottom"/>
            <w:tcBorders>
              <w:left w:val="single" w:sz="8" w:color="auto"/>
            </w:tcBorders>
            <w:shd w:val="clear" w:color="auto" w:fill="D9D9D9"/>
          </w:tcPr>
          <w:p>
            <w:pPr>
              <w:ind w:left="60"/>
              <w:spacing w:after="0" w:line="160" w:lineRule="exact"/>
              <w:rPr>
                <w:sz w:val="20"/>
                <w:szCs w:val="20"/>
                <w:color w:val="auto"/>
              </w:rPr>
            </w:pPr>
            <w:r>
              <w:rPr>
                <w:rFonts w:ascii="Arial" w:cs="Arial" w:eastAsia="Arial" w:hAnsi="Arial"/>
                <w:sz w:val="18"/>
                <w:szCs w:val="18"/>
                <w:color w:val="auto"/>
              </w:rPr>
              <w:t>for a term as specified in this proxy statement.</w:t>
            </w:r>
          </w:p>
        </w:tc>
        <w:tc>
          <w:tcPr>
            <w:tcW w:w="1460" w:type="dxa"/>
            <w:vAlign w:val="bottom"/>
            <w:vMerge w:val="continue"/>
            <w:shd w:val="clear" w:color="auto" w:fill="D9D9D9"/>
          </w:tcPr>
          <w:p>
            <w:pPr>
              <w:spacing w:after="0"/>
              <w:rPr>
                <w:sz w:val="13"/>
                <w:szCs w:val="13"/>
                <w:color w:val="auto"/>
              </w:rPr>
            </w:pPr>
          </w:p>
        </w:tc>
        <w:tc>
          <w:tcPr>
            <w:tcW w:w="1260" w:type="dxa"/>
            <w:vAlign w:val="bottom"/>
            <w:tcBorders>
              <w:right w:val="single" w:sz="8" w:color="auto"/>
            </w:tcBorders>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8520" w:type="dxa"/>
            <w:vAlign w:val="bottom"/>
            <w:tcBorders>
              <w:left w:val="single" w:sz="8" w:color="auto"/>
              <w:bottom w:val="single" w:sz="8" w:color="auto"/>
            </w:tcBorders>
            <w:shd w:val="clear" w:color="auto" w:fill="D9D9D9"/>
          </w:tcPr>
          <w:p>
            <w:pPr>
              <w:spacing w:after="0"/>
              <w:rPr>
                <w:sz w:val="9"/>
                <w:szCs w:val="9"/>
                <w:color w:val="auto"/>
              </w:rPr>
            </w:pPr>
          </w:p>
        </w:tc>
        <w:tc>
          <w:tcPr>
            <w:tcW w:w="1460" w:type="dxa"/>
            <w:vAlign w:val="bottom"/>
            <w:tcBorders>
              <w:bottom w:val="single" w:sz="8" w:color="auto"/>
            </w:tcBorders>
            <w:shd w:val="clear" w:color="auto" w:fill="D9D9D9"/>
          </w:tcPr>
          <w:p>
            <w:pPr>
              <w:ind w:left="100"/>
              <w:spacing w:after="0" w:line="107" w:lineRule="exact"/>
              <w:rPr>
                <w:sz w:val="20"/>
                <w:szCs w:val="20"/>
                <w:color w:val="auto"/>
              </w:rPr>
            </w:pPr>
            <w:r>
              <w:rPr>
                <w:rFonts w:ascii="Arial" w:cs="Arial" w:eastAsia="Arial" w:hAnsi="Arial"/>
                <w:sz w:val="12"/>
                <w:szCs w:val="12"/>
                <w:color w:val="auto"/>
              </w:rPr>
              <w:t>each nominee</w:t>
            </w:r>
          </w:p>
        </w:tc>
        <w:tc>
          <w:tcPr>
            <w:tcW w:w="1260" w:type="dxa"/>
            <w:vAlign w:val="bottom"/>
            <w:tcBorders>
              <w:bottom w:val="single" w:sz="8" w:color="auto"/>
              <w:right w:val="single" w:sz="8" w:color="auto"/>
            </w:tcBorders>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852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5"/>
        </w:trPr>
        <w:tc>
          <w:tcPr>
            <w:tcW w:w="8520" w:type="dxa"/>
            <w:vAlign w:val="bottom"/>
            <w:tcBorders>
              <w:left w:val="single" w:sz="8" w:color="auto"/>
            </w:tcBorders>
            <w:shd w:val="clear" w:color="auto" w:fill="D9D9D9"/>
          </w:tcPr>
          <w:p>
            <w:pPr>
              <w:ind w:left="60"/>
              <w:spacing w:after="0"/>
              <w:rPr>
                <w:sz w:val="20"/>
                <w:szCs w:val="20"/>
                <w:color w:val="auto"/>
              </w:rPr>
            </w:pPr>
            <w:r>
              <w:rPr>
                <w:rFonts w:ascii="Arial" w:cs="Arial" w:eastAsia="Arial" w:hAnsi="Arial"/>
                <w:sz w:val="18"/>
                <w:szCs w:val="18"/>
                <w:b w:val="1"/>
                <w:bCs w:val="1"/>
                <w:color w:val="C00000"/>
              </w:rPr>
              <w:t>Proposal Two</w:t>
            </w:r>
          </w:p>
        </w:tc>
        <w:tc>
          <w:tcPr>
            <w:tcW w:w="1460" w:type="dxa"/>
            <w:vAlign w:val="bottom"/>
            <w:vMerge w:val="restart"/>
            <w:shd w:val="clear" w:color="auto" w:fill="D9D9D9"/>
          </w:tcPr>
          <w:p>
            <w:pPr>
              <w:ind w:left="100"/>
              <w:spacing w:after="0" w:line="564" w:lineRule="exact"/>
              <w:rPr>
                <w:sz w:val="20"/>
                <w:szCs w:val="20"/>
                <w:color w:val="auto"/>
              </w:rPr>
            </w:pPr>
            <w:r>
              <w:rPr>
                <w:rFonts w:ascii="MS PGothic" w:cs="MS PGothic" w:eastAsia="MS PGothic" w:hAnsi="MS PGothic"/>
                <w:sz w:val="49"/>
                <w:szCs w:val="49"/>
                <w:color w:val="C00000"/>
              </w:rPr>
              <w:t>☑</w:t>
            </w:r>
            <w:r>
              <w:rPr>
                <w:rFonts w:ascii="Arial" w:cs="Arial" w:eastAsia="Arial" w:hAnsi="Arial"/>
                <w:sz w:val="18"/>
                <w:szCs w:val="18"/>
                <w:color w:val="auto"/>
              </w:rPr>
              <w:t>FOR</w:t>
            </w:r>
          </w:p>
        </w:tc>
        <w:tc>
          <w:tcPr>
            <w:tcW w:w="1260" w:type="dxa"/>
            <w:vAlign w:val="bottom"/>
            <w:tcBorders>
              <w:right w:val="single" w:sz="8" w:color="auto"/>
            </w:tcBorders>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8520" w:type="dxa"/>
            <w:vAlign w:val="bottom"/>
            <w:tcBorders>
              <w:left w:val="single" w:sz="8" w:color="auto"/>
            </w:tcBorders>
            <w:shd w:val="clear" w:color="auto" w:fill="D9D9D9"/>
          </w:tcPr>
          <w:p>
            <w:pPr>
              <w:ind w:left="60"/>
              <w:spacing w:after="0"/>
              <w:rPr>
                <w:sz w:val="20"/>
                <w:szCs w:val="20"/>
                <w:color w:val="auto"/>
              </w:rPr>
            </w:pPr>
            <w:r>
              <w:rPr>
                <w:rFonts w:ascii="Arial" w:cs="Arial" w:eastAsia="Arial" w:hAnsi="Arial"/>
                <w:sz w:val="18"/>
                <w:szCs w:val="18"/>
                <w:color w:val="auto"/>
                <w:w w:val="99"/>
              </w:rPr>
              <w:t>To ratify the selection of KPMG LLP as our independent registered public accounting firm for our fiscal year</w:t>
            </w:r>
          </w:p>
        </w:tc>
        <w:tc>
          <w:tcPr>
            <w:tcW w:w="1460" w:type="dxa"/>
            <w:vAlign w:val="bottom"/>
            <w:vMerge w:val="continue"/>
            <w:shd w:val="clear" w:color="auto" w:fill="D9D9D9"/>
          </w:tcPr>
          <w:p>
            <w:pPr>
              <w:spacing w:after="0"/>
              <w:rPr>
                <w:sz w:val="20"/>
                <w:szCs w:val="20"/>
                <w:color w:val="auto"/>
              </w:rPr>
            </w:pPr>
          </w:p>
        </w:tc>
        <w:tc>
          <w:tcPr>
            <w:tcW w:w="1260" w:type="dxa"/>
            <w:vAlign w:val="bottom"/>
            <w:tcBorders>
              <w:right w:val="single" w:sz="8" w:color="auto"/>
            </w:tcBorders>
            <w:shd w:val="clear" w:color="auto" w:fill="D9D9D9"/>
          </w:tcPr>
          <w:p>
            <w:pPr>
              <w:ind w:left="260"/>
              <w:spacing w:after="0"/>
              <w:rPr>
                <w:sz w:val="20"/>
                <w:szCs w:val="20"/>
                <w:color w:val="auto"/>
              </w:rPr>
            </w:pPr>
            <w:r>
              <w:rPr>
                <w:rFonts w:ascii="Arial" w:cs="Arial" w:eastAsia="Arial" w:hAnsi="Arial"/>
                <w:sz w:val="18"/>
                <w:szCs w:val="18"/>
                <w:color w:val="auto"/>
              </w:rPr>
              <w:t>Page 25</w:t>
            </w:r>
          </w:p>
        </w:tc>
        <w:tc>
          <w:tcPr>
            <w:tcW w:w="0" w:type="dxa"/>
            <w:vAlign w:val="bottom"/>
          </w:tcPr>
          <w:p>
            <w:pPr>
              <w:spacing w:after="0"/>
              <w:rPr>
                <w:sz w:val="1"/>
                <w:szCs w:val="1"/>
                <w:color w:val="auto"/>
              </w:rPr>
            </w:pPr>
          </w:p>
        </w:tc>
      </w:tr>
      <w:tr>
        <w:trPr>
          <w:trHeight w:val="253"/>
        </w:trPr>
        <w:tc>
          <w:tcPr>
            <w:tcW w:w="8520" w:type="dxa"/>
            <w:vAlign w:val="bottom"/>
            <w:tcBorders>
              <w:left w:val="single" w:sz="8" w:color="auto"/>
              <w:bottom w:val="single" w:sz="8" w:color="auto"/>
            </w:tcBorders>
            <w:shd w:val="clear" w:color="auto" w:fill="D9D9D9"/>
          </w:tcPr>
          <w:p>
            <w:pPr>
              <w:ind w:left="60"/>
              <w:spacing w:after="0"/>
              <w:rPr>
                <w:sz w:val="20"/>
                <w:szCs w:val="20"/>
                <w:color w:val="auto"/>
              </w:rPr>
            </w:pPr>
            <w:r>
              <w:rPr>
                <w:rFonts w:ascii="Arial" w:cs="Arial" w:eastAsia="Arial" w:hAnsi="Arial"/>
                <w:sz w:val="18"/>
                <w:szCs w:val="18"/>
                <w:color w:val="auto"/>
              </w:rPr>
              <w:t>ending October 31, 2022.</w:t>
            </w:r>
          </w:p>
        </w:tc>
        <w:tc>
          <w:tcPr>
            <w:tcW w:w="1460" w:type="dxa"/>
            <w:vAlign w:val="bottom"/>
            <w:tcBorders>
              <w:bottom w:val="single" w:sz="8" w:color="auto"/>
            </w:tcBorders>
            <w:vMerge w:val="continue"/>
            <w:shd w:val="clear" w:color="auto" w:fill="D9D9D9"/>
          </w:tcPr>
          <w:p>
            <w:pPr>
              <w:spacing w:after="0"/>
              <w:rPr>
                <w:sz w:val="22"/>
                <w:szCs w:val="22"/>
                <w:color w:val="auto"/>
              </w:rPr>
            </w:pPr>
          </w:p>
        </w:tc>
        <w:tc>
          <w:tcPr>
            <w:tcW w:w="1260" w:type="dxa"/>
            <w:vAlign w:val="bottom"/>
            <w:tcBorders>
              <w:bottom w:val="single" w:sz="8" w:color="auto"/>
              <w:right w:val="single" w:sz="8" w:color="auto"/>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73"/>
        </w:trPr>
        <w:tc>
          <w:tcPr>
            <w:tcW w:w="852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5"/>
        </w:trPr>
        <w:tc>
          <w:tcPr>
            <w:tcW w:w="8520" w:type="dxa"/>
            <w:vAlign w:val="bottom"/>
            <w:tcBorders>
              <w:left w:val="single" w:sz="8" w:color="auto"/>
            </w:tcBorders>
            <w:shd w:val="clear" w:color="auto" w:fill="D9D9D9"/>
          </w:tcPr>
          <w:p>
            <w:pPr>
              <w:ind w:left="60"/>
              <w:spacing w:after="0"/>
              <w:rPr>
                <w:sz w:val="20"/>
                <w:szCs w:val="20"/>
                <w:color w:val="auto"/>
              </w:rPr>
            </w:pPr>
            <w:r>
              <w:rPr>
                <w:rFonts w:ascii="Arial" w:cs="Arial" w:eastAsia="Arial" w:hAnsi="Arial"/>
                <w:sz w:val="18"/>
                <w:szCs w:val="18"/>
                <w:b w:val="1"/>
                <w:bCs w:val="1"/>
                <w:color w:val="C00000"/>
              </w:rPr>
              <w:t>Proposal Three</w:t>
            </w:r>
          </w:p>
        </w:tc>
        <w:tc>
          <w:tcPr>
            <w:tcW w:w="1460" w:type="dxa"/>
            <w:vAlign w:val="bottom"/>
            <w:vMerge w:val="restart"/>
            <w:shd w:val="clear" w:color="auto" w:fill="D9D9D9"/>
          </w:tcPr>
          <w:p>
            <w:pPr>
              <w:ind w:left="100"/>
              <w:spacing w:after="0" w:line="564" w:lineRule="exact"/>
              <w:rPr>
                <w:sz w:val="20"/>
                <w:szCs w:val="20"/>
                <w:color w:val="auto"/>
              </w:rPr>
            </w:pPr>
            <w:r>
              <w:rPr>
                <w:rFonts w:ascii="MS PGothic" w:cs="MS PGothic" w:eastAsia="MS PGothic" w:hAnsi="MS PGothic"/>
                <w:sz w:val="49"/>
                <w:szCs w:val="49"/>
                <w:color w:val="C00000"/>
              </w:rPr>
              <w:t>☑</w:t>
            </w:r>
            <w:r>
              <w:rPr>
                <w:rFonts w:ascii="Arial" w:cs="Arial" w:eastAsia="Arial" w:hAnsi="Arial"/>
                <w:sz w:val="18"/>
                <w:szCs w:val="18"/>
                <w:color w:val="auto"/>
              </w:rPr>
              <w:t>FOR</w:t>
            </w:r>
          </w:p>
        </w:tc>
        <w:tc>
          <w:tcPr>
            <w:tcW w:w="1260" w:type="dxa"/>
            <w:vAlign w:val="bottom"/>
            <w:tcBorders>
              <w:right w:val="single" w:sz="8" w:color="auto"/>
            </w:tcBorders>
            <w:vMerge w:val="restart"/>
            <w:shd w:val="clear" w:color="auto" w:fill="D9D9D9"/>
          </w:tcPr>
          <w:p>
            <w:pPr>
              <w:ind w:left="260"/>
              <w:spacing w:after="0"/>
              <w:rPr>
                <w:sz w:val="20"/>
                <w:szCs w:val="20"/>
                <w:color w:val="auto"/>
              </w:rPr>
            </w:pPr>
            <w:r>
              <w:rPr>
                <w:rFonts w:ascii="Arial" w:cs="Arial" w:eastAsia="Arial" w:hAnsi="Arial"/>
                <w:sz w:val="18"/>
                <w:szCs w:val="18"/>
                <w:color w:val="auto"/>
              </w:rPr>
              <w:t>Page 27</w:t>
            </w:r>
          </w:p>
        </w:tc>
        <w:tc>
          <w:tcPr>
            <w:tcW w:w="0" w:type="dxa"/>
            <w:vAlign w:val="bottom"/>
          </w:tcPr>
          <w:p>
            <w:pPr>
              <w:spacing w:after="0"/>
              <w:rPr>
                <w:sz w:val="1"/>
                <w:szCs w:val="1"/>
                <w:color w:val="auto"/>
              </w:rPr>
            </w:pPr>
          </w:p>
        </w:tc>
      </w:tr>
      <w:tr>
        <w:trPr>
          <w:trHeight w:val="133"/>
        </w:trPr>
        <w:tc>
          <w:tcPr>
            <w:tcW w:w="8520" w:type="dxa"/>
            <w:vAlign w:val="bottom"/>
            <w:tcBorders>
              <w:left w:val="single" w:sz="8" w:color="auto"/>
            </w:tcBorders>
            <w:vMerge w:val="restart"/>
            <w:shd w:val="clear" w:color="auto" w:fill="D9D9D9"/>
          </w:tcPr>
          <w:p>
            <w:pPr>
              <w:ind w:left="60"/>
              <w:spacing w:after="0"/>
              <w:rPr>
                <w:sz w:val="20"/>
                <w:szCs w:val="20"/>
                <w:color w:val="auto"/>
              </w:rPr>
            </w:pPr>
            <w:r>
              <w:rPr>
                <w:rFonts w:ascii="Arial" w:cs="Arial" w:eastAsia="Arial" w:hAnsi="Arial"/>
                <w:sz w:val="18"/>
                <w:szCs w:val="18"/>
                <w:color w:val="auto"/>
              </w:rPr>
              <w:t>To approve, on an advisory basis, our executive compensation.</w:t>
            </w:r>
          </w:p>
        </w:tc>
        <w:tc>
          <w:tcPr>
            <w:tcW w:w="1460" w:type="dxa"/>
            <w:vAlign w:val="bottom"/>
            <w:vMerge w:val="continue"/>
            <w:shd w:val="clear" w:color="auto" w:fill="D9D9D9"/>
          </w:tcPr>
          <w:p>
            <w:pPr>
              <w:spacing w:after="0"/>
              <w:rPr>
                <w:sz w:val="11"/>
                <w:szCs w:val="11"/>
                <w:color w:val="auto"/>
              </w:rPr>
            </w:pPr>
          </w:p>
        </w:tc>
        <w:tc>
          <w:tcPr>
            <w:tcW w:w="1260" w:type="dxa"/>
            <w:vAlign w:val="bottom"/>
            <w:tcBorders>
              <w:right w:val="single" w:sz="8" w:color="auto"/>
            </w:tcBorders>
            <w:vMerge w:val="continue"/>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520" w:type="dxa"/>
            <w:vAlign w:val="bottom"/>
            <w:tcBorders>
              <w:left w:val="single" w:sz="8" w:color="auto"/>
              <w:bottom w:val="single" w:sz="8" w:color="auto"/>
            </w:tcBorders>
            <w:vMerge w:val="continue"/>
            <w:shd w:val="clear" w:color="auto" w:fill="D9D9D9"/>
          </w:tcPr>
          <w:p>
            <w:pPr>
              <w:spacing w:after="0"/>
              <w:rPr>
                <w:sz w:val="13"/>
                <w:szCs w:val="13"/>
                <w:color w:val="auto"/>
              </w:rPr>
            </w:pPr>
          </w:p>
        </w:tc>
        <w:tc>
          <w:tcPr>
            <w:tcW w:w="1460" w:type="dxa"/>
            <w:vAlign w:val="bottom"/>
            <w:tcBorders>
              <w:bottom w:val="single" w:sz="8" w:color="auto"/>
            </w:tcBorders>
            <w:vMerge w:val="continue"/>
            <w:shd w:val="clear" w:color="auto" w:fill="D9D9D9"/>
          </w:tcPr>
          <w:p>
            <w:pPr>
              <w:spacing w:after="0"/>
              <w:rPr>
                <w:sz w:val="13"/>
                <w:szCs w:val="13"/>
                <w:color w:val="auto"/>
              </w:rPr>
            </w:pPr>
          </w:p>
        </w:tc>
        <w:tc>
          <w:tcPr>
            <w:tcW w:w="1260" w:type="dxa"/>
            <w:vAlign w:val="bottom"/>
            <w:tcBorders>
              <w:bottom w:val="single" w:sz="8" w:color="auto"/>
              <w:right w:val="single" w:sz="8" w:color="auto"/>
            </w:tcBorders>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852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5"/>
        </w:trPr>
        <w:tc>
          <w:tcPr>
            <w:tcW w:w="8520" w:type="dxa"/>
            <w:vAlign w:val="bottom"/>
            <w:tcBorders>
              <w:left w:val="single" w:sz="8" w:color="auto"/>
            </w:tcBorders>
            <w:shd w:val="clear" w:color="auto" w:fill="D9D9D9"/>
          </w:tcPr>
          <w:p>
            <w:pPr>
              <w:ind w:left="60"/>
              <w:spacing w:after="0"/>
              <w:rPr>
                <w:sz w:val="20"/>
                <w:szCs w:val="20"/>
                <w:color w:val="auto"/>
              </w:rPr>
            </w:pPr>
            <w:r>
              <w:rPr>
                <w:rFonts w:ascii="Arial" w:cs="Arial" w:eastAsia="Arial" w:hAnsi="Arial"/>
                <w:sz w:val="18"/>
                <w:szCs w:val="18"/>
                <w:b w:val="1"/>
                <w:bCs w:val="1"/>
                <w:color w:val="C00000"/>
              </w:rPr>
              <w:t>Proposal Four</w:t>
            </w:r>
          </w:p>
        </w:tc>
        <w:tc>
          <w:tcPr>
            <w:tcW w:w="1460" w:type="dxa"/>
            <w:vAlign w:val="bottom"/>
            <w:vMerge w:val="restart"/>
            <w:shd w:val="clear" w:color="auto" w:fill="D9D9D9"/>
          </w:tcPr>
          <w:p>
            <w:pPr>
              <w:ind w:left="100"/>
              <w:spacing w:after="0" w:line="564" w:lineRule="exact"/>
              <w:rPr>
                <w:sz w:val="20"/>
                <w:szCs w:val="20"/>
                <w:color w:val="auto"/>
              </w:rPr>
            </w:pPr>
            <w:r>
              <w:rPr>
                <w:rFonts w:ascii="MS PGothic" w:cs="MS PGothic" w:eastAsia="MS PGothic" w:hAnsi="MS PGothic"/>
                <w:sz w:val="49"/>
                <w:szCs w:val="49"/>
                <w:color w:val="C00000"/>
              </w:rPr>
              <w:t>☑</w:t>
            </w:r>
            <w:r>
              <w:rPr>
                <w:rFonts w:ascii="Arial" w:cs="Arial" w:eastAsia="Arial" w:hAnsi="Arial"/>
                <w:sz w:val="18"/>
                <w:szCs w:val="18"/>
                <w:color w:val="auto"/>
              </w:rPr>
              <w:t>FOR</w:t>
            </w:r>
          </w:p>
        </w:tc>
        <w:tc>
          <w:tcPr>
            <w:tcW w:w="1260" w:type="dxa"/>
            <w:vAlign w:val="bottom"/>
            <w:tcBorders>
              <w:right w:val="single" w:sz="8" w:color="auto"/>
            </w:tcBorders>
            <w:vMerge w:val="restart"/>
            <w:shd w:val="clear" w:color="auto" w:fill="D9D9D9"/>
          </w:tcPr>
          <w:p>
            <w:pPr>
              <w:ind w:left="260"/>
              <w:spacing w:after="0"/>
              <w:rPr>
                <w:sz w:val="20"/>
                <w:szCs w:val="20"/>
                <w:color w:val="auto"/>
              </w:rPr>
            </w:pPr>
            <w:r>
              <w:rPr>
                <w:rFonts w:ascii="Arial" w:cs="Arial" w:eastAsia="Arial" w:hAnsi="Arial"/>
                <w:sz w:val="18"/>
                <w:szCs w:val="18"/>
                <w:color w:val="auto"/>
              </w:rPr>
              <w:t>Page 29</w:t>
            </w:r>
          </w:p>
        </w:tc>
        <w:tc>
          <w:tcPr>
            <w:tcW w:w="0" w:type="dxa"/>
            <w:vAlign w:val="bottom"/>
          </w:tcPr>
          <w:p>
            <w:pPr>
              <w:spacing w:after="0"/>
              <w:rPr>
                <w:sz w:val="1"/>
                <w:szCs w:val="1"/>
                <w:color w:val="auto"/>
              </w:rPr>
            </w:pPr>
          </w:p>
        </w:tc>
      </w:tr>
      <w:tr>
        <w:trPr>
          <w:trHeight w:val="160"/>
        </w:trPr>
        <w:tc>
          <w:tcPr>
            <w:tcW w:w="8520" w:type="dxa"/>
            <w:vAlign w:val="bottom"/>
            <w:tcBorders>
              <w:left w:val="single" w:sz="8" w:color="auto"/>
            </w:tcBorders>
            <w:vMerge w:val="restart"/>
            <w:shd w:val="clear" w:color="auto" w:fill="D9D9D9"/>
          </w:tcPr>
          <w:p>
            <w:pPr>
              <w:ind w:left="60"/>
              <w:spacing w:after="0"/>
              <w:rPr>
                <w:sz w:val="20"/>
                <w:szCs w:val="20"/>
                <w:color w:val="auto"/>
              </w:rPr>
            </w:pPr>
            <w:r>
              <w:rPr>
                <w:rFonts w:ascii="Arial" w:cs="Arial" w:eastAsia="Arial" w:hAnsi="Arial"/>
                <w:sz w:val="18"/>
                <w:szCs w:val="18"/>
                <w:color w:val="auto"/>
              </w:rPr>
              <w:t>To approve The Toro Company 2022 Equity and Incentive Plan.</w:t>
            </w:r>
          </w:p>
        </w:tc>
        <w:tc>
          <w:tcPr>
            <w:tcW w:w="1460" w:type="dxa"/>
            <w:vAlign w:val="bottom"/>
            <w:vMerge w:val="continue"/>
            <w:shd w:val="clear" w:color="auto" w:fill="D9D9D9"/>
          </w:tcPr>
          <w:p>
            <w:pPr>
              <w:spacing w:after="0"/>
              <w:rPr>
                <w:sz w:val="13"/>
                <w:szCs w:val="13"/>
                <w:color w:val="auto"/>
              </w:rPr>
            </w:pPr>
          </w:p>
        </w:tc>
        <w:tc>
          <w:tcPr>
            <w:tcW w:w="1260" w:type="dxa"/>
            <w:vAlign w:val="bottom"/>
            <w:tcBorders>
              <w:right w:val="single" w:sz="8" w:color="auto"/>
            </w:tcBorders>
            <w:vMerge w:val="continue"/>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8520" w:type="dxa"/>
            <w:vAlign w:val="bottom"/>
            <w:tcBorders>
              <w:left w:val="single" w:sz="8" w:color="auto"/>
              <w:bottom w:val="single" w:sz="8" w:color="auto"/>
            </w:tcBorders>
            <w:vMerge w:val="continue"/>
            <w:shd w:val="clear" w:color="auto" w:fill="D9D9D9"/>
          </w:tcPr>
          <w:p>
            <w:pPr>
              <w:spacing w:after="0"/>
              <w:rPr>
                <w:sz w:val="15"/>
                <w:szCs w:val="15"/>
                <w:color w:val="auto"/>
              </w:rPr>
            </w:pPr>
          </w:p>
        </w:tc>
        <w:tc>
          <w:tcPr>
            <w:tcW w:w="1460" w:type="dxa"/>
            <w:vAlign w:val="bottom"/>
            <w:tcBorders>
              <w:bottom w:val="single" w:sz="8" w:color="auto"/>
            </w:tcBorders>
            <w:vMerge w:val="continue"/>
            <w:shd w:val="clear" w:color="auto" w:fill="D9D9D9"/>
          </w:tcPr>
          <w:p>
            <w:pPr>
              <w:spacing w:after="0"/>
              <w:rPr>
                <w:sz w:val="15"/>
                <w:szCs w:val="15"/>
                <w:color w:val="auto"/>
              </w:rPr>
            </w:pPr>
          </w:p>
        </w:tc>
        <w:tc>
          <w:tcPr>
            <w:tcW w:w="1260" w:type="dxa"/>
            <w:vAlign w:val="bottom"/>
            <w:tcBorders>
              <w:bottom w:val="single" w:sz="8" w:color="auto"/>
              <w:right w:val="single" w:sz="8" w:color="auto"/>
            </w:tcBorders>
            <w:shd w:val="clear" w:color="auto" w:fill="D9D9D9"/>
          </w:tcPr>
          <w:p>
            <w:pPr>
              <w:spacing w:after="0"/>
              <w:rPr>
                <w:sz w:val="15"/>
                <w:szCs w:val="15"/>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How to Cast Your Vote</w:t>
      </w:r>
    </w:p>
    <w:p>
      <w:pPr>
        <w:spacing w:after="0" w:line="105" w:lineRule="exact"/>
        <w:rPr>
          <w:sz w:val="20"/>
          <w:szCs w:val="20"/>
          <w:color w:val="auto"/>
        </w:rPr>
      </w:pPr>
    </w:p>
    <w:p>
      <w:pPr>
        <w:ind w:right="660" w:firstLine="401"/>
        <w:spacing w:after="0" w:line="263" w:lineRule="auto"/>
        <w:rPr>
          <w:sz w:val="20"/>
          <w:szCs w:val="20"/>
          <w:color w:val="auto"/>
        </w:rPr>
      </w:pPr>
      <w:r>
        <w:rPr>
          <w:rFonts w:ascii="Arial" w:cs="Arial" w:eastAsia="Arial" w:hAnsi="Arial"/>
          <w:sz w:val="18"/>
          <w:szCs w:val="18"/>
          <w:b w:val="1"/>
          <w:bCs w:val="1"/>
          <w:color w:val="auto"/>
        </w:rPr>
        <w:t xml:space="preserve">Your vote is important! </w:t>
      </w:r>
      <w:r>
        <w:rPr>
          <w:rFonts w:ascii="Arial" w:cs="Arial" w:eastAsia="Arial" w:hAnsi="Arial"/>
          <w:sz w:val="18"/>
          <w:szCs w:val="18"/>
          <w:color w:val="auto"/>
        </w:rPr>
        <w:t>Please vote your shares promptly using one of the methods listed below. See page 2 for additional voting</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w:t>
      </w:r>
    </w:p>
    <w:p>
      <w:pPr>
        <w:spacing w:after="0" w:line="54" w:lineRule="exact"/>
        <w:rPr>
          <w:sz w:val="20"/>
          <w:szCs w:val="20"/>
          <w:color w:val="auto"/>
        </w:rPr>
      </w:pPr>
    </w:p>
    <w:tbl>
      <w:tblPr>
        <w:tblLayout w:type="fixed"/>
        <w:tblInd w:w="50" w:type="dxa"/>
        <w:tblCellMar>
          <w:top w:w="0" w:type="dxa"/>
          <w:left w:w="0" w:type="dxa"/>
          <w:bottom w:w="0" w:type="dxa"/>
          <w:right w:w="0" w:type="dxa"/>
        </w:tblCellMar>
      </w:tblPr>
      <w:tr>
        <w:trPr>
          <w:trHeight w:val="213"/>
        </w:trPr>
        <w:tc>
          <w:tcPr>
            <w:tcW w:w="2240" w:type="dxa"/>
            <w:vAlign w:val="bottom"/>
            <w:tcBorders>
              <w:top w:val="single" w:sz="8" w:color="auto"/>
              <w:left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8"/>
                <w:szCs w:val="18"/>
                <w:b w:val="1"/>
                <w:bCs w:val="1"/>
                <w:color w:val="C00000"/>
              </w:rPr>
              <w:t>By Internet</w:t>
            </w:r>
          </w:p>
        </w:tc>
        <w:tc>
          <w:tcPr>
            <w:tcW w:w="120" w:type="dxa"/>
            <w:vAlign w:val="bottom"/>
            <w:tcBorders>
              <w:top w:val="single" w:sz="8" w:color="auto"/>
              <w:right w:val="single" w:sz="8" w:color="auto"/>
            </w:tcBorders>
          </w:tcPr>
          <w:p>
            <w:pPr>
              <w:spacing w:after="0"/>
              <w:rPr>
                <w:sz w:val="18"/>
                <w:szCs w:val="18"/>
                <w:color w:val="auto"/>
              </w:rPr>
            </w:pPr>
          </w:p>
        </w:tc>
        <w:tc>
          <w:tcPr>
            <w:tcW w:w="1200" w:type="dxa"/>
            <w:vAlign w:val="bottom"/>
            <w:tcBorders>
              <w:top w:val="single" w:sz="8" w:color="auto"/>
              <w:right w:val="single" w:sz="8" w:color="auto"/>
            </w:tcBorders>
            <w:shd w:val="clear" w:color="auto" w:fill="D9D9D9"/>
          </w:tcPr>
          <w:p>
            <w:pPr>
              <w:ind w:left="60"/>
              <w:spacing w:after="0"/>
              <w:rPr>
                <w:sz w:val="20"/>
                <w:szCs w:val="20"/>
                <w:color w:val="auto"/>
              </w:rPr>
            </w:pPr>
            <w:r>
              <w:rPr>
                <w:rFonts w:ascii="Arial" w:cs="Arial" w:eastAsia="Arial" w:hAnsi="Arial"/>
                <w:sz w:val="18"/>
                <w:szCs w:val="18"/>
                <w:b w:val="1"/>
                <w:bCs w:val="1"/>
                <w:color w:val="C00000"/>
              </w:rPr>
              <w:t>By Phone</w:t>
            </w:r>
          </w:p>
        </w:tc>
        <w:tc>
          <w:tcPr>
            <w:tcW w:w="100" w:type="dxa"/>
            <w:vAlign w:val="bottom"/>
            <w:tcBorders>
              <w:top w:val="single" w:sz="8" w:color="auto"/>
              <w:right w:val="single" w:sz="8" w:color="auto"/>
            </w:tcBorders>
          </w:tcPr>
          <w:p>
            <w:pPr>
              <w:spacing w:after="0"/>
              <w:rPr>
                <w:sz w:val="18"/>
                <w:szCs w:val="18"/>
                <w:color w:val="auto"/>
              </w:rPr>
            </w:pPr>
          </w:p>
        </w:tc>
        <w:tc>
          <w:tcPr>
            <w:tcW w:w="1280" w:type="dxa"/>
            <w:vAlign w:val="bottom"/>
            <w:tcBorders>
              <w:top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8"/>
                <w:szCs w:val="18"/>
                <w:b w:val="1"/>
                <w:bCs w:val="1"/>
                <w:color w:val="C00000"/>
              </w:rPr>
              <w:t>By Mobile</w:t>
            </w:r>
          </w:p>
        </w:tc>
        <w:tc>
          <w:tcPr>
            <w:tcW w:w="100" w:type="dxa"/>
            <w:vAlign w:val="bottom"/>
            <w:tcBorders>
              <w:top w:val="single" w:sz="8" w:color="auto"/>
              <w:right w:val="single" w:sz="8" w:color="auto"/>
            </w:tcBorders>
          </w:tcPr>
          <w:p>
            <w:pPr>
              <w:spacing w:after="0"/>
              <w:rPr>
                <w:sz w:val="18"/>
                <w:szCs w:val="18"/>
                <w:color w:val="auto"/>
              </w:rPr>
            </w:pPr>
          </w:p>
        </w:tc>
        <w:tc>
          <w:tcPr>
            <w:tcW w:w="1260" w:type="dxa"/>
            <w:vAlign w:val="bottom"/>
            <w:tcBorders>
              <w:top w:val="single" w:sz="8" w:color="auto"/>
              <w:right w:val="single" w:sz="8" w:color="auto"/>
            </w:tcBorders>
            <w:shd w:val="clear" w:color="auto" w:fill="D9D9D9"/>
          </w:tcPr>
          <w:p>
            <w:pPr>
              <w:ind w:left="60"/>
              <w:spacing w:after="0"/>
              <w:rPr>
                <w:sz w:val="20"/>
                <w:szCs w:val="20"/>
                <w:color w:val="auto"/>
              </w:rPr>
            </w:pPr>
            <w:r>
              <w:rPr>
                <w:rFonts w:ascii="Arial" w:cs="Arial" w:eastAsia="Arial" w:hAnsi="Arial"/>
                <w:sz w:val="18"/>
                <w:szCs w:val="18"/>
                <w:b w:val="1"/>
                <w:bCs w:val="1"/>
                <w:color w:val="C00000"/>
              </w:rPr>
              <w:t>By Mail</w:t>
            </w:r>
          </w:p>
        </w:tc>
        <w:tc>
          <w:tcPr>
            <w:tcW w:w="100" w:type="dxa"/>
            <w:vAlign w:val="bottom"/>
            <w:tcBorders>
              <w:top w:val="single" w:sz="8" w:color="auto"/>
              <w:right w:val="single" w:sz="8" w:color="auto"/>
            </w:tcBorders>
          </w:tcPr>
          <w:p>
            <w:pPr>
              <w:spacing w:after="0"/>
              <w:rPr>
                <w:sz w:val="18"/>
                <w:szCs w:val="18"/>
                <w:color w:val="auto"/>
              </w:rPr>
            </w:pPr>
          </w:p>
        </w:tc>
        <w:tc>
          <w:tcPr>
            <w:tcW w:w="4780" w:type="dxa"/>
            <w:vAlign w:val="bottom"/>
            <w:tcBorders>
              <w:top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8"/>
                <w:szCs w:val="18"/>
                <w:b w:val="1"/>
                <w:bCs w:val="1"/>
                <w:color w:val="C00000"/>
              </w:rPr>
              <w:t>By Attending the Meeting Virtually</w:t>
            </w:r>
          </w:p>
        </w:tc>
      </w:tr>
      <w:tr>
        <w:trPr>
          <w:trHeight w:val="238"/>
        </w:trPr>
        <w:tc>
          <w:tcPr>
            <w:tcW w:w="2240" w:type="dxa"/>
            <w:vAlign w:val="bottom"/>
            <w:tcBorders>
              <w:left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8"/>
                <w:szCs w:val="18"/>
                <w:color w:val="auto"/>
              </w:rPr>
              <w:t>Go to</w:t>
            </w:r>
          </w:p>
        </w:tc>
        <w:tc>
          <w:tcPr>
            <w:tcW w:w="12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shd w:val="clear" w:color="auto" w:fill="D9D9D9"/>
          </w:tcPr>
          <w:p>
            <w:pPr>
              <w:ind w:left="60"/>
              <w:spacing w:after="0"/>
              <w:rPr>
                <w:sz w:val="20"/>
                <w:szCs w:val="20"/>
                <w:color w:val="auto"/>
              </w:rPr>
            </w:pPr>
            <w:r>
              <w:rPr>
                <w:rFonts w:ascii="Arial" w:cs="Arial" w:eastAsia="Arial" w:hAnsi="Arial"/>
                <w:sz w:val="18"/>
                <w:szCs w:val="18"/>
                <w:color w:val="auto"/>
              </w:rPr>
              <w:t>Call</w:t>
            </w:r>
          </w:p>
        </w:tc>
        <w:tc>
          <w:tcPr>
            <w:tcW w:w="10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shd w:val="clear" w:color="auto" w:fill="D9D9D9"/>
          </w:tcPr>
          <w:p>
            <w:pPr>
              <w:ind w:left="80"/>
              <w:spacing w:after="0"/>
              <w:rPr>
                <w:sz w:val="20"/>
                <w:szCs w:val="20"/>
                <w:color w:val="auto"/>
              </w:rPr>
            </w:pPr>
            <w:r>
              <w:rPr>
                <w:rFonts w:ascii="Arial" w:cs="Arial" w:eastAsia="Arial" w:hAnsi="Arial"/>
                <w:sz w:val="18"/>
                <w:szCs w:val="18"/>
                <w:b w:val="1"/>
                <w:bCs w:val="1"/>
                <w:color w:val="C00000"/>
              </w:rPr>
              <w:t>Device</w:t>
            </w:r>
          </w:p>
        </w:tc>
        <w:tc>
          <w:tcPr>
            <w:tcW w:w="10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shd w:val="clear" w:color="auto" w:fill="D9D9D9"/>
          </w:tcPr>
          <w:p>
            <w:pPr>
              <w:ind w:left="60"/>
              <w:spacing w:after="0"/>
              <w:rPr>
                <w:sz w:val="20"/>
                <w:szCs w:val="20"/>
                <w:color w:val="auto"/>
              </w:rPr>
            </w:pPr>
            <w:r>
              <w:rPr>
                <w:rFonts w:ascii="Arial" w:cs="Arial" w:eastAsia="Arial" w:hAnsi="Arial"/>
                <w:sz w:val="18"/>
                <w:szCs w:val="18"/>
                <w:color w:val="auto"/>
              </w:rPr>
              <w:t>Return your</w:t>
            </w:r>
          </w:p>
        </w:tc>
        <w:tc>
          <w:tcPr>
            <w:tcW w:w="100" w:type="dxa"/>
            <w:vAlign w:val="bottom"/>
            <w:tcBorders>
              <w:right w:val="single" w:sz="8" w:color="auto"/>
            </w:tcBorders>
          </w:tcPr>
          <w:p>
            <w:pPr>
              <w:spacing w:after="0"/>
              <w:rPr>
                <w:sz w:val="20"/>
                <w:szCs w:val="20"/>
                <w:color w:val="auto"/>
              </w:rPr>
            </w:pPr>
          </w:p>
        </w:tc>
        <w:tc>
          <w:tcPr>
            <w:tcW w:w="4780" w:type="dxa"/>
            <w:vAlign w:val="bottom"/>
            <w:tcBorders>
              <w:right w:val="single" w:sz="8" w:color="auto"/>
            </w:tcBorders>
            <w:shd w:val="clear" w:color="auto" w:fill="D9D9D9"/>
          </w:tcPr>
          <w:p>
            <w:pPr>
              <w:ind w:left="20"/>
              <w:spacing w:after="0"/>
              <w:rPr>
                <w:sz w:val="20"/>
                <w:szCs w:val="20"/>
                <w:color w:val="auto"/>
              </w:rPr>
            </w:pPr>
            <w:r>
              <w:rPr>
                <w:rFonts w:ascii="Arial" w:cs="Arial" w:eastAsia="Arial" w:hAnsi="Arial"/>
                <w:sz w:val="18"/>
                <w:szCs w:val="18"/>
                <w:color w:val="auto"/>
              </w:rPr>
              <w:t>Visit www.virtualshareholdermeeting.com/TTC2022</w:t>
            </w:r>
          </w:p>
        </w:tc>
      </w:tr>
      <w:tr>
        <w:trPr>
          <w:trHeight w:val="199"/>
        </w:trPr>
        <w:tc>
          <w:tcPr>
            <w:tcW w:w="2240" w:type="dxa"/>
            <w:vAlign w:val="bottom"/>
            <w:tcBorders>
              <w:left w:val="single" w:sz="8" w:color="auto"/>
              <w:right w:val="single" w:sz="8" w:color="auto"/>
            </w:tcBorders>
            <w:shd w:val="clear" w:color="auto" w:fill="D9D9D9"/>
          </w:tcPr>
          <w:p>
            <w:pPr>
              <w:ind w:left="80"/>
              <w:spacing w:after="0" w:line="200" w:lineRule="exact"/>
              <w:rPr>
                <w:sz w:val="20"/>
                <w:szCs w:val="20"/>
                <w:color w:val="auto"/>
              </w:rPr>
            </w:pPr>
            <w:r>
              <w:rPr>
                <w:rFonts w:ascii="Arial" w:cs="Arial" w:eastAsia="Arial" w:hAnsi="Arial"/>
                <w:sz w:val="18"/>
                <w:szCs w:val="18"/>
                <w:color w:val="auto"/>
              </w:rPr>
              <w:t>www.proxyvote.com</w:t>
            </w:r>
          </w:p>
        </w:tc>
        <w:tc>
          <w:tcPr>
            <w:tcW w:w="12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shd w:val="clear" w:color="auto" w:fill="D9D9D9"/>
          </w:tcPr>
          <w:p>
            <w:pPr>
              <w:ind w:left="60"/>
              <w:spacing w:after="0" w:line="200" w:lineRule="exact"/>
              <w:rPr>
                <w:sz w:val="20"/>
                <w:szCs w:val="20"/>
                <w:color w:val="auto"/>
              </w:rPr>
            </w:pPr>
            <w:r>
              <w:rPr>
                <w:rFonts w:ascii="Arial" w:cs="Arial" w:eastAsia="Arial" w:hAnsi="Arial"/>
                <w:sz w:val="18"/>
                <w:szCs w:val="18"/>
                <w:color w:val="auto"/>
              </w:rPr>
              <w:t>800-690-</w:t>
            </w:r>
          </w:p>
        </w:tc>
        <w:tc>
          <w:tcPr>
            <w:tcW w:w="1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shd w:val="clear" w:color="auto" w:fill="D9D9D9"/>
          </w:tcPr>
          <w:p>
            <w:pPr>
              <w:ind w:left="80"/>
              <w:spacing w:after="0" w:line="200" w:lineRule="exact"/>
              <w:rPr>
                <w:sz w:val="20"/>
                <w:szCs w:val="20"/>
                <w:color w:val="auto"/>
              </w:rPr>
            </w:pPr>
            <w:r>
              <w:rPr>
                <w:rFonts w:ascii="Arial" w:cs="Arial" w:eastAsia="Arial" w:hAnsi="Arial"/>
                <w:sz w:val="18"/>
                <w:szCs w:val="18"/>
                <w:color w:val="auto"/>
              </w:rPr>
              <w:t>Scan the QR</w:t>
            </w:r>
          </w:p>
        </w:tc>
        <w:tc>
          <w:tcPr>
            <w:tcW w:w="10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shd w:val="clear" w:color="auto" w:fill="D9D9D9"/>
          </w:tcPr>
          <w:p>
            <w:pPr>
              <w:ind w:left="60"/>
              <w:spacing w:after="0" w:line="200" w:lineRule="exact"/>
              <w:rPr>
                <w:sz w:val="20"/>
                <w:szCs w:val="20"/>
                <w:color w:val="auto"/>
              </w:rPr>
            </w:pPr>
            <w:r>
              <w:rPr>
                <w:rFonts w:ascii="Arial" w:cs="Arial" w:eastAsia="Arial" w:hAnsi="Arial"/>
                <w:sz w:val="18"/>
                <w:szCs w:val="18"/>
                <w:color w:val="auto"/>
              </w:rPr>
              <w:t>proxy card</w:t>
            </w:r>
          </w:p>
        </w:tc>
        <w:tc>
          <w:tcPr>
            <w:tcW w:w="100" w:type="dxa"/>
            <w:vAlign w:val="bottom"/>
            <w:tcBorders>
              <w:right w:val="single" w:sz="8" w:color="auto"/>
            </w:tcBorders>
          </w:tcPr>
          <w:p>
            <w:pPr>
              <w:spacing w:after="0"/>
              <w:rPr>
                <w:sz w:val="17"/>
                <w:szCs w:val="17"/>
                <w:color w:val="auto"/>
              </w:rPr>
            </w:pPr>
          </w:p>
        </w:tc>
        <w:tc>
          <w:tcPr>
            <w:tcW w:w="4780" w:type="dxa"/>
            <w:vAlign w:val="bottom"/>
            <w:tcBorders>
              <w:right w:val="single" w:sz="8" w:color="auto"/>
            </w:tcBorders>
            <w:shd w:val="clear" w:color="auto" w:fill="D9D9D9"/>
          </w:tcPr>
          <w:p>
            <w:pPr>
              <w:spacing w:after="0"/>
              <w:rPr>
                <w:sz w:val="17"/>
                <w:szCs w:val="17"/>
                <w:color w:val="auto"/>
              </w:rPr>
            </w:pPr>
          </w:p>
        </w:tc>
      </w:tr>
      <w:tr>
        <w:trPr>
          <w:trHeight w:val="220"/>
        </w:trPr>
        <w:tc>
          <w:tcPr>
            <w:tcW w:w="2240" w:type="dxa"/>
            <w:vAlign w:val="bottom"/>
            <w:tcBorders>
              <w:left w:val="single" w:sz="8" w:color="auto"/>
              <w:bottom w:val="single" w:sz="8" w:color="D9D9D9"/>
              <w:right w:val="single" w:sz="8" w:color="auto"/>
            </w:tcBorders>
            <w:shd w:val="clear" w:color="auto" w:fill="D9D9D9"/>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200" w:type="dxa"/>
            <w:vAlign w:val="bottom"/>
            <w:tcBorders>
              <w:bottom w:val="single" w:sz="8" w:color="D9D9D9"/>
              <w:right w:val="single" w:sz="8" w:color="auto"/>
            </w:tcBorders>
            <w:shd w:val="clear" w:color="auto" w:fill="D9D9D9"/>
          </w:tcPr>
          <w:p>
            <w:pPr>
              <w:ind w:left="60"/>
              <w:spacing w:after="0"/>
              <w:rPr>
                <w:sz w:val="20"/>
                <w:szCs w:val="20"/>
                <w:color w:val="auto"/>
              </w:rPr>
            </w:pPr>
            <w:r>
              <w:rPr>
                <w:rFonts w:ascii="Arial" w:cs="Arial" w:eastAsia="Arial" w:hAnsi="Arial"/>
                <w:sz w:val="18"/>
                <w:szCs w:val="18"/>
                <w:color w:val="auto"/>
              </w:rPr>
              <w:t>6903</w:t>
            </w:r>
          </w:p>
        </w:tc>
        <w:tc>
          <w:tcPr>
            <w:tcW w:w="100" w:type="dxa"/>
            <w:vAlign w:val="bottom"/>
            <w:tcBorders>
              <w:right w:val="single" w:sz="8" w:color="auto"/>
            </w:tcBorders>
          </w:tcPr>
          <w:p>
            <w:pPr>
              <w:spacing w:after="0"/>
              <w:rPr>
                <w:sz w:val="19"/>
                <w:szCs w:val="19"/>
                <w:color w:val="auto"/>
              </w:rPr>
            </w:pPr>
          </w:p>
        </w:tc>
        <w:tc>
          <w:tcPr>
            <w:tcW w:w="1280" w:type="dxa"/>
            <w:vAlign w:val="bottom"/>
            <w:tcBorders>
              <w:bottom w:val="single" w:sz="8" w:color="D9D9D9"/>
              <w:right w:val="single" w:sz="8" w:color="auto"/>
            </w:tcBorders>
            <w:shd w:val="clear" w:color="auto" w:fill="D9D9D9"/>
          </w:tcPr>
          <w:p>
            <w:pPr>
              <w:ind w:left="80"/>
              <w:spacing w:after="0"/>
              <w:rPr>
                <w:sz w:val="20"/>
                <w:szCs w:val="20"/>
                <w:color w:val="auto"/>
              </w:rPr>
            </w:pPr>
            <w:r>
              <w:rPr>
                <w:rFonts w:ascii="Arial" w:cs="Arial" w:eastAsia="Arial" w:hAnsi="Arial"/>
                <w:sz w:val="18"/>
                <w:szCs w:val="18"/>
                <w:color w:val="auto"/>
              </w:rPr>
              <w:t>code</w:t>
            </w:r>
          </w:p>
        </w:tc>
        <w:tc>
          <w:tcPr>
            <w:tcW w:w="100" w:type="dxa"/>
            <w:vAlign w:val="bottom"/>
            <w:tcBorders>
              <w:right w:val="single" w:sz="8" w:color="auto"/>
            </w:tcBorders>
          </w:tcPr>
          <w:p>
            <w:pPr>
              <w:spacing w:after="0"/>
              <w:rPr>
                <w:sz w:val="19"/>
                <w:szCs w:val="19"/>
                <w:color w:val="auto"/>
              </w:rPr>
            </w:pPr>
          </w:p>
        </w:tc>
        <w:tc>
          <w:tcPr>
            <w:tcW w:w="1260" w:type="dxa"/>
            <w:vAlign w:val="bottom"/>
            <w:tcBorders>
              <w:bottom w:val="single" w:sz="8" w:color="D9D9D9"/>
              <w:right w:val="single" w:sz="8" w:color="auto"/>
            </w:tcBorders>
            <w:shd w:val="clear" w:color="auto" w:fill="D9D9D9"/>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4780" w:type="dxa"/>
            <w:vAlign w:val="bottom"/>
            <w:tcBorders>
              <w:bottom w:val="single" w:sz="8" w:color="D9D9D9"/>
              <w:right w:val="single" w:sz="8" w:color="auto"/>
            </w:tcBorders>
            <w:shd w:val="clear" w:color="auto" w:fill="D9D9D9"/>
          </w:tcPr>
          <w:p>
            <w:pPr>
              <w:spacing w:after="0"/>
              <w:rPr>
                <w:sz w:val="19"/>
                <w:szCs w:val="19"/>
                <w:color w:val="auto"/>
              </w:rPr>
            </w:pPr>
          </w:p>
        </w:tc>
      </w:tr>
      <w:tr>
        <w:trPr>
          <w:trHeight w:val="20"/>
        </w:trPr>
        <w:tc>
          <w:tcPr>
            <w:tcW w:w="22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780" w:type="dxa"/>
            <w:vAlign w:val="bottom"/>
            <w:tcBorders>
              <w:right w:val="single" w:sz="8" w:color="auto"/>
            </w:tcBorders>
            <w:shd w:val="clear" w:color="auto" w:fill="000000"/>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Corporate Governance Highlights</w:t>
      </w:r>
    </w:p>
    <w:p>
      <w:pPr>
        <w:spacing w:after="0" w:line="127" w:lineRule="exact"/>
        <w:rPr>
          <w:sz w:val="20"/>
          <w:szCs w:val="20"/>
          <w:color w:val="auto"/>
        </w:rPr>
      </w:pPr>
    </w:p>
    <w:p>
      <w:pPr>
        <w:ind w:right="40" w:firstLine="401"/>
        <w:spacing w:after="0" w:line="235" w:lineRule="auto"/>
        <w:rPr>
          <w:sz w:val="20"/>
          <w:szCs w:val="20"/>
          <w:color w:val="auto"/>
        </w:rPr>
      </w:pPr>
      <w:r>
        <w:rPr>
          <w:rFonts w:ascii="Arial" w:cs="Arial" w:eastAsia="Arial" w:hAnsi="Arial"/>
          <w:sz w:val="18"/>
          <w:szCs w:val="18"/>
          <w:color w:val="auto"/>
        </w:rPr>
        <w:t>Our Board provides oversight of critical matters such as our strategic plans, financial and other controls, risk management, merger and acquisition related activities, and executive succession planning. The Board reviews our major governance documents, policies and processes regularly and thoughtfully determines the structures that are appropriate for our Company at the time, which includes review or determination of the following:</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80" w:type="dxa"/>
            <w:vAlign w:val="bottom"/>
            <w:tcBorders>
              <w:right w:val="single" w:sz="8" w:color="auto"/>
            </w:tcBorders>
          </w:tcPr>
          <w:p>
            <w:pPr>
              <w:spacing w:after="0"/>
              <w:rPr>
                <w:sz w:val="21"/>
                <w:szCs w:val="21"/>
                <w:color w:val="auto"/>
              </w:rPr>
            </w:pPr>
          </w:p>
        </w:tc>
        <w:tc>
          <w:tcPr>
            <w:tcW w:w="4500" w:type="dxa"/>
            <w:vAlign w:val="bottom"/>
            <w:tcBorders>
              <w:top w:val="single" w:sz="8" w:color="auto"/>
            </w:tcBorders>
            <w:shd w:val="clear" w:color="auto" w:fill="D9D9D9"/>
          </w:tcPr>
          <w:p>
            <w:pPr>
              <w:spacing w:after="0" w:line="219" w:lineRule="exact"/>
              <w:rPr>
                <w:sz w:val="20"/>
                <w:szCs w:val="20"/>
                <w:color w:val="auto"/>
              </w:rPr>
            </w:pPr>
            <w:r>
              <w:rPr>
                <w:rFonts w:ascii="MS PGothic" w:cs="MS PGothic" w:eastAsia="MS PGothic" w:hAnsi="MS PGothic"/>
                <w:sz w:val="19"/>
                <w:szCs w:val="19"/>
                <w:color w:val="auto"/>
                <w:shd w:val="clear" w:color="auto" w:fill="C00000"/>
              </w:rPr>
              <w:t>✓</w:t>
            </w:r>
            <w:r>
              <w:rPr>
                <w:rFonts w:ascii="Arial" w:cs="Arial" w:eastAsia="Arial" w:hAnsi="Arial"/>
                <w:sz w:val="19"/>
                <w:szCs w:val="19"/>
                <w:color w:val="auto"/>
              </w:rPr>
              <w:t xml:space="preserve"> I</w:t>
            </w:r>
            <w:r>
              <w:rPr>
                <w:rFonts w:ascii="Arial" w:cs="Arial" w:eastAsia="Arial" w:hAnsi="Arial"/>
                <w:sz w:val="17"/>
                <w:szCs w:val="17"/>
                <w:color w:val="auto"/>
              </w:rPr>
              <w:t>ndependent directors (other than CEO) and</w:t>
            </w:r>
          </w:p>
        </w:tc>
        <w:tc>
          <w:tcPr>
            <w:tcW w:w="600" w:type="dxa"/>
            <w:vAlign w:val="bottom"/>
            <w:tcBorders>
              <w:top w:val="single" w:sz="8" w:color="auto"/>
              <w:right w:val="single" w:sz="8" w:color="auto"/>
            </w:tcBorders>
            <w:shd w:val="clear" w:color="auto" w:fill="D9D9D9"/>
          </w:tcPr>
          <w:p>
            <w:pPr>
              <w:spacing w:after="0"/>
              <w:rPr>
                <w:sz w:val="21"/>
                <w:szCs w:val="21"/>
                <w:color w:val="auto"/>
              </w:rPr>
            </w:pPr>
          </w:p>
        </w:tc>
        <w:tc>
          <w:tcPr>
            <w:tcW w:w="140" w:type="dxa"/>
            <w:vAlign w:val="bottom"/>
            <w:tcBorders>
              <w:top w:val="single" w:sz="8" w:color="auto"/>
              <w:right w:val="single" w:sz="8" w:color="auto"/>
            </w:tcBorders>
          </w:tcPr>
          <w:p>
            <w:pPr>
              <w:spacing w:after="0"/>
              <w:rPr>
                <w:sz w:val="21"/>
                <w:szCs w:val="21"/>
                <w:color w:val="auto"/>
              </w:rPr>
            </w:pPr>
          </w:p>
        </w:tc>
        <w:tc>
          <w:tcPr>
            <w:tcW w:w="4880" w:type="dxa"/>
            <w:vAlign w:val="bottom"/>
            <w:tcBorders>
              <w:top w:val="single" w:sz="8" w:color="auto"/>
              <w:right w:val="single" w:sz="8" w:color="auto"/>
            </w:tcBorders>
            <w:shd w:val="clear" w:color="auto" w:fill="D9D9D9"/>
          </w:tcPr>
          <w:p>
            <w:pPr>
              <w:spacing w:after="0" w:line="219" w:lineRule="exact"/>
              <w:rPr>
                <w:sz w:val="20"/>
                <w:szCs w:val="20"/>
                <w:color w:val="auto"/>
              </w:rPr>
            </w:pPr>
            <w:r>
              <w:rPr>
                <w:rFonts w:ascii="MS PGothic" w:cs="MS PGothic" w:eastAsia="MS PGothic" w:hAnsi="MS PGothic"/>
                <w:sz w:val="19"/>
                <w:szCs w:val="19"/>
                <w:color w:val="auto"/>
                <w:shd w:val="clear" w:color="auto" w:fill="C00000"/>
              </w:rPr>
              <w:t>✓</w:t>
            </w:r>
            <w:r>
              <w:rPr>
                <w:rFonts w:ascii="Arial" w:cs="Arial" w:eastAsia="Arial" w:hAnsi="Arial"/>
                <w:sz w:val="18"/>
                <w:szCs w:val="18"/>
                <w:color w:val="auto"/>
              </w:rPr>
              <w:t xml:space="preserve"> Meaningful Board strategy and risk oversight</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580" w:type="dxa"/>
            <w:vAlign w:val="bottom"/>
            <w:tcBorders>
              <w:right w:val="single" w:sz="8" w:color="auto"/>
            </w:tcBorders>
          </w:tcPr>
          <w:p>
            <w:pPr>
              <w:spacing w:after="0"/>
              <w:rPr>
                <w:sz w:val="18"/>
                <w:szCs w:val="18"/>
                <w:color w:val="auto"/>
              </w:rPr>
            </w:pPr>
          </w:p>
        </w:tc>
        <w:tc>
          <w:tcPr>
            <w:tcW w:w="4500" w:type="dxa"/>
            <w:vAlign w:val="bottom"/>
            <w:shd w:val="clear" w:color="auto" w:fill="D9D9D9"/>
          </w:tcPr>
          <w:p>
            <w:pPr>
              <w:ind w:left="180"/>
              <w:spacing w:after="0"/>
              <w:rPr>
                <w:sz w:val="20"/>
                <w:szCs w:val="20"/>
                <w:color w:val="auto"/>
              </w:rPr>
            </w:pPr>
            <w:r>
              <w:rPr>
                <w:rFonts w:ascii="Arial" w:cs="Arial" w:eastAsia="Arial" w:hAnsi="Arial"/>
                <w:sz w:val="18"/>
                <w:szCs w:val="18"/>
                <w:color w:val="auto"/>
              </w:rPr>
              <w:t>committee status</w:t>
            </w:r>
          </w:p>
        </w:tc>
        <w:tc>
          <w:tcPr>
            <w:tcW w:w="600" w:type="dxa"/>
            <w:vAlign w:val="bottom"/>
            <w:tcBorders>
              <w:right w:val="single" w:sz="8" w:color="auto"/>
            </w:tcBorders>
            <w:shd w:val="clear" w:color="auto" w:fill="D9D9D9"/>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4880" w:type="dxa"/>
            <w:vAlign w:val="bottom"/>
            <w:tcBorders>
              <w:right w:val="single" w:sz="8" w:color="auto"/>
            </w:tcBorders>
            <w:vMerge w:val="restart"/>
            <w:shd w:val="clear" w:color="auto" w:fill="D9D9D9"/>
          </w:tcPr>
          <w:p>
            <w:pPr>
              <w:spacing w:after="0" w:line="219" w:lineRule="exact"/>
              <w:rPr>
                <w:sz w:val="20"/>
                <w:szCs w:val="20"/>
                <w:color w:val="auto"/>
              </w:rPr>
            </w:pPr>
            <w:r>
              <w:rPr>
                <w:rFonts w:ascii="MS PGothic" w:cs="MS PGothic" w:eastAsia="MS PGothic" w:hAnsi="MS PGothic"/>
                <w:sz w:val="19"/>
                <w:szCs w:val="19"/>
                <w:color w:val="auto"/>
                <w:shd w:val="clear" w:color="auto" w:fill="C00000"/>
              </w:rPr>
              <w:t>✓</w:t>
            </w:r>
            <w:r>
              <w:rPr>
                <w:rFonts w:ascii="Arial" w:cs="Arial" w:eastAsia="Arial" w:hAnsi="Arial"/>
                <w:sz w:val="18"/>
                <w:szCs w:val="18"/>
                <w:color w:val="auto"/>
              </w:rPr>
              <w:t xml:space="preserve"> Annual Board and committee self-evaluations</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580" w:type="dxa"/>
            <w:vAlign w:val="bottom"/>
            <w:tcBorders>
              <w:right w:val="single" w:sz="8" w:color="auto"/>
            </w:tcBorders>
          </w:tcPr>
          <w:p>
            <w:pPr>
              <w:spacing w:after="0"/>
              <w:rPr>
                <w:sz w:val="10"/>
                <w:szCs w:val="10"/>
                <w:color w:val="auto"/>
              </w:rPr>
            </w:pPr>
          </w:p>
        </w:tc>
        <w:tc>
          <w:tcPr>
            <w:tcW w:w="4500" w:type="dxa"/>
            <w:vAlign w:val="bottom"/>
            <w:vMerge w:val="restart"/>
            <w:shd w:val="clear" w:color="auto" w:fill="D9D9D9"/>
          </w:tcPr>
          <w:p>
            <w:pPr>
              <w:spacing w:after="0" w:line="219" w:lineRule="exact"/>
              <w:rPr>
                <w:sz w:val="20"/>
                <w:szCs w:val="20"/>
                <w:color w:val="auto"/>
              </w:rPr>
            </w:pPr>
            <w:r>
              <w:rPr>
                <w:rFonts w:ascii="MS PGothic" w:cs="MS PGothic" w:eastAsia="MS PGothic" w:hAnsi="MS PGothic"/>
                <w:sz w:val="19"/>
                <w:szCs w:val="19"/>
                <w:color w:val="auto"/>
                <w:shd w:val="clear" w:color="auto" w:fill="C00000"/>
              </w:rPr>
              <w:t>✓</w:t>
            </w:r>
            <w:r>
              <w:rPr>
                <w:rFonts w:ascii="Arial" w:cs="Arial" w:eastAsia="Arial" w:hAnsi="Arial"/>
                <w:sz w:val="18"/>
                <w:szCs w:val="18"/>
                <w:color w:val="auto"/>
              </w:rPr>
              <w:t xml:space="preserve"> Effective lead director structure</w:t>
            </w:r>
          </w:p>
        </w:tc>
        <w:tc>
          <w:tcPr>
            <w:tcW w:w="600" w:type="dxa"/>
            <w:vAlign w:val="bottom"/>
            <w:tcBorders>
              <w:right w:val="single" w:sz="8" w:color="auto"/>
            </w:tcBorders>
            <w:shd w:val="clear" w:color="auto" w:fill="D9D9D9"/>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880" w:type="dxa"/>
            <w:vAlign w:val="bottom"/>
            <w:tcBorders>
              <w:right w:val="single" w:sz="8" w:color="auto"/>
            </w:tcBorders>
            <w:vMerge w:val="continue"/>
            <w:shd w:val="clear" w:color="auto" w:fill="D9D9D9"/>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9"/>
        </w:trPr>
        <w:tc>
          <w:tcPr>
            <w:tcW w:w="580" w:type="dxa"/>
            <w:vAlign w:val="bottom"/>
            <w:tcBorders>
              <w:right w:val="single" w:sz="8" w:color="auto"/>
            </w:tcBorders>
          </w:tcPr>
          <w:p>
            <w:pPr>
              <w:spacing w:after="0"/>
              <w:rPr>
                <w:sz w:val="17"/>
                <w:szCs w:val="17"/>
                <w:color w:val="auto"/>
              </w:rPr>
            </w:pPr>
          </w:p>
        </w:tc>
        <w:tc>
          <w:tcPr>
            <w:tcW w:w="4500" w:type="dxa"/>
            <w:vAlign w:val="bottom"/>
            <w:vMerge w:val="continue"/>
            <w:shd w:val="clear" w:color="auto" w:fill="D9D9D9"/>
          </w:tcPr>
          <w:p>
            <w:pPr>
              <w:spacing w:after="0"/>
              <w:rPr>
                <w:sz w:val="17"/>
                <w:szCs w:val="17"/>
                <w:color w:val="auto"/>
              </w:rPr>
            </w:pPr>
          </w:p>
        </w:tc>
        <w:tc>
          <w:tcPr>
            <w:tcW w:w="600" w:type="dxa"/>
            <w:vAlign w:val="bottom"/>
            <w:tcBorders>
              <w:right w:val="single" w:sz="8" w:color="auto"/>
            </w:tcBorders>
            <w:shd w:val="clear" w:color="auto" w:fill="D9D9D9"/>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880" w:type="dxa"/>
            <w:vAlign w:val="bottom"/>
            <w:tcBorders>
              <w:right w:val="single" w:sz="8" w:color="auto"/>
            </w:tcBorders>
            <w:vMerge w:val="restart"/>
            <w:shd w:val="clear" w:color="auto" w:fill="D9D9D9"/>
          </w:tcPr>
          <w:p>
            <w:pPr>
              <w:spacing w:after="0" w:line="219" w:lineRule="exact"/>
              <w:rPr>
                <w:sz w:val="20"/>
                <w:szCs w:val="20"/>
                <w:color w:val="auto"/>
              </w:rPr>
            </w:pPr>
            <w:r>
              <w:rPr>
                <w:rFonts w:ascii="MS PGothic" w:cs="MS PGothic" w:eastAsia="MS PGothic" w:hAnsi="MS PGothic"/>
                <w:sz w:val="19"/>
                <w:szCs w:val="19"/>
                <w:color w:val="auto"/>
                <w:shd w:val="clear" w:color="auto" w:fill="C00000"/>
              </w:rPr>
              <w:t>✓</w:t>
            </w:r>
            <w:r>
              <w:rPr>
                <w:rFonts w:ascii="Arial" w:cs="Arial" w:eastAsia="Arial" w:hAnsi="Arial"/>
                <w:sz w:val="18"/>
                <w:szCs w:val="18"/>
                <w:color w:val="auto"/>
              </w:rPr>
              <w:t xml:space="preserve"> Board and committee meetings attendance at</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580" w:type="dxa"/>
            <w:vAlign w:val="bottom"/>
            <w:tcBorders>
              <w:right w:val="single" w:sz="8" w:color="auto"/>
            </w:tcBorders>
          </w:tcPr>
          <w:p>
            <w:pPr>
              <w:spacing w:after="0"/>
              <w:rPr>
                <w:sz w:val="8"/>
                <w:szCs w:val="8"/>
                <w:color w:val="auto"/>
              </w:rPr>
            </w:pPr>
          </w:p>
        </w:tc>
        <w:tc>
          <w:tcPr>
            <w:tcW w:w="4500" w:type="dxa"/>
            <w:vAlign w:val="bottom"/>
            <w:vMerge w:val="restart"/>
            <w:shd w:val="clear" w:color="auto" w:fill="D9D9D9"/>
          </w:tcPr>
          <w:p>
            <w:pPr>
              <w:spacing w:after="0" w:line="219" w:lineRule="exact"/>
              <w:rPr>
                <w:sz w:val="20"/>
                <w:szCs w:val="20"/>
                <w:color w:val="auto"/>
              </w:rPr>
            </w:pPr>
            <w:r>
              <w:rPr>
                <w:rFonts w:ascii="MS PGothic" w:cs="MS PGothic" w:eastAsia="MS PGothic" w:hAnsi="MS PGothic"/>
                <w:sz w:val="19"/>
                <w:szCs w:val="19"/>
                <w:color w:val="auto"/>
                <w:shd w:val="clear" w:color="auto" w:fill="C00000"/>
              </w:rPr>
              <w:t>✓</w:t>
            </w:r>
            <w:r>
              <w:rPr>
                <w:rFonts w:ascii="Arial" w:cs="Arial" w:eastAsia="Arial" w:hAnsi="Arial"/>
                <w:sz w:val="18"/>
                <w:szCs w:val="18"/>
                <w:color w:val="auto"/>
              </w:rPr>
              <w:t xml:space="preserve"> Regular independent director executive sessions</w:t>
            </w:r>
          </w:p>
        </w:tc>
        <w:tc>
          <w:tcPr>
            <w:tcW w:w="600" w:type="dxa"/>
            <w:vAlign w:val="bottom"/>
            <w:tcBorders>
              <w:right w:val="single" w:sz="8" w:color="auto"/>
            </w:tcBorders>
            <w:shd w:val="clear" w:color="auto" w:fill="D9D9D9"/>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4880" w:type="dxa"/>
            <w:vAlign w:val="bottom"/>
            <w:tcBorders>
              <w:right w:val="single" w:sz="8" w:color="auto"/>
            </w:tcBorders>
            <w:vMerge w:val="continue"/>
            <w:shd w:val="clear" w:color="auto" w:fill="D9D9D9"/>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580" w:type="dxa"/>
            <w:vAlign w:val="bottom"/>
            <w:tcBorders>
              <w:right w:val="single" w:sz="8" w:color="auto"/>
            </w:tcBorders>
          </w:tcPr>
          <w:p>
            <w:pPr>
              <w:spacing w:after="0"/>
              <w:rPr>
                <w:sz w:val="19"/>
                <w:szCs w:val="19"/>
                <w:color w:val="auto"/>
              </w:rPr>
            </w:pPr>
          </w:p>
        </w:tc>
        <w:tc>
          <w:tcPr>
            <w:tcW w:w="4500" w:type="dxa"/>
            <w:vAlign w:val="bottom"/>
            <w:vMerge w:val="continue"/>
            <w:shd w:val="clear" w:color="auto" w:fill="D9D9D9"/>
          </w:tcPr>
          <w:p>
            <w:pPr>
              <w:spacing w:after="0"/>
              <w:rPr>
                <w:sz w:val="19"/>
                <w:szCs w:val="19"/>
                <w:color w:val="auto"/>
              </w:rPr>
            </w:pPr>
          </w:p>
        </w:tc>
        <w:tc>
          <w:tcPr>
            <w:tcW w:w="600" w:type="dxa"/>
            <w:vAlign w:val="bottom"/>
            <w:tcBorders>
              <w:right w:val="single" w:sz="8" w:color="auto"/>
            </w:tcBorders>
            <w:shd w:val="clear" w:color="auto" w:fill="D9D9D9"/>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880" w:type="dxa"/>
            <w:vAlign w:val="bottom"/>
            <w:tcBorders>
              <w:right w:val="single" w:sz="8" w:color="auto"/>
            </w:tcBorders>
            <w:shd w:val="clear" w:color="auto" w:fill="D9D9D9"/>
          </w:tcPr>
          <w:p>
            <w:pPr>
              <w:ind w:left="220"/>
              <w:spacing w:after="0"/>
              <w:rPr>
                <w:sz w:val="20"/>
                <w:szCs w:val="20"/>
                <w:color w:val="auto"/>
              </w:rPr>
            </w:pPr>
            <w:r>
              <w:rPr>
                <w:rFonts w:ascii="Arial" w:cs="Arial" w:eastAsia="Arial" w:hAnsi="Arial"/>
                <w:sz w:val="18"/>
                <w:szCs w:val="18"/>
                <w:color w:val="auto"/>
              </w:rPr>
              <w:t>over 98%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580" w:type="dxa"/>
            <w:vAlign w:val="bottom"/>
            <w:tcBorders>
              <w:right w:val="single" w:sz="8" w:color="auto"/>
            </w:tcBorders>
          </w:tcPr>
          <w:p>
            <w:pPr>
              <w:spacing w:after="0"/>
              <w:rPr>
                <w:sz w:val="24"/>
                <w:szCs w:val="24"/>
                <w:color w:val="auto"/>
              </w:rPr>
            </w:pPr>
          </w:p>
        </w:tc>
        <w:tc>
          <w:tcPr>
            <w:tcW w:w="4500" w:type="dxa"/>
            <w:vAlign w:val="bottom"/>
            <w:shd w:val="clear" w:color="auto" w:fill="D9D9D9"/>
          </w:tcPr>
          <w:p>
            <w:pPr>
              <w:spacing w:after="0" w:line="219" w:lineRule="exact"/>
              <w:rPr>
                <w:sz w:val="20"/>
                <w:szCs w:val="20"/>
                <w:color w:val="auto"/>
              </w:rPr>
            </w:pPr>
            <w:r>
              <w:rPr>
                <w:rFonts w:ascii="MS PGothic" w:cs="MS PGothic" w:eastAsia="MS PGothic" w:hAnsi="MS PGothic"/>
                <w:sz w:val="19"/>
                <w:szCs w:val="19"/>
                <w:color w:val="auto"/>
                <w:shd w:val="clear" w:color="auto" w:fill="C00000"/>
              </w:rPr>
              <w:t>✓</w:t>
            </w:r>
            <w:r>
              <w:rPr>
                <w:rFonts w:ascii="Arial" w:cs="Arial" w:eastAsia="Arial" w:hAnsi="Arial"/>
                <w:sz w:val="18"/>
                <w:szCs w:val="18"/>
                <w:color w:val="auto"/>
              </w:rPr>
              <w:t xml:space="preserve"> Anti-hedging and anti-pledging policy</w:t>
            </w:r>
          </w:p>
        </w:tc>
        <w:tc>
          <w:tcPr>
            <w:tcW w:w="600" w:type="dxa"/>
            <w:vAlign w:val="bottom"/>
            <w:tcBorders>
              <w:right w:val="single" w:sz="8" w:color="auto"/>
            </w:tcBorders>
            <w:shd w:val="clear" w:color="auto" w:fill="D9D9D9"/>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4880" w:type="dxa"/>
            <w:vAlign w:val="bottom"/>
            <w:tcBorders>
              <w:right w:val="single" w:sz="8" w:color="auto"/>
            </w:tcBorders>
            <w:shd w:val="clear" w:color="auto" w:fill="D9D9D9"/>
          </w:tcPr>
          <w:p>
            <w:pPr>
              <w:spacing w:after="0" w:line="219" w:lineRule="exact"/>
              <w:rPr>
                <w:sz w:val="20"/>
                <w:szCs w:val="20"/>
                <w:color w:val="auto"/>
              </w:rPr>
            </w:pPr>
            <w:r>
              <w:rPr>
                <w:rFonts w:ascii="MS PGothic" w:cs="MS PGothic" w:eastAsia="MS PGothic" w:hAnsi="MS PGothic"/>
                <w:sz w:val="19"/>
                <w:szCs w:val="19"/>
                <w:color w:val="auto"/>
                <w:shd w:val="clear" w:color="auto" w:fill="C00000"/>
              </w:rPr>
              <w:t>✓</w:t>
            </w:r>
            <w:r>
              <w:rPr>
                <w:rFonts w:ascii="Arial" w:cs="Arial" w:eastAsia="Arial" w:hAnsi="Arial"/>
                <w:sz w:val="18"/>
                <w:szCs w:val="18"/>
                <w:color w:val="auto"/>
              </w:rPr>
              <w:t xml:space="preserve"> Board access to management</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580" w:type="dxa"/>
            <w:vAlign w:val="bottom"/>
            <w:tcBorders>
              <w:right w:val="single" w:sz="8" w:color="auto"/>
            </w:tcBorders>
          </w:tcPr>
          <w:p>
            <w:pPr>
              <w:spacing w:after="0"/>
              <w:rPr>
                <w:sz w:val="24"/>
                <w:szCs w:val="24"/>
                <w:color w:val="auto"/>
              </w:rPr>
            </w:pPr>
          </w:p>
        </w:tc>
        <w:tc>
          <w:tcPr>
            <w:tcW w:w="4500" w:type="dxa"/>
            <w:vAlign w:val="bottom"/>
            <w:shd w:val="clear" w:color="auto" w:fill="D9D9D9"/>
          </w:tcPr>
          <w:p>
            <w:pPr>
              <w:spacing w:after="0" w:line="219" w:lineRule="exact"/>
              <w:rPr>
                <w:sz w:val="20"/>
                <w:szCs w:val="20"/>
                <w:color w:val="auto"/>
              </w:rPr>
            </w:pPr>
            <w:r>
              <w:rPr>
                <w:rFonts w:ascii="MS PGothic" w:cs="MS PGothic" w:eastAsia="MS PGothic" w:hAnsi="MS PGothic"/>
                <w:sz w:val="19"/>
                <w:szCs w:val="19"/>
                <w:color w:val="auto"/>
                <w:shd w:val="clear" w:color="auto" w:fill="C00000"/>
              </w:rPr>
              <w:t>✓</w:t>
            </w:r>
            <w:r>
              <w:rPr>
                <w:rFonts w:ascii="Arial" w:cs="Arial" w:eastAsia="Arial" w:hAnsi="Arial"/>
                <w:sz w:val="18"/>
                <w:szCs w:val="18"/>
                <w:color w:val="auto"/>
              </w:rPr>
              <w:t xml:space="preserve"> Clawback policy</w:t>
            </w:r>
          </w:p>
        </w:tc>
        <w:tc>
          <w:tcPr>
            <w:tcW w:w="600" w:type="dxa"/>
            <w:vAlign w:val="bottom"/>
            <w:tcBorders>
              <w:right w:val="single" w:sz="8" w:color="auto"/>
            </w:tcBorders>
            <w:shd w:val="clear" w:color="auto" w:fill="D9D9D9"/>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4880" w:type="dxa"/>
            <w:vAlign w:val="bottom"/>
            <w:tcBorders>
              <w:right w:val="single" w:sz="8" w:color="auto"/>
            </w:tcBorders>
            <w:shd w:val="clear" w:color="auto" w:fill="D9D9D9"/>
          </w:tcPr>
          <w:p>
            <w:pPr>
              <w:spacing w:after="0" w:line="219" w:lineRule="exact"/>
              <w:rPr>
                <w:sz w:val="20"/>
                <w:szCs w:val="20"/>
                <w:color w:val="auto"/>
              </w:rPr>
            </w:pPr>
            <w:r>
              <w:rPr>
                <w:rFonts w:ascii="MS PGothic" w:cs="MS PGothic" w:eastAsia="MS PGothic" w:hAnsi="MS PGothic"/>
                <w:sz w:val="19"/>
                <w:szCs w:val="19"/>
                <w:color w:val="auto"/>
                <w:shd w:val="clear" w:color="auto" w:fill="C00000"/>
              </w:rPr>
              <w:t>✓</w:t>
            </w:r>
            <w:r>
              <w:rPr>
                <w:rFonts w:ascii="Arial" w:cs="Arial" w:eastAsia="Arial" w:hAnsi="Arial"/>
                <w:sz w:val="18"/>
                <w:szCs w:val="18"/>
                <w:color w:val="auto"/>
              </w:rPr>
              <w:t xml:space="preserve"> Board oversight of sustainability matters</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80" w:type="dxa"/>
            <w:vAlign w:val="bottom"/>
            <w:tcBorders>
              <w:right w:val="single" w:sz="8" w:color="auto"/>
            </w:tcBorders>
          </w:tcPr>
          <w:p>
            <w:pPr>
              <w:spacing w:after="0"/>
              <w:rPr>
                <w:sz w:val="24"/>
                <w:szCs w:val="24"/>
                <w:color w:val="auto"/>
              </w:rPr>
            </w:pPr>
          </w:p>
        </w:tc>
        <w:tc>
          <w:tcPr>
            <w:tcW w:w="4500" w:type="dxa"/>
            <w:vAlign w:val="bottom"/>
            <w:shd w:val="clear" w:color="auto" w:fill="D9D9D9"/>
          </w:tcPr>
          <w:p>
            <w:pPr>
              <w:spacing w:after="0" w:line="219" w:lineRule="exact"/>
              <w:rPr>
                <w:sz w:val="20"/>
                <w:szCs w:val="20"/>
                <w:color w:val="auto"/>
              </w:rPr>
            </w:pPr>
            <w:r>
              <w:rPr>
                <w:rFonts w:ascii="MS PGothic" w:cs="MS PGothic" w:eastAsia="MS PGothic" w:hAnsi="MS PGothic"/>
                <w:sz w:val="19"/>
                <w:szCs w:val="19"/>
                <w:color w:val="auto"/>
                <w:shd w:val="clear" w:color="auto" w:fill="C00000"/>
              </w:rPr>
              <w:t>✓</w:t>
            </w:r>
            <w:r>
              <w:rPr>
                <w:rFonts w:ascii="Arial" w:cs="Arial" w:eastAsia="Arial" w:hAnsi="Arial"/>
                <w:sz w:val="18"/>
                <w:szCs w:val="18"/>
                <w:color w:val="auto"/>
              </w:rPr>
              <w:t xml:space="preserve"> Codes of Conduct and Ethics</w:t>
            </w:r>
          </w:p>
        </w:tc>
        <w:tc>
          <w:tcPr>
            <w:tcW w:w="600" w:type="dxa"/>
            <w:vAlign w:val="bottom"/>
            <w:tcBorders>
              <w:right w:val="single" w:sz="8" w:color="auto"/>
            </w:tcBorders>
            <w:shd w:val="clear" w:color="auto" w:fill="D9D9D9"/>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4880" w:type="dxa"/>
            <w:vAlign w:val="bottom"/>
            <w:tcBorders>
              <w:right w:val="single" w:sz="8" w:color="auto"/>
            </w:tcBorders>
            <w:shd w:val="clear" w:color="auto" w:fill="D9D9D9"/>
          </w:tcPr>
          <w:p>
            <w:pPr>
              <w:spacing w:after="0" w:line="219" w:lineRule="exact"/>
              <w:rPr>
                <w:sz w:val="20"/>
                <w:szCs w:val="20"/>
                <w:color w:val="auto"/>
              </w:rPr>
            </w:pPr>
            <w:r>
              <w:rPr>
                <w:rFonts w:ascii="MS PGothic" w:cs="MS PGothic" w:eastAsia="MS PGothic" w:hAnsi="MS PGothic"/>
                <w:sz w:val="19"/>
                <w:szCs w:val="19"/>
                <w:color w:val="auto"/>
                <w:shd w:val="clear" w:color="auto" w:fill="C00000"/>
              </w:rPr>
              <w:t>✓</w:t>
            </w:r>
            <w:r>
              <w:rPr>
                <w:rFonts w:ascii="Arial" w:cs="Arial" w:eastAsia="Arial" w:hAnsi="Arial"/>
                <w:sz w:val="18"/>
                <w:szCs w:val="18"/>
                <w:color w:val="auto"/>
              </w:rPr>
              <w:t xml:space="preserve"> Emphasis on diversity in Board refreshment efforts</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80" w:type="dxa"/>
            <w:vAlign w:val="bottom"/>
            <w:tcBorders>
              <w:right w:val="single" w:sz="8" w:color="auto"/>
            </w:tcBorders>
          </w:tcPr>
          <w:p>
            <w:pPr>
              <w:spacing w:after="0"/>
              <w:rPr>
                <w:sz w:val="24"/>
                <w:szCs w:val="24"/>
                <w:color w:val="auto"/>
              </w:rPr>
            </w:pPr>
          </w:p>
        </w:tc>
        <w:tc>
          <w:tcPr>
            <w:tcW w:w="4500" w:type="dxa"/>
            <w:vAlign w:val="bottom"/>
            <w:shd w:val="clear" w:color="auto" w:fill="D9D9D9"/>
          </w:tcPr>
          <w:p>
            <w:pPr>
              <w:spacing w:after="0" w:line="219" w:lineRule="exact"/>
              <w:rPr>
                <w:sz w:val="20"/>
                <w:szCs w:val="20"/>
                <w:color w:val="auto"/>
              </w:rPr>
            </w:pPr>
            <w:r>
              <w:rPr>
                <w:rFonts w:ascii="MS PGothic" w:cs="MS PGothic" w:eastAsia="MS PGothic" w:hAnsi="MS PGothic"/>
                <w:sz w:val="19"/>
                <w:szCs w:val="19"/>
                <w:color w:val="auto"/>
                <w:shd w:val="clear" w:color="auto" w:fill="C00000"/>
              </w:rPr>
              <w:t>✓</w:t>
            </w:r>
            <w:r>
              <w:rPr>
                <w:rFonts w:ascii="Arial" w:cs="Arial" w:eastAsia="Arial" w:hAnsi="Arial"/>
                <w:sz w:val="18"/>
                <w:szCs w:val="18"/>
                <w:color w:val="auto"/>
              </w:rPr>
              <w:t xml:space="preserve"> Comprehensive director onboarding process</w:t>
            </w:r>
          </w:p>
        </w:tc>
        <w:tc>
          <w:tcPr>
            <w:tcW w:w="600" w:type="dxa"/>
            <w:vAlign w:val="bottom"/>
            <w:tcBorders>
              <w:right w:val="single" w:sz="8" w:color="auto"/>
            </w:tcBorders>
            <w:shd w:val="clear" w:color="auto" w:fill="D9D9D9"/>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4880" w:type="dxa"/>
            <w:vAlign w:val="bottom"/>
            <w:tcBorders>
              <w:right w:val="single" w:sz="8" w:color="auto"/>
            </w:tcBorders>
            <w:shd w:val="clear" w:color="auto" w:fill="D9D9D9"/>
          </w:tcPr>
          <w:p>
            <w:pPr>
              <w:spacing w:after="0" w:line="219" w:lineRule="exact"/>
              <w:rPr>
                <w:sz w:val="20"/>
                <w:szCs w:val="20"/>
                <w:color w:val="auto"/>
              </w:rPr>
            </w:pPr>
            <w:r>
              <w:rPr>
                <w:rFonts w:ascii="MS PGothic" w:cs="MS PGothic" w:eastAsia="MS PGothic" w:hAnsi="MS PGothic"/>
                <w:sz w:val="19"/>
                <w:szCs w:val="19"/>
                <w:color w:val="auto"/>
                <w:shd w:val="clear" w:color="auto" w:fill="C00000"/>
              </w:rPr>
              <w:t>✓</w:t>
            </w:r>
            <w:r>
              <w:rPr>
                <w:rFonts w:ascii="Arial" w:cs="Arial" w:eastAsia="Arial" w:hAnsi="Arial"/>
                <w:sz w:val="18"/>
                <w:szCs w:val="18"/>
                <w:color w:val="auto"/>
              </w:rPr>
              <w:t xml:space="preserve"> No poison pill</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580" w:type="dxa"/>
            <w:vAlign w:val="bottom"/>
            <w:tcBorders>
              <w:right w:val="single" w:sz="8" w:color="auto"/>
            </w:tcBorders>
          </w:tcPr>
          <w:p>
            <w:pPr>
              <w:spacing w:after="0"/>
              <w:rPr>
                <w:sz w:val="24"/>
                <w:szCs w:val="24"/>
                <w:color w:val="auto"/>
              </w:rPr>
            </w:pPr>
          </w:p>
        </w:tc>
        <w:tc>
          <w:tcPr>
            <w:tcW w:w="4500" w:type="dxa"/>
            <w:vAlign w:val="bottom"/>
            <w:tcBorders>
              <w:bottom w:val="single" w:sz="8" w:color="D9D9D9"/>
            </w:tcBorders>
            <w:shd w:val="clear" w:color="auto" w:fill="D9D9D9"/>
          </w:tcPr>
          <w:p>
            <w:pPr>
              <w:spacing w:after="0" w:line="219" w:lineRule="exact"/>
              <w:rPr>
                <w:sz w:val="20"/>
                <w:szCs w:val="20"/>
                <w:color w:val="auto"/>
              </w:rPr>
            </w:pPr>
            <w:r>
              <w:rPr>
                <w:rFonts w:ascii="MS PGothic" w:cs="MS PGothic" w:eastAsia="MS PGothic" w:hAnsi="MS PGothic"/>
                <w:sz w:val="19"/>
                <w:szCs w:val="19"/>
                <w:color w:val="auto"/>
                <w:shd w:val="clear" w:color="auto" w:fill="C00000"/>
              </w:rPr>
              <w:t>✓</w:t>
            </w:r>
            <w:r>
              <w:rPr>
                <w:rFonts w:ascii="Arial" w:cs="Arial" w:eastAsia="Arial" w:hAnsi="Arial"/>
                <w:sz w:val="18"/>
                <w:szCs w:val="18"/>
                <w:color w:val="auto"/>
              </w:rPr>
              <w:t xml:space="preserve"> Robust stock ownership guidelines</w:t>
            </w:r>
          </w:p>
        </w:tc>
        <w:tc>
          <w:tcPr>
            <w:tcW w:w="600" w:type="dxa"/>
            <w:vAlign w:val="bottom"/>
            <w:tcBorders>
              <w:bottom w:val="single" w:sz="8" w:color="D9D9D9"/>
              <w:right w:val="single" w:sz="8" w:color="auto"/>
            </w:tcBorders>
            <w:shd w:val="clear" w:color="auto" w:fill="D9D9D9"/>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4880" w:type="dxa"/>
            <w:vAlign w:val="bottom"/>
            <w:tcBorders>
              <w:bottom w:val="single" w:sz="8" w:color="D9D9D9"/>
              <w:right w:val="single" w:sz="8" w:color="auto"/>
            </w:tcBorders>
            <w:shd w:val="clear" w:color="auto" w:fill="D9D9D9"/>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6"/>
        </w:trPr>
        <w:tc>
          <w:tcPr>
            <w:tcW w:w="580" w:type="dxa"/>
            <w:vAlign w:val="bottom"/>
          </w:tcPr>
          <w:p>
            <w:pPr>
              <w:spacing w:after="0"/>
              <w:rPr>
                <w:sz w:val="24"/>
                <w:szCs w:val="24"/>
                <w:color w:val="auto"/>
              </w:rPr>
            </w:pPr>
          </w:p>
        </w:tc>
        <w:tc>
          <w:tcPr>
            <w:tcW w:w="4500" w:type="dxa"/>
            <w:vAlign w:val="bottom"/>
            <w:tcBorders>
              <w:top w:val="single" w:sz="8" w:color="auto"/>
            </w:tcBorders>
          </w:tcPr>
          <w:p>
            <w:pPr>
              <w:spacing w:after="0"/>
              <w:rPr>
                <w:sz w:val="24"/>
                <w:szCs w:val="24"/>
                <w:color w:val="auto"/>
              </w:rPr>
            </w:pPr>
          </w:p>
        </w:tc>
        <w:tc>
          <w:tcPr>
            <w:tcW w:w="5620" w:type="dxa"/>
            <w:vAlign w:val="bottom"/>
            <w:tcBorders>
              <w:top w:val="single" w:sz="8" w:color="auto"/>
            </w:tcBorders>
            <w:gridSpan w:val="3"/>
          </w:tcPr>
          <w:p>
            <w:pPr>
              <w:ind w:left="440"/>
              <w:spacing w:after="0"/>
              <w:rPr>
                <w:sz w:val="20"/>
                <w:szCs w:val="20"/>
                <w:color w:val="auto"/>
              </w:rPr>
            </w:pPr>
            <w:r>
              <w:rPr>
                <w:rFonts w:ascii="Arial" w:cs="Arial" w:eastAsia="Arial" w:hAnsi="Arial"/>
                <w:sz w:val="18"/>
                <w:szCs w:val="18"/>
                <w:color w:val="auto"/>
              </w:rPr>
              <w:t>viii</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450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8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198120</wp:posOffset>
            </wp:positionV>
            <wp:extent cx="6416675" cy="2108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16675" cy="210820"/>
                    </a:xfrm>
                    <a:prstGeom prst="rect">
                      <a:avLst/>
                    </a:prstGeom>
                    <a:noFill/>
                  </pic:spPr>
                </pic:pic>
              </a:graphicData>
            </a:graphic>
          </wp:anchor>
        </w:drawing>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C00000"/>
        </w:rPr>
        <w:t>As of the 2022 Annual Meeting, our Board will reflect the following characteristics:</w:t>
      </w:r>
    </w:p>
    <w:p>
      <w:pPr>
        <w:spacing w:after="0" w:line="142" w:lineRule="exact"/>
        <w:rPr>
          <w:sz w:val="20"/>
          <w:szCs w:val="20"/>
          <w:color w:val="auto"/>
        </w:rPr>
      </w:pPr>
    </w:p>
    <w:tbl>
      <w:tblPr>
        <w:tblLayout w:type="fixed"/>
        <w:tblInd w:w="870" w:type="dxa"/>
        <w:tblCellMar>
          <w:top w:w="0" w:type="dxa"/>
          <w:left w:w="0" w:type="dxa"/>
          <w:bottom w:w="0" w:type="dxa"/>
          <w:right w:w="0" w:type="dxa"/>
        </w:tblCellMar>
      </w:tblPr>
      <w:tr>
        <w:trPr>
          <w:trHeight w:val="213"/>
        </w:trPr>
        <w:tc>
          <w:tcPr>
            <w:tcW w:w="2140" w:type="dxa"/>
            <w:vAlign w:val="bottom"/>
            <w:tcBorders>
              <w:top w:val="single" w:sz="8" w:color="auto"/>
              <w:left w:val="single" w:sz="8" w:color="auto"/>
            </w:tcBorders>
            <w:gridSpan w:val="2"/>
            <w:shd w:val="clear" w:color="auto" w:fill="D9D9D9"/>
          </w:tcPr>
          <w:p>
            <w:pPr>
              <w:jc w:val="center"/>
              <w:ind w:left="931"/>
              <w:spacing w:after="0"/>
              <w:rPr>
                <w:sz w:val="20"/>
                <w:szCs w:val="20"/>
                <w:color w:val="auto"/>
              </w:rPr>
            </w:pPr>
            <w:r>
              <w:rPr>
                <w:rFonts w:ascii="Arial" w:cs="Arial" w:eastAsia="Arial" w:hAnsi="Arial"/>
                <w:sz w:val="18"/>
                <w:szCs w:val="18"/>
                <w:b w:val="1"/>
                <w:bCs w:val="1"/>
                <w:color w:val="C00000"/>
                <w:w w:val="98"/>
              </w:rPr>
              <w:t>Average Age</w:t>
            </w:r>
          </w:p>
        </w:tc>
        <w:tc>
          <w:tcPr>
            <w:tcW w:w="1020" w:type="dxa"/>
            <w:vAlign w:val="bottom"/>
            <w:tcBorders>
              <w:top w:val="single" w:sz="8" w:color="auto"/>
              <w:right w:val="single" w:sz="8" w:color="auto"/>
            </w:tcBorders>
            <w:shd w:val="clear" w:color="auto" w:fill="D9D9D9"/>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120" w:type="dxa"/>
            <w:vAlign w:val="bottom"/>
            <w:tcBorders>
              <w:top w:val="single" w:sz="8" w:color="auto"/>
            </w:tcBorders>
            <w:gridSpan w:val="3"/>
            <w:shd w:val="clear" w:color="auto" w:fill="D9D9D9"/>
          </w:tcPr>
          <w:p>
            <w:pPr>
              <w:jc w:val="center"/>
              <w:ind w:left="631"/>
              <w:spacing w:after="0"/>
              <w:rPr>
                <w:sz w:val="20"/>
                <w:szCs w:val="20"/>
                <w:color w:val="auto"/>
              </w:rPr>
            </w:pPr>
            <w:r>
              <w:rPr>
                <w:rFonts w:ascii="Arial" w:cs="Arial" w:eastAsia="Arial" w:hAnsi="Arial"/>
                <w:sz w:val="18"/>
                <w:szCs w:val="18"/>
                <w:b w:val="1"/>
                <w:bCs w:val="1"/>
                <w:color w:val="C00000"/>
                <w:w w:val="96"/>
              </w:rPr>
              <w:t>Average Tenure</w:t>
            </w:r>
          </w:p>
        </w:tc>
        <w:tc>
          <w:tcPr>
            <w:tcW w:w="760" w:type="dxa"/>
            <w:vAlign w:val="bottom"/>
            <w:tcBorders>
              <w:top w:val="single" w:sz="8" w:color="auto"/>
              <w:right w:val="single" w:sz="8" w:color="auto"/>
            </w:tcBorders>
            <w:shd w:val="clear" w:color="auto" w:fill="D9D9D9"/>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300" w:type="dxa"/>
            <w:vAlign w:val="bottom"/>
            <w:tcBorders>
              <w:top w:val="single" w:sz="8" w:color="auto"/>
              <w:right w:val="single" w:sz="8" w:color="auto"/>
            </w:tcBorders>
            <w:gridSpan w:val="2"/>
            <w:shd w:val="clear" w:color="auto" w:fill="D9D9D9"/>
          </w:tcPr>
          <w:p>
            <w:pPr>
              <w:jc w:val="center"/>
              <w:ind w:right="40"/>
              <w:spacing w:after="0"/>
              <w:rPr>
                <w:sz w:val="20"/>
                <w:szCs w:val="20"/>
                <w:color w:val="auto"/>
              </w:rPr>
            </w:pPr>
            <w:r>
              <w:rPr>
                <w:rFonts w:ascii="Arial" w:cs="Arial" w:eastAsia="Arial" w:hAnsi="Arial"/>
                <w:sz w:val="18"/>
                <w:szCs w:val="18"/>
                <w:b w:val="1"/>
                <w:bCs w:val="1"/>
                <w:color w:val="C00000"/>
                <w:w w:val="97"/>
              </w:rPr>
              <w:t>New Directors in the</w:t>
            </w:r>
          </w:p>
        </w:tc>
      </w:tr>
      <w:tr>
        <w:trPr>
          <w:trHeight w:val="216"/>
        </w:trPr>
        <w:tc>
          <w:tcPr>
            <w:tcW w:w="2140" w:type="dxa"/>
            <w:vAlign w:val="bottom"/>
            <w:tcBorders>
              <w:left w:val="single" w:sz="8" w:color="auto"/>
            </w:tcBorders>
            <w:gridSpan w:val="2"/>
            <w:shd w:val="clear" w:color="auto" w:fill="D9D9D9"/>
          </w:tcPr>
          <w:p>
            <w:pPr>
              <w:jc w:val="center"/>
              <w:ind w:left="911"/>
              <w:spacing w:after="0"/>
              <w:rPr>
                <w:sz w:val="20"/>
                <w:szCs w:val="20"/>
                <w:color w:val="auto"/>
              </w:rPr>
            </w:pPr>
            <w:r>
              <w:rPr>
                <w:rFonts w:ascii="Arial" w:cs="Arial" w:eastAsia="Arial" w:hAnsi="Arial"/>
                <w:sz w:val="18"/>
                <w:szCs w:val="18"/>
                <w:b w:val="1"/>
                <w:bCs w:val="1"/>
                <w:color w:val="auto"/>
                <w:w w:val="97"/>
              </w:rPr>
              <w:t>60 years</w:t>
            </w:r>
          </w:p>
        </w:tc>
        <w:tc>
          <w:tcPr>
            <w:tcW w:w="1020" w:type="dxa"/>
            <w:vAlign w:val="bottom"/>
            <w:tcBorders>
              <w:right w:val="single" w:sz="8" w:color="auto"/>
            </w:tcBorders>
            <w:shd w:val="clear" w:color="auto" w:fill="D9D9D9"/>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120" w:type="dxa"/>
            <w:vAlign w:val="bottom"/>
            <w:gridSpan w:val="3"/>
            <w:shd w:val="clear" w:color="auto" w:fill="D9D9D9"/>
          </w:tcPr>
          <w:p>
            <w:pPr>
              <w:jc w:val="center"/>
              <w:ind w:left="631"/>
              <w:spacing w:after="0"/>
              <w:rPr>
                <w:sz w:val="20"/>
                <w:szCs w:val="20"/>
                <w:color w:val="auto"/>
              </w:rPr>
            </w:pPr>
            <w:r>
              <w:rPr>
                <w:rFonts w:ascii="Arial" w:cs="Arial" w:eastAsia="Arial" w:hAnsi="Arial"/>
                <w:sz w:val="18"/>
                <w:szCs w:val="18"/>
                <w:b w:val="1"/>
                <w:bCs w:val="1"/>
                <w:color w:val="auto"/>
                <w:w w:val="96"/>
              </w:rPr>
              <w:t>9 years</w:t>
            </w:r>
          </w:p>
        </w:tc>
        <w:tc>
          <w:tcPr>
            <w:tcW w:w="760" w:type="dxa"/>
            <w:vAlign w:val="bottom"/>
            <w:tcBorders>
              <w:right w:val="single" w:sz="8" w:color="auto"/>
            </w:tcBorders>
            <w:shd w:val="clear" w:color="auto" w:fill="D9D9D9"/>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300" w:type="dxa"/>
            <w:vAlign w:val="bottom"/>
            <w:tcBorders>
              <w:right w:val="single" w:sz="8" w:color="auto"/>
            </w:tcBorders>
            <w:gridSpan w:val="2"/>
            <w:shd w:val="clear" w:color="auto" w:fill="D9D9D9"/>
          </w:tcPr>
          <w:p>
            <w:pPr>
              <w:jc w:val="center"/>
              <w:ind w:right="40"/>
              <w:spacing w:after="0"/>
              <w:rPr>
                <w:sz w:val="20"/>
                <w:szCs w:val="20"/>
                <w:color w:val="auto"/>
              </w:rPr>
            </w:pPr>
            <w:r>
              <w:rPr>
                <w:rFonts w:ascii="Arial" w:cs="Arial" w:eastAsia="Arial" w:hAnsi="Arial"/>
                <w:sz w:val="18"/>
                <w:szCs w:val="18"/>
                <w:b w:val="1"/>
                <w:bCs w:val="1"/>
                <w:color w:val="C00000"/>
                <w:w w:val="96"/>
              </w:rPr>
              <w:t>Last 5 Years</w:t>
            </w:r>
          </w:p>
        </w:tc>
      </w:tr>
      <w:tr>
        <w:trPr>
          <w:trHeight w:val="267"/>
        </w:trPr>
        <w:tc>
          <w:tcPr>
            <w:tcW w:w="1740" w:type="dxa"/>
            <w:vAlign w:val="bottom"/>
            <w:tcBorders>
              <w:left w:val="single" w:sz="8" w:color="auto"/>
              <w:bottom w:val="single" w:sz="8" w:color="D9D9D9"/>
              <w:right w:val="single" w:sz="8" w:color="D9D9D9"/>
            </w:tcBorders>
            <w:shd w:val="clear" w:color="auto" w:fill="D9D9D9"/>
          </w:tcPr>
          <w:p>
            <w:pPr>
              <w:spacing w:after="0"/>
              <w:rPr>
                <w:sz w:val="22"/>
                <w:szCs w:val="22"/>
                <w:color w:val="auto"/>
              </w:rPr>
            </w:pPr>
          </w:p>
        </w:tc>
        <w:tc>
          <w:tcPr>
            <w:tcW w:w="400" w:type="dxa"/>
            <w:vAlign w:val="bottom"/>
            <w:tcBorders>
              <w:bottom w:val="single" w:sz="8" w:color="D9D9D9"/>
            </w:tcBorders>
            <w:shd w:val="clear" w:color="auto" w:fill="D9D9D9"/>
          </w:tcPr>
          <w:p>
            <w:pPr>
              <w:spacing w:after="0"/>
              <w:rPr>
                <w:sz w:val="22"/>
                <w:szCs w:val="22"/>
                <w:color w:val="auto"/>
              </w:rPr>
            </w:pPr>
          </w:p>
        </w:tc>
        <w:tc>
          <w:tcPr>
            <w:tcW w:w="1020" w:type="dxa"/>
            <w:vAlign w:val="bottom"/>
            <w:tcBorders>
              <w:bottom w:val="single" w:sz="8" w:color="D9D9D9"/>
              <w:right w:val="single" w:sz="8" w:color="auto"/>
            </w:tcBorders>
            <w:shd w:val="clear" w:color="auto" w:fill="D9D9D9"/>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1620" w:type="dxa"/>
            <w:vAlign w:val="bottom"/>
            <w:tcBorders>
              <w:bottom w:val="single" w:sz="8" w:color="D9D9D9"/>
              <w:right w:val="single" w:sz="8" w:color="D9D9D9"/>
            </w:tcBorders>
            <w:shd w:val="clear" w:color="auto" w:fill="D9D9D9"/>
          </w:tcPr>
          <w:p>
            <w:pPr>
              <w:spacing w:after="0"/>
              <w:rPr>
                <w:sz w:val="22"/>
                <w:szCs w:val="22"/>
                <w:color w:val="auto"/>
              </w:rPr>
            </w:pPr>
          </w:p>
        </w:tc>
        <w:tc>
          <w:tcPr>
            <w:tcW w:w="80" w:type="dxa"/>
            <w:vAlign w:val="bottom"/>
            <w:tcBorders>
              <w:bottom w:val="single" w:sz="8" w:color="D9D9D9"/>
              <w:right w:val="single" w:sz="8" w:color="D9D9D9"/>
            </w:tcBorders>
            <w:shd w:val="clear" w:color="auto" w:fill="D9D9D9"/>
          </w:tcPr>
          <w:p>
            <w:pPr>
              <w:spacing w:after="0"/>
              <w:rPr>
                <w:sz w:val="22"/>
                <w:szCs w:val="22"/>
                <w:color w:val="auto"/>
              </w:rPr>
            </w:pPr>
          </w:p>
        </w:tc>
        <w:tc>
          <w:tcPr>
            <w:tcW w:w="420" w:type="dxa"/>
            <w:vAlign w:val="bottom"/>
            <w:tcBorders>
              <w:bottom w:val="single" w:sz="8" w:color="D9D9D9"/>
            </w:tcBorders>
            <w:shd w:val="clear" w:color="auto" w:fill="D9D9D9"/>
          </w:tcPr>
          <w:p>
            <w:pPr>
              <w:spacing w:after="0"/>
              <w:rPr>
                <w:sz w:val="22"/>
                <w:szCs w:val="22"/>
                <w:color w:val="auto"/>
              </w:rPr>
            </w:pPr>
          </w:p>
        </w:tc>
        <w:tc>
          <w:tcPr>
            <w:tcW w:w="760" w:type="dxa"/>
            <w:vAlign w:val="bottom"/>
            <w:tcBorders>
              <w:bottom w:val="single" w:sz="8" w:color="D9D9D9"/>
              <w:right w:val="single" w:sz="8" w:color="auto"/>
            </w:tcBorders>
            <w:shd w:val="clear" w:color="auto" w:fill="D9D9D9"/>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3300" w:type="dxa"/>
            <w:vAlign w:val="bottom"/>
            <w:tcBorders>
              <w:bottom w:val="single" w:sz="8" w:color="D9D9D9"/>
              <w:right w:val="single" w:sz="8" w:color="auto"/>
            </w:tcBorders>
            <w:gridSpan w:val="2"/>
            <w:shd w:val="clear" w:color="auto" w:fill="D9D9D9"/>
          </w:tcPr>
          <w:p>
            <w:pPr>
              <w:jc w:val="center"/>
              <w:ind w:right="40"/>
              <w:spacing w:after="0"/>
              <w:rPr>
                <w:sz w:val="20"/>
                <w:szCs w:val="20"/>
                <w:color w:val="auto"/>
              </w:rPr>
            </w:pPr>
            <w:r>
              <w:rPr>
                <w:rFonts w:ascii="Arial" w:cs="Arial" w:eastAsia="Arial" w:hAnsi="Arial"/>
                <w:sz w:val="18"/>
                <w:szCs w:val="18"/>
                <w:b w:val="1"/>
                <w:bCs w:val="1"/>
                <w:color w:val="auto"/>
                <w:w w:val="99"/>
              </w:rPr>
              <w:t>5</w:t>
            </w:r>
          </w:p>
        </w:tc>
      </w:tr>
      <w:tr>
        <w:trPr>
          <w:trHeight w:val="73"/>
        </w:trPr>
        <w:tc>
          <w:tcPr>
            <w:tcW w:w="1740" w:type="dxa"/>
            <w:vAlign w:val="bottom"/>
            <w:tcBorders>
              <w:top w:val="single" w:sz="8" w:color="auto"/>
            </w:tcBorders>
          </w:tcPr>
          <w:p>
            <w:pPr>
              <w:spacing w:after="0"/>
              <w:rPr>
                <w:sz w:val="6"/>
                <w:szCs w:val="6"/>
                <w:color w:val="auto"/>
              </w:rPr>
            </w:pPr>
          </w:p>
        </w:tc>
        <w:tc>
          <w:tcPr>
            <w:tcW w:w="400" w:type="dxa"/>
            <w:vAlign w:val="bottom"/>
            <w:tcBorders>
              <w:top w:val="single" w:sz="8" w:color="auto"/>
              <w:bottom w:val="single" w:sz="8" w:color="auto"/>
            </w:tcBorders>
          </w:tcPr>
          <w:p>
            <w:pPr>
              <w:spacing w:after="0"/>
              <w:rPr>
                <w:sz w:val="6"/>
                <w:szCs w:val="6"/>
                <w:color w:val="auto"/>
              </w:rPr>
            </w:pPr>
          </w:p>
        </w:tc>
        <w:tc>
          <w:tcPr>
            <w:tcW w:w="1020" w:type="dxa"/>
            <w:vAlign w:val="bottom"/>
            <w:tcBorders>
              <w:top w:val="single" w:sz="8" w:color="auto"/>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2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420" w:type="dxa"/>
            <w:vAlign w:val="bottom"/>
            <w:tcBorders>
              <w:top w:val="single" w:sz="8" w:color="auto"/>
              <w:bottom w:val="single" w:sz="8" w:color="auto"/>
            </w:tcBorders>
          </w:tcPr>
          <w:p>
            <w:pPr>
              <w:spacing w:after="0"/>
              <w:rPr>
                <w:sz w:val="6"/>
                <w:szCs w:val="6"/>
                <w:color w:val="auto"/>
              </w:rPr>
            </w:pPr>
          </w:p>
        </w:tc>
        <w:tc>
          <w:tcPr>
            <w:tcW w:w="760" w:type="dxa"/>
            <w:vAlign w:val="bottom"/>
            <w:tcBorders>
              <w:top w:val="single" w:sz="8" w:color="auto"/>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560" w:type="dxa"/>
            <w:vAlign w:val="bottom"/>
            <w:tcBorders>
              <w:top w:val="single" w:sz="8" w:color="auto"/>
              <w:bottom w:val="single" w:sz="8" w:color="auto"/>
            </w:tcBorders>
          </w:tcPr>
          <w:p>
            <w:pPr>
              <w:spacing w:after="0"/>
              <w:rPr>
                <w:sz w:val="6"/>
                <w:szCs w:val="6"/>
                <w:color w:val="auto"/>
              </w:rPr>
            </w:pPr>
          </w:p>
        </w:tc>
        <w:tc>
          <w:tcPr>
            <w:tcW w:w="1740" w:type="dxa"/>
            <w:vAlign w:val="bottom"/>
            <w:tcBorders>
              <w:top w:val="single" w:sz="8" w:color="auto"/>
            </w:tcBorders>
          </w:tcPr>
          <w:p>
            <w:pPr>
              <w:spacing w:after="0"/>
              <w:rPr>
                <w:sz w:val="6"/>
                <w:szCs w:val="6"/>
                <w:color w:val="auto"/>
              </w:rPr>
            </w:pPr>
          </w:p>
        </w:tc>
      </w:tr>
      <w:tr>
        <w:trPr>
          <w:trHeight w:val="193"/>
        </w:trPr>
        <w:tc>
          <w:tcPr>
            <w:tcW w:w="1740" w:type="dxa"/>
            <w:vAlign w:val="bottom"/>
            <w:tcBorders>
              <w:right w:val="single" w:sz="8" w:color="auto"/>
            </w:tcBorders>
          </w:tcPr>
          <w:p>
            <w:pPr>
              <w:spacing w:after="0"/>
              <w:rPr>
                <w:sz w:val="16"/>
                <w:szCs w:val="16"/>
                <w:color w:val="auto"/>
              </w:rPr>
            </w:pPr>
          </w:p>
        </w:tc>
        <w:tc>
          <w:tcPr>
            <w:tcW w:w="400" w:type="dxa"/>
            <w:vAlign w:val="bottom"/>
            <w:shd w:val="clear" w:color="auto" w:fill="D9D9D9"/>
          </w:tcPr>
          <w:p>
            <w:pPr>
              <w:spacing w:after="0"/>
              <w:rPr>
                <w:sz w:val="16"/>
                <w:szCs w:val="16"/>
                <w:color w:val="auto"/>
              </w:rPr>
            </w:pPr>
          </w:p>
        </w:tc>
        <w:tc>
          <w:tcPr>
            <w:tcW w:w="2740" w:type="dxa"/>
            <w:vAlign w:val="bottom"/>
            <w:tcBorders>
              <w:right w:val="single" w:sz="8" w:color="auto"/>
            </w:tcBorders>
            <w:gridSpan w:val="3"/>
            <w:shd w:val="clear" w:color="auto" w:fill="D9D9D9"/>
          </w:tcPr>
          <w:p>
            <w:pPr>
              <w:jc w:val="center"/>
              <w:ind w:right="371"/>
              <w:spacing w:after="0" w:line="193" w:lineRule="exact"/>
              <w:rPr>
                <w:sz w:val="20"/>
                <w:szCs w:val="20"/>
                <w:color w:val="auto"/>
              </w:rPr>
            </w:pPr>
            <w:r>
              <w:rPr>
                <w:rFonts w:ascii="Arial" w:cs="Arial" w:eastAsia="Arial" w:hAnsi="Arial"/>
                <w:sz w:val="18"/>
                <w:szCs w:val="18"/>
                <w:b w:val="1"/>
                <w:bCs w:val="1"/>
                <w:color w:val="C00000"/>
                <w:w w:val="98"/>
              </w:rPr>
              <w:t>% of Directors who are</w:t>
            </w:r>
          </w:p>
        </w:tc>
        <w:tc>
          <w:tcPr>
            <w:tcW w:w="80" w:type="dxa"/>
            <w:vAlign w:val="bottom"/>
            <w:tcBorders>
              <w:right w:val="single" w:sz="8" w:color="auto"/>
            </w:tcBorders>
          </w:tcPr>
          <w:p>
            <w:pPr>
              <w:spacing w:after="0"/>
              <w:rPr>
                <w:sz w:val="16"/>
                <w:szCs w:val="16"/>
                <w:color w:val="auto"/>
              </w:rPr>
            </w:pPr>
          </w:p>
        </w:tc>
        <w:tc>
          <w:tcPr>
            <w:tcW w:w="420" w:type="dxa"/>
            <w:vAlign w:val="bottom"/>
            <w:shd w:val="clear" w:color="auto" w:fill="D9D9D9"/>
          </w:tcPr>
          <w:p>
            <w:pPr>
              <w:spacing w:after="0"/>
              <w:rPr>
                <w:sz w:val="16"/>
                <w:szCs w:val="16"/>
                <w:color w:val="auto"/>
              </w:rPr>
            </w:pPr>
          </w:p>
        </w:tc>
        <w:tc>
          <w:tcPr>
            <w:tcW w:w="2440" w:type="dxa"/>
            <w:vAlign w:val="bottom"/>
            <w:tcBorders>
              <w:right w:val="single" w:sz="8" w:color="auto"/>
            </w:tcBorders>
            <w:gridSpan w:val="3"/>
            <w:shd w:val="clear" w:color="auto" w:fill="D9D9D9"/>
          </w:tcPr>
          <w:p>
            <w:pPr>
              <w:jc w:val="center"/>
              <w:ind w:right="351"/>
              <w:spacing w:after="0" w:line="193" w:lineRule="exact"/>
              <w:rPr>
                <w:sz w:val="20"/>
                <w:szCs w:val="20"/>
                <w:color w:val="auto"/>
              </w:rPr>
            </w:pPr>
            <w:r>
              <w:rPr>
                <w:rFonts w:ascii="Arial" w:cs="Arial" w:eastAsia="Arial" w:hAnsi="Arial"/>
                <w:sz w:val="18"/>
                <w:szCs w:val="18"/>
                <w:b w:val="1"/>
                <w:bCs w:val="1"/>
                <w:color w:val="C00000"/>
                <w:w w:val="98"/>
              </w:rPr>
              <w:t>% of Directors who are</w:t>
            </w:r>
          </w:p>
        </w:tc>
        <w:tc>
          <w:tcPr>
            <w:tcW w:w="1740" w:type="dxa"/>
            <w:vAlign w:val="bottom"/>
          </w:tcPr>
          <w:p>
            <w:pPr>
              <w:spacing w:after="0"/>
              <w:rPr>
                <w:sz w:val="16"/>
                <w:szCs w:val="16"/>
                <w:color w:val="auto"/>
              </w:rPr>
            </w:pPr>
          </w:p>
        </w:tc>
      </w:tr>
      <w:tr>
        <w:trPr>
          <w:trHeight w:val="199"/>
        </w:trPr>
        <w:tc>
          <w:tcPr>
            <w:tcW w:w="1740" w:type="dxa"/>
            <w:vAlign w:val="bottom"/>
            <w:tcBorders>
              <w:right w:val="single" w:sz="8" w:color="auto"/>
            </w:tcBorders>
          </w:tcPr>
          <w:p>
            <w:pPr>
              <w:spacing w:after="0"/>
              <w:rPr>
                <w:sz w:val="17"/>
                <w:szCs w:val="17"/>
                <w:color w:val="auto"/>
              </w:rPr>
            </w:pPr>
          </w:p>
        </w:tc>
        <w:tc>
          <w:tcPr>
            <w:tcW w:w="400" w:type="dxa"/>
            <w:vAlign w:val="bottom"/>
            <w:shd w:val="clear" w:color="auto" w:fill="D9D9D9"/>
          </w:tcPr>
          <w:p>
            <w:pPr>
              <w:spacing w:after="0"/>
              <w:rPr>
                <w:sz w:val="17"/>
                <w:szCs w:val="17"/>
                <w:color w:val="auto"/>
              </w:rPr>
            </w:pPr>
          </w:p>
        </w:tc>
        <w:tc>
          <w:tcPr>
            <w:tcW w:w="2740" w:type="dxa"/>
            <w:vAlign w:val="bottom"/>
            <w:tcBorders>
              <w:right w:val="single" w:sz="8" w:color="auto"/>
            </w:tcBorders>
            <w:gridSpan w:val="3"/>
            <w:shd w:val="clear" w:color="auto" w:fill="D9D9D9"/>
          </w:tcPr>
          <w:p>
            <w:pPr>
              <w:jc w:val="center"/>
              <w:ind w:right="351"/>
              <w:spacing w:after="0" w:line="199" w:lineRule="exact"/>
              <w:rPr>
                <w:sz w:val="20"/>
                <w:szCs w:val="20"/>
                <w:color w:val="auto"/>
              </w:rPr>
            </w:pPr>
            <w:r>
              <w:rPr>
                <w:rFonts w:ascii="Arial" w:cs="Arial" w:eastAsia="Arial" w:hAnsi="Arial"/>
                <w:sz w:val="18"/>
                <w:szCs w:val="18"/>
                <w:b w:val="1"/>
                <w:bCs w:val="1"/>
                <w:color w:val="C00000"/>
                <w:w w:val="99"/>
              </w:rPr>
              <w:t>Racially/Ethnically Diverse</w:t>
            </w:r>
          </w:p>
        </w:tc>
        <w:tc>
          <w:tcPr>
            <w:tcW w:w="80" w:type="dxa"/>
            <w:vAlign w:val="bottom"/>
            <w:tcBorders>
              <w:right w:val="single" w:sz="8" w:color="auto"/>
            </w:tcBorders>
          </w:tcPr>
          <w:p>
            <w:pPr>
              <w:spacing w:after="0"/>
              <w:rPr>
                <w:sz w:val="17"/>
                <w:szCs w:val="17"/>
                <w:color w:val="auto"/>
              </w:rPr>
            </w:pPr>
          </w:p>
        </w:tc>
        <w:tc>
          <w:tcPr>
            <w:tcW w:w="420" w:type="dxa"/>
            <w:vAlign w:val="bottom"/>
            <w:shd w:val="clear" w:color="auto" w:fill="D9D9D9"/>
          </w:tcPr>
          <w:p>
            <w:pPr>
              <w:spacing w:after="0"/>
              <w:rPr>
                <w:sz w:val="17"/>
                <w:szCs w:val="17"/>
                <w:color w:val="auto"/>
              </w:rPr>
            </w:pPr>
          </w:p>
        </w:tc>
        <w:tc>
          <w:tcPr>
            <w:tcW w:w="2440" w:type="dxa"/>
            <w:vAlign w:val="bottom"/>
            <w:tcBorders>
              <w:right w:val="single" w:sz="8" w:color="auto"/>
            </w:tcBorders>
            <w:gridSpan w:val="3"/>
            <w:shd w:val="clear" w:color="auto" w:fill="D9D9D9"/>
          </w:tcPr>
          <w:p>
            <w:pPr>
              <w:jc w:val="center"/>
              <w:ind w:right="351"/>
              <w:spacing w:after="0" w:line="199" w:lineRule="exact"/>
              <w:rPr>
                <w:sz w:val="20"/>
                <w:szCs w:val="20"/>
                <w:color w:val="auto"/>
              </w:rPr>
            </w:pPr>
            <w:r>
              <w:rPr>
                <w:rFonts w:ascii="Arial" w:cs="Arial" w:eastAsia="Arial" w:hAnsi="Arial"/>
                <w:sz w:val="18"/>
                <w:szCs w:val="18"/>
                <w:b w:val="1"/>
                <w:bCs w:val="1"/>
                <w:color w:val="C00000"/>
                <w:w w:val="98"/>
              </w:rPr>
              <w:t>Women</w:t>
            </w:r>
          </w:p>
        </w:tc>
        <w:tc>
          <w:tcPr>
            <w:tcW w:w="1740" w:type="dxa"/>
            <w:vAlign w:val="bottom"/>
          </w:tcPr>
          <w:p>
            <w:pPr>
              <w:spacing w:after="0"/>
              <w:rPr>
                <w:sz w:val="17"/>
                <w:szCs w:val="17"/>
                <w:color w:val="auto"/>
              </w:rPr>
            </w:pPr>
          </w:p>
        </w:tc>
      </w:tr>
      <w:tr>
        <w:trPr>
          <w:trHeight w:val="260"/>
        </w:trPr>
        <w:tc>
          <w:tcPr>
            <w:tcW w:w="1740" w:type="dxa"/>
            <w:vAlign w:val="bottom"/>
            <w:tcBorders>
              <w:right w:val="single" w:sz="8" w:color="auto"/>
            </w:tcBorders>
          </w:tcPr>
          <w:p>
            <w:pPr>
              <w:spacing w:after="0"/>
              <w:rPr>
                <w:sz w:val="22"/>
                <w:szCs w:val="22"/>
                <w:color w:val="auto"/>
              </w:rPr>
            </w:pPr>
          </w:p>
        </w:tc>
        <w:tc>
          <w:tcPr>
            <w:tcW w:w="400" w:type="dxa"/>
            <w:vAlign w:val="bottom"/>
            <w:tcBorders>
              <w:bottom w:val="single" w:sz="8" w:color="D9D9D9"/>
            </w:tcBorders>
            <w:shd w:val="clear" w:color="auto" w:fill="D9D9D9"/>
          </w:tcPr>
          <w:p>
            <w:pPr>
              <w:spacing w:after="0"/>
              <w:rPr>
                <w:sz w:val="22"/>
                <w:szCs w:val="22"/>
                <w:color w:val="auto"/>
              </w:rPr>
            </w:pPr>
          </w:p>
        </w:tc>
        <w:tc>
          <w:tcPr>
            <w:tcW w:w="2740" w:type="dxa"/>
            <w:vAlign w:val="bottom"/>
            <w:tcBorders>
              <w:bottom w:val="single" w:sz="8" w:color="D9D9D9"/>
              <w:right w:val="single" w:sz="8" w:color="auto"/>
            </w:tcBorders>
            <w:gridSpan w:val="3"/>
            <w:shd w:val="clear" w:color="auto" w:fill="D9D9D9"/>
          </w:tcPr>
          <w:p>
            <w:pPr>
              <w:jc w:val="center"/>
              <w:ind w:right="351"/>
              <w:spacing w:after="0"/>
              <w:rPr>
                <w:sz w:val="20"/>
                <w:szCs w:val="20"/>
                <w:color w:val="auto"/>
              </w:rPr>
            </w:pPr>
            <w:r>
              <w:rPr>
                <w:rFonts w:ascii="Arial" w:cs="Arial" w:eastAsia="Arial" w:hAnsi="Arial"/>
                <w:sz w:val="18"/>
                <w:szCs w:val="18"/>
                <w:b w:val="1"/>
                <w:bCs w:val="1"/>
                <w:color w:val="auto"/>
                <w:w w:val="94"/>
              </w:rPr>
              <w:t>25%</w:t>
            </w:r>
          </w:p>
        </w:tc>
        <w:tc>
          <w:tcPr>
            <w:tcW w:w="80" w:type="dxa"/>
            <w:vAlign w:val="bottom"/>
            <w:tcBorders>
              <w:right w:val="single" w:sz="8" w:color="auto"/>
            </w:tcBorders>
          </w:tcPr>
          <w:p>
            <w:pPr>
              <w:spacing w:after="0"/>
              <w:rPr>
                <w:sz w:val="22"/>
                <w:szCs w:val="22"/>
                <w:color w:val="auto"/>
              </w:rPr>
            </w:pPr>
          </w:p>
        </w:tc>
        <w:tc>
          <w:tcPr>
            <w:tcW w:w="420" w:type="dxa"/>
            <w:vAlign w:val="bottom"/>
            <w:tcBorders>
              <w:bottom w:val="single" w:sz="8" w:color="D9D9D9"/>
            </w:tcBorders>
            <w:shd w:val="clear" w:color="auto" w:fill="D9D9D9"/>
          </w:tcPr>
          <w:p>
            <w:pPr>
              <w:spacing w:after="0"/>
              <w:rPr>
                <w:sz w:val="22"/>
                <w:szCs w:val="22"/>
                <w:color w:val="auto"/>
              </w:rPr>
            </w:pPr>
          </w:p>
        </w:tc>
        <w:tc>
          <w:tcPr>
            <w:tcW w:w="2440" w:type="dxa"/>
            <w:vAlign w:val="bottom"/>
            <w:tcBorders>
              <w:bottom w:val="single" w:sz="8" w:color="D9D9D9"/>
              <w:right w:val="single" w:sz="8" w:color="auto"/>
            </w:tcBorders>
            <w:gridSpan w:val="3"/>
            <w:shd w:val="clear" w:color="auto" w:fill="D9D9D9"/>
          </w:tcPr>
          <w:p>
            <w:pPr>
              <w:jc w:val="center"/>
              <w:ind w:right="351"/>
              <w:spacing w:after="0"/>
              <w:rPr>
                <w:sz w:val="20"/>
                <w:szCs w:val="20"/>
                <w:color w:val="auto"/>
              </w:rPr>
            </w:pPr>
            <w:r>
              <w:rPr>
                <w:rFonts w:ascii="Arial" w:cs="Arial" w:eastAsia="Arial" w:hAnsi="Arial"/>
                <w:sz w:val="18"/>
                <w:szCs w:val="18"/>
                <w:b w:val="1"/>
                <w:bCs w:val="1"/>
                <w:color w:val="auto"/>
                <w:w w:val="99"/>
              </w:rPr>
              <w:t>33%</w:t>
            </w:r>
          </w:p>
        </w:tc>
        <w:tc>
          <w:tcPr>
            <w:tcW w:w="1740" w:type="dxa"/>
            <w:vAlign w:val="bottom"/>
          </w:tcPr>
          <w:p>
            <w:pPr>
              <w:spacing w:after="0"/>
              <w:rPr>
                <w:sz w:val="22"/>
                <w:szCs w:val="22"/>
                <w:color w:val="auto"/>
              </w:rPr>
            </w:pPr>
          </w:p>
        </w:tc>
      </w:tr>
      <w:tr>
        <w:trPr>
          <w:trHeight w:val="20"/>
        </w:trPr>
        <w:tc>
          <w:tcPr>
            <w:tcW w:w="174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6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560" w:type="dxa"/>
            <w:vAlign w:val="bottom"/>
            <w:tcBorders>
              <w:right w:val="single" w:sz="8" w:color="auto"/>
            </w:tcBorders>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Information About our Board of Directors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520" w:type="dxa"/>
            <w:vAlign w:val="bottom"/>
            <w:shd w:val="clear" w:color="auto" w:fill="C00000"/>
          </w:tcPr>
          <w:p>
            <w:pPr>
              <w:spacing w:after="0"/>
              <w:rPr>
                <w:sz w:val="19"/>
                <w:szCs w:val="19"/>
                <w:color w:val="auto"/>
              </w:rPr>
            </w:pPr>
          </w:p>
        </w:tc>
        <w:tc>
          <w:tcPr>
            <w:tcW w:w="600" w:type="dxa"/>
            <w:vAlign w:val="bottom"/>
            <w:shd w:val="clear" w:color="auto" w:fill="C00000"/>
          </w:tcPr>
          <w:p>
            <w:pPr>
              <w:spacing w:after="0"/>
              <w:rPr>
                <w:sz w:val="19"/>
                <w:szCs w:val="19"/>
                <w:color w:val="auto"/>
              </w:rPr>
            </w:pPr>
          </w:p>
        </w:tc>
        <w:tc>
          <w:tcPr>
            <w:tcW w:w="2040" w:type="dxa"/>
            <w:vAlign w:val="bottom"/>
            <w:shd w:val="clear" w:color="auto" w:fill="C00000"/>
          </w:tcPr>
          <w:p>
            <w:pPr>
              <w:spacing w:after="0"/>
              <w:rPr>
                <w:sz w:val="19"/>
                <w:szCs w:val="19"/>
                <w:color w:val="auto"/>
              </w:rPr>
            </w:pPr>
          </w:p>
        </w:tc>
        <w:tc>
          <w:tcPr>
            <w:tcW w:w="620" w:type="dxa"/>
            <w:vAlign w:val="bottom"/>
            <w:shd w:val="clear" w:color="auto" w:fill="C00000"/>
          </w:tcPr>
          <w:p>
            <w:pPr>
              <w:spacing w:after="0"/>
              <w:rPr>
                <w:sz w:val="19"/>
                <w:szCs w:val="19"/>
                <w:color w:val="auto"/>
              </w:rPr>
            </w:pPr>
          </w:p>
        </w:tc>
        <w:tc>
          <w:tcPr>
            <w:tcW w:w="820" w:type="dxa"/>
            <w:vAlign w:val="bottom"/>
            <w:shd w:val="clear" w:color="auto" w:fill="C00000"/>
          </w:tcPr>
          <w:p>
            <w:pPr>
              <w:spacing w:after="0"/>
              <w:rPr>
                <w:sz w:val="19"/>
                <w:szCs w:val="19"/>
                <w:color w:val="auto"/>
              </w:rPr>
            </w:pPr>
          </w:p>
        </w:tc>
        <w:tc>
          <w:tcPr>
            <w:tcW w:w="1380" w:type="dxa"/>
            <w:vAlign w:val="bottom"/>
            <w:shd w:val="clear" w:color="auto" w:fill="C00000"/>
          </w:tcPr>
          <w:p>
            <w:pPr>
              <w:spacing w:after="0"/>
              <w:rPr>
                <w:sz w:val="19"/>
                <w:szCs w:val="19"/>
                <w:color w:val="auto"/>
              </w:rPr>
            </w:pPr>
          </w:p>
        </w:tc>
        <w:tc>
          <w:tcPr>
            <w:tcW w:w="320" w:type="dxa"/>
            <w:vAlign w:val="bottom"/>
            <w:shd w:val="clear" w:color="auto" w:fill="C00000"/>
          </w:tcPr>
          <w:p>
            <w:pPr>
              <w:spacing w:after="0"/>
              <w:rPr>
                <w:sz w:val="19"/>
                <w:szCs w:val="19"/>
                <w:color w:val="auto"/>
              </w:rPr>
            </w:pPr>
          </w:p>
        </w:tc>
        <w:tc>
          <w:tcPr>
            <w:tcW w:w="2200" w:type="dxa"/>
            <w:vAlign w:val="bottom"/>
            <w:gridSpan w:val="3"/>
            <w:shd w:val="clear" w:color="auto" w:fill="C00000"/>
          </w:tcPr>
          <w:p>
            <w:pPr>
              <w:ind w:left="60"/>
              <w:spacing w:after="0"/>
              <w:rPr>
                <w:sz w:val="20"/>
                <w:szCs w:val="20"/>
                <w:color w:val="auto"/>
              </w:rPr>
            </w:pPr>
            <w:r>
              <w:rPr>
                <w:rFonts w:ascii="Arial" w:cs="Arial" w:eastAsia="Arial" w:hAnsi="Arial"/>
                <w:sz w:val="14"/>
                <w:szCs w:val="14"/>
                <w:b w:val="1"/>
                <w:bCs w:val="1"/>
                <w:color w:val="FFFFFF"/>
              </w:rPr>
              <w:t>Committee Memberships</w:t>
            </w:r>
          </w:p>
        </w:tc>
        <w:tc>
          <w:tcPr>
            <w:tcW w:w="880" w:type="dxa"/>
            <w:vAlign w:val="bottom"/>
            <w:shd w:val="clear" w:color="auto" w:fill="C00000"/>
          </w:tcPr>
          <w:p>
            <w:pPr>
              <w:jc w:val="center"/>
              <w:ind w:right="29"/>
              <w:spacing w:after="0"/>
              <w:rPr>
                <w:sz w:val="20"/>
                <w:szCs w:val="20"/>
                <w:color w:val="auto"/>
              </w:rPr>
            </w:pPr>
            <w:r>
              <w:rPr>
                <w:rFonts w:ascii="Arial" w:cs="Arial" w:eastAsia="Arial" w:hAnsi="Arial"/>
                <w:sz w:val="14"/>
                <w:szCs w:val="14"/>
                <w:b w:val="1"/>
                <w:bCs w:val="1"/>
                <w:color w:val="FFFFFF"/>
              </w:rPr>
              <w:t>Other</w:t>
            </w:r>
          </w:p>
        </w:tc>
        <w:tc>
          <w:tcPr>
            <w:tcW w:w="8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Racial/</w:t>
            </w:r>
          </w:p>
        </w:tc>
        <w:tc>
          <w:tcPr>
            <w:tcW w:w="0" w:type="dxa"/>
            <w:vAlign w:val="bottom"/>
          </w:tcPr>
          <w:p>
            <w:pPr>
              <w:spacing w:after="0"/>
              <w:rPr>
                <w:sz w:val="1"/>
                <w:szCs w:val="1"/>
                <w:color w:val="auto"/>
              </w:rPr>
            </w:pPr>
          </w:p>
        </w:tc>
      </w:tr>
      <w:tr>
        <w:trPr>
          <w:trHeight w:val="173"/>
        </w:trPr>
        <w:tc>
          <w:tcPr>
            <w:tcW w:w="1520" w:type="dxa"/>
            <w:vAlign w:val="bottom"/>
            <w:shd w:val="clear" w:color="auto" w:fill="C00000"/>
          </w:tcPr>
          <w:p>
            <w:pPr>
              <w:spacing w:after="0"/>
              <w:rPr>
                <w:sz w:val="15"/>
                <w:szCs w:val="15"/>
                <w:color w:val="auto"/>
              </w:rPr>
            </w:pPr>
          </w:p>
        </w:tc>
        <w:tc>
          <w:tcPr>
            <w:tcW w:w="600" w:type="dxa"/>
            <w:vAlign w:val="bottom"/>
            <w:shd w:val="clear" w:color="auto" w:fill="C00000"/>
          </w:tcPr>
          <w:p>
            <w:pPr>
              <w:spacing w:after="0"/>
              <w:rPr>
                <w:sz w:val="15"/>
                <w:szCs w:val="15"/>
                <w:color w:val="auto"/>
              </w:rPr>
            </w:pPr>
          </w:p>
        </w:tc>
        <w:tc>
          <w:tcPr>
            <w:tcW w:w="2040" w:type="dxa"/>
            <w:vAlign w:val="bottom"/>
            <w:shd w:val="clear" w:color="auto" w:fill="C00000"/>
          </w:tcPr>
          <w:p>
            <w:pPr>
              <w:spacing w:after="0"/>
              <w:rPr>
                <w:sz w:val="15"/>
                <w:szCs w:val="15"/>
                <w:color w:val="auto"/>
              </w:rPr>
            </w:pPr>
          </w:p>
        </w:tc>
        <w:tc>
          <w:tcPr>
            <w:tcW w:w="620" w:type="dxa"/>
            <w:vAlign w:val="bottom"/>
            <w:shd w:val="clear" w:color="auto" w:fill="C00000"/>
          </w:tcPr>
          <w:p>
            <w:pPr>
              <w:spacing w:after="0"/>
              <w:rPr>
                <w:sz w:val="15"/>
                <w:szCs w:val="15"/>
                <w:color w:val="auto"/>
              </w:rPr>
            </w:pPr>
          </w:p>
        </w:tc>
        <w:tc>
          <w:tcPr>
            <w:tcW w:w="820" w:type="dxa"/>
            <w:vAlign w:val="bottom"/>
            <w:shd w:val="clear" w:color="auto" w:fill="C00000"/>
          </w:tcPr>
          <w:p>
            <w:pPr>
              <w:jc w:val="center"/>
              <w:ind w:right="69"/>
              <w:spacing w:after="0"/>
              <w:rPr>
                <w:sz w:val="20"/>
                <w:szCs w:val="20"/>
                <w:color w:val="auto"/>
              </w:rPr>
            </w:pPr>
            <w:r>
              <w:rPr>
                <w:rFonts w:ascii="Arial" w:cs="Arial" w:eastAsia="Arial" w:hAnsi="Arial"/>
                <w:sz w:val="14"/>
                <w:szCs w:val="14"/>
                <w:b w:val="1"/>
                <w:bCs w:val="1"/>
                <w:color w:val="FFFFFF"/>
              </w:rPr>
              <w:t>Director</w:t>
            </w:r>
          </w:p>
        </w:tc>
        <w:tc>
          <w:tcPr>
            <w:tcW w:w="1380" w:type="dxa"/>
            <w:vAlign w:val="bottom"/>
            <w:shd w:val="clear" w:color="auto" w:fill="C00000"/>
          </w:tcPr>
          <w:p>
            <w:pPr>
              <w:spacing w:after="0"/>
              <w:rPr>
                <w:sz w:val="15"/>
                <w:szCs w:val="15"/>
                <w:color w:val="auto"/>
              </w:rPr>
            </w:pPr>
          </w:p>
        </w:tc>
        <w:tc>
          <w:tcPr>
            <w:tcW w:w="320" w:type="dxa"/>
            <w:vAlign w:val="bottom"/>
            <w:shd w:val="clear" w:color="auto" w:fill="C00000"/>
          </w:tcPr>
          <w:p>
            <w:pPr>
              <w:spacing w:after="0"/>
              <w:rPr>
                <w:sz w:val="15"/>
                <w:szCs w:val="15"/>
                <w:color w:val="auto"/>
              </w:rPr>
            </w:pPr>
          </w:p>
        </w:tc>
        <w:tc>
          <w:tcPr>
            <w:tcW w:w="740" w:type="dxa"/>
            <w:vAlign w:val="bottom"/>
            <w:shd w:val="clear" w:color="auto" w:fill="C00000"/>
          </w:tcPr>
          <w:p>
            <w:pPr>
              <w:spacing w:after="0"/>
              <w:rPr>
                <w:sz w:val="15"/>
                <w:szCs w:val="15"/>
                <w:color w:val="auto"/>
              </w:rPr>
            </w:pPr>
          </w:p>
        </w:tc>
        <w:tc>
          <w:tcPr>
            <w:tcW w:w="720" w:type="dxa"/>
            <w:vAlign w:val="bottom"/>
            <w:shd w:val="clear" w:color="auto" w:fill="C00000"/>
          </w:tcPr>
          <w:p>
            <w:pPr>
              <w:spacing w:after="0"/>
              <w:rPr>
                <w:sz w:val="15"/>
                <w:szCs w:val="15"/>
                <w:color w:val="auto"/>
              </w:rPr>
            </w:pPr>
          </w:p>
        </w:tc>
        <w:tc>
          <w:tcPr>
            <w:tcW w:w="740" w:type="dxa"/>
            <w:vAlign w:val="bottom"/>
            <w:shd w:val="clear" w:color="auto" w:fill="C00000"/>
          </w:tcPr>
          <w:p>
            <w:pPr>
              <w:spacing w:after="0"/>
              <w:rPr>
                <w:sz w:val="15"/>
                <w:szCs w:val="15"/>
                <w:color w:val="auto"/>
              </w:rPr>
            </w:pPr>
          </w:p>
        </w:tc>
        <w:tc>
          <w:tcPr>
            <w:tcW w:w="8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w w:val="99"/>
              </w:rPr>
              <w:t>Public</w:t>
            </w:r>
          </w:p>
        </w:tc>
        <w:tc>
          <w:tcPr>
            <w:tcW w:w="8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Gender</w:t>
            </w:r>
          </w:p>
        </w:tc>
        <w:tc>
          <w:tcPr>
            <w:tcW w:w="0" w:type="dxa"/>
            <w:vAlign w:val="bottom"/>
          </w:tcPr>
          <w:p>
            <w:pPr>
              <w:spacing w:after="0"/>
              <w:rPr>
                <w:sz w:val="1"/>
                <w:szCs w:val="1"/>
                <w:color w:val="auto"/>
              </w:rPr>
            </w:pPr>
          </w:p>
        </w:tc>
      </w:tr>
      <w:tr>
        <w:trPr>
          <w:trHeight w:val="173"/>
        </w:trPr>
        <w:tc>
          <w:tcPr>
            <w:tcW w:w="1520" w:type="dxa"/>
            <w:vAlign w:val="bottom"/>
            <w:shd w:val="clear" w:color="auto" w:fill="C00000"/>
          </w:tcPr>
          <w:p>
            <w:pPr>
              <w:spacing w:after="0"/>
              <w:rPr>
                <w:sz w:val="15"/>
                <w:szCs w:val="15"/>
                <w:color w:val="auto"/>
              </w:rPr>
            </w:pPr>
          </w:p>
        </w:tc>
        <w:tc>
          <w:tcPr>
            <w:tcW w:w="2640" w:type="dxa"/>
            <w:vAlign w:val="bottom"/>
            <w:gridSpan w:val="2"/>
            <w:shd w:val="clear" w:color="auto" w:fill="C00000"/>
          </w:tcPr>
          <w:p>
            <w:pPr>
              <w:ind w:left="60"/>
              <w:spacing w:after="0"/>
              <w:rPr>
                <w:sz w:val="20"/>
                <w:szCs w:val="20"/>
                <w:color w:val="auto"/>
              </w:rPr>
            </w:pPr>
            <w:r>
              <w:rPr>
                <w:rFonts w:ascii="Arial" w:cs="Arial" w:eastAsia="Arial" w:hAnsi="Arial"/>
                <w:sz w:val="14"/>
                <w:szCs w:val="14"/>
                <w:b w:val="1"/>
                <w:bCs w:val="1"/>
                <w:color w:val="FFFFFF"/>
              </w:rPr>
              <w:t>Name and Title</w:t>
            </w:r>
          </w:p>
        </w:tc>
        <w:tc>
          <w:tcPr>
            <w:tcW w:w="620" w:type="dxa"/>
            <w:vAlign w:val="bottom"/>
            <w:shd w:val="clear" w:color="auto" w:fill="C00000"/>
          </w:tcPr>
          <w:p>
            <w:pPr>
              <w:jc w:val="center"/>
              <w:ind w:right="49"/>
              <w:spacing w:after="0"/>
              <w:rPr>
                <w:sz w:val="20"/>
                <w:szCs w:val="20"/>
                <w:color w:val="auto"/>
              </w:rPr>
            </w:pPr>
            <w:r>
              <w:rPr>
                <w:rFonts w:ascii="Arial" w:cs="Arial" w:eastAsia="Arial" w:hAnsi="Arial"/>
                <w:sz w:val="14"/>
                <w:szCs w:val="14"/>
                <w:b w:val="1"/>
                <w:bCs w:val="1"/>
                <w:color w:val="FFFFFF"/>
                <w:w w:val="98"/>
              </w:rPr>
              <w:t>Age</w:t>
            </w:r>
          </w:p>
        </w:tc>
        <w:tc>
          <w:tcPr>
            <w:tcW w:w="820" w:type="dxa"/>
            <w:vAlign w:val="bottom"/>
            <w:shd w:val="clear" w:color="auto" w:fill="C00000"/>
          </w:tcPr>
          <w:p>
            <w:pPr>
              <w:jc w:val="center"/>
              <w:ind w:right="89"/>
              <w:spacing w:after="0"/>
              <w:rPr>
                <w:sz w:val="20"/>
                <w:szCs w:val="20"/>
                <w:color w:val="auto"/>
              </w:rPr>
            </w:pPr>
            <w:r>
              <w:rPr>
                <w:rFonts w:ascii="Arial" w:cs="Arial" w:eastAsia="Arial" w:hAnsi="Arial"/>
                <w:sz w:val="14"/>
                <w:szCs w:val="14"/>
                <w:b w:val="1"/>
                <w:bCs w:val="1"/>
                <w:color w:val="FFFFFF"/>
              </w:rPr>
              <w:t>Since</w:t>
            </w:r>
          </w:p>
        </w:tc>
        <w:tc>
          <w:tcPr>
            <w:tcW w:w="1380" w:type="dxa"/>
            <w:vAlign w:val="bottom"/>
            <w:shd w:val="clear" w:color="auto" w:fill="C00000"/>
          </w:tcPr>
          <w:p>
            <w:pPr>
              <w:jc w:val="center"/>
              <w:ind w:right="48"/>
              <w:spacing w:after="0"/>
              <w:rPr>
                <w:sz w:val="20"/>
                <w:szCs w:val="20"/>
                <w:color w:val="auto"/>
              </w:rPr>
            </w:pPr>
            <w:r>
              <w:rPr>
                <w:rFonts w:ascii="Arial" w:cs="Arial" w:eastAsia="Arial" w:hAnsi="Arial"/>
                <w:sz w:val="14"/>
                <w:szCs w:val="14"/>
                <w:b w:val="1"/>
                <w:bCs w:val="1"/>
                <w:color w:val="FFFFFF"/>
              </w:rPr>
              <w:t>Independent</w:t>
            </w:r>
          </w:p>
        </w:tc>
        <w:tc>
          <w:tcPr>
            <w:tcW w:w="320" w:type="dxa"/>
            <w:vAlign w:val="bottom"/>
            <w:shd w:val="clear" w:color="auto" w:fill="C00000"/>
          </w:tcPr>
          <w:p>
            <w:pPr>
              <w:ind w:left="140"/>
              <w:spacing w:after="0"/>
              <w:rPr>
                <w:sz w:val="20"/>
                <w:szCs w:val="20"/>
                <w:color w:val="auto"/>
              </w:rPr>
            </w:pPr>
            <w:r>
              <w:rPr>
                <w:rFonts w:ascii="Arial" w:cs="Arial" w:eastAsia="Arial" w:hAnsi="Arial"/>
                <w:sz w:val="14"/>
                <w:szCs w:val="14"/>
                <w:b w:val="1"/>
                <w:bCs w:val="1"/>
                <w:color w:val="FFFFFF"/>
              </w:rPr>
              <w:t>A</w:t>
            </w:r>
          </w:p>
        </w:tc>
        <w:tc>
          <w:tcPr>
            <w:tcW w:w="740" w:type="dxa"/>
            <w:vAlign w:val="bottom"/>
            <w:shd w:val="clear" w:color="auto" w:fill="C00000"/>
          </w:tcPr>
          <w:p>
            <w:pPr>
              <w:jc w:val="center"/>
              <w:ind w:left="104"/>
              <w:spacing w:after="0"/>
              <w:rPr>
                <w:sz w:val="20"/>
                <w:szCs w:val="20"/>
                <w:color w:val="auto"/>
              </w:rPr>
            </w:pPr>
            <w:r>
              <w:rPr>
                <w:rFonts w:ascii="Arial" w:cs="Arial" w:eastAsia="Arial" w:hAnsi="Arial"/>
                <w:sz w:val="14"/>
                <w:szCs w:val="14"/>
                <w:b w:val="1"/>
                <w:bCs w:val="1"/>
                <w:color w:val="FFFFFF"/>
                <w:w w:val="92"/>
              </w:rPr>
              <w:t>F</w:t>
            </w:r>
          </w:p>
        </w:tc>
        <w:tc>
          <w:tcPr>
            <w:tcW w:w="7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w w:val="96"/>
              </w:rPr>
              <w:t>N&amp;G</w:t>
            </w:r>
          </w:p>
        </w:tc>
        <w:tc>
          <w:tcPr>
            <w:tcW w:w="7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w w:val="98"/>
              </w:rPr>
              <w:t>C&amp;HR</w:t>
            </w:r>
          </w:p>
        </w:tc>
        <w:tc>
          <w:tcPr>
            <w:tcW w:w="880" w:type="dxa"/>
            <w:vAlign w:val="bottom"/>
            <w:shd w:val="clear" w:color="auto" w:fill="C00000"/>
          </w:tcPr>
          <w:p>
            <w:pPr>
              <w:jc w:val="center"/>
              <w:ind w:right="9"/>
              <w:spacing w:after="0"/>
              <w:rPr>
                <w:sz w:val="20"/>
                <w:szCs w:val="20"/>
                <w:color w:val="auto"/>
              </w:rPr>
            </w:pPr>
            <w:r>
              <w:rPr>
                <w:rFonts w:ascii="Arial" w:cs="Arial" w:eastAsia="Arial" w:hAnsi="Arial"/>
                <w:sz w:val="14"/>
                <w:szCs w:val="14"/>
                <w:b w:val="1"/>
                <w:bCs w:val="1"/>
                <w:color w:val="FFFFFF"/>
                <w:w w:val="99"/>
              </w:rPr>
              <w:t>Boards</w:t>
            </w:r>
          </w:p>
        </w:tc>
        <w:tc>
          <w:tcPr>
            <w:tcW w:w="8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w w:val="97"/>
              </w:rPr>
              <w:t>Diversity</w:t>
            </w:r>
          </w:p>
        </w:tc>
        <w:tc>
          <w:tcPr>
            <w:tcW w:w="0" w:type="dxa"/>
            <w:vAlign w:val="bottom"/>
          </w:tcPr>
          <w:p>
            <w:pPr>
              <w:spacing w:after="0"/>
              <w:rPr>
                <w:sz w:val="1"/>
                <w:szCs w:val="1"/>
                <w:color w:val="auto"/>
              </w:rPr>
            </w:pPr>
          </w:p>
        </w:tc>
      </w:tr>
      <w:tr>
        <w:trPr>
          <w:trHeight w:val="173"/>
        </w:trPr>
        <w:tc>
          <w:tcPr>
            <w:tcW w:w="1520" w:type="dxa"/>
            <w:vAlign w:val="bottom"/>
            <w:shd w:val="clear" w:color="auto" w:fill="D9D9D9"/>
          </w:tcPr>
          <w:p>
            <w:pPr>
              <w:spacing w:after="0"/>
              <w:rPr>
                <w:sz w:val="20"/>
                <w:szCs w:val="20"/>
                <w:color w:val="auto"/>
              </w:rPr>
            </w:pPr>
            <w:r>
              <w:rPr>
                <w:rFonts w:ascii="Arial" w:cs="Arial" w:eastAsia="Arial" w:hAnsi="Arial"/>
                <w:sz w:val="14"/>
                <w:szCs w:val="14"/>
                <w:b w:val="1"/>
                <w:bCs w:val="1"/>
                <w:color w:val="C00000"/>
              </w:rPr>
              <w:t>Director Nominees</w:t>
            </w:r>
          </w:p>
        </w:tc>
        <w:tc>
          <w:tcPr>
            <w:tcW w:w="600" w:type="dxa"/>
            <w:vAlign w:val="bottom"/>
            <w:shd w:val="clear" w:color="auto" w:fill="D9D9D9"/>
          </w:tcPr>
          <w:p>
            <w:pPr>
              <w:spacing w:after="0"/>
              <w:rPr>
                <w:sz w:val="15"/>
                <w:szCs w:val="15"/>
                <w:color w:val="auto"/>
              </w:rPr>
            </w:pPr>
          </w:p>
        </w:tc>
        <w:tc>
          <w:tcPr>
            <w:tcW w:w="2040" w:type="dxa"/>
            <w:vAlign w:val="bottom"/>
            <w:shd w:val="clear" w:color="auto" w:fill="D9D9D9"/>
          </w:tcPr>
          <w:p>
            <w:pPr>
              <w:spacing w:after="0"/>
              <w:rPr>
                <w:sz w:val="15"/>
                <w:szCs w:val="15"/>
                <w:color w:val="auto"/>
              </w:rPr>
            </w:pPr>
          </w:p>
        </w:tc>
        <w:tc>
          <w:tcPr>
            <w:tcW w:w="620" w:type="dxa"/>
            <w:vAlign w:val="bottom"/>
            <w:shd w:val="clear" w:color="auto" w:fill="D9D9D9"/>
          </w:tcPr>
          <w:p>
            <w:pPr>
              <w:spacing w:after="0"/>
              <w:rPr>
                <w:sz w:val="15"/>
                <w:szCs w:val="15"/>
                <w:color w:val="auto"/>
              </w:rPr>
            </w:pPr>
          </w:p>
        </w:tc>
        <w:tc>
          <w:tcPr>
            <w:tcW w:w="820" w:type="dxa"/>
            <w:vAlign w:val="bottom"/>
            <w:shd w:val="clear" w:color="auto" w:fill="D9D9D9"/>
          </w:tcPr>
          <w:p>
            <w:pPr>
              <w:spacing w:after="0"/>
              <w:rPr>
                <w:sz w:val="15"/>
                <w:szCs w:val="15"/>
                <w:color w:val="auto"/>
              </w:rPr>
            </w:pPr>
          </w:p>
        </w:tc>
        <w:tc>
          <w:tcPr>
            <w:tcW w:w="1380" w:type="dxa"/>
            <w:vAlign w:val="bottom"/>
            <w:shd w:val="clear" w:color="auto" w:fill="D9D9D9"/>
          </w:tcPr>
          <w:p>
            <w:pPr>
              <w:spacing w:after="0"/>
              <w:rPr>
                <w:sz w:val="15"/>
                <w:szCs w:val="15"/>
                <w:color w:val="auto"/>
              </w:rPr>
            </w:pPr>
          </w:p>
        </w:tc>
        <w:tc>
          <w:tcPr>
            <w:tcW w:w="320" w:type="dxa"/>
            <w:vAlign w:val="bottom"/>
            <w:shd w:val="clear" w:color="auto" w:fill="D9D9D9"/>
          </w:tcPr>
          <w:p>
            <w:pPr>
              <w:spacing w:after="0"/>
              <w:rPr>
                <w:sz w:val="15"/>
                <w:szCs w:val="15"/>
                <w:color w:val="auto"/>
              </w:rPr>
            </w:pPr>
          </w:p>
        </w:tc>
        <w:tc>
          <w:tcPr>
            <w:tcW w:w="740" w:type="dxa"/>
            <w:vAlign w:val="bottom"/>
            <w:shd w:val="clear" w:color="auto" w:fill="D9D9D9"/>
          </w:tcPr>
          <w:p>
            <w:pPr>
              <w:spacing w:after="0"/>
              <w:rPr>
                <w:sz w:val="15"/>
                <w:szCs w:val="15"/>
                <w:color w:val="auto"/>
              </w:rPr>
            </w:pPr>
          </w:p>
        </w:tc>
        <w:tc>
          <w:tcPr>
            <w:tcW w:w="720" w:type="dxa"/>
            <w:vAlign w:val="bottom"/>
            <w:shd w:val="clear" w:color="auto" w:fill="D9D9D9"/>
          </w:tcPr>
          <w:p>
            <w:pPr>
              <w:spacing w:after="0"/>
              <w:rPr>
                <w:sz w:val="15"/>
                <w:szCs w:val="15"/>
                <w:color w:val="auto"/>
              </w:rPr>
            </w:pPr>
          </w:p>
        </w:tc>
        <w:tc>
          <w:tcPr>
            <w:tcW w:w="740" w:type="dxa"/>
            <w:vAlign w:val="bottom"/>
            <w:shd w:val="clear" w:color="auto" w:fill="D9D9D9"/>
          </w:tcPr>
          <w:p>
            <w:pPr>
              <w:spacing w:after="0"/>
              <w:rPr>
                <w:sz w:val="15"/>
                <w:szCs w:val="15"/>
                <w:color w:val="auto"/>
              </w:rPr>
            </w:pPr>
          </w:p>
        </w:tc>
        <w:tc>
          <w:tcPr>
            <w:tcW w:w="880" w:type="dxa"/>
            <w:vAlign w:val="bottom"/>
            <w:shd w:val="clear" w:color="auto" w:fill="D9D9D9"/>
          </w:tcPr>
          <w:p>
            <w:pPr>
              <w:spacing w:after="0"/>
              <w:rPr>
                <w:sz w:val="15"/>
                <w:szCs w:val="15"/>
                <w:color w:val="auto"/>
              </w:rPr>
            </w:pPr>
          </w:p>
        </w:tc>
        <w:tc>
          <w:tcPr>
            <w:tcW w:w="88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520" w:type="dxa"/>
            <w:vAlign w:val="bottom"/>
          </w:tcPr>
          <w:p>
            <w:pPr>
              <w:spacing w:after="0"/>
              <w:rPr>
                <w:sz w:val="20"/>
                <w:szCs w:val="20"/>
                <w:color w:val="auto"/>
              </w:rPr>
            </w:pPr>
            <w:r>
              <w:rPr>
                <w:rFonts w:ascii="Arial" w:cs="Arial" w:eastAsia="Arial" w:hAnsi="Arial"/>
                <w:sz w:val="14"/>
                <w:szCs w:val="14"/>
                <w:b w:val="1"/>
                <w:bCs w:val="1"/>
                <w:color w:val="C00000"/>
              </w:rPr>
              <w:t>Eric P. Hansotia</w:t>
            </w:r>
          </w:p>
        </w:tc>
        <w:tc>
          <w:tcPr>
            <w:tcW w:w="6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C00000"/>
              </w:rPr>
              <w:t>✓</w:t>
            </w:r>
          </w:p>
        </w:tc>
        <w:tc>
          <w:tcPr>
            <w:tcW w:w="0" w:type="dxa"/>
            <w:vAlign w:val="bottom"/>
          </w:tcPr>
          <w:p>
            <w:pPr>
              <w:spacing w:after="0"/>
              <w:rPr>
                <w:sz w:val="1"/>
                <w:szCs w:val="1"/>
                <w:color w:val="auto"/>
              </w:rPr>
            </w:pPr>
          </w:p>
        </w:tc>
      </w:tr>
      <w:tr>
        <w:trPr>
          <w:trHeight w:val="189"/>
        </w:trPr>
        <w:tc>
          <w:tcPr>
            <w:tcW w:w="4160" w:type="dxa"/>
            <w:vAlign w:val="bottom"/>
            <w:gridSpan w:val="3"/>
          </w:tcPr>
          <w:p>
            <w:pPr>
              <w:ind w:left="180"/>
              <w:spacing w:after="0"/>
              <w:rPr>
                <w:sz w:val="20"/>
                <w:szCs w:val="20"/>
                <w:color w:val="auto"/>
              </w:rPr>
            </w:pPr>
            <w:r>
              <w:rPr>
                <w:rFonts w:ascii="Arial" w:cs="Arial" w:eastAsia="Arial" w:hAnsi="Arial"/>
                <w:sz w:val="14"/>
                <w:szCs w:val="14"/>
                <w:color w:val="auto"/>
              </w:rPr>
              <w:t>Chairman, President and Chief Executive Officer,</w:t>
            </w:r>
          </w:p>
        </w:tc>
        <w:tc>
          <w:tcPr>
            <w:tcW w:w="620" w:type="dxa"/>
            <w:vAlign w:val="bottom"/>
          </w:tcPr>
          <w:p>
            <w:pPr>
              <w:jc w:val="center"/>
              <w:ind w:right="69"/>
              <w:spacing w:after="0"/>
              <w:rPr>
                <w:sz w:val="20"/>
                <w:szCs w:val="20"/>
                <w:color w:val="auto"/>
              </w:rPr>
            </w:pPr>
            <w:r>
              <w:rPr>
                <w:rFonts w:ascii="Arial" w:cs="Arial" w:eastAsia="Arial" w:hAnsi="Arial"/>
                <w:sz w:val="14"/>
                <w:szCs w:val="14"/>
                <w:color w:val="auto"/>
              </w:rPr>
              <w:t>53</w:t>
            </w:r>
          </w:p>
        </w:tc>
        <w:tc>
          <w:tcPr>
            <w:tcW w:w="820" w:type="dxa"/>
            <w:vAlign w:val="bottom"/>
          </w:tcPr>
          <w:p>
            <w:pPr>
              <w:jc w:val="center"/>
              <w:ind w:right="69"/>
              <w:spacing w:after="0"/>
              <w:rPr>
                <w:sz w:val="20"/>
                <w:szCs w:val="20"/>
                <w:color w:val="auto"/>
              </w:rPr>
            </w:pPr>
            <w:r>
              <w:rPr>
                <w:rFonts w:ascii="Arial" w:cs="Arial" w:eastAsia="Arial" w:hAnsi="Arial"/>
                <w:sz w:val="14"/>
                <w:szCs w:val="14"/>
                <w:color w:val="auto"/>
                <w:w w:val="99"/>
              </w:rPr>
              <w:t>Nominee</w:t>
            </w:r>
          </w:p>
        </w:tc>
        <w:tc>
          <w:tcPr>
            <w:tcW w:w="1380" w:type="dxa"/>
            <w:vAlign w:val="bottom"/>
          </w:tcPr>
          <w:p>
            <w:pPr>
              <w:jc w:val="center"/>
              <w:ind w:right="48"/>
              <w:spacing w:after="0"/>
              <w:rPr>
                <w:sz w:val="20"/>
                <w:szCs w:val="20"/>
                <w:color w:val="auto"/>
              </w:rPr>
            </w:pPr>
            <w:r>
              <w:rPr>
                <w:rFonts w:ascii="Arial" w:cs="Arial" w:eastAsia="Arial" w:hAnsi="Arial"/>
                <w:sz w:val="14"/>
                <w:szCs w:val="14"/>
                <w:color w:val="auto"/>
                <w:w w:val="90"/>
              </w:rPr>
              <w:t>Yes</w:t>
            </w: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tcPr>
          <w:p>
            <w:pPr>
              <w:jc w:val="right"/>
              <w:ind w:right="309"/>
              <w:spacing w:after="0"/>
              <w:rPr>
                <w:sz w:val="20"/>
                <w:szCs w:val="20"/>
                <w:color w:val="auto"/>
              </w:rPr>
            </w:pPr>
            <w:r>
              <w:rPr>
                <w:rFonts w:ascii="Arial" w:cs="Arial" w:eastAsia="Arial" w:hAnsi="Arial"/>
                <w:sz w:val="14"/>
                <w:szCs w:val="14"/>
                <w:color w:val="C00000"/>
              </w:rPr>
              <w:t>1</w:t>
            </w: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520" w:type="dxa"/>
            <w:vAlign w:val="bottom"/>
          </w:tcPr>
          <w:p>
            <w:pPr>
              <w:ind w:left="180"/>
              <w:spacing w:after="0" w:line="155" w:lineRule="exact"/>
              <w:rPr>
                <w:sz w:val="20"/>
                <w:szCs w:val="20"/>
                <w:color w:val="auto"/>
              </w:rPr>
            </w:pPr>
            <w:r>
              <w:rPr>
                <w:rFonts w:ascii="Arial" w:cs="Arial" w:eastAsia="Arial" w:hAnsi="Arial"/>
                <w:sz w:val="14"/>
                <w:szCs w:val="14"/>
                <w:color w:val="auto"/>
              </w:rPr>
              <w:t>AGCO Corporation</w:t>
            </w:r>
          </w:p>
        </w:tc>
        <w:tc>
          <w:tcPr>
            <w:tcW w:w="6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520" w:type="dxa"/>
            <w:vAlign w:val="bottom"/>
            <w:shd w:val="clear" w:color="auto" w:fill="D9D9D9"/>
          </w:tcPr>
          <w:p>
            <w:pPr>
              <w:spacing w:after="0"/>
              <w:rPr>
                <w:sz w:val="20"/>
                <w:szCs w:val="20"/>
                <w:color w:val="auto"/>
              </w:rPr>
            </w:pPr>
            <w:r>
              <w:rPr>
                <w:rFonts w:ascii="Arial" w:cs="Arial" w:eastAsia="Arial" w:hAnsi="Arial"/>
                <w:sz w:val="14"/>
                <w:szCs w:val="14"/>
                <w:b w:val="1"/>
                <w:bCs w:val="1"/>
                <w:color w:val="C00000"/>
              </w:rPr>
              <w:t>Jill M. Pemberton</w:t>
            </w:r>
          </w:p>
        </w:tc>
        <w:tc>
          <w:tcPr>
            <w:tcW w:w="600" w:type="dxa"/>
            <w:vAlign w:val="bottom"/>
            <w:shd w:val="clear" w:color="auto" w:fill="D9D9D9"/>
          </w:tcPr>
          <w:p>
            <w:pPr>
              <w:spacing w:after="0"/>
              <w:rPr>
                <w:sz w:val="17"/>
                <w:szCs w:val="17"/>
                <w:color w:val="auto"/>
              </w:rPr>
            </w:pPr>
          </w:p>
        </w:tc>
        <w:tc>
          <w:tcPr>
            <w:tcW w:w="2040" w:type="dxa"/>
            <w:vAlign w:val="bottom"/>
            <w:shd w:val="clear" w:color="auto" w:fill="D9D9D9"/>
          </w:tcPr>
          <w:p>
            <w:pPr>
              <w:spacing w:after="0"/>
              <w:rPr>
                <w:sz w:val="17"/>
                <w:szCs w:val="17"/>
                <w:color w:val="auto"/>
              </w:rPr>
            </w:pPr>
          </w:p>
        </w:tc>
        <w:tc>
          <w:tcPr>
            <w:tcW w:w="620" w:type="dxa"/>
            <w:vAlign w:val="bottom"/>
            <w:shd w:val="clear" w:color="auto" w:fill="D9D9D9"/>
          </w:tcPr>
          <w:p>
            <w:pPr>
              <w:spacing w:after="0"/>
              <w:rPr>
                <w:sz w:val="17"/>
                <w:szCs w:val="17"/>
                <w:color w:val="auto"/>
              </w:rPr>
            </w:pPr>
          </w:p>
        </w:tc>
        <w:tc>
          <w:tcPr>
            <w:tcW w:w="820" w:type="dxa"/>
            <w:vAlign w:val="bottom"/>
            <w:shd w:val="clear" w:color="auto" w:fill="D9D9D9"/>
          </w:tcPr>
          <w:p>
            <w:pPr>
              <w:spacing w:after="0"/>
              <w:rPr>
                <w:sz w:val="17"/>
                <w:szCs w:val="17"/>
                <w:color w:val="auto"/>
              </w:rPr>
            </w:pPr>
          </w:p>
        </w:tc>
        <w:tc>
          <w:tcPr>
            <w:tcW w:w="1380" w:type="dxa"/>
            <w:vAlign w:val="bottom"/>
            <w:shd w:val="clear" w:color="auto" w:fill="D9D9D9"/>
          </w:tcPr>
          <w:p>
            <w:pPr>
              <w:spacing w:after="0"/>
              <w:rPr>
                <w:sz w:val="17"/>
                <w:szCs w:val="17"/>
                <w:color w:val="auto"/>
              </w:rPr>
            </w:pPr>
          </w:p>
        </w:tc>
        <w:tc>
          <w:tcPr>
            <w:tcW w:w="320" w:type="dxa"/>
            <w:vAlign w:val="bottom"/>
            <w:shd w:val="clear" w:color="auto" w:fill="D9D9D9"/>
          </w:tcPr>
          <w:p>
            <w:pPr>
              <w:spacing w:after="0"/>
              <w:rPr>
                <w:sz w:val="17"/>
                <w:szCs w:val="17"/>
                <w:color w:val="auto"/>
              </w:rPr>
            </w:pPr>
          </w:p>
        </w:tc>
        <w:tc>
          <w:tcPr>
            <w:tcW w:w="740" w:type="dxa"/>
            <w:vAlign w:val="bottom"/>
            <w:shd w:val="clear" w:color="auto" w:fill="D9D9D9"/>
          </w:tcPr>
          <w:p>
            <w:pPr>
              <w:spacing w:after="0"/>
              <w:rPr>
                <w:sz w:val="17"/>
                <w:szCs w:val="17"/>
                <w:color w:val="auto"/>
              </w:rPr>
            </w:pPr>
          </w:p>
        </w:tc>
        <w:tc>
          <w:tcPr>
            <w:tcW w:w="720" w:type="dxa"/>
            <w:vAlign w:val="bottom"/>
            <w:shd w:val="clear" w:color="auto" w:fill="D9D9D9"/>
          </w:tcPr>
          <w:p>
            <w:pPr>
              <w:spacing w:after="0"/>
              <w:rPr>
                <w:sz w:val="17"/>
                <w:szCs w:val="17"/>
                <w:color w:val="auto"/>
              </w:rPr>
            </w:pPr>
          </w:p>
        </w:tc>
        <w:tc>
          <w:tcPr>
            <w:tcW w:w="740" w:type="dxa"/>
            <w:vAlign w:val="bottom"/>
            <w:shd w:val="clear" w:color="auto" w:fill="D9D9D9"/>
          </w:tcPr>
          <w:p>
            <w:pPr>
              <w:spacing w:after="0"/>
              <w:rPr>
                <w:sz w:val="17"/>
                <w:szCs w:val="17"/>
                <w:color w:val="auto"/>
              </w:rPr>
            </w:pPr>
          </w:p>
        </w:tc>
        <w:tc>
          <w:tcPr>
            <w:tcW w:w="880" w:type="dxa"/>
            <w:vAlign w:val="bottom"/>
            <w:shd w:val="clear" w:color="auto" w:fill="D9D9D9"/>
          </w:tcPr>
          <w:p>
            <w:pPr>
              <w:spacing w:after="0"/>
              <w:rPr>
                <w:sz w:val="17"/>
                <w:szCs w:val="17"/>
                <w:color w:val="auto"/>
              </w:rPr>
            </w:pPr>
          </w:p>
        </w:tc>
        <w:tc>
          <w:tcPr>
            <w:tcW w:w="880" w:type="dxa"/>
            <w:vAlign w:val="bottom"/>
            <w:vMerge w:val="restart"/>
            <w:shd w:val="clear" w:color="auto" w:fill="D9D9D9"/>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C00000"/>
              </w:rPr>
              <w:t>✓</w:t>
            </w:r>
          </w:p>
        </w:tc>
        <w:tc>
          <w:tcPr>
            <w:tcW w:w="0" w:type="dxa"/>
            <w:vAlign w:val="bottom"/>
          </w:tcPr>
          <w:p>
            <w:pPr>
              <w:spacing w:after="0"/>
              <w:rPr>
                <w:sz w:val="1"/>
                <w:szCs w:val="1"/>
                <w:color w:val="auto"/>
              </w:rPr>
            </w:pPr>
          </w:p>
        </w:tc>
      </w:tr>
      <w:tr>
        <w:trPr>
          <w:trHeight w:val="189"/>
        </w:trPr>
        <w:tc>
          <w:tcPr>
            <w:tcW w:w="4160" w:type="dxa"/>
            <w:vAlign w:val="bottom"/>
            <w:gridSpan w:val="3"/>
            <w:shd w:val="clear" w:color="auto" w:fill="D9D9D9"/>
          </w:tcPr>
          <w:p>
            <w:pPr>
              <w:ind w:left="180"/>
              <w:spacing w:after="0"/>
              <w:rPr>
                <w:sz w:val="20"/>
                <w:szCs w:val="20"/>
                <w:color w:val="auto"/>
              </w:rPr>
            </w:pPr>
            <w:r>
              <w:rPr>
                <w:rFonts w:ascii="Arial" w:cs="Arial" w:eastAsia="Arial" w:hAnsi="Arial"/>
                <w:sz w:val="14"/>
                <w:szCs w:val="14"/>
                <w:color w:val="auto"/>
              </w:rPr>
              <w:t>Chief Financial Officer, North America</w:t>
            </w:r>
          </w:p>
        </w:tc>
        <w:tc>
          <w:tcPr>
            <w:tcW w:w="620" w:type="dxa"/>
            <w:vAlign w:val="bottom"/>
            <w:shd w:val="clear" w:color="auto" w:fill="D9D9D9"/>
          </w:tcPr>
          <w:p>
            <w:pPr>
              <w:jc w:val="center"/>
              <w:ind w:right="69"/>
              <w:spacing w:after="0"/>
              <w:rPr>
                <w:sz w:val="20"/>
                <w:szCs w:val="20"/>
                <w:color w:val="auto"/>
              </w:rPr>
            </w:pPr>
            <w:r>
              <w:rPr>
                <w:rFonts w:ascii="Arial" w:cs="Arial" w:eastAsia="Arial" w:hAnsi="Arial"/>
                <w:sz w:val="14"/>
                <w:szCs w:val="14"/>
                <w:color w:val="auto"/>
              </w:rPr>
              <w:t>51</w:t>
            </w:r>
          </w:p>
        </w:tc>
        <w:tc>
          <w:tcPr>
            <w:tcW w:w="820" w:type="dxa"/>
            <w:vAlign w:val="bottom"/>
            <w:shd w:val="clear" w:color="auto" w:fill="D9D9D9"/>
          </w:tcPr>
          <w:p>
            <w:pPr>
              <w:jc w:val="center"/>
              <w:ind w:right="69"/>
              <w:spacing w:after="0"/>
              <w:rPr>
                <w:sz w:val="20"/>
                <w:szCs w:val="20"/>
                <w:color w:val="auto"/>
              </w:rPr>
            </w:pPr>
            <w:r>
              <w:rPr>
                <w:rFonts w:ascii="Arial" w:cs="Arial" w:eastAsia="Arial" w:hAnsi="Arial"/>
                <w:sz w:val="14"/>
                <w:szCs w:val="14"/>
                <w:color w:val="auto"/>
                <w:w w:val="99"/>
              </w:rPr>
              <w:t>Nominee</w:t>
            </w:r>
          </w:p>
        </w:tc>
        <w:tc>
          <w:tcPr>
            <w:tcW w:w="1380" w:type="dxa"/>
            <w:vAlign w:val="bottom"/>
            <w:shd w:val="clear" w:color="auto" w:fill="D9D9D9"/>
          </w:tcPr>
          <w:p>
            <w:pPr>
              <w:jc w:val="center"/>
              <w:ind w:right="48"/>
              <w:spacing w:after="0"/>
              <w:rPr>
                <w:sz w:val="20"/>
                <w:szCs w:val="20"/>
                <w:color w:val="auto"/>
              </w:rPr>
            </w:pPr>
            <w:r>
              <w:rPr>
                <w:rFonts w:ascii="Arial" w:cs="Arial" w:eastAsia="Arial" w:hAnsi="Arial"/>
                <w:sz w:val="14"/>
                <w:szCs w:val="14"/>
                <w:color w:val="auto"/>
                <w:w w:val="90"/>
              </w:rPr>
              <w:t>Yes</w:t>
            </w:r>
          </w:p>
        </w:tc>
        <w:tc>
          <w:tcPr>
            <w:tcW w:w="320" w:type="dxa"/>
            <w:vAlign w:val="bottom"/>
            <w:shd w:val="clear" w:color="auto" w:fill="D9D9D9"/>
          </w:tcPr>
          <w:p>
            <w:pPr>
              <w:spacing w:after="0"/>
              <w:rPr>
                <w:sz w:val="16"/>
                <w:szCs w:val="16"/>
                <w:color w:val="auto"/>
              </w:rPr>
            </w:pPr>
          </w:p>
        </w:tc>
        <w:tc>
          <w:tcPr>
            <w:tcW w:w="740" w:type="dxa"/>
            <w:vAlign w:val="bottom"/>
            <w:shd w:val="clear" w:color="auto" w:fill="D9D9D9"/>
          </w:tcPr>
          <w:p>
            <w:pPr>
              <w:spacing w:after="0"/>
              <w:rPr>
                <w:sz w:val="16"/>
                <w:szCs w:val="16"/>
                <w:color w:val="auto"/>
              </w:rPr>
            </w:pPr>
          </w:p>
        </w:tc>
        <w:tc>
          <w:tcPr>
            <w:tcW w:w="720" w:type="dxa"/>
            <w:vAlign w:val="bottom"/>
            <w:shd w:val="clear" w:color="auto" w:fill="D9D9D9"/>
          </w:tcPr>
          <w:p>
            <w:pPr>
              <w:spacing w:after="0"/>
              <w:rPr>
                <w:sz w:val="16"/>
                <w:szCs w:val="16"/>
                <w:color w:val="auto"/>
              </w:rPr>
            </w:pPr>
          </w:p>
        </w:tc>
        <w:tc>
          <w:tcPr>
            <w:tcW w:w="740" w:type="dxa"/>
            <w:vAlign w:val="bottom"/>
            <w:shd w:val="clear" w:color="auto" w:fill="D9D9D9"/>
          </w:tcPr>
          <w:p>
            <w:pPr>
              <w:spacing w:after="0"/>
              <w:rPr>
                <w:sz w:val="16"/>
                <w:szCs w:val="16"/>
                <w:color w:val="auto"/>
              </w:rPr>
            </w:pPr>
          </w:p>
        </w:tc>
        <w:tc>
          <w:tcPr>
            <w:tcW w:w="880" w:type="dxa"/>
            <w:vAlign w:val="bottom"/>
            <w:shd w:val="clear" w:color="auto" w:fill="D9D9D9"/>
          </w:tcPr>
          <w:p>
            <w:pPr>
              <w:jc w:val="right"/>
              <w:ind w:right="309"/>
              <w:spacing w:after="0"/>
              <w:rPr>
                <w:sz w:val="20"/>
                <w:szCs w:val="20"/>
                <w:color w:val="auto"/>
              </w:rPr>
            </w:pPr>
            <w:r>
              <w:rPr>
                <w:rFonts w:ascii="Arial" w:cs="Arial" w:eastAsia="Arial" w:hAnsi="Arial"/>
                <w:sz w:val="14"/>
                <w:szCs w:val="14"/>
                <w:color w:val="C00000"/>
              </w:rPr>
              <w:t>0</w:t>
            </w:r>
          </w:p>
        </w:tc>
        <w:tc>
          <w:tcPr>
            <w:tcW w:w="880" w:type="dxa"/>
            <w:vAlign w:val="bottom"/>
            <w:vMerge w:val="continue"/>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160" w:type="dxa"/>
            <w:vAlign w:val="bottom"/>
            <w:gridSpan w:val="3"/>
            <w:shd w:val="clear" w:color="auto" w:fill="D9D9D9"/>
          </w:tcPr>
          <w:p>
            <w:pPr>
              <w:ind w:left="180"/>
              <w:spacing w:after="0" w:line="155" w:lineRule="exact"/>
              <w:rPr>
                <w:sz w:val="20"/>
                <w:szCs w:val="20"/>
                <w:color w:val="auto"/>
              </w:rPr>
            </w:pPr>
            <w:r>
              <w:rPr>
                <w:rFonts w:ascii="Arial" w:cs="Arial" w:eastAsia="Arial" w:hAnsi="Arial"/>
                <w:sz w:val="14"/>
                <w:szCs w:val="14"/>
                <w:color w:val="auto"/>
              </w:rPr>
              <w:t>LVMH Moët Hennessy Louis Vuitton</w:t>
            </w:r>
          </w:p>
        </w:tc>
        <w:tc>
          <w:tcPr>
            <w:tcW w:w="620" w:type="dxa"/>
            <w:vAlign w:val="bottom"/>
            <w:shd w:val="clear" w:color="auto" w:fill="D9D9D9"/>
          </w:tcPr>
          <w:p>
            <w:pPr>
              <w:spacing w:after="0"/>
              <w:rPr>
                <w:sz w:val="13"/>
                <w:szCs w:val="13"/>
                <w:color w:val="auto"/>
              </w:rPr>
            </w:pPr>
          </w:p>
        </w:tc>
        <w:tc>
          <w:tcPr>
            <w:tcW w:w="820" w:type="dxa"/>
            <w:vAlign w:val="bottom"/>
            <w:shd w:val="clear" w:color="auto" w:fill="D9D9D9"/>
          </w:tcPr>
          <w:p>
            <w:pPr>
              <w:spacing w:after="0"/>
              <w:rPr>
                <w:sz w:val="13"/>
                <w:szCs w:val="13"/>
                <w:color w:val="auto"/>
              </w:rPr>
            </w:pPr>
          </w:p>
        </w:tc>
        <w:tc>
          <w:tcPr>
            <w:tcW w:w="1380" w:type="dxa"/>
            <w:vAlign w:val="bottom"/>
            <w:shd w:val="clear" w:color="auto" w:fill="D9D9D9"/>
          </w:tcPr>
          <w:p>
            <w:pPr>
              <w:spacing w:after="0"/>
              <w:rPr>
                <w:sz w:val="13"/>
                <w:szCs w:val="13"/>
                <w:color w:val="auto"/>
              </w:rPr>
            </w:pPr>
          </w:p>
        </w:tc>
        <w:tc>
          <w:tcPr>
            <w:tcW w:w="320" w:type="dxa"/>
            <w:vAlign w:val="bottom"/>
            <w:shd w:val="clear" w:color="auto" w:fill="D9D9D9"/>
          </w:tcPr>
          <w:p>
            <w:pPr>
              <w:spacing w:after="0"/>
              <w:rPr>
                <w:sz w:val="13"/>
                <w:szCs w:val="13"/>
                <w:color w:val="auto"/>
              </w:rPr>
            </w:pPr>
          </w:p>
        </w:tc>
        <w:tc>
          <w:tcPr>
            <w:tcW w:w="740" w:type="dxa"/>
            <w:vAlign w:val="bottom"/>
            <w:shd w:val="clear" w:color="auto" w:fill="D9D9D9"/>
          </w:tcPr>
          <w:p>
            <w:pPr>
              <w:spacing w:after="0"/>
              <w:rPr>
                <w:sz w:val="13"/>
                <w:szCs w:val="13"/>
                <w:color w:val="auto"/>
              </w:rPr>
            </w:pPr>
          </w:p>
        </w:tc>
        <w:tc>
          <w:tcPr>
            <w:tcW w:w="720" w:type="dxa"/>
            <w:vAlign w:val="bottom"/>
            <w:shd w:val="clear" w:color="auto" w:fill="D9D9D9"/>
          </w:tcPr>
          <w:p>
            <w:pPr>
              <w:spacing w:after="0"/>
              <w:rPr>
                <w:sz w:val="13"/>
                <w:szCs w:val="13"/>
                <w:color w:val="auto"/>
              </w:rPr>
            </w:pPr>
          </w:p>
        </w:tc>
        <w:tc>
          <w:tcPr>
            <w:tcW w:w="740" w:type="dxa"/>
            <w:vAlign w:val="bottom"/>
            <w:shd w:val="clear" w:color="auto" w:fill="D9D9D9"/>
          </w:tcPr>
          <w:p>
            <w:pPr>
              <w:spacing w:after="0"/>
              <w:rPr>
                <w:sz w:val="13"/>
                <w:szCs w:val="13"/>
                <w:color w:val="auto"/>
              </w:rPr>
            </w:pPr>
          </w:p>
        </w:tc>
        <w:tc>
          <w:tcPr>
            <w:tcW w:w="880" w:type="dxa"/>
            <w:vAlign w:val="bottom"/>
            <w:shd w:val="clear" w:color="auto" w:fill="D9D9D9"/>
          </w:tcPr>
          <w:p>
            <w:pPr>
              <w:spacing w:after="0"/>
              <w:rPr>
                <w:sz w:val="13"/>
                <w:szCs w:val="13"/>
                <w:color w:val="auto"/>
              </w:rPr>
            </w:pPr>
          </w:p>
        </w:tc>
        <w:tc>
          <w:tcPr>
            <w:tcW w:w="880" w:type="dxa"/>
            <w:vAlign w:val="bottom"/>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520" w:type="dxa"/>
            <w:vAlign w:val="bottom"/>
          </w:tcPr>
          <w:p>
            <w:pPr>
              <w:spacing w:after="0"/>
              <w:rPr>
                <w:sz w:val="20"/>
                <w:szCs w:val="20"/>
                <w:color w:val="auto"/>
              </w:rPr>
            </w:pPr>
            <w:r>
              <w:rPr>
                <w:rFonts w:ascii="Arial" w:cs="Arial" w:eastAsia="Arial" w:hAnsi="Arial"/>
                <w:sz w:val="14"/>
                <w:szCs w:val="14"/>
                <w:b w:val="1"/>
                <w:bCs w:val="1"/>
                <w:color w:val="C00000"/>
              </w:rPr>
              <w:t>Jeffrey L. Harmening</w:t>
            </w:r>
          </w:p>
        </w:tc>
        <w:tc>
          <w:tcPr>
            <w:tcW w:w="6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2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shd w:val="clear" w:color="auto" w:fill="C00000"/>
              </w:rPr>
              <w:t>✓</w:t>
            </w:r>
          </w:p>
        </w:tc>
        <w:tc>
          <w:tcPr>
            <w:tcW w:w="740" w:type="dxa"/>
            <w:vAlign w:val="bottom"/>
            <w:vMerge w:val="restart"/>
          </w:tcPr>
          <w:p>
            <w:pPr>
              <w:jc w:val="center"/>
              <w:ind w:left="124"/>
              <w:spacing w:after="0" w:line="161" w:lineRule="exact"/>
              <w:rPr>
                <w:sz w:val="20"/>
                <w:szCs w:val="20"/>
                <w:color w:val="auto"/>
              </w:rPr>
            </w:pPr>
            <w:r>
              <w:rPr>
                <w:rFonts w:ascii="MS PGothic" w:cs="MS PGothic" w:eastAsia="MS PGothic" w:hAnsi="MS PGothic"/>
                <w:sz w:val="16"/>
                <w:szCs w:val="16"/>
                <w:color w:val="auto"/>
                <w:w w:val="87"/>
                <w:shd w:val="clear" w:color="auto" w:fill="C00000"/>
              </w:rPr>
              <w:t>✓</w:t>
            </w: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160" w:type="dxa"/>
            <w:vAlign w:val="bottom"/>
            <w:gridSpan w:val="3"/>
          </w:tcPr>
          <w:p>
            <w:pPr>
              <w:ind w:left="120"/>
              <w:spacing w:after="0"/>
              <w:rPr>
                <w:sz w:val="20"/>
                <w:szCs w:val="20"/>
                <w:color w:val="auto"/>
              </w:rPr>
            </w:pPr>
            <w:r>
              <w:rPr>
                <w:rFonts w:ascii="Arial" w:cs="Arial" w:eastAsia="Arial" w:hAnsi="Arial"/>
                <w:sz w:val="14"/>
                <w:szCs w:val="14"/>
                <w:color w:val="auto"/>
              </w:rPr>
              <w:t>Chairman and Chief Executive Officer,</w:t>
            </w:r>
          </w:p>
        </w:tc>
        <w:tc>
          <w:tcPr>
            <w:tcW w:w="620" w:type="dxa"/>
            <w:vAlign w:val="bottom"/>
          </w:tcPr>
          <w:p>
            <w:pPr>
              <w:jc w:val="center"/>
              <w:ind w:right="69"/>
              <w:spacing w:after="0"/>
              <w:rPr>
                <w:sz w:val="20"/>
                <w:szCs w:val="20"/>
                <w:color w:val="auto"/>
              </w:rPr>
            </w:pPr>
            <w:r>
              <w:rPr>
                <w:rFonts w:ascii="Arial" w:cs="Arial" w:eastAsia="Arial" w:hAnsi="Arial"/>
                <w:sz w:val="14"/>
                <w:szCs w:val="14"/>
                <w:color w:val="auto"/>
              </w:rPr>
              <w:t>54</w:t>
            </w:r>
          </w:p>
        </w:tc>
        <w:tc>
          <w:tcPr>
            <w:tcW w:w="820" w:type="dxa"/>
            <w:vAlign w:val="bottom"/>
          </w:tcPr>
          <w:p>
            <w:pPr>
              <w:jc w:val="center"/>
              <w:ind w:right="69"/>
              <w:spacing w:after="0"/>
              <w:rPr>
                <w:sz w:val="20"/>
                <w:szCs w:val="20"/>
                <w:color w:val="auto"/>
              </w:rPr>
            </w:pPr>
            <w:r>
              <w:rPr>
                <w:rFonts w:ascii="Arial" w:cs="Arial" w:eastAsia="Arial" w:hAnsi="Arial"/>
                <w:sz w:val="14"/>
                <w:szCs w:val="14"/>
                <w:color w:val="auto"/>
              </w:rPr>
              <w:t>2019</w:t>
            </w:r>
          </w:p>
        </w:tc>
        <w:tc>
          <w:tcPr>
            <w:tcW w:w="1380" w:type="dxa"/>
            <w:vAlign w:val="bottom"/>
          </w:tcPr>
          <w:p>
            <w:pPr>
              <w:jc w:val="center"/>
              <w:ind w:right="48"/>
              <w:spacing w:after="0"/>
              <w:rPr>
                <w:sz w:val="20"/>
                <w:szCs w:val="20"/>
                <w:color w:val="auto"/>
              </w:rPr>
            </w:pPr>
            <w:r>
              <w:rPr>
                <w:rFonts w:ascii="Arial" w:cs="Arial" w:eastAsia="Arial" w:hAnsi="Arial"/>
                <w:sz w:val="14"/>
                <w:szCs w:val="14"/>
                <w:color w:val="auto"/>
                <w:w w:val="90"/>
              </w:rPr>
              <w:t>Yes</w:t>
            </w:r>
          </w:p>
        </w:tc>
        <w:tc>
          <w:tcPr>
            <w:tcW w:w="3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jc w:val="right"/>
              <w:ind w:right="309"/>
              <w:spacing w:after="0"/>
              <w:rPr>
                <w:sz w:val="20"/>
                <w:szCs w:val="20"/>
                <w:color w:val="auto"/>
              </w:rPr>
            </w:pPr>
            <w:r>
              <w:rPr>
                <w:rFonts w:ascii="Arial" w:cs="Arial" w:eastAsia="Arial" w:hAnsi="Arial"/>
                <w:sz w:val="14"/>
                <w:szCs w:val="14"/>
                <w:color w:val="C00000"/>
              </w:rPr>
              <w:t>1</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520" w:type="dxa"/>
            <w:vAlign w:val="bottom"/>
          </w:tcPr>
          <w:p>
            <w:pPr>
              <w:ind w:left="120"/>
              <w:spacing w:after="0" w:line="155" w:lineRule="exact"/>
              <w:rPr>
                <w:sz w:val="20"/>
                <w:szCs w:val="20"/>
                <w:color w:val="auto"/>
              </w:rPr>
            </w:pPr>
            <w:r>
              <w:rPr>
                <w:rFonts w:ascii="Arial" w:cs="Arial" w:eastAsia="Arial" w:hAnsi="Arial"/>
                <w:sz w:val="14"/>
                <w:szCs w:val="14"/>
                <w:color w:val="auto"/>
              </w:rPr>
              <w:t>General Mills, Inc.</w:t>
            </w:r>
          </w:p>
        </w:tc>
        <w:tc>
          <w:tcPr>
            <w:tcW w:w="6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520" w:type="dxa"/>
            <w:vAlign w:val="bottom"/>
            <w:shd w:val="clear" w:color="auto" w:fill="D9D9D9"/>
          </w:tcPr>
          <w:p>
            <w:pPr>
              <w:spacing w:after="0"/>
              <w:rPr>
                <w:sz w:val="20"/>
                <w:szCs w:val="20"/>
                <w:color w:val="auto"/>
              </w:rPr>
            </w:pPr>
            <w:r>
              <w:rPr>
                <w:rFonts w:ascii="Arial" w:cs="Arial" w:eastAsia="Arial" w:hAnsi="Arial"/>
                <w:sz w:val="14"/>
                <w:szCs w:val="14"/>
                <w:b w:val="1"/>
                <w:bCs w:val="1"/>
                <w:color w:val="C00000"/>
              </w:rPr>
              <w:t>Joyce A. Mullen</w:t>
            </w:r>
          </w:p>
        </w:tc>
        <w:tc>
          <w:tcPr>
            <w:tcW w:w="600" w:type="dxa"/>
            <w:vAlign w:val="bottom"/>
            <w:shd w:val="clear" w:color="auto" w:fill="D9D9D9"/>
          </w:tcPr>
          <w:p>
            <w:pPr>
              <w:spacing w:after="0"/>
              <w:rPr>
                <w:sz w:val="15"/>
                <w:szCs w:val="15"/>
                <w:color w:val="auto"/>
              </w:rPr>
            </w:pPr>
          </w:p>
        </w:tc>
        <w:tc>
          <w:tcPr>
            <w:tcW w:w="2040" w:type="dxa"/>
            <w:vAlign w:val="bottom"/>
            <w:shd w:val="clear" w:color="auto" w:fill="D9D9D9"/>
          </w:tcPr>
          <w:p>
            <w:pPr>
              <w:spacing w:after="0"/>
              <w:rPr>
                <w:sz w:val="15"/>
                <w:szCs w:val="15"/>
                <w:color w:val="auto"/>
              </w:rPr>
            </w:pPr>
          </w:p>
        </w:tc>
        <w:tc>
          <w:tcPr>
            <w:tcW w:w="620" w:type="dxa"/>
            <w:vAlign w:val="bottom"/>
            <w:shd w:val="clear" w:color="auto" w:fill="D9D9D9"/>
          </w:tcPr>
          <w:p>
            <w:pPr>
              <w:spacing w:after="0"/>
              <w:rPr>
                <w:sz w:val="15"/>
                <w:szCs w:val="15"/>
                <w:color w:val="auto"/>
              </w:rPr>
            </w:pPr>
          </w:p>
        </w:tc>
        <w:tc>
          <w:tcPr>
            <w:tcW w:w="820" w:type="dxa"/>
            <w:vAlign w:val="bottom"/>
            <w:shd w:val="clear" w:color="auto" w:fill="D9D9D9"/>
          </w:tcPr>
          <w:p>
            <w:pPr>
              <w:spacing w:after="0"/>
              <w:rPr>
                <w:sz w:val="15"/>
                <w:szCs w:val="15"/>
                <w:color w:val="auto"/>
              </w:rPr>
            </w:pPr>
          </w:p>
        </w:tc>
        <w:tc>
          <w:tcPr>
            <w:tcW w:w="1380" w:type="dxa"/>
            <w:vAlign w:val="bottom"/>
            <w:shd w:val="clear" w:color="auto" w:fill="D9D9D9"/>
          </w:tcPr>
          <w:p>
            <w:pPr>
              <w:spacing w:after="0"/>
              <w:rPr>
                <w:sz w:val="15"/>
                <w:szCs w:val="15"/>
                <w:color w:val="auto"/>
              </w:rPr>
            </w:pPr>
          </w:p>
        </w:tc>
        <w:tc>
          <w:tcPr>
            <w:tcW w:w="320" w:type="dxa"/>
            <w:vAlign w:val="bottom"/>
            <w:shd w:val="clear" w:color="auto" w:fill="D9D9D9"/>
          </w:tcPr>
          <w:p>
            <w:pPr>
              <w:spacing w:after="0"/>
              <w:rPr>
                <w:sz w:val="15"/>
                <w:szCs w:val="15"/>
                <w:color w:val="auto"/>
              </w:rPr>
            </w:pPr>
          </w:p>
        </w:tc>
        <w:tc>
          <w:tcPr>
            <w:tcW w:w="740" w:type="dxa"/>
            <w:vAlign w:val="bottom"/>
            <w:shd w:val="clear" w:color="auto" w:fill="D9D9D9"/>
          </w:tcPr>
          <w:p>
            <w:pPr>
              <w:spacing w:after="0"/>
              <w:rPr>
                <w:sz w:val="15"/>
                <w:szCs w:val="15"/>
                <w:color w:val="auto"/>
              </w:rPr>
            </w:pPr>
          </w:p>
        </w:tc>
        <w:tc>
          <w:tcPr>
            <w:tcW w:w="720" w:type="dxa"/>
            <w:vAlign w:val="bottom"/>
            <w:vMerge w:val="restart"/>
            <w:shd w:val="clear" w:color="auto" w:fill="D9D9D9"/>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C00000"/>
              </w:rPr>
              <w:t>✓</w:t>
            </w:r>
          </w:p>
        </w:tc>
        <w:tc>
          <w:tcPr>
            <w:tcW w:w="740" w:type="dxa"/>
            <w:vAlign w:val="bottom"/>
            <w:vMerge w:val="restart"/>
            <w:shd w:val="clear" w:color="auto" w:fill="D9D9D9"/>
          </w:tcPr>
          <w:p>
            <w:pPr>
              <w:jc w:val="center"/>
              <w:spacing w:after="0" w:line="161" w:lineRule="exact"/>
              <w:rPr>
                <w:sz w:val="20"/>
                <w:szCs w:val="20"/>
                <w:color w:val="auto"/>
              </w:rPr>
            </w:pPr>
            <w:r>
              <w:rPr>
                <w:rFonts w:ascii="MS PGothic" w:cs="MS PGothic" w:eastAsia="MS PGothic" w:hAnsi="MS PGothic"/>
                <w:sz w:val="16"/>
                <w:szCs w:val="16"/>
                <w:color w:val="auto"/>
                <w:w w:val="74"/>
                <w:shd w:val="clear" w:color="auto" w:fill="C00000"/>
              </w:rPr>
              <w:t>✓</w:t>
            </w:r>
          </w:p>
        </w:tc>
        <w:tc>
          <w:tcPr>
            <w:tcW w:w="880" w:type="dxa"/>
            <w:vAlign w:val="bottom"/>
            <w:shd w:val="clear" w:color="auto" w:fill="D9D9D9"/>
          </w:tcPr>
          <w:p>
            <w:pPr>
              <w:spacing w:after="0"/>
              <w:rPr>
                <w:sz w:val="15"/>
                <w:szCs w:val="15"/>
                <w:color w:val="auto"/>
              </w:rPr>
            </w:pPr>
          </w:p>
        </w:tc>
        <w:tc>
          <w:tcPr>
            <w:tcW w:w="880" w:type="dxa"/>
            <w:vAlign w:val="bottom"/>
            <w:vMerge w:val="restart"/>
            <w:shd w:val="clear" w:color="auto" w:fill="D9D9D9"/>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C00000"/>
              </w:rPr>
              <w:t>✓</w:t>
            </w:r>
          </w:p>
        </w:tc>
        <w:tc>
          <w:tcPr>
            <w:tcW w:w="0" w:type="dxa"/>
            <w:vAlign w:val="bottom"/>
          </w:tcPr>
          <w:p>
            <w:pPr>
              <w:spacing w:after="0"/>
              <w:rPr>
                <w:sz w:val="1"/>
                <w:szCs w:val="1"/>
                <w:color w:val="auto"/>
              </w:rPr>
            </w:pPr>
          </w:p>
        </w:tc>
      </w:tr>
      <w:tr>
        <w:trPr>
          <w:trHeight w:val="178"/>
        </w:trPr>
        <w:tc>
          <w:tcPr>
            <w:tcW w:w="4160" w:type="dxa"/>
            <w:vAlign w:val="bottom"/>
            <w:gridSpan w:val="3"/>
            <w:shd w:val="clear" w:color="auto" w:fill="D9D9D9"/>
          </w:tcPr>
          <w:p>
            <w:pPr>
              <w:ind w:left="120"/>
              <w:spacing w:after="0"/>
              <w:rPr>
                <w:sz w:val="20"/>
                <w:szCs w:val="20"/>
                <w:color w:val="auto"/>
              </w:rPr>
            </w:pPr>
            <w:r>
              <w:rPr>
                <w:rFonts w:ascii="Arial" w:cs="Arial" w:eastAsia="Arial" w:hAnsi="Arial"/>
                <w:sz w:val="14"/>
                <w:szCs w:val="14"/>
                <w:color w:val="auto"/>
              </w:rPr>
              <w:t>President and Chief Executive Officer,</w:t>
            </w:r>
          </w:p>
        </w:tc>
        <w:tc>
          <w:tcPr>
            <w:tcW w:w="620" w:type="dxa"/>
            <w:vAlign w:val="bottom"/>
            <w:shd w:val="clear" w:color="auto" w:fill="D9D9D9"/>
          </w:tcPr>
          <w:p>
            <w:pPr>
              <w:jc w:val="center"/>
              <w:ind w:right="69"/>
              <w:spacing w:after="0"/>
              <w:rPr>
                <w:sz w:val="20"/>
                <w:szCs w:val="20"/>
                <w:color w:val="auto"/>
              </w:rPr>
            </w:pPr>
            <w:r>
              <w:rPr>
                <w:rFonts w:ascii="Arial" w:cs="Arial" w:eastAsia="Arial" w:hAnsi="Arial"/>
                <w:sz w:val="14"/>
                <w:szCs w:val="14"/>
                <w:color w:val="auto"/>
              </w:rPr>
              <w:t>59</w:t>
            </w:r>
          </w:p>
        </w:tc>
        <w:tc>
          <w:tcPr>
            <w:tcW w:w="820" w:type="dxa"/>
            <w:vAlign w:val="bottom"/>
            <w:shd w:val="clear" w:color="auto" w:fill="D9D9D9"/>
          </w:tcPr>
          <w:p>
            <w:pPr>
              <w:jc w:val="center"/>
              <w:ind w:right="69"/>
              <w:spacing w:after="0"/>
              <w:rPr>
                <w:sz w:val="20"/>
                <w:szCs w:val="20"/>
                <w:color w:val="auto"/>
              </w:rPr>
            </w:pPr>
            <w:r>
              <w:rPr>
                <w:rFonts w:ascii="Arial" w:cs="Arial" w:eastAsia="Arial" w:hAnsi="Arial"/>
                <w:sz w:val="14"/>
                <w:szCs w:val="14"/>
                <w:color w:val="auto"/>
              </w:rPr>
              <w:t>2019</w:t>
            </w:r>
          </w:p>
        </w:tc>
        <w:tc>
          <w:tcPr>
            <w:tcW w:w="1380" w:type="dxa"/>
            <w:vAlign w:val="bottom"/>
            <w:shd w:val="clear" w:color="auto" w:fill="D9D9D9"/>
          </w:tcPr>
          <w:p>
            <w:pPr>
              <w:jc w:val="center"/>
              <w:ind w:right="48"/>
              <w:spacing w:after="0"/>
              <w:rPr>
                <w:sz w:val="20"/>
                <w:szCs w:val="20"/>
                <w:color w:val="auto"/>
              </w:rPr>
            </w:pPr>
            <w:r>
              <w:rPr>
                <w:rFonts w:ascii="Arial" w:cs="Arial" w:eastAsia="Arial" w:hAnsi="Arial"/>
                <w:sz w:val="14"/>
                <w:szCs w:val="14"/>
                <w:color w:val="auto"/>
                <w:w w:val="90"/>
              </w:rPr>
              <w:t>Yes</w:t>
            </w:r>
          </w:p>
        </w:tc>
        <w:tc>
          <w:tcPr>
            <w:tcW w:w="320" w:type="dxa"/>
            <w:vAlign w:val="bottom"/>
            <w:shd w:val="clear" w:color="auto" w:fill="D9D9D9"/>
          </w:tcPr>
          <w:p>
            <w:pPr>
              <w:spacing w:after="0"/>
              <w:rPr>
                <w:sz w:val="15"/>
                <w:szCs w:val="15"/>
                <w:color w:val="auto"/>
              </w:rPr>
            </w:pPr>
          </w:p>
        </w:tc>
        <w:tc>
          <w:tcPr>
            <w:tcW w:w="740" w:type="dxa"/>
            <w:vAlign w:val="bottom"/>
            <w:shd w:val="clear" w:color="auto" w:fill="D9D9D9"/>
          </w:tcPr>
          <w:p>
            <w:pPr>
              <w:spacing w:after="0"/>
              <w:rPr>
                <w:sz w:val="15"/>
                <w:szCs w:val="15"/>
                <w:color w:val="auto"/>
              </w:rPr>
            </w:pPr>
          </w:p>
        </w:tc>
        <w:tc>
          <w:tcPr>
            <w:tcW w:w="720" w:type="dxa"/>
            <w:vAlign w:val="bottom"/>
            <w:vMerge w:val="continue"/>
            <w:shd w:val="clear" w:color="auto" w:fill="D9D9D9"/>
          </w:tcPr>
          <w:p>
            <w:pPr>
              <w:spacing w:after="0"/>
              <w:rPr>
                <w:sz w:val="15"/>
                <w:szCs w:val="15"/>
                <w:color w:val="auto"/>
              </w:rPr>
            </w:pPr>
          </w:p>
        </w:tc>
        <w:tc>
          <w:tcPr>
            <w:tcW w:w="740" w:type="dxa"/>
            <w:vAlign w:val="bottom"/>
            <w:vMerge w:val="continue"/>
            <w:shd w:val="clear" w:color="auto" w:fill="D9D9D9"/>
          </w:tcPr>
          <w:p>
            <w:pPr>
              <w:spacing w:after="0"/>
              <w:rPr>
                <w:sz w:val="15"/>
                <w:szCs w:val="15"/>
                <w:color w:val="auto"/>
              </w:rPr>
            </w:pPr>
          </w:p>
        </w:tc>
        <w:tc>
          <w:tcPr>
            <w:tcW w:w="880" w:type="dxa"/>
            <w:vAlign w:val="bottom"/>
            <w:shd w:val="clear" w:color="auto" w:fill="D9D9D9"/>
          </w:tcPr>
          <w:p>
            <w:pPr>
              <w:jc w:val="right"/>
              <w:ind w:right="309"/>
              <w:spacing w:after="0"/>
              <w:rPr>
                <w:sz w:val="20"/>
                <w:szCs w:val="20"/>
                <w:color w:val="auto"/>
              </w:rPr>
            </w:pPr>
            <w:r>
              <w:rPr>
                <w:rFonts w:ascii="Arial" w:cs="Arial" w:eastAsia="Arial" w:hAnsi="Arial"/>
                <w:sz w:val="14"/>
                <w:szCs w:val="14"/>
                <w:color w:val="C00000"/>
              </w:rPr>
              <w:t>1</w:t>
            </w:r>
          </w:p>
        </w:tc>
        <w:tc>
          <w:tcPr>
            <w:tcW w:w="880" w:type="dxa"/>
            <w:vAlign w:val="bottom"/>
            <w:vMerge w:val="continue"/>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120" w:type="dxa"/>
            <w:vAlign w:val="bottom"/>
            <w:gridSpan w:val="2"/>
            <w:shd w:val="clear" w:color="auto" w:fill="D9D9D9"/>
          </w:tcPr>
          <w:p>
            <w:pPr>
              <w:ind w:left="120"/>
              <w:spacing w:after="0" w:line="155" w:lineRule="exact"/>
              <w:rPr>
                <w:sz w:val="20"/>
                <w:szCs w:val="20"/>
                <w:color w:val="auto"/>
              </w:rPr>
            </w:pPr>
            <w:r>
              <w:rPr>
                <w:rFonts w:ascii="Arial" w:cs="Arial" w:eastAsia="Arial" w:hAnsi="Arial"/>
                <w:sz w:val="14"/>
                <w:szCs w:val="14"/>
                <w:color w:val="auto"/>
              </w:rPr>
              <w:t>Insight Enterprises, Inc.</w:t>
            </w:r>
          </w:p>
        </w:tc>
        <w:tc>
          <w:tcPr>
            <w:tcW w:w="2040" w:type="dxa"/>
            <w:vAlign w:val="bottom"/>
            <w:shd w:val="clear" w:color="auto" w:fill="D9D9D9"/>
          </w:tcPr>
          <w:p>
            <w:pPr>
              <w:spacing w:after="0"/>
              <w:rPr>
                <w:sz w:val="13"/>
                <w:szCs w:val="13"/>
                <w:color w:val="auto"/>
              </w:rPr>
            </w:pPr>
          </w:p>
        </w:tc>
        <w:tc>
          <w:tcPr>
            <w:tcW w:w="620" w:type="dxa"/>
            <w:vAlign w:val="bottom"/>
            <w:shd w:val="clear" w:color="auto" w:fill="D9D9D9"/>
          </w:tcPr>
          <w:p>
            <w:pPr>
              <w:spacing w:after="0"/>
              <w:rPr>
                <w:sz w:val="13"/>
                <w:szCs w:val="13"/>
                <w:color w:val="auto"/>
              </w:rPr>
            </w:pPr>
          </w:p>
        </w:tc>
        <w:tc>
          <w:tcPr>
            <w:tcW w:w="820" w:type="dxa"/>
            <w:vAlign w:val="bottom"/>
            <w:shd w:val="clear" w:color="auto" w:fill="D9D9D9"/>
          </w:tcPr>
          <w:p>
            <w:pPr>
              <w:spacing w:after="0"/>
              <w:rPr>
                <w:sz w:val="13"/>
                <w:szCs w:val="13"/>
                <w:color w:val="auto"/>
              </w:rPr>
            </w:pPr>
          </w:p>
        </w:tc>
        <w:tc>
          <w:tcPr>
            <w:tcW w:w="1380" w:type="dxa"/>
            <w:vAlign w:val="bottom"/>
            <w:shd w:val="clear" w:color="auto" w:fill="D9D9D9"/>
          </w:tcPr>
          <w:p>
            <w:pPr>
              <w:spacing w:after="0"/>
              <w:rPr>
                <w:sz w:val="13"/>
                <w:szCs w:val="13"/>
                <w:color w:val="auto"/>
              </w:rPr>
            </w:pPr>
          </w:p>
        </w:tc>
        <w:tc>
          <w:tcPr>
            <w:tcW w:w="320" w:type="dxa"/>
            <w:vAlign w:val="bottom"/>
            <w:shd w:val="clear" w:color="auto" w:fill="D9D9D9"/>
          </w:tcPr>
          <w:p>
            <w:pPr>
              <w:spacing w:after="0"/>
              <w:rPr>
                <w:sz w:val="13"/>
                <w:szCs w:val="13"/>
                <w:color w:val="auto"/>
              </w:rPr>
            </w:pPr>
          </w:p>
        </w:tc>
        <w:tc>
          <w:tcPr>
            <w:tcW w:w="740" w:type="dxa"/>
            <w:vAlign w:val="bottom"/>
            <w:shd w:val="clear" w:color="auto" w:fill="D9D9D9"/>
          </w:tcPr>
          <w:p>
            <w:pPr>
              <w:spacing w:after="0"/>
              <w:rPr>
                <w:sz w:val="13"/>
                <w:szCs w:val="13"/>
                <w:color w:val="auto"/>
              </w:rPr>
            </w:pPr>
          </w:p>
        </w:tc>
        <w:tc>
          <w:tcPr>
            <w:tcW w:w="720" w:type="dxa"/>
            <w:vAlign w:val="bottom"/>
            <w:shd w:val="clear" w:color="auto" w:fill="D9D9D9"/>
          </w:tcPr>
          <w:p>
            <w:pPr>
              <w:spacing w:after="0"/>
              <w:rPr>
                <w:sz w:val="13"/>
                <w:szCs w:val="13"/>
                <w:color w:val="auto"/>
              </w:rPr>
            </w:pPr>
          </w:p>
        </w:tc>
        <w:tc>
          <w:tcPr>
            <w:tcW w:w="740" w:type="dxa"/>
            <w:vAlign w:val="bottom"/>
            <w:shd w:val="clear" w:color="auto" w:fill="D9D9D9"/>
          </w:tcPr>
          <w:p>
            <w:pPr>
              <w:spacing w:after="0"/>
              <w:rPr>
                <w:sz w:val="13"/>
                <w:szCs w:val="13"/>
                <w:color w:val="auto"/>
              </w:rPr>
            </w:pPr>
          </w:p>
        </w:tc>
        <w:tc>
          <w:tcPr>
            <w:tcW w:w="880" w:type="dxa"/>
            <w:vAlign w:val="bottom"/>
            <w:shd w:val="clear" w:color="auto" w:fill="D9D9D9"/>
          </w:tcPr>
          <w:p>
            <w:pPr>
              <w:spacing w:after="0"/>
              <w:rPr>
                <w:sz w:val="13"/>
                <w:szCs w:val="13"/>
                <w:color w:val="auto"/>
              </w:rPr>
            </w:pPr>
          </w:p>
        </w:tc>
        <w:tc>
          <w:tcPr>
            <w:tcW w:w="880" w:type="dxa"/>
            <w:vAlign w:val="bottom"/>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520" w:type="dxa"/>
            <w:vAlign w:val="bottom"/>
          </w:tcPr>
          <w:p>
            <w:pPr>
              <w:spacing w:after="0"/>
              <w:rPr>
                <w:sz w:val="20"/>
                <w:szCs w:val="20"/>
                <w:color w:val="auto"/>
              </w:rPr>
            </w:pPr>
            <w:r>
              <w:rPr>
                <w:rFonts w:ascii="Arial" w:cs="Arial" w:eastAsia="Arial" w:hAnsi="Arial"/>
                <w:sz w:val="14"/>
                <w:szCs w:val="14"/>
                <w:b w:val="1"/>
                <w:bCs w:val="1"/>
                <w:color w:val="C00000"/>
              </w:rPr>
              <w:t>Richard M. Olson</w:t>
            </w:r>
          </w:p>
        </w:tc>
        <w:tc>
          <w:tcPr>
            <w:tcW w:w="6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160" w:type="dxa"/>
            <w:vAlign w:val="bottom"/>
            <w:gridSpan w:val="3"/>
          </w:tcPr>
          <w:p>
            <w:pPr>
              <w:ind w:left="120"/>
              <w:spacing w:after="0"/>
              <w:rPr>
                <w:sz w:val="20"/>
                <w:szCs w:val="20"/>
                <w:color w:val="auto"/>
              </w:rPr>
            </w:pPr>
            <w:r>
              <w:rPr>
                <w:rFonts w:ascii="Arial" w:cs="Arial" w:eastAsia="Arial" w:hAnsi="Arial"/>
                <w:sz w:val="14"/>
                <w:szCs w:val="14"/>
                <w:color w:val="auto"/>
              </w:rPr>
              <w:t>Chairman, President and Chief Executive Officer, The Toro</w:t>
            </w:r>
          </w:p>
        </w:tc>
        <w:tc>
          <w:tcPr>
            <w:tcW w:w="620" w:type="dxa"/>
            <w:vAlign w:val="bottom"/>
          </w:tcPr>
          <w:p>
            <w:pPr>
              <w:jc w:val="center"/>
              <w:ind w:right="69"/>
              <w:spacing w:after="0"/>
              <w:rPr>
                <w:sz w:val="20"/>
                <w:szCs w:val="20"/>
                <w:color w:val="auto"/>
              </w:rPr>
            </w:pPr>
            <w:r>
              <w:rPr>
                <w:rFonts w:ascii="Arial" w:cs="Arial" w:eastAsia="Arial" w:hAnsi="Arial"/>
                <w:sz w:val="14"/>
                <w:szCs w:val="14"/>
                <w:color w:val="auto"/>
              </w:rPr>
              <w:t>58</w:t>
            </w:r>
          </w:p>
        </w:tc>
        <w:tc>
          <w:tcPr>
            <w:tcW w:w="820" w:type="dxa"/>
            <w:vAlign w:val="bottom"/>
          </w:tcPr>
          <w:p>
            <w:pPr>
              <w:jc w:val="center"/>
              <w:ind w:right="69"/>
              <w:spacing w:after="0"/>
              <w:rPr>
                <w:sz w:val="20"/>
                <w:szCs w:val="20"/>
                <w:color w:val="auto"/>
              </w:rPr>
            </w:pPr>
            <w:r>
              <w:rPr>
                <w:rFonts w:ascii="Arial" w:cs="Arial" w:eastAsia="Arial" w:hAnsi="Arial"/>
                <w:sz w:val="14"/>
                <w:szCs w:val="14"/>
                <w:color w:val="auto"/>
              </w:rPr>
              <w:t>2016</w:t>
            </w:r>
          </w:p>
        </w:tc>
        <w:tc>
          <w:tcPr>
            <w:tcW w:w="1380" w:type="dxa"/>
            <w:vAlign w:val="bottom"/>
          </w:tcPr>
          <w:p>
            <w:pPr>
              <w:jc w:val="center"/>
              <w:ind w:right="48"/>
              <w:spacing w:after="0"/>
              <w:rPr>
                <w:sz w:val="20"/>
                <w:szCs w:val="20"/>
                <w:color w:val="auto"/>
              </w:rPr>
            </w:pPr>
            <w:r>
              <w:rPr>
                <w:rFonts w:ascii="Arial" w:cs="Arial" w:eastAsia="Arial" w:hAnsi="Arial"/>
                <w:sz w:val="14"/>
                <w:szCs w:val="14"/>
                <w:color w:val="auto"/>
              </w:rPr>
              <w:t>No</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jc w:val="right"/>
              <w:ind w:right="309"/>
              <w:spacing w:after="0"/>
              <w:rPr>
                <w:sz w:val="20"/>
                <w:szCs w:val="20"/>
                <w:color w:val="auto"/>
              </w:rPr>
            </w:pPr>
            <w:r>
              <w:rPr>
                <w:rFonts w:ascii="Arial" w:cs="Arial" w:eastAsia="Arial" w:hAnsi="Arial"/>
                <w:sz w:val="14"/>
                <w:szCs w:val="14"/>
                <w:color w:val="C00000"/>
              </w:rPr>
              <w:t>1</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520" w:type="dxa"/>
            <w:vAlign w:val="bottom"/>
          </w:tcPr>
          <w:p>
            <w:pPr>
              <w:ind w:left="120"/>
              <w:spacing w:after="0" w:line="155" w:lineRule="exact"/>
              <w:rPr>
                <w:sz w:val="20"/>
                <w:szCs w:val="20"/>
                <w:color w:val="auto"/>
              </w:rPr>
            </w:pPr>
            <w:r>
              <w:rPr>
                <w:rFonts w:ascii="Arial" w:cs="Arial" w:eastAsia="Arial" w:hAnsi="Arial"/>
                <w:sz w:val="14"/>
                <w:szCs w:val="14"/>
                <w:color w:val="auto"/>
              </w:rPr>
              <w:t>Company</w:t>
            </w:r>
          </w:p>
        </w:tc>
        <w:tc>
          <w:tcPr>
            <w:tcW w:w="6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520" w:type="dxa"/>
            <w:vAlign w:val="bottom"/>
            <w:shd w:val="clear" w:color="auto" w:fill="D9D9D9"/>
          </w:tcPr>
          <w:p>
            <w:pPr>
              <w:spacing w:after="0"/>
              <w:rPr>
                <w:sz w:val="20"/>
                <w:szCs w:val="20"/>
                <w:color w:val="auto"/>
              </w:rPr>
            </w:pPr>
            <w:r>
              <w:rPr>
                <w:rFonts w:ascii="Arial" w:cs="Arial" w:eastAsia="Arial" w:hAnsi="Arial"/>
                <w:sz w:val="14"/>
                <w:szCs w:val="14"/>
                <w:b w:val="1"/>
                <w:bCs w:val="1"/>
                <w:color w:val="C00000"/>
              </w:rPr>
              <w:t>James C. O’Rourke</w:t>
            </w:r>
          </w:p>
        </w:tc>
        <w:tc>
          <w:tcPr>
            <w:tcW w:w="600" w:type="dxa"/>
            <w:vAlign w:val="bottom"/>
            <w:shd w:val="clear" w:color="auto" w:fill="D9D9D9"/>
          </w:tcPr>
          <w:p>
            <w:pPr>
              <w:spacing w:after="0"/>
              <w:rPr>
                <w:sz w:val="15"/>
                <w:szCs w:val="15"/>
                <w:color w:val="auto"/>
              </w:rPr>
            </w:pPr>
          </w:p>
        </w:tc>
        <w:tc>
          <w:tcPr>
            <w:tcW w:w="2040" w:type="dxa"/>
            <w:vAlign w:val="bottom"/>
            <w:shd w:val="clear" w:color="auto" w:fill="D9D9D9"/>
          </w:tcPr>
          <w:p>
            <w:pPr>
              <w:spacing w:after="0"/>
              <w:rPr>
                <w:sz w:val="15"/>
                <w:szCs w:val="15"/>
                <w:color w:val="auto"/>
              </w:rPr>
            </w:pPr>
          </w:p>
        </w:tc>
        <w:tc>
          <w:tcPr>
            <w:tcW w:w="620" w:type="dxa"/>
            <w:vAlign w:val="bottom"/>
            <w:shd w:val="clear" w:color="auto" w:fill="D9D9D9"/>
          </w:tcPr>
          <w:p>
            <w:pPr>
              <w:spacing w:after="0"/>
              <w:rPr>
                <w:sz w:val="15"/>
                <w:szCs w:val="15"/>
                <w:color w:val="auto"/>
              </w:rPr>
            </w:pPr>
          </w:p>
        </w:tc>
        <w:tc>
          <w:tcPr>
            <w:tcW w:w="820" w:type="dxa"/>
            <w:vAlign w:val="bottom"/>
            <w:shd w:val="clear" w:color="auto" w:fill="D9D9D9"/>
          </w:tcPr>
          <w:p>
            <w:pPr>
              <w:spacing w:after="0"/>
              <w:rPr>
                <w:sz w:val="15"/>
                <w:szCs w:val="15"/>
                <w:color w:val="auto"/>
              </w:rPr>
            </w:pPr>
          </w:p>
        </w:tc>
        <w:tc>
          <w:tcPr>
            <w:tcW w:w="1380" w:type="dxa"/>
            <w:vAlign w:val="bottom"/>
            <w:shd w:val="clear" w:color="auto" w:fill="D9D9D9"/>
          </w:tcPr>
          <w:p>
            <w:pPr>
              <w:spacing w:after="0"/>
              <w:rPr>
                <w:sz w:val="15"/>
                <w:szCs w:val="15"/>
                <w:color w:val="auto"/>
              </w:rPr>
            </w:pPr>
          </w:p>
        </w:tc>
        <w:tc>
          <w:tcPr>
            <w:tcW w:w="320" w:type="dxa"/>
            <w:vAlign w:val="bottom"/>
            <w:shd w:val="clear" w:color="auto" w:fill="D9D9D9"/>
          </w:tcPr>
          <w:p>
            <w:pPr>
              <w:spacing w:after="0"/>
              <w:rPr>
                <w:sz w:val="15"/>
                <w:szCs w:val="15"/>
                <w:color w:val="auto"/>
              </w:rPr>
            </w:pPr>
          </w:p>
        </w:tc>
        <w:tc>
          <w:tcPr>
            <w:tcW w:w="740" w:type="dxa"/>
            <w:vAlign w:val="bottom"/>
            <w:shd w:val="clear" w:color="auto" w:fill="D9D9D9"/>
          </w:tcPr>
          <w:p>
            <w:pPr>
              <w:spacing w:after="0"/>
              <w:rPr>
                <w:sz w:val="15"/>
                <w:szCs w:val="15"/>
                <w:color w:val="auto"/>
              </w:rPr>
            </w:pPr>
          </w:p>
        </w:tc>
        <w:tc>
          <w:tcPr>
            <w:tcW w:w="720" w:type="dxa"/>
            <w:vAlign w:val="bottom"/>
            <w:vMerge w:val="restart"/>
            <w:shd w:val="clear" w:color="auto" w:fill="D9D9D9"/>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C00000"/>
              </w:rPr>
              <w:t>✓</w:t>
            </w:r>
          </w:p>
        </w:tc>
        <w:tc>
          <w:tcPr>
            <w:tcW w:w="740" w:type="dxa"/>
            <w:vAlign w:val="bottom"/>
            <w:vMerge w:val="restart"/>
            <w:shd w:val="clear" w:color="auto" w:fill="D9D9D9"/>
          </w:tcPr>
          <w:p>
            <w:pPr>
              <w:jc w:val="center"/>
              <w:spacing w:after="0"/>
              <w:rPr>
                <w:sz w:val="20"/>
                <w:szCs w:val="20"/>
                <w:color w:val="auto"/>
              </w:rPr>
            </w:pPr>
            <w:r>
              <w:rPr>
                <w:rFonts w:ascii="Arial" w:cs="Arial" w:eastAsia="Arial" w:hAnsi="Arial"/>
                <w:sz w:val="14"/>
                <w:szCs w:val="14"/>
                <w:b w:val="1"/>
                <w:bCs w:val="1"/>
                <w:color w:val="C00000"/>
              </w:rPr>
              <w:t>C</w:t>
            </w:r>
          </w:p>
        </w:tc>
        <w:tc>
          <w:tcPr>
            <w:tcW w:w="880" w:type="dxa"/>
            <w:vAlign w:val="bottom"/>
            <w:shd w:val="clear" w:color="auto" w:fill="D9D9D9"/>
          </w:tcPr>
          <w:p>
            <w:pPr>
              <w:spacing w:after="0"/>
              <w:rPr>
                <w:sz w:val="15"/>
                <w:szCs w:val="15"/>
                <w:color w:val="auto"/>
              </w:rPr>
            </w:pPr>
          </w:p>
        </w:tc>
        <w:tc>
          <w:tcPr>
            <w:tcW w:w="88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160" w:type="dxa"/>
            <w:vAlign w:val="bottom"/>
            <w:gridSpan w:val="3"/>
            <w:shd w:val="clear" w:color="auto" w:fill="D9D9D9"/>
          </w:tcPr>
          <w:p>
            <w:pPr>
              <w:ind w:left="120"/>
              <w:spacing w:after="0"/>
              <w:rPr>
                <w:sz w:val="20"/>
                <w:szCs w:val="20"/>
                <w:color w:val="auto"/>
              </w:rPr>
            </w:pPr>
            <w:r>
              <w:rPr>
                <w:rFonts w:ascii="Arial" w:cs="Arial" w:eastAsia="Arial" w:hAnsi="Arial"/>
                <w:sz w:val="14"/>
                <w:szCs w:val="14"/>
                <w:color w:val="auto"/>
              </w:rPr>
              <w:t>President and Chief Executive Officer,</w:t>
            </w:r>
          </w:p>
        </w:tc>
        <w:tc>
          <w:tcPr>
            <w:tcW w:w="620" w:type="dxa"/>
            <w:vAlign w:val="bottom"/>
            <w:shd w:val="clear" w:color="auto" w:fill="D9D9D9"/>
          </w:tcPr>
          <w:p>
            <w:pPr>
              <w:jc w:val="center"/>
              <w:ind w:right="69"/>
              <w:spacing w:after="0"/>
              <w:rPr>
                <w:sz w:val="20"/>
                <w:szCs w:val="20"/>
                <w:color w:val="auto"/>
              </w:rPr>
            </w:pPr>
            <w:r>
              <w:rPr>
                <w:rFonts w:ascii="Arial" w:cs="Arial" w:eastAsia="Arial" w:hAnsi="Arial"/>
                <w:sz w:val="14"/>
                <w:szCs w:val="14"/>
                <w:color w:val="auto"/>
              </w:rPr>
              <w:t>61</w:t>
            </w:r>
          </w:p>
        </w:tc>
        <w:tc>
          <w:tcPr>
            <w:tcW w:w="820" w:type="dxa"/>
            <w:vAlign w:val="bottom"/>
            <w:shd w:val="clear" w:color="auto" w:fill="D9D9D9"/>
          </w:tcPr>
          <w:p>
            <w:pPr>
              <w:jc w:val="center"/>
              <w:ind w:right="69"/>
              <w:spacing w:after="0"/>
              <w:rPr>
                <w:sz w:val="20"/>
                <w:szCs w:val="20"/>
                <w:color w:val="auto"/>
              </w:rPr>
            </w:pPr>
            <w:r>
              <w:rPr>
                <w:rFonts w:ascii="Arial" w:cs="Arial" w:eastAsia="Arial" w:hAnsi="Arial"/>
                <w:sz w:val="14"/>
                <w:szCs w:val="14"/>
                <w:color w:val="auto"/>
              </w:rPr>
              <w:t>2012</w:t>
            </w:r>
          </w:p>
        </w:tc>
        <w:tc>
          <w:tcPr>
            <w:tcW w:w="1380" w:type="dxa"/>
            <w:vAlign w:val="bottom"/>
            <w:shd w:val="clear" w:color="auto" w:fill="D9D9D9"/>
          </w:tcPr>
          <w:p>
            <w:pPr>
              <w:jc w:val="center"/>
              <w:ind w:right="48"/>
              <w:spacing w:after="0"/>
              <w:rPr>
                <w:sz w:val="20"/>
                <w:szCs w:val="20"/>
                <w:color w:val="auto"/>
              </w:rPr>
            </w:pPr>
            <w:r>
              <w:rPr>
                <w:rFonts w:ascii="Arial" w:cs="Arial" w:eastAsia="Arial" w:hAnsi="Arial"/>
                <w:sz w:val="14"/>
                <w:szCs w:val="14"/>
                <w:color w:val="auto"/>
                <w:w w:val="90"/>
              </w:rPr>
              <w:t>Yes</w:t>
            </w:r>
          </w:p>
        </w:tc>
        <w:tc>
          <w:tcPr>
            <w:tcW w:w="320" w:type="dxa"/>
            <w:vAlign w:val="bottom"/>
            <w:shd w:val="clear" w:color="auto" w:fill="D9D9D9"/>
          </w:tcPr>
          <w:p>
            <w:pPr>
              <w:spacing w:after="0"/>
              <w:rPr>
                <w:sz w:val="15"/>
                <w:szCs w:val="15"/>
                <w:color w:val="auto"/>
              </w:rPr>
            </w:pPr>
          </w:p>
        </w:tc>
        <w:tc>
          <w:tcPr>
            <w:tcW w:w="740" w:type="dxa"/>
            <w:vAlign w:val="bottom"/>
            <w:shd w:val="clear" w:color="auto" w:fill="D9D9D9"/>
          </w:tcPr>
          <w:p>
            <w:pPr>
              <w:spacing w:after="0"/>
              <w:rPr>
                <w:sz w:val="15"/>
                <w:szCs w:val="15"/>
                <w:color w:val="auto"/>
              </w:rPr>
            </w:pPr>
          </w:p>
        </w:tc>
        <w:tc>
          <w:tcPr>
            <w:tcW w:w="720" w:type="dxa"/>
            <w:vAlign w:val="bottom"/>
            <w:vMerge w:val="continue"/>
            <w:shd w:val="clear" w:color="auto" w:fill="D9D9D9"/>
          </w:tcPr>
          <w:p>
            <w:pPr>
              <w:spacing w:after="0"/>
              <w:rPr>
                <w:sz w:val="15"/>
                <w:szCs w:val="15"/>
                <w:color w:val="auto"/>
              </w:rPr>
            </w:pPr>
          </w:p>
        </w:tc>
        <w:tc>
          <w:tcPr>
            <w:tcW w:w="740" w:type="dxa"/>
            <w:vAlign w:val="bottom"/>
            <w:vMerge w:val="continue"/>
            <w:shd w:val="clear" w:color="auto" w:fill="D9D9D9"/>
          </w:tcPr>
          <w:p>
            <w:pPr>
              <w:spacing w:after="0"/>
              <w:rPr>
                <w:sz w:val="15"/>
                <w:szCs w:val="15"/>
                <w:color w:val="auto"/>
              </w:rPr>
            </w:pPr>
          </w:p>
        </w:tc>
        <w:tc>
          <w:tcPr>
            <w:tcW w:w="880" w:type="dxa"/>
            <w:vAlign w:val="bottom"/>
            <w:shd w:val="clear" w:color="auto" w:fill="D9D9D9"/>
          </w:tcPr>
          <w:p>
            <w:pPr>
              <w:jc w:val="right"/>
              <w:ind w:right="309"/>
              <w:spacing w:after="0"/>
              <w:rPr>
                <w:sz w:val="20"/>
                <w:szCs w:val="20"/>
                <w:color w:val="auto"/>
              </w:rPr>
            </w:pPr>
            <w:r>
              <w:rPr>
                <w:rFonts w:ascii="Arial" w:cs="Arial" w:eastAsia="Arial" w:hAnsi="Arial"/>
                <w:sz w:val="14"/>
                <w:szCs w:val="14"/>
                <w:color w:val="C00000"/>
              </w:rPr>
              <w:t>1</w:t>
            </w:r>
          </w:p>
        </w:tc>
        <w:tc>
          <w:tcPr>
            <w:tcW w:w="88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520" w:type="dxa"/>
            <w:vAlign w:val="bottom"/>
            <w:shd w:val="clear" w:color="auto" w:fill="D9D9D9"/>
          </w:tcPr>
          <w:p>
            <w:pPr>
              <w:ind w:left="120"/>
              <w:spacing w:after="0" w:line="155" w:lineRule="exact"/>
              <w:rPr>
                <w:sz w:val="20"/>
                <w:szCs w:val="20"/>
                <w:color w:val="auto"/>
              </w:rPr>
            </w:pPr>
            <w:r>
              <w:rPr>
                <w:rFonts w:ascii="Arial" w:cs="Arial" w:eastAsia="Arial" w:hAnsi="Arial"/>
                <w:sz w:val="14"/>
                <w:szCs w:val="14"/>
                <w:color w:val="auto"/>
              </w:rPr>
              <w:t>The Mosaic Company</w:t>
            </w:r>
          </w:p>
        </w:tc>
        <w:tc>
          <w:tcPr>
            <w:tcW w:w="600" w:type="dxa"/>
            <w:vAlign w:val="bottom"/>
            <w:shd w:val="clear" w:color="auto" w:fill="D9D9D9"/>
          </w:tcPr>
          <w:p>
            <w:pPr>
              <w:spacing w:after="0"/>
              <w:rPr>
                <w:sz w:val="13"/>
                <w:szCs w:val="13"/>
                <w:color w:val="auto"/>
              </w:rPr>
            </w:pPr>
          </w:p>
        </w:tc>
        <w:tc>
          <w:tcPr>
            <w:tcW w:w="2040" w:type="dxa"/>
            <w:vAlign w:val="bottom"/>
            <w:shd w:val="clear" w:color="auto" w:fill="D9D9D9"/>
          </w:tcPr>
          <w:p>
            <w:pPr>
              <w:spacing w:after="0"/>
              <w:rPr>
                <w:sz w:val="13"/>
                <w:szCs w:val="13"/>
                <w:color w:val="auto"/>
              </w:rPr>
            </w:pPr>
          </w:p>
        </w:tc>
        <w:tc>
          <w:tcPr>
            <w:tcW w:w="620" w:type="dxa"/>
            <w:vAlign w:val="bottom"/>
            <w:shd w:val="clear" w:color="auto" w:fill="D9D9D9"/>
          </w:tcPr>
          <w:p>
            <w:pPr>
              <w:spacing w:after="0"/>
              <w:rPr>
                <w:sz w:val="13"/>
                <w:szCs w:val="13"/>
                <w:color w:val="auto"/>
              </w:rPr>
            </w:pPr>
          </w:p>
        </w:tc>
        <w:tc>
          <w:tcPr>
            <w:tcW w:w="820" w:type="dxa"/>
            <w:vAlign w:val="bottom"/>
            <w:shd w:val="clear" w:color="auto" w:fill="D9D9D9"/>
          </w:tcPr>
          <w:p>
            <w:pPr>
              <w:spacing w:after="0"/>
              <w:rPr>
                <w:sz w:val="13"/>
                <w:szCs w:val="13"/>
                <w:color w:val="auto"/>
              </w:rPr>
            </w:pPr>
          </w:p>
        </w:tc>
        <w:tc>
          <w:tcPr>
            <w:tcW w:w="1380" w:type="dxa"/>
            <w:vAlign w:val="bottom"/>
            <w:shd w:val="clear" w:color="auto" w:fill="D9D9D9"/>
          </w:tcPr>
          <w:p>
            <w:pPr>
              <w:spacing w:after="0"/>
              <w:rPr>
                <w:sz w:val="13"/>
                <w:szCs w:val="13"/>
                <w:color w:val="auto"/>
              </w:rPr>
            </w:pPr>
          </w:p>
        </w:tc>
        <w:tc>
          <w:tcPr>
            <w:tcW w:w="320" w:type="dxa"/>
            <w:vAlign w:val="bottom"/>
            <w:shd w:val="clear" w:color="auto" w:fill="D9D9D9"/>
          </w:tcPr>
          <w:p>
            <w:pPr>
              <w:spacing w:after="0"/>
              <w:rPr>
                <w:sz w:val="13"/>
                <w:szCs w:val="13"/>
                <w:color w:val="auto"/>
              </w:rPr>
            </w:pPr>
          </w:p>
        </w:tc>
        <w:tc>
          <w:tcPr>
            <w:tcW w:w="740" w:type="dxa"/>
            <w:vAlign w:val="bottom"/>
            <w:shd w:val="clear" w:color="auto" w:fill="D9D9D9"/>
          </w:tcPr>
          <w:p>
            <w:pPr>
              <w:spacing w:after="0"/>
              <w:rPr>
                <w:sz w:val="13"/>
                <w:szCs w:val="13"/>
                <w:color w:val="auto"/>
              </w:rPr>
            </w:pPr>
          </w:p>
        </w:tc>
        <w:tc>
          <w:tcPr>
            <w:tcW w:w="720" w:type="dxa"/>
            <w:vAlign w:val="bottom"/>
            <w:shd w:val="clear" w:color="auto" w:fill="D9D9D9"/>
          </w:tcPr>
          <w:p>
            <w:pPr>
              <w:spacing w:after="0"/>
              <w:rPr>
                <w:sz w:val="13"/>
                <w:szCs w:val="13"/>
                <w:color w:val="auto"/>
              </w:rPr>
            </w:pPr>
          </w:p>
        </w:tc>
        <w:tc>
          <w:tcPr>
            <w:tcW w:w="740" w:type="dxa"/>
            <w:vAlign w:val="bottom"/>
            <w:shd w:val="clear" w:color="auto" w:fill="D9D9D9"/>
          </w:tcPr>
          <w:p>
            <w:pPr>
              <w:spacing w:after="0"/>
              <w:rPr>
                <w:sz w:val="13"/>
                <w:szCs w:val="13"/>
                <w:color w:val="auto"/>
              </w:rPr>
            </w:pPr>
          </w:p>
        </w:tc>
        <w:tc>
          <w:tcPr>
            <w:tcW w:w="880" w:type="dxa"/>
            <w:vAlign w:val="bottom"/>
            <w:shd w:val="clear" w:color="auto" w:fill="D9D9D9"/>
          </w:tcPr>
          <w:p>
            <w:pPr>
              <w:spacing w:after="0"/>
              <w:rPr>
                <w:sz w:val="13"/>
                <w:szCs w:val="13"/>
                <w:color w:val="auto"/>
              </w:rPr>
            </w:pPr>
          </w:p>
        </w:tc>
        <w:tc>
          <w:tcPr>
            <w:tcW w:w="880" w:type="dxa"/>
            <w:vAlign w:val="bottom"/>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520" w:type="dxa"/>
            <w:vAlign w:val="bottom"/>
          </w:tcPr>
          <w:p>
            <w:pPr>
              <w:spacing w:after="0"/>
              <w:rPr>
                <w:sz w:val="20"/>
                <w:szCs w:val="20"/>
                <w:color w:val="auto"/>
              </w:rPr>
            </w:pPr>
            <w:r>
              <w:rPr>
                <w:rFonts w:ascii="Arial" w:cs="Arial" w:eastAsia="Arial" w:hAnsi="Arial"/>
                <w:sz w:val="14"/>
                <w:szCs w:val="14"/>
                <w:b w:val="1"/>
                <w:bCs w:val="1"/>
                <w:color w:val="C00000"/>
              </w:rPr>
              <w:t>Continuing Directors</w:t>
            </w:r>
          </w:p>
        </w:tc>
        <w:tc>
          <w:tcPr>
            <w:tcW w:w="6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520" w:type="dxa"/>
            <w:vAlign w:val="bottom"/>
            <w:shd w:val="clear" w:color="auto" w:fill="D9D9D9"/>
          </w:tcPr>
          <w:p>
            <w:pPr>
              <w:spacing w:after="0"/>
              <w:rPr>
                <w:sz w:val="20"/>
                <w:szCs w:val="20"/>
                <w:color w:val="auto"/>
              </w:rPr>
            </w:pPr>
            <w:r>
              <w:rPr>
                <w:rFonts w:ascii="Arial" w:cs="Arial" w:eastAsia="Arial" w:hAnsi="Arial"/>
                <w:sz w:val="14"/>
                <w:szCs w:val="14"/>
                <w:b w:val="1"/>
                <w:bCs w:val="1"/>
                <w:color w:val="C00000"/>
              </w:rPr>
              <w:t>Jeffrey M. Ettinger</w:t>
            </w:r>
          </w:p>
        </w:tc>
        <w:tc>
          <w:tcPr>
            <w:tcW w:w="600" w:type="dxa"/>
            <w:vAlign w:val="bottom"/>
            <w:shd w:val="clear" w:color="auto" w:fill="D9D9D9"/>
          </w:tcPr>
          <w:p>
            <w:pPr>
              <w:spacing w:after="0"/>
              <w:rPr>
                <w:sz w:val="15"/>
                <w:szCs w:val="15"/>
                <w:color w:val="auto"/>
              </w:rPr>
            </w:pPr>
          </w:p>
        </w:tc>
        <w:tc>
          <w:tcPr>
            <w:tcW w:w="2040" w:type="dxa"/>
            <w:vAlign w:val="bottom"/>
            <w:shd w:val="clear" w:color="auto" w:fill="D9D9D9"/>
          </w:tcPr>
          <w:p>
            <w:pPr>
              <w:spacing w:after="0"/>
              <w:rPr>
                <w:sz w:val="15"/>
                <w:szCs w:val="15"/>
                <w:color w:val="auto"/>
              </w:rPr>
            </w:pPr>
          </w:p>
        </w:tc>
        <w:tc>
          <w:tcPr>
            <w:tcW w:w="620" w:type="dxa"/>
            <w:vAlign w:val="bottom"/>
            <w:shd w:val="clear" w:color="auto" w:fill="D9D9D9"/>
          </w:tcPr>
          <w:p>
            <w:pPr>
              <w:spacing w:after="0"/>
              <w:rPr>
                <w:sz w:val="15"/>
                <w:szCs w:val="15"/>
                <w:color w:val="auto"/>
              </w:rPr>
            </w:pPr>
          </w:p>
        </w:tc>
        <w:tc>
          <w:tcPr>
            <w:tcW w:w="820" w:type="dxa"/>
            <w:vAlign w:val="bottom"/>
            <w:shd w:val="clear" w:color="auto" w:fill="D9D9D9"/>
          </w:tcPr>
          <w:p>
            <w:pPr>
              <w:spacing w:after="0"/>
              <w:rPr>
                <w:sz w:val="15"/>
                <w:szCs w:val="15"/>
                <w:color w:val="auto"/>
              </w:rPr>
            </w:pPr>
          </w:p>
        </w:tc>
        <w:tc>
          <w:tcPr>
            <w:tcW w:w="1380" w:type="dxa"/>
            <w:vAlign w:val="bottom"/>
            <w:shd w:val="clear" w:color="auto" w:fill="D9D9D9"/>
          </w:tcPr>
          <w:p>
            <w:pPr>
              <w:spacing w:after="0"/>
              <w:rPr>
                <w:sz w:val="15"/>
                <w:szCs w:val="15"/>
                <w:color w:val="auto"/>
              </w:rPr>
            </w:pPr>
          </w:p>
        </w:tc>
        <w:tc>
          <w:tcPr>
            <w:tcW w:w="320" w:type="dxa"/>
            <w:vAlign w:val="bottom"/>
            <w:shd w:val="clear" w:color="auto" w:fill="D9D9D9"/>
          </w:tcPr>
          <w:p>
            <w:pPr>
              <w:spacing w:after="0"/>
              <w:rPr>
                <w:sz w:val="15"/>
                <w:szCs w:val="15"/>
                <w:color w:val="auto"/>
              </w:rPr>
            </w:pPr>
          </w:p>
        </w:tc>
        <w:tc>
          <w:tcPr>
            <w:tcW w:w="740" w:type="dxa"/>
            <w:vAlign w:val="bottom"/>
            <w:shd w:val="clear" w:color="auto" w:fill="D9D9D9"/>
          </w:tcPr>
          <w:p>
            <w:pPr>
              <w:spacing w:after="0"/>
              <w:rPr>
                <w:sz w:val="15"/>
                <w:szCs w:val="15"/>
                <w:color w:val="auto"/>
              </w:rPr>
            </w:pPr>
          </w:p>
        </w:tc>
        <w:tc>
          <w:tcPr>
            <w:tcW w:w="720" w:type="dxa"/>
            <w:vAlign w:val="bottom"/>
            <w:vMerge w:val="restart"/>
            <w:shd w:val="clear" w:color="auto" w:fill="D9D9D9"/>
          </w:tcPr>
          <w:p>
            <w:pPr>
              <w:jc w:val="center"/>
              <w:spacing w:after="0"/>
              <w:rPr>
                <w:sz w:val="20"/>
                <w:szCs w:val="20"/>
                <w:color w:val="auto"/>
              </w:rPr>
            </w:pPr>
            <w:r>
              <w:rPr>
                <w:rFonts w:ascii="Arial" w:cs="Arial" w:eastAsia="Arial" w:hAnsi="Arial"/>
                <w:sz w:val="14"/>
                <w:szCs w:val="14"/>
                <w:b w:val="1"/>
                <w:bCs w:val="1"/>
                <w:color w:val="C00000"/>
                <w:w w:val="98"/>
              </w:rPr>
              <w:t>C</w:t>
            </w:r>
          </w:p>
        </w:tc>
        <w:tc>
          <w:tcPr>
            <w:tcW w:w="740" w:type="dxa"/>
            <w:vAlign w:val="bottom"/>
            <w:vMerge w:val="restart"/>
            <w:shd w:val="clear" w:color="auto" w:fill="D9D9D9"/>
          </w:tcPr>
          <w:p>
            <w:pPr>
              <w:jc w:val="center"/>
              <w:spacing w:after="0" w:line="161" w:lineRule="exact"/>
              <w:rPr>
                <w:sz w:val="20"/>
                <w:szCs w:val="20"/>
                <w:color w:val="auto"/>
              </w:rPr>
            </w:pPr>
            <w:r>
              <w:rPr>
                <w:rFonts w:ascii="MS PGothic" w:cs="MS PGothic" w:eastAsia="MS PGothic" w:hAnsi="MS PGothic"/>
                <w:sz w:val="16"/>
                <w:szCs w:val="16"/>
                <w:color w:val="auto"/>
                <w:w w:val="74"/>
                <w:shd w:val="clear" w:color="auto" w:fill="C00000"/>
              </w:rPr>
              <w:t>✓</w:t>
            </w:r>
          </w:p>
        </w:tc>
        <w:tc>
          <w:tcPr>
            <w:tcW w:w="880" w:type="dxa"/>
            <w:vAlign w:val="bottom"/>
            <w:shd w:val="clear" w:color="auto" w:fill="D9D9D9"/>
          </w:tcPr>
          <w:p>
            <w:pPr>
              <w:spacing w:after="0"/>
              <w:rPr>
                <w:sz w:val="15"/>
                <w:szCs w:val="15"/>
                <w:color w:val="auto"/>
              </w:rPr>
            </w:pPr>
          </w:p>
        </w:tc>
        <w:tc>
          <w:tcPr>
            <w:tcW w:w="88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160" w:type="dxa"/>
            <w:vAlign w:val="bottom"/>
            <w:gridSpan w:val="3"/>
            <w:shd w:val="clear" w:color="auto" w:fill="D9D9D9"/>
          </w:tcPr>
          <w:p>
            <w:pPr>
              <w:ind w:left="120"/>
              <w:spacing w:after="0"/>
              <w:rPr>
                <w:sz w:val="20"/>
                <w:szCs w:val="20"/>
                <w:color w:val="auto"/>
              </w:rPr>
            </w:pPr>
            <w:r>
              <w:rPr>
                <w:rFonts w:ascii="Arial" w:cs="Arial" w:eastAsia="Arial" w:hAnsi="Arial"/>
                <w:sz w:val="14"/>
                <w:szCs w:val="14"/>
                <w:color w:val="auto"/>
              </w:rPr>
              <w:t>Retired Chairman and Chief Executive</w:t>
            </w:r>
          </w:p>
        </w:tc>
        <w:tc>
          <w:tcPr>
            <w:tcW w:w="620" w:type="dxa"/>
            <w:vAlign w:val="bottom"/>
            <w:shd w:val="clear" w:color="auto" w:fill="D9D9D9"/>
          </w:tcPr>
          <w:p>
            <w:pPr>
              <w:jc w:val="center"/>
              <w:ind w:right="69"/>
              <w:spacing w:after="0"/>
              <w:rPr>
                <w:sz w:val="20"/>
                <w:szCs w:val="20"/>
                <w:color w:val="auto"/>
              </w:rPr>
            </w:pPr>
            <w:r>
              <w:rPr>
                <w:rFonts w:ascii="Arial" w:cs="Arial" w:eastAsia="Arial" w:hAnsi="Arial"/>
                <w:sz w:val="14"/>
                <w:szCs w:val="14"/>
                <w:color w:val="auto"/>
              </w:rPr>
              <w:t>63</w:t>
            </w:r>
          </w:p>
        </w:tc>
        <w:tc>
          <w:tcPr>
            <w:tcW w:w="820" w:type="dxa"/>
            <w:vAlign w:val="bottom"/>
            <w:shd w:val="clear" w:color="auto" w:fill="D9D9D9"/>
          </w:tcPr>
          <w:p>
            <w:pPr>
              <w:jc w:val="center"/>
              <w:ind w:right="69"/>
              <w:spacing w:after="0"/>
              <w:rPr>
                <w:sz w:val="20"/>
                <w:szCs w:val="20"/>
                <w:color w:val="auto"/>
              </w:rPr>
            </w:pPr>
            <w:r>
              <w:rPr>
                <w:rFonts w:ascii="Arial" w:cs="Arial" w:eastAsia="Arial" w:hAnsi="Arial"/>
                <w:sz w:val="14"/>
                <w:szCs w:val="14"/>
                <w:color w:val="auto"/>
              </w:rPr>
              <w:t>2010</w:t>
            </w:r>
          </w:p>
        </w:tc>
        <w:tc>
          <w:tcPr>
            <w:tcW w:w="1380" w:type="dxa"/>
            <w:vAlign w:val="bottom"/>
            <w:shd w:val="clear" w:color="auto" w:fill="D9D9D9"/>
          </w:tcPr>
          <w:p>
            <w:pPr>
              <w:jc w:val="center"/>
              <w:ind w:right="48"/>
              <w:spacing w:after="0"/>
              <w:rPr>
                <w:sz w:val="20"/>
                <w:szCs w:val="20"/>
                <w:color w:val="auto"/>
              </w:rPr>
            </w:pPr>
            <w:r>
              <w:rPr>
                <w:rFonts w:ascii="Arial" w:cs="Arial" w:eastAsia="Arial" w:hAnsi="Arial"/>
                <w:sz w:val="14"/>
                <w:szCs w:val="14"/>
                <w:color w:val="auto"/>
                <w:w w:val="90"/>
              </w:rPr>
              <w:t>Yes</w:t>
            </w:r>
          </w:p>
        </w:tc>
        <w:tc>
          <w:tcPr>
            <w:tcW w:w="320" w:type="dxa"/>
            <w:vAlign w:val="bottom"/>
            <w:shd w:val="clear" w:color="auto" w:fill="D9D9D9"/>
          </w:tcPr>
          <w:p>
            <w:pPr>
              <w:spacing w:after="0"/>
              <w:rPr>
                <w:sz w:val="15"/>
                <w:szCs w:val="15"/>
                <w:color w:val="auto"/>
              </w:rPr>
            </w:pPr>
          </w:p>
        </w:tc>
        <w:tc>
          <w:tcPr>
            <w:tcW w:w="740" w:type="dxa"/>
            <w:vAlign w:val="bottom"/>
            <w:shd w:val="clear" w:color="auto" w:fill="D9D9D9"/>
          </w:tcPr>
          <w:p>
            <w:pPr>
              <w:spacing w:after="0"/>
              <w:rPr>
                <w:sz w:val="15"/>
                <w:szCs w:val="15"/>
                <w:color w:val="auto"/>
              </w:rPr>
            </w:pPr>
          </w:p>
        </w:tc>
        <w:tc>
          <w:tcPr>
            <w:tcW w:w="720" w:type="dxa"/>
            <w:vAlign w:val="bottom"/>
            <w:vMerge w:val="continue"/>
            <w:shd w:val="clear" w:color="auto" w:fill="D9D9D9"/>
          </w:tcPr>
          <w:p>
            <w:pPr>
              <w:spacing w:after="0"/>
              <w:rPr>
                <w:sz w:val="15"/>
                <w:szCs w:val="15"/>
                <w:color w:val="auto"/>
              </w:rPr>
            </w:pPr>
          </w:p>
        </w:tc>
        <w:tc>
          <w:tcPr>
            <w:tcW w:w="740" w:type="dxa"/>
            <w:vAlign w:val="bottom"/>
            <w:vMerge w:val="continue"/>
            <w:shd w:val="clear" w:color="auto" w:fill="D9D9D9"/>
          </w:tcPr>
          <w:p>
            <w:pPr>
              <w:spacing w:after="0"/>
              <w:rPr>
                <w:sz w:val="15"/>
                <w:szCs w:val="15"/>
                <w:color w:val="auto"/>
              </w:rPr>
            </w:pPr>
          </w:p>
        </w:tc>
        <w:tc>
          <w:tcPr>
            <w:tcW w:w="880" w:type="dxa"/>
            <w:vAlign w:val="bottom"/>
            <w:shd w:val="clear" w:color="auto" w:fill="D9D9D9"/>
          </w:tcPr>
          <w:p>
            <w:pPr>
              <w:jc w:val="right"/>
              <w:ind w:right="309"/>
              <w:spacing w:after="0"/>
              <w:rPr>
                <w:sz w:val="20"/>
                <w:szCs w:val="20"/>
                <w:color w:val="auto"/>
              </w:rPr>
            </w:pPr>
            <w:r>
              <w:rPr>
                <w:rFonts w:ascii="Arial" w:cs="Arial" w:eastAsia="Arial" w:hAnsi="Arial"/>
                <w:sz w:val="14"/>
                <w:szCs w:val="14"/>
                <w:color w:val="C00000"/>
              </w:rPr>
              <w:t>1</w:t>
            </w:r>
          </w:p>
        </w:tc>
        <w:tc>
          <w:tcPr>
            <w:tcW w:w="88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160" w:type="dxa"/>
            <w:vAlign w:val="bottom"/>
            <w:gridSpan w:val="3"/>
            <w:shd w:val="clear" w:color="auto" w:fill="D9D9D9"/>
          </w:tcPr>
          <w:p>
            <w:pPr>
              <w:ind w:left="120"/>
              <w:spacing w:after="0" w:line="155" w:lineRule="exact"/>
              <w:rPr>
                <w:sz w:val="20"/>
                <w:szCs w:val="20"/>
                <w:color w:val="auto"/>
              </w:rPr>
            </w:pPr>
            <w:r>
              <w:rPr>
                <w:rFonts w:ascii="Arial" w:cs="Arial" w:eastAsia="Arial" w:hAnsi="Arial"/>
                <w:sz w:val="14"/>
                <w:szCs w:val="14"/>
                <w:color w:val="auto"/>
              </w:rPr>
              <w:t>Officer, Hormel Foods Corporation</w:t>
            </w:r>
          </w:p>
        </w:tc>
        <w:tc>
          <w:tcPr>
            <w:tcW w:w="620" w:type="dxa"/>
            <w:vAlign w:val="bottom"/>
            <w:shd w:val="clear" w:color="auto" w:fill="D9D9D9"/>
          </w:tcPr>
          <w:p>
            <w:pPr>
              <w:spacing w:after="0"/>
              <w:rPr>
                <w:sz w:val="13"/>
                <w:szCs w:val="13"/>
                <w:color w:val="auto"/>
              </w:rPr>
            </w:pPr>
          </w:p>
        </w:tc>
        <w:tc>
          <w:tcPr>
            <w:tcW w:w="820" w:type="dxa"/>
            <w:vAlign w:val="bottom"/>
            <w:shd w:val="clear" w:color="auto" w:fill="D9D9D9"/>
          </w:tcPr>
          <w:p>
            <w:pPr>
              <w:spacing w:after="0"/>
              <w:rPr>
                <w:sz w:val="13"/>
                <w:szCs w:val="13"/>
                <w:color w:val="auto"/>
              </w:rPr>
            </w:pPr>
          </w:p>
        </w:tc>
        <w:tc>
          <w:tcPr>
            <w:tcW w:w="1380" w:type="dxa"/>
            <w:vAlign w:val="bottom"/>
            <w:shd w:val="clear" w:color="auto" w:fill="D9D9D9"/>
          </w:tcPr>
          <w:p>
            <w:pPr>
              <w:spacing w:after="0"/>
              <w:rPr>
                <w:sz w:val="13"/>
                <w:szCs w:val="13"/>
                <w:color w:val="auto"/>
              </w:rPr>
            </w:pPr>
          </w:p>
        </w:tc>
        <w:tc>
          <w:tcPr>
            <w:tcW w:w="320" w:type="dxa"/>
            <w:vAlign w:val="bottom"/>
            <w:shd w:val="clear" w:color="auto" w:fill="D9D9D9"/>
          </w:tcPr>
          <w:p>
            <w:pPr>
              <w:spacing w:after="0"/>
              <w:rPr>
                <w:sz w:val="13"/>
                <w:szCs w:val="13"/>
                <w:color w:val="auto"/>
              </w:rPr>
            </w:pPr>
          </w:p>
        </w:tc>
        <w:tc>
          <w:tcPr>
            <w:tcW w:w="740" w:type="dxa"/>
            <w:vAlign w:val="bottom"/>
            <w:shd w:val="clear" w:color="auto" w:fill="D9D9D9"/>
          </w:tcPr>
          <w:p>
            <w:pPr>
              <w:spacing w:after="0"/>
              <w:rPr>
                <w:sz w:val="13"/>
                <w:szCs w:val="13"/>
                <w:color w:val="auto"/>
              </w:rPr>
            </w:pPr>
          </w:p>
        </w:tc>
        <w:tc>
          <w:tcPr>
            <w:tcW w:w="720" w:type="dxa"/>
            <w:vAlign w:val="bottom"/>
            <w:shd w:val="clear" w:color="auto" w:fill="D9D9D9"/>
          </w:tcPr>
          <w:p>
            <w:pPr>
              <w:spacing w:after="0"/>
              <w:rPr>
                <w:sz w:val="13"/>
                <w:szCs w:val="13"/>
                <w:color w:val="auto"/>
              </w:rPr>
            </w:pPr>
          </w:p>
        </w:tc>
        <w:tc>
          <w:tcPr>
            <w:tcW w:w="740" w:type="dxa"/>
            <w:vAlign w:val="bottom"/>
            <w:shd w:val="clear" w:color="auto" w:fill="D9D9D9"/>
          </w:tcPr>
          <w:p>
            <w:pPr>
              <w:spacing w:after="0"/>
              <w:rPr>
                <w:sz w:val="13"/>
                <w:szCs w:val="13"/>
                <w:color w:val="auto"/>
              </w:rPr>
            </w:pPr>
          </w:p>
        </w:tc>
        <w:tc>
          <w:tcPr>
            <w:tcW w:w="880" w:type="dxa"/>
            <w:vAlign w:val="bottom"/>
            <w:shd w:val="clear" w:color="auto" w:fill="D9D9D9"/>
          </w:tcPr>
          <w:p>
            <w:pPr>
              <w:spacing w:after="0"/>
              <w:rPr>
                <w:sz w:val="13"/>
                <w:szCs w:val="13"/>
                <w:color w:val="auto"/>
              </w:rPr>
            </w:pPr>
          </w:p>
        </w:tc>
        <w:tc>
          <w:tcPr>
            <w:tcW w:w="880" w:type="dxa"/>
            <w:vAlign w:val="bottom"/>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520" w:type="dxa"/>
            <w:vAlign w:val="bottom"/>
          </w:tcPr>
          <w:p>
            <w:pPr>
              <w:spacing w:after="0"/>
              <w:rPr>
                <w:sz w:val="20"/>
                <w:szCs w:val="20"/>
                <w:color w:val="auto"/>
              </w:rPr>
            </w:pPr>
            <w:r>
              <w:rPr>
                <w:rFonts w:ascii="Arial" w:cs="Arial" w:eastAsia="Arial" w:hAnsi="Arial"/>
                <w:sz w:val="14"/>
                <w:szCs w:val="14"/>
                <w:b w:val="1"/>
                <w:bCs w:val="1"/>
                <w:color w:val="C00000"/>
              </w:rPr>
              <w:t>Katherine J. Harless</w:t>
            </w:r>
          </w:p>
        </w:tc>
        <w:tc>
          <w:tcPr>
            <w:tcW w:w="6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shd w:val="clear" w:color="auto" w:fill="C00000"/>
              </w:rPr>
              <w:t>✓</w:t>
            </w:r>
          </w:p>
        </w:tc>
        <w:tc>
          <w:tcPr>
            <w:tcW w:w="740" w:type="dxa"/>
            <w:vAlign w:val="bottom"/>
            <w:vMerge w:val="restart"/>
          </w:tcPr>
          <w:p>
            <w:pPr>
              <w:jc w:val="center"/>
              <w:ind w:left="124"/>
              <w:spacing w:after="0" w:line="161" w:lineRule="exact"/>
              <w:rPr>
                <w:sz w:val="20"/>
                <w:szCs w:val="20"/>
                <w:color w:val="auto"/>
              </w:rPr>
            </w:pPr>
            <w:r>
              <w:rPr>
                <w:rFonts w:ascii="MS PGothic" w:cs="MS PGothic" w:eastAsia="MS PGothic" w:hAnsi="MS PGothic"/>
                <w:sz w:val="16"/>
                <w:szCs w:val="16"/>
                <w:color w:val="auto"/>
                <w:w w:val="87"/>
                <w:shd w:val="clear" w:color="auto" w:fill="C00000"/>
              </w:rPr>
              <w:t>✓</w:t>
            </w: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C00000"/>
              </w:rPr>
              <w:t>✓</w:t>
            </w:r>
          </w:p>
        </w:tc>
        <w:tc>
          <w:tcPr>
            <w:tcW w:w="0" w:type="dxa"/>
            <w:vAlign w:val="bottom"/>
          </w:tcPr>
          <w:p>
            <w:pPr>
              <w:spacing w:after="0"/>
              <w:rPr>
                <w:sz w:val="1"/>
                <w:szCs w:val="1"/>
                <w:color w:val="auto"/>
              </w:rPr>
            </w:pPr>
          </w:p>
        </w:tc>
      </w:tr>
      <w:tr>
        <w:trPr>
          <w:trHeight w:val="162"/>
        </w:trPr>
        <w:tc>
          <w:tcPr>
            <w:tcW w:w="4160" w:type="dxa"/>
            <w:vAlign w:val="bottom"/>
            <w:gridSpan w:val="3"/>
          </w:tcPr>
          <w:p>
            <w:pPr>
              <w:ind w:left="120"/>
              <w:spacing w:after="0"/>
              <w:rPr>
                <w:sz w:val="20"/>
                <w:szCs w:val="20"/>
                <w:color w:val="auto"/>
              </w:rPr>
            </w:pPr>
            <w:r>
              <w:rPr>
                <w:rFonts w:ascii="Arial" w:cs="Arial" w:eastAsia="Arial" w:hAnsi="Arial"/>
                <w:sz w:val="14"/>
                <w:szCs w:val="14"/>
                <w:color w:val="auto"/>
              </w:rPr>
              <w:t>Retired President and Chief Executive</w:t>
            </w:r>
          </w:p>
        </w:tc>
        <w:tc>
          <w:tcPr>
            <w:tcW w:w="620" w:type="dxa"/>
            <w:vAlign w:val="bottom"/>
          </w:tcPr>
          <w:p>
            <w:pPr>
              <w:jc w:val="center"/>
              <w:ind w:right="69"/>
              <w:spacing w:after="0"/>
              <w:rPr>
                <w:sz w:val="20"/>
                <w:szCs w:val="20"/>
                <w:color w:val="auto"/>
              </w:rPr>
            </w:pPr>
            <w:r>
              <w:rPr>
                <w:rFonts w:ascii="Arial" w:cs="Arial" w:eastAsia="Arial" w:hAnsi="Arial"/>
                <w:sz w:val="14"/>
                <w:szCs w:val="14"/>
                <w:color w:val="auto"/>
              </w:rPr>
              <w:t>70</w:t>
            </w:r>
          </w:p>
        </w:tc>
        <w:tc>
          <w:tcPr>
            <w:tcW w:w="820" w:type="dxa"/>
            <w:vAlign w:val="bottom"/>
          </w:tcPr>
          <w:p>
            <w:pPr>
              <w:jc w:val="center"/>
              <w:ind w:right="69"/>
              <w:spacing w:after="0"/>
              <w:rPr>
                <w:sz w:val="20"/>
                <w:szCs w:val="20"/>
                <w:color w:val="auto"/>
              </w:rPr>
            </w:pPr>
            <w:r>
              <w:rPr>
                <w:rFonts w:ascii="Arial" w:cs="Arial" w:eastAsia="Arial" w:hAnsi="Arial"/>
                <w:sz w:val="14"/>
                <w:szCs w:val="14"/>
                <w:color w:val="auto"/>
              </w:rPr>
              <w:t>2000</w:t>
            </w:r>
          </w:p>
        </w:tc>
        <w:tc>
          <w:tcPr>
            <w:tcW w:w="1380" w:type="dxa"/>
            <w:vAlign w:val="bottom"/>
          </w:tcPr>
          <w:p>
            <w:pPr>
              <w:jc w:val="center"/>
              <w:ind w:right="48"/>
              <w:spacing w:after="0"/>
              <w:rPr>
                <w:sz w:val="20"/>
                <w:szCs w:val="20"/>
                <w:color w:val="auto"/>
              </w:rPr>
            </w:pPr>
            <w:r>
              <w:rPr>
                <w:rFonts w:ascii="Arial" w:cs="Arial" w:eastAsia="Arial" w:hAnsi="Arial"/>
                <w:sz w:val="14"/>
                <w:szCs w:val="14"/>
                <w:color w:val="auto"/>
                <w:w w:val="90"/>
              </w:rPr>
              <w:t>Yes</w:t>
            </w:r>
          </w:p>
        </w:tc>
        <w:tc>
          <w:tcPr>
            <w:tcW w:w="3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jc w:val="right"/>
              <w:ind w:right="309"/>
              <w:spacing w:after="0"/>
              <w:rPr>
                <w:sz w:val="20"/>
                <w:szCs w:val="20"/>
                <w:color w:val="auto"/>
              </w:rPr>
            </w:pPr>
            <w:r>
              <w:rPr>
                <w:rFonts w:ascii="Arial" w:cs="Arial" w:eastAsia="Arial" w:hAnsi="Arial"/>
                <w:sz w:val="14"/>
                <w:szCs w:val="14"/>
                <w:color w:val="C00000"/>
              </w:rPr>
              <w:t>0</w:t>
            </w: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520" w:type="dxa"/>
            <w:vAlign w:val="bottom"/>
          </w:tcPr>
          <w:p>
            <w:pPr>
              <w:ind w:left="120"/>
              <w:spacing w:after="0" w:line="155" w:lineRule="exact"/>
              <w:rPr>
                <w:sz w:val="20"/>
                <w:szCs w:val="20"/>
                <w:color w:val="auto"/>
              </w:rPr>
            </w:pPr>
            <w:r>
              <w:rPr>
                <w:rFonts w:ascii="Arial" w:cs="Arial" w:eastAsia="Arial" w:hAnsi="Arial"/>
                <w:sz w:val="14"/>
                <w:szCs w:val="14"/>
                <w:color w:val="auto"/>
              </w:rPr>
              <w:t>Officer, Idearc Inc.</w:t>
            </w:r>
          </w:p>
        </w:tc>
        <w:tc>
          <w:tcPr>
            <w:tcW w:w="6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520" w:type="dxa"/>
            <w:vAlign w:val="bottom"/>
            <w:shd w:val="clear" w:color="auto" w:fill="D9D9D9"/>
          </w:tcPr>
          <w:p>
            <w:pPr>
              <w:spacing w:after="0"/>
              <w:rPr>
                <w:sz w:val="20"/>
                <w:szCs w:val="20"/>
                <w:color w:val="auto"/>
              </w:rPr>
            </w:pPr>
            <w:r>
              <w:rPr>
                <w:rFonts w:ascii="Arial" w:cs="Arial" w:eastAsia="Arial" w:hAnsi="Arial"/>
                <w:sz w:val="14"/>
                <w:szCs w:val="14"/>
                <w:b w:val="1"/>
                <w:bCs w:val="1"/>
                <w:color w:val="C00000"/>
              </w:rPr>
              <w:t>D. Christian Koch</w:t>
            </w:r>
          </w:p>
        </w:tc>
        <w:tc>
          <w:tcPr>
            <w:tcW w:w="600" w:type="dxa"/>
            <w:vAlign w:val="bottom"/>
            <w:shd w:val="clear" w:color="auto" w:fill="D9D9D9"/>
          </w:tcPr>
          <w:p>
            <w:pPr>
              <w:spacing w:after="0"/>
              <w:rPr>
                <w:sz w:val="15"/>
                <w:szCs w:val="15"/>
                <w:color w:val="auto"/>
              </w:rPr>
            </w:pPr>
          </w:p>
        </w:tc>
        <w:tc>
          <w:tcPr>
            <w:tcW w:w="2040" w:type="dxa"/>
            <w:vAlign w:val="bottom"/>
            <w:shd w:val="clear" w:color="auto" w:fill="D9D9D9"/>
          </w:tcPr>
          <w:p>
            <w:pPr>
              <w:spacing w:after="0"/>
              <w:rPr>
                <w:sz w:val="15"/>
                <w:szCs w:val="15"/>
                <w:color w:val="auto"/>
              </w:rPr>
            </w:pPr>
          </w:p>
        </w:tc>
        <w:tc>
          <w:tcPr>
            <w:tcW w:w="620" w:type="dxa"/>
            <w:vAlign w:val="bottom"/>
            <w:shd w:val="clear" w:color="auto" w:fill="D9D9D9"/>
          </w:tcPr>
          <w:p>
            <w:pPr>
              <w:spacing w:after="0"/>
              <w:rPr>
                <w:sz w:val="15"/>
                <w:szCs w:val="15"/>
                <w:color w:val="auto"/>
              </w:rPr>
            </w:pPr>
          </w:p>
        </w:tc>
        <w:tc>
          <w:tcPr>
            <w:tcW w:w="820" w:type="dxa"/>
            <w:vAlign w:val="bottom"/>
            <w:shd w:val="clear" w:color="auto" w:fill="D9D9D9"/>
          </w:tcPr>
          <w:p>
            <w:pPr>
              <w:spacing w:after="0"/>
              <w:rPr>
                <w:sz w:val="15"/>
                <w:szCs w:val="15"/>
                <w:color w:val="auto"/>
              </w:rPr>
            </w:pPr>
          </w:p>
        </w:tc>
        <w:tc>
          <w:tcPr>
            <w:tcW w:w="1380" w:type="dxa"/>
            <w:vAlign w:val="bottom"/>
            <w:shd w:val="clear" w:color="auto" w:fill="D9D9D9"/>
          </w:tcPr>
          <w:p>
            <w:pPr>
              <w:spacing w:after="0"/>
              <w:rPr>
                <w:sz w:val="15"/>
                <w:szCs w:val="15"/>
                <w:color w:val="auto"/>
              </w:rPr>
            </w:pPr>
          </w:p>
        </w:tc>
        <w:tc>
          <w:tcPr>
            <w:tcW w:w="320" w:type="dxa"/>
            <w:vAlign w:val="bottom"/>
            <w:shd w:val="clear" w:color="auto" w:fill="D9D9D9"/>
          </w:tcPr>
          <w:p>
            <w:pPr>
              <w:spacing w:after="0"/>
              <w:rPr>
                <w:sz w:val="15"/>
                <w:szCs w:val="15"/>
                <w:color w:val="auto"/>
              </w:rPr>
            </w:pPr>
          </w:p>
        </w:tc>
        <w:tc>
          <w:tcPr>
            <w:tcW w:w="740" w:type="dxa"/>
            <w:vAlign w:val="bottom"/>
            <w:shd w:val="clear" w:color="auto" w:fill="D9D9D9"/>
          </w:tcPr>
          <w:p>
            <w:pPr>
              <w:spacing w:after="0"/>
              <w:rPr>
                <w:sz w:val="15"/>
                <w:szCs w:val="15"/>
                <w:color w:val="auto"/>
              </w:rPr>
            </w:pPr>
          </w:p>
        </w:tc>
        <w:tc>
          <w:tcPr>
            <w:tcW w:w="720" w:type="dxa"/>
            <w:vAlign w:val="bottom"/>
            <w:vMerge w:val="restart"/>
            <w:shd w:val="clear" w:color="auto" w:fill="D9D9D9"/>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C00000"/>
              </w:rPr>
              <w:t>✓</w:t>
            </w:r>
          </w:p>
        </w:tc>
        <w:tc>
          <w:tcPr>
            <w:tcW w:w="740" w:type="dxa"/>
            <w:vAlign w:val="bottom"/>
            <w:vMerge w:val="restart"/>
            <w:shd w:val="clear" w:color="auto" w:fill="D9D9D9"/>
          </w:tcPr>
          <w:p>
            <w:pPr>
              <w:jc w:val="center"/>
              <w:spacing w:after="0" w:line="161" w:lineRule="exact"/>
              <w:rPr>
                <w:sz w:val="20"/>
                <w:szCs w:val="20"/>
                <w:color w:val="auto"/>
              </w:rPr>
            </w:pPr>
            <w:r>
              <w:rPr>
                <w:rFonts w:ascii="MS PGothic" w:cs="MS PGothic" w:eastAsia="MS PGothic" w:hAnsi="MS PGothic"/>
                <w:sz w:val="16"/>
                <w:szCs w:val="16"/>
                <w:color w:val="auto"/>
                <w:w w:val="74"/>
                <w:shd w:val="clear" w:color="auto" w:fill="C00000"/>
              </w:rPr>
              <w:t>✓</w:t>
            </w:r>
          </w:p>
        </w:tc>
        <w:tc>
          <w:tcPr>
            <w:tcW w:w="880" w:type="dxa"/>
            <w:vAlign w:val="bottom"/>
            <w:shd w:val="clear" w:color="auto" w:fill="D9D9D9"/>
          </w:tcPr>
          <w:p>
            <w:pPr>
              <w:spacing w:after="0"/>
              <w:rPr>
                <w:sz w:val="15"/>
                <w:szCs w:val="15"/>
                <w:color w:val="auto"/>
              </w:rPr>
            </w:pPr>
          </w:p>
        </w:tc>
        <w:tc>
          <w:tcPr>
            <w:tcW w:w="88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160" w:type="dxa"/>
            <w:vAlign w:val="bottom"/>
            <w:gridSpan w:val="3"/>
            <w:shd w:val="clear" w:color="auto" w:fill="D9D9D9"/>
          </w:tcPr>
          <w:p>
            <w:pPr>
              <w:ind w:left="120"/>
              <w:spacing w:after="0"/>
              <w:rPr>
                <w:sz w:val="20"/>
                <w:szCs w:val="20"/>
                <w:color w:val="auto"/>
              </w:rPr>
            </w:pPr>
            <w:r>
              <w:rPr>
                <w:rFonts w:ascii="Arial" w:cs="Arial" w:eastAsia="Arial" w:hAnsi="Arial"/>
                <w:sz w:val="14"/>
                <w:szCs w:val="14"/>
                <w:color w:val="auto"/>
              </w:rPr>
              <w:t>Chairman, President and Chief Executive Officer, Carlisle</w:t>
            </w:r>
          </w:p>
        </w:tc>
        <w:tc>
          <w:tcPr>
            <w:tcW w:w="620" w:type="dxa"/>
            <w:vAlign w:val="bottom"/>
            <w:shd w:val="clear" w:color="auto" w:fill="D9D9D9"/>
          </w:tcPr>
          <w:p>
            <w:pPr>
              <w:jc w:val="center"/>
              <w:ind w:right="69"/>
              <w:spacing w:after="0"/>
              <w:rPr>
                <w:sz w:val="20"/>
                <w:szCs w:val="20"/>
                <w:color w:val="auto"/>
              </w:rPr>
            </w:pPr>
            <w:r>
              <w:rPr>
                <w:rFonts w:ascii="Arial" w:cs="Arial" w:eastAsia="Arial" w:hAnsi="Arial"/>
                <w:sz w:val="14"/>
                <w:szCs w:val="14"/>
                <w:color w:val="auto"/>
              </w:rPr>
              <w:t>57</w:t>
            </w:r>
          </w:p>
        </w:tc>
        <w:tc>
          <w:tcPr>
            <w:tcW w:w="820" w:type="dxa"/>
            <w:vAlign w:val="bottom"/>
            <w:shd w:val="clear" w:color="auto" w:fill="D9D9D9"/>
          </w:tcPr>
          <w:p>
            <w:pPr>
              <w:jc w:val="center"/>
              <w:ind w:right="69"/>
              <w:spacing w:after="0"/>
              <w:rPr>
                <w:sz w:val="20"/>
                <w:szCs w:val="20"/>
                <w:color w:val="auto"/>
              </w:rPr>
            </w:pPr>
            <w:r>
              <w:rPr>
                <w:rFonts w:ascii="Arial" w:cs="Arial" w:eastAsia="Arial" w:hAnsi="Arial"/>
                <w:sz w:val="14"/>
                <w:szCs w:val="14"/>
                <w:color w:val="auto"/>
              </w:rPr>
              <w:t>2016</w:t>
            </w:r>
          </w:p>
        </w:tc>
        <w:tc>
          <w:tcPr>
            <w:tcW w:w="1380" w:type="dxa"/>
            <w:vAlign w:val="bottom"/>
            <w:shd w:val="clear" w:color="auto" w:fill="D9D9D9"/>
          </w:tcPr>
          <w:p>
            <w:pPr>
              <w:jc w:val="center"/>
              <w:ind w:right="48"/>
              <w:spacing w:after="0"/>
              <w:rPr>
                <w:sz w:val="20"/>
                <w:szCs w:val="20"/>
                <w:color w:val="auto"/>
              </w:rPr>
            </w:pPr>
            <w:r>
              <w:rPr>
                <w:rFonts w:ascii="Arial" w:cs="Arial" w:eastAsia="Arial" w:hAnsi="Arial"/>
                <w:sz w:val="14"/>
                <w:szCs w:val="14"/>
                <w:color w:val="auto"/>
                <w:w w:val="90"/>
              </w:rPr>
              <w:t>Yes</w:t>
            </w:r>
          </w:p>
        </w:tc>
        <w:tc>
          <w:tcPr>
            <w:tcW w:w="320" w:type="dxa"/>
            <w:vAlign w:val="bottom"/>
            <w:shd w:val="clear" w:color="auto" w:fill="D9D9D9"/>
          </w:tcPr>
          <w:p>
            <w:pPr>
              <w:spacing w:after="0"/>
              <w:rPr>
                <w:sz w:val="15"/>
                <w:szCs w:val="15"/>
                <w:color w:val="auto"/>
              </w:rPr>
            </w:pPr>
          </w:p>
        </w:tc>
        <w:tc>
          <w:tcPr>
            <w:tcW w:w="740" w:type="dxa"/>
            <w:vAlign w:val="bottom"/>
            <w:shd w:val="clear" w:color="auto" w:fill="D9D9D9"/>
          </w:tcPr>
          <w:p>
            <w:pPr>
              <w:spacing w:after="0"/>
              <w:rPr>
                <w:sz w:val="15"/>
                <w:szCs w:val="15"/>
                <w:color w:val="auto"/>
              </w:rPr>
            </w:pPr>
          </w:p>
        </w:tc>
        <w:tc>
          <w:tcPr>
            <w:tcW w:w="720" w:type="dxa"/>
            <w:vAlign w:val="bottom"/>
            <w:vMerge w:val="continue"/>
            <w:shd w:val="clear" w:color="auto" w:fill="D9D9D9"/>
          </w:tcPr>
          <w:p>
            <w:pPr>
              <w:spacing w:after="0"/>
              <w:rPr>
                <w:sz w:val="15"/>
                <w:szCs w:val="15"/>
                <w:color w:val="auto"/>
              </w:rPr>
            </w:pPr>
          </w:p>
        </w:tc>
        <w:tc>
          <w:tcPr>
            <w:tcW w:w="740" w:type="dxa"/>
            <w:vAlign w:val="bottom"/>
            <w:vMerge w:val="continue"/>
            <w:shd w:val="clear" w:color="auto" w:fill="D9D9D9"/>
          </w:tcPr>
          <w:p>
            <w:pPr>
              <w:spacing w:after="0"/>
              <w:rPr>
                <w:sz w:val="15"/>
                <w:szCs w:val="15"/>
                <w:color w:val="auto"/>
              </w:rPr>
            </w:pPr>
          </w:p>
        </w:tc>
        <w:tc>
          <w:tcPr>
            <w:tcW w:w="880" w:type="dxa"/>
            <w:vAlign w:val="bottom"/>
            <w:shd w:val="clear" w:color="auto" w:fill="D9D9D9"/>
          </w:tcPr>
          <w:p>
            <w:pPr>
              <w:jc w:val="right"/>
              <w:ind w:right="309"/>
              <w:spacing w:after="0"/>
              <w:rPr>
                <w:sz w:val="20"/>
                <w:szCs w:val="20"/>
                <w:color w:val="auto"/>
              </w:rPr>
            </w:pPr>
            <w:r>
              <w:rPr>
                <w:rFonts w:ascii="Arial" w:cs="Arial" w:eastAsia="Arial" w:hAnsi="Arial"/>
                <w:sz w:val="14"/>
                <w:szCs w:val="14"/>
                <w:color w:val="C00000"/>
              </w:rPr>
              <w:t>1</w:t>
            </w:r>
          </w:p>
        </w:tc>
        <w:tc>
          <w:tcPr>
            <w:tcW w:w="88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120" w:type="dxa"/>
            <w:vAlign w:val="bottom"/>
            <w:gridSpan w:val="2"/>
            <w:shd w:val="clear" w:color="auto" w:fill="D9D9D9"/>
          </w:tcPr>
          <w:p>
            <w:pPr>
              <w:ind w:left="120"/>
              <w:spacing w:after="0" w:line="155" w:lineRule="exact"/>
              <w:rPr>
                <w:sz w:val="20"/>
                <w:szCs w:val="20"/>
                <w:color w:val="auto"/>
              </w:rPr>
            </w:pPr>
            <w:r>
              <w:rPr>
                <w:rFonts w:ascii="Arial" w:cs="Arial" w:eastAsia="Arial" w:hAnsi="Arial"/>
                <w:sz w:val="14"/>
                <w:szCs w:val="14"/>
                <w:color w:val="auto"/>
              </w:rPr>
              <w:t>Companies Incorporated</w:t>
            </w:r>
          </w:p>
        </w:tc>
        <w:tc>
          <w:tcPr>
            <w:tcW w:w="2040" w:type="dxa"/>
            <w:vAlign w:val="bottom"/>
            <w:shd w:val="clear" w:color="auto" w:fill="D9D9D9"/>
          </w:tcPr>
          <w:p>
            <w:pPr>
              <w:spacing w:after="0"/>
              <w:rPr>
                <w:sz w:val="13"/>
                <w:szCs w:val="13"/>
                <w:color w:val="auto"/>
              </w:rPr>
            </w:pPr>
          </w:p>
        </w:tc>
        <w:tc>
          <w:tcPr>
            <w:tcW w:w="620" w:type="dxa"/>
            <w:vAlign w:val="bottom"/>
            <w:shd w:val="clear" w:color="auto" w:fill="D9D9D9"/>
          </w:tcPr>
          <w:p>
            <w:pPr>
              <w:spacing w:after="0"/>
              <w:rPr>
                <w:sz w:val="13"/>
                <w:szCs w:val="13"/>
                <w:color w:val="auto"/>
              </w:rPr>
            </w:pPr>
          </w:p>
        </w:tc>
        <w:tc>
          <w:tcPr>
            <w:tcW w:w="820" w:type="dxa"/>
            <w:vAlign w:val="bottom"/>
            <w:shd w:val="clear" w:color="auto" w:fill="D9D9D9"/>
          </w:tcPr>
          <w:p>
            <w:pPr>
              <w:spacing w:after="0"/>
              <w:rPr>
                <w:sz w:val="13"/>
                <w:szCs w:val="13"/>
                <w:color w:val="auto"/>
              </w:rPr>
            </w:pPr>
          </w:p>
        </w:tc>
        <w:tc>
          <w:tcPr>
            <w:tcW w:w="1380" w:type="dxa"/>
            <w:vAlign w:val="bottom"/>
            <w:shd w:val="clear" w:color="auto" w:fill="D9D9D9"/>
          </w:tcPr>
          <w:p>
            <w:pPr>
              <w:spacing w:after="0"/>
              <w:rPr>
                <w:sz w:val="13"/>
                <w:szCs w:val="13"/>
                <w:color w:val="auto"/>
              </w:rPr>
            </w:pPr>
          </w:p>
        </w:tc>
        <w:tc>
          <w:tcPr>
            <w:tcW w:w="320" w:type="dxa"/>
            <w:vAlign w:val="bottom"/>
            <w:shd w:val="clear" w:color="auto" w:fill="D9D9D9"/>
          </w:tcPr>
          <w:p>
            <w:pPr>
              <w:spacing w:after="0"/>
              <w:rPr>
                <w:sz w:val="13"/>
                <w:szCs w:val="13"/>
                <w:color w:val="auto"/>
              </w:rPr>
            </w:pPr>
          </w:p>
        </w:tc>
        <w:tc>
          <w:tcPr>
            <w:tcW w:w="740" w:type="dxa"/>
            <w:vAlign w:val="bottom"/>
            <w:shd w:val="clear" w:color="auto" w:fill="D9D9D9"/>
          </w:tcPr>
          <w:p>
            <w:pPr>
              <w:spacing w:after="0"/>
              <w:rPr>
                <w:sz w:val="13"/>
                <w:szCs w:val="13"/>
                <w:color w:val="auto"/>
              </w:rPr>
            </w:pPr>
          </w:p>
        </w:tc>
        <w:tc>
          <w:tcPr>
            <w:tcW w:w="720" w:type="dxa"/>
            <w:vAlign w:val="bottom"/>
            <w:shd w:val="clear" w:color="auto" w:fill="D9D9D9"/>
          </w:tcPr>
          <w:p>
            <w:pPr>
              <w:spacing w:after="0"/>
              <w:rPr>
                <w:sz w:val="13"/>
                <w:szCs w:val="13"/>
                <w:color w:val="auto"/>
              </w:rPr>
            </w:pPr>
          </w:p>
        </w:tc>
        <w:tc>
          <w:tcPr>
            <w:tcW w:w="740" w:type="dxa"/>
            <w:vAlign w:val="bottom"/>
            <w:shd w:val="clear" w:color="auto" w:fill="D9D9D9"/>
          </w:tcPr>
          <w:p>
            <w:pPr>
              <w:spacing w:after="0"/>
              <w:rPr>
                <w:sz w:val="13"/>
                <w:szCs w:val="13"/>
                <w:color w:val="auto"/>
              </w:rPr>
            </w:pPr>
          </w:p>
        </w:tc>
        <w:tc>
          <w:tcPr>
            <w:tcW w:w="880" w:type="dxa"/>
            <w:vAlign w:val="bottom"/>
            <w:shd w:val="clear" w:color="auto" w:fill="D9D9D9"/>
          </w:tcPr>
          <w:p>
            <w:pPr>
              <w:spacing w:after="0"/>
              <w:rPr>
                <w:sz w:val="13"/>
                <w:szCs w:val="13"/>
                <w:color w:val="auto"/>
              </w:rPr>
            </w:pPr>
          </w:p>
        </w:tc>
        <w:tc>
          <w:tcPr>
            <w:tcW w:w="880" w:type="dxa"/>
            <w:vAlign w:val="bottom"/>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520" w:type="dxa"/>
            <w:vAlign w:val="bottom"/>
          </w:tcPr>
          <w:p>
            <w:pPr>
              <w:spacing w:after="0"/>
              <w:rPr>
                <w:sz w:val="20"/>
                <w:szCs w:val="20"/>
                <w:color w:val="auto"/>
              </w:rPr>
            </w:pPr>
            <w:r>
              <w:rPr>
                <w:rFonts w:ascii="Arial" w:cs="Arial" w:eastAsia="Arial" w:hAnsi="Arial"/>
                <w:sz w:val="14"/>
                <w:szCs w:val="14"/>
                <w:b w:val="1"/>
                <w:bCs w:val="1"/>
                <w:color w:val="C00000"/>
              </w:rPr>
              <w:t>Janet K. Cooper</w:t>
            </w:r>
          </w:p>
        </w:tc>
        <w:tc>
          <w:tcPr>
            <w:tcW w:w="6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20" w:type="dxa"/>
            <w:vAlign w:val="bottom"/>
            <w:vMerge w:val="restart"/>
          </w:tcPr>
          <w:p>
            <w:pPr>
              <w:ind w:left="140"/>
              <w:spacing w:after="0"/>
              <w:rPr>
                <w:sz w:val="20"/>
                <w:szCs w:val="20"/>
                <w:color w:val="auto"/>
              </w:rPr>
            </w:pPr>
            <w:r>
              <w:rPr>
                <w:rFonts w:ascii="Arial" w:cs="Arial" w:eastAsia="Arial" w:hAnsi="Arial"/>
                <w:sz w:val="14"/>
                <w:szCs w:val="14"/>
                <w:b w:val="1"/>
                <w:bCs w:val="1"/>
                <w:color w:val="C00000"/>
              </w:rPr>
              <w:t>C</w:t>
            </w:r>
          </w:p>
        </w:tc>
        <w:tc>
          <w:tcPr>
            <w:tcW w:w="740" w:type="dxa"/>
            <w:vAlign w:val="bottom"/>
            <w:vMerge w:val="restart"/>
          </w:tcPr>
          <w:p>
            <w:pPr>
              <w:jc w:val="center"/>
              <w:ind w:left="124"/>
              <w:spacing w:after="0" w:line="161" w:lineRule="exact"/>
              <w:rPr>
                <w:sz w:val="20"/>
                <w:szCs w:val="20"/>
                <w:color w:val="auto"/>
              </w:rPr>
            </w:pPr>
            <w:r>
              <w:rPr>
                <w:rFonts w:ascii="MS PGothic" w:cs="MS PGothic" w:eastAsia="MS PGothic" w:hAnsi="MS PGothic"/>
                <w:sz w:val="16"/>
                <w:szCs w:val="16"/>
                <w:color w:val="auto"/>
                <w:w w:val="87"/>
                <w:shd w:val="clear" w:color="auto" w:fill="C00000"/>
              </w:rPr>
              <w:t>✓</w:t>
            </w: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C00000"/>
              </w:rPr>
              <w:t>✓</w:t>
            </w:r>
          </w:p>
        </w:tc>
        <w:tc>
          <w:tcPr>
            <w:tcW w:w="0" w:type="dxa"/>
            <w:vAlign w:val="bottom"/>
          </w:tcPr>
          <w:p>
            <w:pPr>
              <w:spacing w:after="0"/>
              <w:rPr>
                <w:sz w:val="1"/>
                <w:szCs w:val="1"/>
                <w:color w:val="auto"/>
              </w:rPr>
            </w:pPr>
          </w:p>
        </w:tc>
      </w:tr>
      <w:tr>
        <w:trPr>
          <w:trHeight w:val="144"/>
        </w:trPr>
        <w:tc>
          <w:tcPr>
            <w:tcW w:w="4160" w:type="dxa"/>
            <w:vAlign w:val="bottom"/>
            <w:gridSpan w:val="3"/>
          </w:tcPr>
          <w:p>
            <w:pPr>
              <w:ind w:left="120"/>
              <w:spacing w:after="0" w:line="144" w:lineRule="exact"/>
              <w:rPr>
                <w:sz w:val="20"/>
                <w:szCs w:val="20"/>
                <w:color w:val="auto"/>
              </w:rPr>
            </w:pPr>
            <w:r>
              <w:rPr>
                <w:rFonts w:ascii="Arial" w:cs="Arial" w:eastAsia="Arial" w:hAnsi="Arial"/>
                <w:sz w:val="14"/>
                <w:szCs w:val="14"/>
                <w:color w:val="auto"/>
              </w:rPr>
              <w:t>Retired Senior Vice President and Treasurer,</w:t>
            </w:r>
          </w:p>
        </w:tc>
        <w:tc>
          <w:tcPr>
            <w:tcW w:w="620" w:type="dxa"/>
            <w:vAlign w:val="bottom"/>
          </w:tcPr>
          <w:p>
            <w:pPr>
              <w:jc w:val="center"/>
              <w:ind w:right="69"/>
              <w:spacing w:after="0" w:line="144" w:lineRule="exact"/>
              <w:rPr>
                <w:sz w:val="20"/>
                <w:szCs w:val="20"/>
                <w:color w:val="auto"/>
              </w:rPr>
            </w:pPr>
            <w:r>
              <w:rPr>
                <w:rFonts w:ascii="Arial" w:cs="Arial" w:eastAsia="Arial" w:hAnsi="Arial"/>
                <w:sz w:val="14"/>
                <w:szCs w:val="14"/>
                <w:color w:val="auto"/>
              </w:rPr>
              <w:t>68</w:t>
            </w:r>
          </w:p>
        </w:tc>
        <w:tc>
          <w:tcPr>
            <w:tcW w:w="820" w:type="dxa"/>
            <w:vAlign w:val="bottom"/>
          </w:tcPr>
          <w:p>
            <w:pPr>
              <w:jc w:val="center"/>
              <w:ind w:right="69"/>
              <w:spacing w:after="0" w:line="144" w:lineRule="exact"/>
              <w:rPr>
                <w:sz w:val="20"/>
                <w:szCs w:val="20"/>
                <w:color w:val="auto"/>
              </w:rPr>
            </w:pPr>
            <w:r>
              <w:rPr>
                <w:rFonts w:ascii="Arial" w:cs="Arial" w:eastAsia="Arial" w:hAnsi="Arial"/>
                <w:sz w:val="14"/>
                <w:szCs w:val="14"/>
                <w:color w:val="auto"/>
              </w:rPr>
              <w:t>1994</w:t>
            </w:r>
          </w:p>
        </w:tc>
        <w:tc>
          <w:tcPr>
            <w:tcW w:w="1380" w:type="dxa"/>
            <w:vAlign w:val="bottom"/>
          </w:tcPr>
          <w:p>
            <w:pPr>
              <w:jc w:val="center"/>
              <w:ind w:right="48"/>
              <w:spacing w:after="0" w:line="144" w:lineRule="exact"/>
              <w:rPr>
                <w:sz w:val="20"/>
                <w:szCs w:val="20"/>
                <w:color w:val="auto"/>
              </w:rPr>
            </w:pPr>
            <w:r>
              <w:rPr>
                <w:rFonts w:ascii="Arial" w:cs="Arial" w:eastAsia="Arial" w:hAnsi="Arial"/>
                <w:sz w:val="14"/>
                <w:szCs w:val="14"/>
                <w:color w:val="auto"/>
                <w:w w:val="90"/>
              </w:rPr>
              <w:t>Yes</w:t>
            </w:r>
          </w:p>
        </w:tc>
        <w:tc>
          <w:tcPr>
            <w:tcW w:w="3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jc w:val="right"/>
              <w:ind w:right="309"/>
              <w:spacing w:after="0" w:line="144" w:lineRule="exact"/>
              <w:rPr>
                <w:sz w:val="20"/>
                <w:szCs w:val="20"/>
                <w:color w:val="auto"/>
              </w:rPr>
            </w:pPr>
            <w:r>
              <w:rPr>
                <w:rFonts w:ascii="Arial" w:cs="Arial" w:eastAsia="Arial" w:hAnsi="Arial"/>
                <w:sz w:val="14"/>
                <w:szCs w:val="14"/>
                <w:color w:val="C00000"/>
              </w:rPr>
              <w:t>1</w:t>
            </w: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60" w:type="dxa"/>
            <w:vAlign w:val="bottom"/>
            <w:gridSpan w:val="3"/>
          </w:tcPr>
          <w:p>
            <w:pPr>
              <w:ind w:left="120"/>
              <w:spacing w:after="0"/>
              <w:rPr>
                <w:sz w:val="20"/>
                <w:szCs w:val="20"/>
                <w:color w:val="auto"/>
              </w:rPr>
            </w:pPr>
            <w:r>
              <w:rPr>
                <w:rFonts w:ascii="Arial" w:cs="Arial" w:eastAsia="Arial" w:hAnsi="Arial"/>
                <w:sz w:val="14"/>
                <w:szCs w:val="14"/>
                <w:color w:val="auto"/>
              </w:rPr>
              <w:t>Qwest Communications International Inc.</w:t>
            </w: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20" w:type="dxa"/>
            <w:vAlign w:val="bottom"/>
          </w:tcPr>
          <w:p>
            <w:pPr>
              <w:ind w:left="140"/>
              <w:spacing w:after="0"/>
              <w:rPr>
                <w:sz w:val="20"/>
                <w:szCs w:val="20"/>
                <w:color w:val="auto"/>
              </w:rPr>
            </w:pPr>
            <w:r>
              <w:rPr>
                <w:rFonts w:ascii="Arial" w:cs="Arial" w:eastAsia="Arial" w:hAnsi="Arial"/>
                <w:sz w:val="14"/>
                <w:szCs w:val="14"/>
                <w:b w:val="1"/>
                <w:bCs w:val="1"/>
                <w:color w:val="C00000"/>
              </w:rPr>
              <w:t>E</w:t>
            </w: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160" w:type="dxa"/>
            <w:vAlign w:val="bottom"/>
            <w:gridSpan w:val="3"/>
            <w:shd w:val="clear" w:color="auto" w:fill="D9D9D9"/>
          </w:tcPr>
          <w:p>
            <w:pPr>
              <w:spacing w:after="0"/>
              <w:rPr>
                <w:sz w:val="20"/>
                <w:szCs w:val="20"/>
                <w:color w:val="auto"/>
              </w:rPr>
            </w:pPr>
            <w:r>
              <w:rPr>
                <w:rFonts w:ascii="Arial" w:cs="Arial" w:eastAsia="Arial" w:hAnsi="Arial"/>
                <w:sz w:val="14"/>
                <w:szCs w:val="14"/>
                <w:b w:val="1"/>
                <w:bCs w:val="1"/>
                <w:color w:val="C00000"/>
              </w:rPr>
              <w:t>Gary L. Ellis - Lead Independent Director</w:t>
            </w:r>
          </w:p>
        </w:tc>
        <w:tc>
          <w:tcPr>
            <w:tcW w:w="620" w:type="dxa"/>
            <w:vAlign w:val="bottom"/>
            <w:shd w:val="clear" w:color="auto" w:fill="D9D9D9"/>
          </w:tcPr>
          <w:p>
            <w:pPr>
              <w:spacing w:after="0"/>
              <w:rPr>
                <w:sz w:val="15"/>
                <w:szCs w:val="15"/>
                <w:color w:val="auto"/>
              </w:rPr>
            </w:pPr>
          </w:p>
        </w:tc>
        <w:tc>
          <w:tcPr>
            <w:tcW w:w="820" w:type="dxa"/>
            <w:vAlign w:val="bottom"/>
            <w:shd w:val="clear" w:color="auto" w:fill="D9D9D9"/>
          </w:tcPr>
          <w:p>
            <w:pPr>
              <w:spacing w:after="0"/>
              <w:rPr>
                <w:sz w:val="15"/>
                <w:szCs w:val="15"/>
                <w:color w:val="auto"/>
              </w:rPr>
            </w:pPr>
          </w:p>
        </w:tc>
        <w:tc>
          <w:tcPr>
            <w:tcW w:w="1380" w:type="dxa"/>
            <w:vAlign w:val="bottom"/>
            <w:shd w:val="clear" w:color="auto" w:fill="D9D9D9"/>
          </w:tcPr>
          <w:p>
            <w:pPr>
              <w:spacing w:after="0"/>
              <w:rPr>
                <w:sz w:val="15"/>
                <w:szCs w:val="15"/>
                <w:color w:val="auto"/>
              </w:rPr>
            </w:pPr>
          </w:p>
        </w:tc>
        <w:tc>
          <w:tcPr>
            <w:tcW w:w="320" w:type="dxa"/>
            <w:vAlign w:val="bottom"/>
            <w:vMerge w:val="restart"/>
            <w:shd w:val="clear" w:color="auto" w:fill="D9D9D9"/>
          </w:tcPr>
          <w:p>
            <w:pPr>
              <w:ind w:left="120"/>
              <w:spacing w:after="0" w:line="161" w:lineRule="exact"/>
              <w:rPr>
                <w:sz w:val="20"/>
                <w:szCs w:val="20"/>
                <w:color w:val="auto"/>
              </w:rPr>
            </w:pPr>
            <w:r>
              <w:rPr>
                <w:rFonts w:ascii="MS PGothic" w:cs="MS PGothic" w:eastAsia="MS PGothic" w:hAnsi="MS PGothic"/>
                <w:sz w:val="16"/>
                <w:szCs w:val="16"/>
                <w:color w:val="auto"/>
                <w:shd w:val="clear" w:color="auto" w:fill="C00000"/>
              </w:rPr>
              <w:t>✓</w:t>
            </w:r>
          </w:p>
        </w:tc>
        <w:tc>
          <w:tcPr>
            <w:tcW w:w="740" w:type="dxa"/>
            <w:vAlign w:val="bottom"/>
            <w:vMerge w:val="restart"/>
            <w:shd w:val="clear" w:color="auto" w:fill="D9D9D9"/>
          </w:tcPr>
          <w:p>
            <w:pPr>
              <w:jc w:val="center"/>
              <w:ind w:left="124"/>
              <w:spacing w:after="0"/>
              <w:rPr>
                <w:sz w:val="20"/>
                <w:szCs w:val="20"/>
                <w:color w:val="auto"/>
              </w:rPr>
            </w:pPr>
            <w:r>
              <w:rPr>
                <w:rFonts w:ascii="Arial" w:cs="Arial" w:eastAsia="Arial" w:hAnsi="Arial"/>
                <w:sz w:val="14"/>
                <w:szCs w:val="14"/>
                <w:b w:val="1"/>
                <w:bCs w:val="1"/>
                <w:color w:val="C00000"/>
                <w:w w:val="98"/>
              </w:rPr>
              <w:t>C</w:t>
            </w:r>
          </w:p>
        </w:tc>
        <w:tc>
          <w:tcPr>
            <w:tcW w:w="720" w:type="dxa"/>
            <w:vAlign w:val="bottom"/>
            <w:shd w:val="clear" w:color="auto" w:fill="D9D9D9"/>
          </w:tcPr>
          <w:p>
            <w:pPr>
              <w:spacing w:after="0"/>
              <w:rPr>
                <w:sz w:val="15"/>
                <w:szCs w:val="15"/>
                <w:color w:val="auto"/>
              </w:rPr>
            </w:pPr>
          </w:p>
        </w:tc>
        <w:tc>
          <w:tcPr>
            <w:tcW w:w="740" w:type="dxa"/>
            <w:vAlign w:val="bottom"/>
            <w:shd w:val="clear" w:color="auto" w:fill="D9D9D9"/>
          </w:tcPr>
          <w:p>
            <w:pPr>
              <w:spacing w:after="0"/>
              <w:rPr>
                <w:sz w:val="15"/>
                <w:szCs w:val="15"/>
                <w:color w:val="auto"/>
              </w:rPr>
            </w:pPr>
          </w:p>
        </w:tc>
        <w:tc>
          <w:tcPr>
            <w:tcW w:w="880" w:type="dxa"/>
            <w:vAlign w:val="bottom"/>
            <w:shd w:val="clear" w:color="auto" w:fill="D9D9D9"/>
          </w:tcPr>
          <w:p>
            <w:pPr>
              <w:spacing w:after="0"/>
              <w:rPr>
                <w:sz w:val="15"/>
                <w:szCs w:val="15"/>
                <w:color w:val="auto"/>
              </w:rPr>
            </w:pPr>
          </w:p>
        </w:tc>
        <w:tc>
          <w:tcPr>
            <w:tcW w:w="88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160" w:type="dxa"/>
            <w:vAlign w:val="bottom"/>
            <w:gridSpan w:val="3"/>
            <w:shd w:val="clear" w:color="auto" w:fill="D9D9D9"/>
          </w:tcPr>
          <w:p>
            <w:pPr>
              <w:ind w:left="120"/>
              <w:spacing w:after="0"/>
              <w:rPr>
                <w:sz w:val="20"/>
                <w:szCs w:val="20"/>
                <w:color w:val="auto"/>
              </w:rPr>
            </w:pPr>
            <w:r>
              <w:rPr>
                <w:rFonts w:ascii="Arial" w:cs="Arial" w:eastAsia="Arial" w:hAnsi="Arial"/>
                <w:sz w:val="14"/>
                <w:szCs w:val="14"/>
                <w:color w:val="auto"/>
              </w:rPr>
              <w:t>Retired Executive Vice President and Chief</w:t>
            </w:r>
          </w:p>
        </w:tc>
        <w:tc>
          <w:tcPr>
            <w:tcW w:w="620" w:type="dxa"/>
            <w:vAlign w:val="bottom"/>
            <w:shd w:val="clear" w:color="auto" w:fill="D9D9D9"/>
          </w:tcPr>
          <w:p>
            <w:pPr>
              <w:jc w:val="center"/>
              <w:ind w:right="69"/>
              <w:spacing w:after="0"/>
              <w:rPr>
                <w:sz w:val="20"/>
                <w:szCs w:val="20"/>
                <w:color w:val="auto"/>
              </w:rPr>
            </w:pPr>
            <w:r>
              <w:rPr>
                <w:rFonts w:ascii="Arial" w:cs="Arial" w:eastAsia="Arial" w:hAnsi="Arial"/>
                <w:sz w:val="14"/>
                <w:szCs w:val="14"/>
                <w:color w:val="auto"/>
              </w:rPr>
              <w:t>65</w:t>
            </w:r>
          </w:p>
        </w:tc>
        <w:tc>
          <w:tcPr>
            <w:tcW w:w="820" w:type="dxa"/>
            <w:vAlign w:val="bottom"/>
            <w:shd w:val="clear" w:color="auto" w:fill="D9D9D9"/>
          </w:tcPr>
          <w:p>
            <w:pPr>
              <w:jc w:val="center"/>
              <w:ind w:right="69"/>
              <w:spacing w:after="0"/>
              <w:rPr>
                <w:sz w:val="20"/>
                <w:szCs w:val="20"/>
                <w:color w:val="auto"/>
              </w:rPr>
            </w:pPr>
            <w:r>
              <w:rPr>
                <w:rFonts w:ascii="Arial" w:cs="Arial" w:eastAsia="Arial" w:hAnsi="Arial"/>
                <w:sz w:val="14"/>
                <w:szCs w:val="14"/>
                <w:color w:val="auto"/>
              </w:rPr>
              <w:t>2006</w:t>
            </w:r>
          </w:p>
        </w:tc>
        <w:tc>
          <w:tcPr>
            <w:tcW w:w="1380" w:type="dxa"/>
            <w:vAlign w:val="bottom"/>
            <w:shd w:val="clear" w:color="auto" w:fill="D9D9D9"/>
          </w:tcPr>
          <w:p>
            <w:pPr>
              <w:jc w:val="center"/>
              <w:ind w:right="48"/>
              <w:spacing w:after="0"/>
              <w:rPr>
                <w:sz w:val="20"/>
                <w:szCs w:val="20"/>
                <w:color w:val="auto"/>
              </w:rPr>
            </w:pPr>
            <w:r>
              <w:rPr>
                <w:rFonts w:ascii="Arial" w:cs="Arial" w:eastAsia="Arial" w:hAnsi="Arial"/>
                <w:sz w:val="14"/>
                <w:szCs w:val="14"/>
                <w:color w:val="auto"/>
                <w:w w:val="90"/>
              </w:rPr>
              <w:t>Yes</w:t>
            </w:r>
          </w:p>
        </w:tc>
        <w:tc>
          <w:tcPr>
            <w:tcW w:w="320" w:type="dxa"/>
            <w:vAlign w:val="bottom"/>
            <w:vMerge w:val="continue"/>
            <w:shd w:val="clear" w:color="auto" w:fill="D9D9D9"/>
          </w:tcPr>
          <w:p>
            <w:pPr>
              <w:spacing w:after="0"/>
              <w:rPr>
                <w:sz w:val="15"/>
                <w:szCs w:val="15"/>
                <w:color w:val="auto"/>
              </w:rPr>
            </w:pPr>
          </w:p>
        </w:tc>
        <w:tc>
          <w:tcPr>
            <w:tcW w:w="740" w:type="dxa"/>
            <w:vAlign w:val="bottom"/>
            <w:vMerge w:val="continue"/>
            <w:shd w:val="clear" w:color="auto" w:fill="D9D9D9"/>
          </w:tcPr>
          <w:p>
            <w:pPr>
              <w:spacing w:after="0"/>
              <w:rPr>
                <w:sz w:val="15"/>
                <w:szCs w:val="15"/>
                <w:color w:val="auto"/>
              </w:rPr>
            </w:pPr>
          </w:p>
        </w:tc>
        <w:tc>
          <w:tcPr>
            <w:tcW w:w="720" w:type="dxa"/>
            <w:vAlign w:val="bottom"/>
            <w:shd w:val="clear" w:color="auto" w:fill="D9D9D9"/>
          </w:tcPr>
          <w:p>
            <w:pPr>
              <w:spacing w:after="0"/>
              <w:rPr>
                <w:sz w:val="15"/>
                <w:szCs w:val="15"/>
                <w:color w:val="auto"/>
              </w:rPr>
            </w:pPr>
          </w:p>
        </w:tc>
        <w:tc>
          <w:tcPr>
            <w:tcW w:w="740" w:type="dxa"/>
            <w:vAlign w:val="bottom"/>
            <w:shd w:val="clear" w:color="auto" w:fill="D9D9D9"/>
          </w:tcPr>
          <w:p>
            <w:pPr>
              <w:spacing w:after="0"/>
              <w:rPr>
                <w:sz w:val="15"/>
                <w:szCs w:val="15"/>
                <w:color w:val="auto"/>
              </w:rPr>
            </w:pPr>
          </w:p>
        </w:tc>
        <w:tc>
          <w:tcPr>
            <w:tcW w:w="880" w:type="dxa"/>
            <w:vAlign w:val="bottom"/>
            <w:shd w:val="clear" w:color="auto" w:fill="D9D9D9"/>
          </w:tcPr>
          <w:p>
            <w:pPr>
              <w:jc w:val="right"/>
              <w:ind w:right="309"/>
              <w:spacing w:after="0"/>
              <w:rPr>
                <w:sz w:val="20"/>
                <w:szCs w:val="20"/>
                <w:color w:val="auto"/>
              </w:rPr>
            </w:pPr>
            <w:r>
              <w:rPr>
                <w:rFonts w:ascii="Arial" w:cs="Arial" w:eastAsia="Arial" w:hAnsi="Arial"/>
                <w:sz w:val="14"/>
                <w:szCs w:val="14"/>
                <w:color w:val="C00000"/>
              </w:rPr>
              <w:t>1</w:t>
            </w:r>
          </w:p>
        </w:tc>
        <w:tc>
          <w:tcPr>
            <w:tcW w:w="88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120" w:type="dxa"/>
            <w:vAlign w:val="bottom"/>
            <w:gridSpan w:val="2"/>
            <w:shd w:val="clear" w:color="auto" w:fill="D9D9D9"/>
          </w:tcPr>
          <w:p>
            <w:pPr>
              <w:ind w:left="120"/>
              <w:spacing w:after="0"/>
              <w:rPr>
                <w:sz w:val="20"/>
                <w:szCs w:val="20"/>
                <w:color w:val="auto"/>
              </w:rPr>
            </w:pPr>
            <w:r>
              <w:rPr>
                <w:rFonts w:ascii="Arial" w:cs="Arial" w:eastAsia="Arial" w:hAnsi="Arial"/>
                <w:sz w:val="14"/>
                <w:szCs w:val="14"/>
                <w:color w:val="auto"/>
              </w:rPr>
              <w:t>Financial Officer, Medtronic plc</w:t>
            </w:r>
          </w:p>
        </w:tc>
        <w:tc>
          <w:tcPr>
            <w:tcW w:w="2040" w:type="dxa"/>
            <w:vAlign w:val="bottom"/>
            <w:shd w:val="clear" w:color="auto" w:fill="D9D9D9"/>
          </w:tcPr>
          <w:p>
            <w:pPr>
              <w:spacing w:after="0"/>
              <w:rPr>
                <w:sz w:val="16"/>
                <w:szCs w:val="16"/>
                <w:color w:val="auto"/>
              </w:rPr>
            </w:pPr>
          </w:p>
        </w:tc>
        <w:tc>
          <w:tcPr>
            <w:tcW w:w="620" w:type="dxa"/>
            <w:vAlign w:val="bottom"/>
            <w:shd w:val="clear" w:color="auto" w:fill="D9D9D9"/>
          </w:tcPr>
          <w:p>
            <w:pPr>
              <w:spacing w:after="0"/>
              <w:rPr>
                <w:sz w:val="16"/>
                <w:szCs w:val="16"/>
                <w:color w:val="auto"/>
              </w:rPr>
            </w:pPr>
          </w:p>
        </w:tc>
        <w:tc>
          <w:tcPr>
            <w:tcW w:w="820" w:type="dxa"/>
            <w:vAlign w:val="bottom"/>
            <w:shd w:val="clear" w:color="auto" w:fill="D9D9D9"/>
          </w:tcPr>
          <w:p>
            <w:pPr>
              <w:spacing w:after="0"/>
              <w:rPr>
                <w:sz w:val="16"/>
                <w:szCs w:val="16"/>
                <w:color w:val="auto"/>
              </w:rPr>
            </w:pPr>
          </w:p>
        </w:tc>
        <w:tc>
          <w:tcPr>
            <w:tcW w:w="1380" w:type="dxa"/>
            <w:vAlign w:val="bottom"/>
            <w:shd w:val="clear" w:color="auto" w:fill="D9D9D9"/>
          </w:tcPr>
          <w:p>
            <w:pPr>
              <w:spacing w:after="0"/>
              <w:rPr>
                <w:sz w:val="16"/>
                <w:szCs w:val="16"/>
                <w:color w:val="auto"/>
              </w:rPr>
            </w:pPr>
          </w:p>
        </w:tc>
        <w:tc>
          <w:tcPr>
            <w:tcW w:w="320" w:type="dxa"/>
            <w:vAlign w:val="bottom"/>
            <w:shd w:val="clear" w:color="auto" w:fill="D9D9D9"/>
          </w:tcPr>
          <w:p>
            <w:pPr>
              <w:ind w:left="140"/>
              <w:spacing w:after="0"/>
              <w:rPr>
                <w:sz w:val="20"/>
                <w:szCs w:val="20"/>
                <w:color w:val="auto"/>
              </w:rPr>
            </w:pPr>
            <w:r>
              <w:rPr>
                <w:rFonts w:ascii="Arial" w:cs="Arial" w:eastAsia="Arial" w:hAnsi="Arial"/>
                <w:sz w:val="14"/>
                <w:szCs w:val="14"/>
                <w:b w:val="1"/>
                <w:bCs w:val="1"/>
                <w:color w:val="C00000"/>
              </w:rPr>
              <w:t>E</w:t>
            </w:r>
          </w:p>
        </w:tc>
        <w:tc>
          <w:tcPr>
            <w:tcW w:w="740" w:type="dxa"/>
            <w:vAlign w:val="bottom"/>
            <w:shd w:val="clear" w:color="auto" w:fill="D9D9D9"/>
          </w:tcPr>
          <w:p>
            <w:pPr>
              <w:spacing w:after="0"/>
              <w:rPr>
                <w:sz w:val="16"/>
                <w:szCs w:val="16"/>
                <w:color w:val="auto"/>
              </w:rPr>
            </w:pPr>
          </w:p>
        </w:tc>
        <w:tc>
          <w:tcPr>
            <w:tcW w:w="720" w:type="dxa"/>
            <w:vAlign w:val="bottom"/>
            <w:shd w:val="clear" w:color="auto" w:fill="D9D9D9"/>
          </w:tcPr>
          <w:p>
            <w:pPr>
              <w:spacing w:after="0"/>
              <w:rPr>
                <w:sz w:val="16"/>
                <w:szCs w:val="16"/>
                <w:color w:val="auto"/>
              </w:rPr>
            </w:pPr>
          </w:p>
        </w:tc>
        <w:tc>
          <w:tcPr>
            <w:tcW w:w="740" w:type="dxa"/>
            <w:vAlign w:val="bottom"/>
            <w:shd w:val="clear" w:color="auto" w:fill="D9D9D9"/>
          </w:tcPr>
          <w:p>
            <w:pPr>
              <w:spacing w:after="0"/>
              <w:rPr>
                <w:sz w:val="16"/>
                <w:szCs w:val="16"/>
                <w:color w:val="auto"/>
              </w:rPr>
            </w:pPr>
          </w:p>
        </w:tc>
        <w:tc>
          <w:tcPr>
            <w:tcW w:w="880" w:type="dxa"/>
            <w:vAlign w:val="bottom"/>
            <w:shd w:val="clear" w:color="auto" w:fill="D9D9D9"/>
          </w:tcPr>
          <w:p>
            <w:pPr>
              <w:spacing w:after="0"/>
              <w:rPr>
                <w:sz w:val="16"/>
                <w:szCs w:val="16"/>
                <w:color w:val="auto"/>
              </w:rPr>
            </w:pPr>
          </w:p>
        </w:tc>
        <w:tc>
          <w:tcPr>
            <w:tcW w:w="880" w:type="dxa"/>
            <w:vAlign w:val="bottom"/>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520" w:type="dxa"/>
            <w:vAlign w:val="bottom"/>
          </w:tcPr>
          <w:p>
            <w:pPr>
              <w:spacing w:after="0"/>
              <w:rPr>
                <w:sz w:val="20"/>
                <w:szCs w:val="20"/>
                <w:color w:val="auto"/>
              </w:rPr>
            </w:pPr>
            <w:r>
              <w:rPr>
                <w:rFonts w:ascii="Arial" w:cs="Arial" w:eastAsia="Arial" w:hAnsi="Arial"/>
                <w:sz w:val="14"/>
                <w:szCs w:val="14"/>
                <w:b w:val="1"/>
                <w:bCs w:val="1"/>
                <w:color w:val="C00000"/>
              </w:rPr>
              <w:t>Michael G. Vale, Ph.D.</w:t>
            </w:r>
          </w:p>
        </w:tc>
        <w:tc>
          <w:tcPr>
            <w:tcW w:w="6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shd w:val="clear" w:color="auto" w:fill="C00000"/>
              </w:rPr>
              <w:t>✓</w:t>
            </w:r>
          </w:p>
        </w:tc>
        <w:tc>
          <w:tcPr>
            <w:tcW w:w="740" w:type="dxa"/>
            <w:vAlign w:val="bottom"/>
            <w:vMerge w:val="restart"/>
          </w:tcPr>
          <w:p>
            <w:pPr>
              <w:jc w:val="center"/>
              <w:ind w:left="124"/>
              <w:spacing w:after="0" w:line="161" w:lineRule="exact"/>
              <w:rPr>
                <w:sz w:val="20"/>
                <w:szCs w:val="20"/>
                <w:color w:val="auto"/>
              </w:rPr>
            </w:pPr>
            <w:r>
              <w:rPr>
                <w:rFonts w:ascii="MS PGothic" w:cs="MS PGothic" w:eastAsia="MS PGothic" w:hAnsi="MS PGothic"/>
                <w:sz w:val="16"/>
                <w:szCs w:val="16"/>
                <w:color w:val="auto"/>
                <w:w w:val="87"/>
                <w:shd w:val="clear" w:color="auto" w:fill="C00000"/>
              </w:rPr>
              <w:t>✓</w:t>
            </w: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shd w:val="clear" w:color="auto" w:fill="C00000"/>
              </w:rPr>
              <w:t>✓</w:t>
            </w:r>
          </w:p>
        </w:tc>
        <w:tc>
          <w:tcPr>
            <w:tcW w:w="0" w:type="dxa"/>
            <w:vAlign w:val="bottom"/>
          </w:tcPr>
          <w:p>
            <w:pPr>
              <w:spacing w:after="0"/>
              <w:rPr>
                <w:sz w:val="1"/>
                <w:szCs w:val="1"/>
                <w:color w:val="auto"/>
              </w:rPr>
            </w:pPr>
          </w:p>
        </w:tc>
      </w:tr>
      <w:tr>
        <w:trPr>
          <w:trHeight w:val="162"/>
        </w:trPr>
        <w:tc>
          <w:tcPr>
            <w:tcW w:w="4160" w:type="dxa"/>
            <w:vAlign w:val="bottom"/>
            <w:gridSpan w:val="3"/>
          </w:tcPr>
          <w:p>
            <w:pPr>
              <w:ind w:left="120"/>
              <w:spacing w:after="0"/>
              <w:rPr>
                <w:sz w:val="20"/>
                <w:szCs w:val="20"/>
                <w:color w:val="auto"/>
              </w:rPr>
            </w:pPr>
            <w:r>
              <w:rPr>
                <w:rFonts w:ascii="Arial" w:cs="Arial" w:eastAsia="Arial" w:hAnsi="Arial"/>
                <w:sz w:val="14"/>
                <w:szCs w:val="14"/>
                <w:color w:val="auto"/>
              </w:rPr>
              <w:t>Group President, Safety &amp; Industrial</w:t>
            </w:r>
          </w:p>
        </w:tc>
        <w:tc>
          <w:tcPr>
            <w:tcW w:w="620" w:type="dxa"/>
            <w:vAlign w:val="bottom"/>
          </w:tcPr>
          <w:p>
            <w:pPr>
              <w:jc w:val="center"/>
              <w:ind w:right="69"/>
              <w:spacing w:after="0"/>
              <w:rPr>
                <w:sz w:val="20"/>
                <w:szCs w:val="20"/>
                <w:color w:val="auto"/>
              </w:rPr>
            </w:pPr>
            <w:r>
              <w:rPr>
                <w:rFonts w:ascii="Arial" w:cs="Arial" w:eastAsia="Arial" w:hAnsi="Arial"/>
                <w:sz w:val="14"/>
                <w:szCs w:val="14"/>
                <w:color w:val="auto"/>
              </w:rPr>
              <w:t>55</w:t>
            </w:r>
          </w:p>
        </w:tc>
        <w:tc>
          <w:tcPr>
            <w:tcW w:w="820" w:type="dxa"/>
            <w:vAlign w:val="bottom"/>
          </w:tcPr>
          <w:p>
            <w:pPr>
              <w:jc w:val="center"/>
              <w:ind w:right="69"/>
              <w:spacing w:after="0"/>
              <w:rPr>
                <w:sz w:val="20"/>
                <w:szCs w:val="20"/>
                <w:color w:val="auto"/>
              </w:rPr>
            </w:pPr>
            <w:r>
              <w:rPr>
                <w:rFonts w:ascii="Arial" w:cs="Arial" w:eastAsia="Arial" w:hAnsi="Arial"/>
                <w:sz w:val="14"/>
                <w:szCs w:val="14"/>
                <w:color w:val="auto"/>
              </w:rPr>
              <w:t>2018</w:t>
            </w:r>
          </w:p>
        </w:tc>
        <w:tc>
          <w:tcPr>
            <w:tcW w:w="1380" w:type="dxa"/>
            <w:vAlign w:val="bottom"/>
          </w:tcPr>
          <w:p>
            <w:pPr>
              <w:jc w:val="center"/>
              <w:ind w:right="48"/>
              <w:spacing w:after="0"/>
              <w:rPr>
                <w:sz w:val="20"/>
                <w:szCs w:val="20"/>
                <w:color w:val="auto"/>
              </w:rPr>
            </w:pPr>
            <w:r>
              <w:rPr>
                <w:rFonts w:ascii="Arial" w:cs="Arial" w:eastAsia="Arial" w:hAnsi="Arial"/>
                <w:sz w:val="14"/>
                <w:szCs w:val="14"/>
                <w:color w:val="auto"/>
                <w:w w:val="90"/>
              </w:rPr>
              <w:t>Yes</w:t>
            </w:r>
          </w:p>
        </w:tc>
        <w:tc>
          <w:tcPr>
            <w:tcW w:w="3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jc w:val="right"/>
              <w:ind w:right="309"/>
              <w:spacing w:after="0"/>
              <w:rPr>
                <w:sz w:val="20"/>
                <w:szCs w:val="20"/>
                <w:color w:val="auto"/>
              </w:rPr>
            </w:pPr>
            <w:r>
              <w:rPr>
                <w:rFonts w:ascii="Arial" w:cs="Arial" w:eastAsia="Arial" w:hAnsi="Arial"/>
                <w:sz w:val="14"/>
                <w:szCs w:val="14"/>
                <w:color w:val="C00000"/>
              </w:rPr>
              <w:t>0</w:t>
            </w: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520" w:type="dxa"/>
            <w:vAlign w:val="bottom"/>
          </w:tcPr>
          <w:p>
            <w:pPr>
              <w:ind w:left="120"/>
              <w:spacing w:after="0"/>
              <w:rPr>
                <w:sz w:val="20"/>
                <w:szCs w:val="20"/>
                <w:color w:val="auto"/>
              </w:rPr>
            </w:pPr>
            <w:r>
              <w:rPr>
                <w:rFonts w:ascii="Arial" w:cs="Arial" w:eastAsia="Arial" w:hAnsi="Arial"/>
                <w:sz w:val="14"/>
                <w:szCs w:val="14"/>
                <w:color w:val="auto"/>
              </w:rPr>
              <w:t>3M Company</w:t>
            </w:r>
          </w:p>
        </w:tc>
        <w:tc>
          <w:tcPr>
            <w:tcW w:w="6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3"/>
        </w:trPr>
        <w:tc>
          <w:tcPr>
            <w:tcW w:w="1520" w:type="dxa"/>
            <w:vAlign w:val="bottom"/>
          </w:tcPr>
          <w:p>
            <w:pPr>
              <w:spacing w:after="0"/>
              <w:rPr>
                <w:sz w:val="20"/>
                <w:szCs w:val="20"/>
                <w:color w:val="auto"/>
              </w:rPr>
            </w:pPr>
            <w:r>
              <w:rPr>
                <w:rFonts w:ascii="Arial" w:cs="Arial" w:eastAsia="Arial" w:hAnsi="Arial"/>
                <w:sz w:val="16"/>
                <w:szCs w:val="16"/>
                <w:b w:val="1"/>
                <w:bCs w:val="1"/>
                <w:color w:val="C00000"/>
              </w:rPr>
              <w:t xml:space="preserve">A: </w:t>
            </w:r>
            <w:r>
              <w:rPr>
                <w:rFonts w:ascii="Arial" w:cs="Arial" w:eastAsia="Arial" w:hAnsi="Arial"/>
                <w:sz w:val="16"/>
                <w:szCs w:val="16"/>
                <w:color w:val="000000"/>
              </w:rPr>
              <w:t>Audit</w:t>
            </w:r>
          </w:p>
        </w:tc>
        <w:tc>
          <w:tcPr>
            <w:tcW w:w="600" w:type="dxa"/>
            <w:vAlign w:val="bottom"/>
          </w:tcPr>
          <w:p>
            <w:pPr>
              <w:ind w:left="20"/>
              <w:spacing w:after="0"/>
              <w:rPr>
                <w:sz w:val="20"/>
                <w:szCs w:val="20"/>
                <w:color w:val="auto"/>
              </w:rPr>
            </w:pPr>
            <w:r>
              <w:rPr>
                <w:rFonts w:ascii="Arial" w:cs="Arial" w:eastAsia="Arial" w:hAnsi="Arial"/>
                <w:sz w:val="16"/>
                <w:szCs w:val="16"/>
                <w:b w:val="1"/>
                <w:bCs w:val="1"/>
                <w:color w:val="C00000"/>
              </w:rPr>
              <w:t>N&amp;G:</w:t>
            </w:r>
          </w:p>
        </w:tc>
        <w:tc>
          <w:tcPr>
            <w:tcW w:w="2040" w:type="dxa"/>
            <w:vAlign w:val="bottom"/>
          </w:tcPr>
          <w:p>
            <w:pPr>
              <w:ind w:left="60"/>
              <w:spacing w:after="0"/>
              <w:rPr>
                <w:sz w:val="20"/>
                <w:szCs w:val="20"/>
                <w:color w:val="auto"/>
              </w:rPr>
            </w:pPr>
            <w:r>
              <w:rPr>
                <w:rFonts w:ascii="Arial" w:cs="Arial" w:eastAsia="Arial" w:hAnsi="Arial"/>
                <w:sz w:val="16"/>
                <w:szCs w:val="16"/>
                <w:color w:val="auto"/>
              </w:rPr>
              <w:t>Nominating &amp; Governance</w:t>
            </w: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80" w:type="dxa"/>
            <w:vAlign w:val="bottom"/>
          </w:tcPr>
          <w:p>
            <w:pPr>
              <w:ind w:left="440"/>
              <w:spacing w:after="0" w:line="184" w:lineRule="exact"/>
              <w:rPr>
                <w:sz w:val="20"/>
                <w:szCs w:val="20"/>
                <w:color w:val="auto"/>
              </w:rPr>
            </w:pPr>
            <w:r>
              <w:rPr>
                <w:rFonts w:ascii="MS PGothic" w:cs="MS PGothic" w:eastAsia="MS PGothic" w:hAnsi="MS PGothic"/>
                <w:sz w:val="16"/>
                <w:szCs w:val="16"/>
                <w:color w:val="000000"/>
                <w:shd w:val="clear" w:color="auto" w:fill="C00000"/>
              </w:rPr>
              <w:t>✓</w:t>
            </w:r>
            <w:r>
              <w:rPr>
                <w:rFonts w:ascii="Arial" w:cs="Arial" w:eastAsia="Arial" w:hAnsi="Arial"/>
                <w:sz w:val="16"/>
                <w:szCs w:val="16"/>
                <w:b w:val="1"/>
                <w:bCs w:val="1"/>
                <w:color w:val="C00000"/>
              </w:rPr>
              <w:t xml:space="preserve">: </w:t>
            </w:r>
            <w:r>
              <w:rPr>
                <w:rFonts w:ascii="Arial" w:cs="Arial" w:eastAsia="Arial" w:hAnsi="Arial"/>
                <w:sz w:val="16"/>
                <w:szCs w:val="16"/>
                <w:color w:val="000000"/>
              </w:rPr>
              <w:t>Member</w:t>
            </w:r>
          </w:p>
        </w:tc>
        <w:tc>
          <w:tcPr>
            <w:tcW w:w="320" w:type="dxa"/>
            <w:vAlign w:val="bottom"/>
          </w:tcPr>
          <w:p>
            <w:pPr>
              <w:spacing w:after="0"/>
              <w:rPr>
                <w:sz w:val="24"/>
                <w:szCs w:val="24"/>
                <w:color w:val="auto"/>
              </w:rPr>
            </w:pPr>
          </w:p>
        </w:tc>
        <w:tc>
          <w:tcPr>
            <w:tcW w:w="3080" w:type="dxa"/>
            <w:vAlign w:val="bottom"/>
            <w:gridSpan w:val="4"/>
          </w:tcPr>
          <w:p>
            <w:pPr>
              <w:jc w:val="right"/>
              <w:ind w:right="109"/>
              <w:spacing w:after="0"/>
              <w:rPr>
                <w:sz w:val="20"/>
                <w:szCs w:val="20"/>
                <w:color w:val="auto"/>
              </w:rPr>
            </w:pPr>
            <w:r>
              <w:rPr>
                <w:rFonts w:ascii="Arial" w:cs="Arial" w:eastAsia="Arial" w:hAnsi="Arial"/>
                <w:sz w:val="16"/>
                <w:szCs w:val="16"/>
                <w:b w:val="1"/>
                <w:bCs w:val="1"/>
                <w:color w:val="C00000"/>
              </w:rPr>
              <w:t xml:space="preserve">E : </w:t>
            </w:r>
            <w:r>
              <w:rPr>
                <w:rFonts w:ascii="Arial" w:cs="Arial" w:eastAsia="Arial" w:hAnsi="Arial"/>
                <w:sz w:val="16"/>
                <w:szCs w:val="16"/>
                <w:color w:val="000000"/>
              </w:rPr>
              <w:t>Audit Committee Financial Expert</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1520" w:type="dxa"/>
            <w:vAlign w:val="bottom"/>
          </w:tcPr>
          <w:p>
            <w:pPr>
              <w:spacing w:after="0"/>
              <w:rPr>
                <w:sz w:val="20"/>
                <w:szCs w:val="20"/>
                <w:color w:val="auto"/>
              </w:rPr>
            </w:pPr>
            <w:r>
              <w:rPr>
                <w:rFonts w:ascii="Arial" w:cs="Arial" w:eastAsia="Arial" w:hAnsi="Arial"/>
                <w:sz w:val="16"/>
                <w:szCs w:val="16"/>
                <w:b w:val="1"/>
                <w:bCs w:val="1"/>
                <w:color w:val="C00000"/>
              </w:rPr>
              <w:t xml:space="preserve">F: </w:t>
            </w:r>
            <w:r>
              <w:rPr>
                <w:rFonts w:ascii="Arial" w:cs="Arial" w:eastAsia="Arial" w:hAnsi="Arial"/>
                <w:sz w:val="16"/>
                <w:szCs w:val="16"/>
                <w:color w:val="000000"/>
              </w:rPr>
              <w:t>Finance</w:t>
            </w:r>
          </w:p>
        </w:tc>
        <w:tc>
          <w:tcPr>
            <w:tcW w:w="600" w:type="dxa"/>
            <w:vAlign w:val="bottom"/>
          </w:tcPr>
          <w:p>
            <w:pPr>
              <w:ind w:left="20"/>
              <w:spacing w:after="0"/>
              <w:rPr>
                <w:sz w:val="20"/>
                <w:szCs w:val="20"/>
                <w:color w:val="auto"/>
              </w:rPr>
            </w:pPr>
            <w:r>
              <w:rPr>
                <w:rFonts w:ascii="Arial" w:cs="Arial" w:eastAsia="Arial" w:hAnsi="Arial"/>
                <w:sz w:val="16"/>
                <w:szCs w:val="16"/>
                <w:b w:val="1"/>
                <w:bCs w:val="1"/>
                <w:color w:val="C00000"/>
              </w:rPr>
              <w:t>C&amp;HR:</w:t>
            </w:r>
          </w:p>
        </w:tc>
        <w:tc>
          <w:tcPr>
            <w:tcW w:w="2660" w:type="dxa"/>
            <w:vAlign w:val="bottom"/>
            <w:gridSpan w:val="2"/>
          </w:tcPr>
          <w:p>
            <w:pPr>
              <w:ind w:left="60"/>
              <w:spacing w:after="0"/>
              <w:rPr>
                <w:sz w:val="20"/>
                <w:szCs w:val="20"/>
                <w:color w:val="auto"/>
              </w:rPr>
            </w:pPr>
            <w:r>
              <w:rPr>
                <w:rFonts w:ascii="Arial" w:cs="Arial" w:eastAsia="Arial" w:hAnsi="Arial"/>
                <w:sz w:val="16"/>
                <w:szCs w:val="16"/>
                <w:color w:val="auto"/>
              </w:rPr>
              <w:t>Compensation &amp; Human Resources</w:t>
            </w:r>
          </w:p>
        </w:tc>
        <w:tc>
          <w:tcPr>
            <w:tcW w:w="820" w:type="dxa"/>
            <w:vAlign w:val="bottom"/>
          </w:tcPr>
          <w:p>
            <w:pPr>
              <w:spacing w:after="0"/>
              <w:rPr>
                <w:sz w:val="21"/>
                <w:szCs w:val="21"/>
                <w:color w:val="auto"/>
              </w:rPr>
            </w:pPr>
          </w:p>
        </w:tc>
        <w:tc>
          <w:tcPr>
            <w:tcW w:w="1380" w:type="dxa"/>
            <w:vAlign w:val="bottom"/>
          </w:tcPr>
          <w:p>
            <w:pPr>
              <w:ind w:left="440"/>
              <w:spacing w:after="0"/>
              <w:rPr>
                <w:sz w:val="20"/>
                <w:szCs w:val="20"/>
                <w:color w:val="auto"/>
              </w:rPr>
            </w:pPr>
            <w:r>
              <w:rPr>
                <w:rFonts w:ascii="Arial" w:cs="Arial" w:eastAsia="Arial" w:hAnsi="Arial"/>
                <w:sz w:val="16"/>
                <w:szCs w:val="16"/>
                <w:b w:val="1"/>
                <w:bCs w:val="1"/>
                <w:color w:val="C00000"/>
              </w:rPr>
              <w:t xml:space="preserve">C: </w:t>
            </w:r>
            <w:r>
              <w:rPr>
                <w:rFonts w:ascii="Arial" w:cs="Arial" w:eastAsia="Arial" w:hAnsi="Arial"/>
                <w:sz w:val="16"/>
                <w:szCs w:val="16"/>
                <w:color w:val="000000"/>
              </w:rPr>
              <w:t>Chair</w:t>
            </w: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4403090</wp:posOffset>
            </wp:positionH>
            <wp:positionV relativeFrom="paragraph">
              <wp:posOffset>-4825365</wp:posOffset>
            </wp:positionV>
            <wp:extent cx="16129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12900" cy="8255"/>
                    </a:xfrm>
                    <a:prstGeom prst="rect">
                      <a:avLst/>
                    </a:prstGeom>
                    <a:noFill/>
                  </pic:spPr>
                </pic:pic>
              </a:graphicData>
            </a:graphic>
          </wp:anchor>
        </w:drawing>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81280</wp:posOffset>
            </wp:positionV>
            <wp:extent cx="6062345" cy="4641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62345" cy="464185"/>
                    </a:xfrm>
                    <a:prstGeom prst="rect">
                      <a:avLst/>
                    </a:prstGeom>
                    <a:noFill/>
                  </pic:spPr>
                </pic:pic>
              </a:graphicData>
            </a:graphic>
          </wp:anchor>
        </w:drawing>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C00000"/>
        </w:rPr>
        <w:t>Executive Compensation Program Objectives</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Our executive compensation philosophy is to maintain a program that allows us to attract,</w:t>
      </w:r>
    </w:p>
    <w:p>
      <w:pPr>
        <w:jc w:val="center"/>
        <w:ind w:right="-19"/>
        <w:spacing w:after="0"/>
        <w:rPr>
          <w:sz w:val="20"/>
          <w:szCs w:val="20"/>
          <w:color w:val="auto"/>
        </w:rPr>
      </w:pPr>
      <w:r>
        <w:rPr>
          <w:rFonts w:ascii="Arial" w:cs="Arial" w:eastAsia="Arial" w:hAnsi="Arial"/>
          <w:sz w:val="18"/>
          <w:szCs w:val="18"/>
          <w:color w:val="auto"/>
        </w:rPr>
        <w:t>retain, motivate and reward highly qualified and talented executive officers.</w:t>
      </w:r>
    </w:p>
    <w:p>
      <w:pPr>
        <w:spacing w:after="0" w:line="66" w:lineRule="exact"/>
        <w:rPr>
          <w:sz w:val="20"/>
          <w:szCs w:val="20"/>
          <w:color w:val="auto"/>
        </w:rPr>
      </w:pPr>
    </w:p>
    <w:tbl>
      <w:tblPr>
        <w:tblLayout w:type="fixed"/>
        <w:tblInd w:w="870" w:type="dxa"/>
        <w:tblCellMar>
          <w:top w:w="0" w:type="dxa"/>
          <w:left w:w="0" w:type="dxa"/>
          <w:bottom w:w="0" w:type="dxa"/>
          <w:right w:w="0" w:type="dxa"/>
        </w:tblCellMar>
      </w:tblPr>
      <w:tr>
        <w:trPr>
          <w:trHeight w:val="243"/>
        </w:trPr>
        <w:tc>
          <w:tcPr>
            <w:tcW w:w="3700" w:type="dxa"/>
            <w:vAlign w:val="bottom"/>
            <w:tcBorders>
              <w:top w:val="single" w:sz="8" w:color="auto"/>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C00000"/>
                <w:w w:val="98"/>
              </w:rPr>
              <w:t>Align interests of executive</w:t>
            </w:r>
          </w:p>
        </w:tc>
        <w:tc>
          <w:tcPr>
            <w:tcW w:w="140" w:type="dxa"/>
            <w:vAlign w:val="bottom"/>
            <w:tcBorders>
              <w:right w:val="single" w:sz="8" w:color="auto"/>
            </w:tcBorders>
          </w:tcPr>
          <w:p>
            <w:pPr>
              <w:spacing w:after="0"/>
              <w:rPr>
                <w:sz w:val="21"/>
                <w:szCs w:val="21"/>
                <w:color w:val="auto"/>
              </w:rPr>
            </w:pPr>
          </w:p>
        </w:tc>
        <w:tc>
          <w:tcPr>
            <w:tcW w:w="19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C00000"/>
                <w:w w:val="98"/>
              </w:rPr>
              <w:t>Link pay to</w:t>
            </w:r>
          </w:p>
        </w:tc>
        <w:tc>
          <w:tcPr>
            <w:tcW w:w="120" w:type="dxa"/>
            <w:vAlign w:val="bottom"/>
            <w:tcBorders>
              <w:right w:val="single" w:sz="8" w:color="auto"/>
            </w:tcBorders>
          </w:tcPr>
          <w:p>
            <w:pPr>
              <w:spacing w:after="0"/>
              <w:rPr>
                <w:sz w:val="21"/>
                <w:szCs w:val="21"/>
                <w:color w:val="auto"/>
              </w:rPr>
            </w:pPr>
          </w:p>
        </w:tc>
        <w:tc>
          <w:tcPr>
            <w:tcW w:w="36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C00000"/>
                <w:w w:val="98"/>
              </w:rPr>
              <w:t>Provide competitive target</w:t>
            </w:r>
          </w:p>
        </w:tc>
      </w:tr>
      <w:tr>
        <w:trPr>
          <w:trHeight w:val="199"/>
        </w:trPr>
        <w:tc>
          <w:tcPr>
            <w:tcW w:w="3700" w:type="dxa"/>
            <w:vAlign w:val="bottom"/>
            <w:tcBorders>
              <w:left w:val="single" w:sz="8" w:color="auto"/>
              <w:right w:val="single" w:sz="8" w:color="auto"/>
            </w:tcBorders>
            <w:shd w:val="clear" w:color="auto" w:fill="D9D9D9"/>
          </w:tcPr>
          <w:p>
            <w:pPr>
              <w:jc w:val="center"/>
              <w:spacing w:after="0" w:line="200" w:lineRule="exact"/>
              <w:rPr>
                <w:sz w:val="20"/>
                <w:szCs w:val="20"/>
                <w:color w:val="auto"/>
              </w:rPr>
            </w:pPr>
            <w:r>
              <w:rPr>
                <w:rFonts w:ascii="Arial" w:cs="Arial" w:eastAsia="Arial" w:hAnsi="Arial"/>
                <w:sz w:val="18"/>
                <w:szCs w:val="18"/>
                <w:b w:val="1"/>
                <w:bCs w:val="1"/>
                <w:color w:val="C00000"/>
                <w:w w:val="98"/>
              </w:rPr>
              <w:t>officers with shareholder</w:t>
            </w:r>
          </w:p>
        </w:tc>
        <w:tc>
          <w:tcPr>
            <w:tcW w:w="14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shd w:val="clear" w:color="auto" w:fill="D9D9D9"/>
          </w:tcPr>
          <w:p>
            <w:pPr>
              <w:jc w:val="center"/>
              <w:spacing w:after="0" w:line="200" w:lineRule="exact"/>
              <w:rPr>
                <w:sz w:val="20"/>
                <w:szCs w:val="20"/>
                <w:color w:val="auto"/>
              </w:rPr>
            </w:pPr>
            <w:r>
              <w:rPr>
                <w:rFonts w:ascii="Arial" w:cs="Arial" w:eastAsia="Arial" w:hAnsi="Arial"/>
                <w:sz w:val="18"/>
                <w:szCs w:val="18"/>
                <w:b w:val="1"/>
                <w:bCs w:val="1"/>
                <w:color w:val="C00000"/>
                <w:w w:val="99"/>
              </w:rPr>
              <w:t>performance</w:t>
            </w:r>
          </w:p>
        </w:tc>
        <w:tc>
          <w:tcPr>
            <w:tcW w:w="120" w:type="dxa"/>
            <w:vAlign w:val="bottom"/>
            <w:tcBorders>
              <w:right w:val="single" w:sz="8" w:color="auto"/>
            </w:tcBorders>
          </w:tcPr>
          <w:p>
            <w:pPr>
              <w:spacing w:after="0"/>
              <w:rPr>
                <w:sz w:val="17"/>
                <w:szCs w:val="17"/>
                <w:color w:val="auto"/>
              </w:rPr>
            </w:pPr>
          </w:p>
        </w:tc>
        <w:tc>
          <w:tcPr>
            <w:tcW w:w="3680" w:type="dxa"/>
            <w:vAlign w:val="bottom"/>
            <w:tcBorders>
              <w:right w:val="single" w:sz="8" w:color="auto"/>
            </w:tcBorders>
            <w:shd w:val="clear" w:color="auto" w:fill="D9D9D9"/>
          </w:tcPr>
          <w:p>
            <w:pPr>
              <w:jc w:val="center"/>
              <w:spacing w:after="0" w:line="200" w:lineRule="exact"/>
              <w:rPr>
                <w:sz w:val="20"/>
                <w:szCs w:val="20"/>
                <w:color w:val="auto"/>
              </w:rPr>
            </w:pPr>
            <w:r>
              <w:rPr>
                <w:rFonts w:ascii="Arial" w:cs="Arial" w:eastAsia="Arial" w:hAnsi="Arial"/>
                <w:sz w:val="18"/>
                <w:szCs w:val="18"/>
                <w:b w:val="1"/>
                <w:bCs w:val="1"/>
                <w:color w:val="C00000"/>
                <w:w w:val="97"/>
              </w:rPr>
              <w:t>total direct compensation</w:t>
            </w:r>
          </w:p>
        </w:tc>
      </w:tr>
      <w:tr>
        <w:trPr>
          <w:trHeight w:val="255"/>
        </w:trPr>
        <w:tc>
          <w:tcPr>
            <w:tcW w:w="3700" w:type="dxa"/>
            <w:vAlign w:val="bottom"/>
            <w:tcBorders>
              <w:left w:val="single" w:sz="8" w:color="auto"/>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C00000"/>
                <w:w w:val="98"/>
              </w:rPr>
              <w:t>interests</w:t>
            </w:r>
          </w:p>
        </w:tc>
        <w:tc>
          <w:tcPr>
            <w:tcW w:w="140" w:type="dxa"/>
            <w:vAlign w:val="bottom"/>
            <w:tcBorders>
              <w:right w:val="single" w:sz="8" w:color="auto"/>
            </w:tcBorders>
          </w:tcPr>
          <w:p>
            <w:pPr>
              <w:spacing w:after="0"/>
              <w:rPr>
                <w:sz w:val="22"/>
                <w:szCs w:val="22"/>
                <w:color w:val="auto"/>
              </w:rPr>
            </w:pPr>
          </w:p>
        </w:tc>
        <w:tc>
          <w:tcPr>
            <w:tcW w:w="1900" w:type="dxa"/>
            <w:vAlign w:val="bottom"/>
            <w:tcBorders>
              <w:bottom w:val="single" w:sz="8" w:color="D9D9D9"/>
              <w:right w:val="single" w:sz="8" w:color="auto"/>
            </w:tcBorders>
            <w:shd w:val="clear" w:color="auto" w:fill="D9D9D9"/>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368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C00000"/>
                <w:w w:val="99"/>
              </w:rPr>
              <w:t>opportunities</w:t>
            </w:r>
          </w:p>
        </w:tc>
      </w:tr>
      <w:tr>
        <w:trPr>
          <w:trHeight w:val="20"/>
        </w:trPr>
        <w:tc>
          <w:tcPr>
            <w:tcW w:w="37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9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680" w:type="dxa"/>
            <w:vAlign w:val="bottom"/>
            <w:tcBorders>
              <w:right w:val="single" w:sz="8" w:color="auto"/>
            </w:tcBorders>
            <w:shd w:val="clear" w:color="auto" w:fill="000000"/>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2021 Executive Compensation Summary</w:t>
      </w:r>
    </w:p>
    <w:p>
      <w:pPr>
        <w:spacing w:after="0" w:line="127" w:lineRule="exact"/>
        <w:rPr>
          <w:sz w:val="20"/>
          <w:szCs w:val="20"/>
          <w:color w:val="auto"/>
        </w:rPr>
      </w:pPr>
    </w:p>
    <w:p>
      <w:pPr>
        <w:ind w:right="80" w:firstLine="401"/>
        <w:spacing w:after="0" w:line="235" w:lineRule="auto"/>
        <w:rPr>
          <w:sz w:val="20"/>
          <w:szCs w:val="20"/>
          <w:color w:val="auto"/>
        </w:rPr>
      </w:pPr>
      <w:r>
        <w:rPr>
          <w:rFonts w:ascii="Arial" w:cs="Arial" w:eastAsia="Arial" w:hAnsi="Arial"/>
          <w:sz w:val="18"/>
          <w:szCs w:val="18"/>
          <w:color w:val="auto"/>
        </w:rPr>
        <w:t>A significant portion of our executive officers’ target total direct compensation is comprised of short- and long-term variable performance-based, or at risk, compensation to directly link their pay to performance. Short-term variable compensation is in the form of annual cash incentive awards. Long-term variable compensation is in the form of stock options that vest over three years and three-year performance share awards. For fiscal 2021:</w:t>
      </w:r>
    </w:p>
    <w:p>
      <w:pPr>
        <w:spacing w:after="0" w:line="89" w:lineRule="exact"/>
        <w:rPr>
          <w:sz w:val="20"/>
          <w:szCs w:val="20"/>
          <w:color w:val="auto"/>
        </w:rPr>
      </w:pPr>
    </w:p>
    <w:p>
      <w:pPr>
        <w:ind w:left="2160"/>
        <w:spacing w:after="0"/>
        <w:tabs>
          <w:tab w:leader="none" w:pos="6760" w:val="left"/>
        </w:tabs>
        <w:rPr>
          <w:sz w:val="20"/>
          <w:szCs w:val="20"/>
          <w:color w:val="auto"/>
        </w:rPr>
      </w:pPr>
      <w:r>
        <w:rPr>
          <w:rFonts w:ascii="Arial" w:cs="Arial" w:eastAsia="Arial" w:hAnsi="Arial"/>
          <w:sz w:val="16"/>
          <w:szCs w:val="16"/>
          <w:b w:val="1"/>
          <w:bCs w:val="1"/>
          <w:color w:val="C00000"/>
        </w:rPr>
        <w:t>Chairman and CEO</w:t>
      </w:r>
      <w:r>
        <w:rPr>
          <w:sz w:val="20"/>
          <w:szCs w:val="20"/>
          <w:color w:val="auto"/>
        </w:rPr>
        <w:tab/>
      </w:r>
      <w:r>
        <w:rPr>
          <w:rFonts w:ascii="Arial" w:cs="Arial" w:eastAsia="Arial" w:hAnsi="Arial"/>
          <w:sz w:val="15"/>
          <w:szCs w:val="15"/>
          <w:b w:val="1"/>
          <w:bCs w:val="1"/>
          <w:color w:val="C00000"/>
        </w:rPr>
        <w:t>Other Named Executive Officers</w:t>
      </w:r>
    </w:p>
    <w:p>
      <w:pPr>
        <w:spacing w:after="0" w:line="22" w:lineRule="exact"/>
        <w:rPr>
          <w:sz w:val="20"/>
          <w:szCs w:val="20"/>
          <w:color w:val="auto"/>
        </w:rPr>
      </w:pPr>
    </w:p>
    <w:p>
      <w:pPr>
        <w:ind w:left="1460"/>
        <w:spacing w:after="0"/>
        <w:tabs>
          <w:tab w:leader="none" w:pos="6560" w:val="left"/>
        </w:tabs>
        <w:rPr>
          <w:sz w:val="20"/>
          <w:szCs w:val="20"/>
          <w:color w:val="auto"/>
        </w:rPr>
      </w:pPr>
      <w:r>
        <w:rPr>
          <w:rFonts w:ascii="Arial" w:cs="Arial" w:eastAsia="Arial" w:hAnsi="Arial"/>
          <w:sz w:val="16"/>
          <w:szCs w:val="16"/>
          <w:b w:val="1"/>
          <w:bCs w:val="1"/>
          <w:color w:val="C00000"/>
        </w:rPr>
        <w:t>Target Total Direct Compensation Mix</w:t>
      </w:r>
      <w:r>
        <w:rPr>
          <w:sz w:val="20"/>
          <w:szCs w:val="20"/>
          <w:color w:val="auto"/>
        </w:rPr>
        <w:tab/>
      </w:r>
      <w:r>
        <w:rPr>
          <w:rFonts w:ascii="Arial" w:cs="Arial" w:eastAsia="Arial" w:hAnsi="Arial"/>
          <w:sz w:val="15"/>
          <w:szCs w:val="15"/>
          <w:b w:val="1"/>
          <w:bCs w:val="1"/>
          <w:color w:val="C00000"/>
        </w:rPr>
        <w:t>Target Total Direct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671195</wp:posOffset>
            </wp:positionH>
            <wp:positionV relativeFrom="paragraph">
              <wp:posOffset>0</wp:posOffset>
            </wp:positionV>
            <wp:extent cx="5538470" cy="17811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38470" cy="178117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20"/>
        <w:spacing w:after="0"/>
        <w:rPr>
          <w:sz w:val="20"/>
          <w:szCs w:val="20"/>
          <w:color w:val="auto"/>
        </w:rPr>
      </w:pPr>
      <w:r>
        <w:rPr>
          <w:rFonts w:ascii="Arial" w:cs="Arial" w:eastAsia="Arial" w:hAnsi="Arial"/>
          <w:sz w:val="10"/>
          <w:szCs w:val="10"/>
          <w:b w:val="1"/>
          <w:bCs w:val="1"/>
          <w:color w:val="FFFFFF"/>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-594360</wp:posOffset>
            </wp:positionV>
            <wp:extent cx="1038225" cy="15957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38225" cy="159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0"/>
        <w:spacing w:after="0"/>
        <w:rPr>
          <w:sz w:val="20"/>
          <w:szCs w:val="20"/>
          <w:color w:val="auto"/>
        </w:rPr>
      </w:pPr>
      <w:r>
        <w:rPr>
          <w:rFonts w:ascii="Arial" w:cs="Arial" w:eastAsia="Arial" w:hAnsi="Arial"/>
          <w:sz w:val="11"/>
          <w:szCs w:val="11"/>
          <w:b w:val="1"/>
          <w:bCs w:val="1"/>
          <w:color w:val="FFFFFF"/>
        </w:rPr>
        <w:t>What we</w:t>
      </w:r>
    </w:p>
    <w:p>
      <w:pPr>
        <w:spacing w:after="0" w:line="5" w:lineRule="exact"/>
        <w:rPr>
          <w:sz w:val="20"/>
          <w:szCs w:val="20"/>
          <w:color w:val="auto"/>
        </w:rPr>
      </w:pPr>
    </w:p>
    <w:p>
      <w:pPr>
        <w:ind w:left="620"/>
        <w:spacing w:after="0"/>
        <w:rPr>
          <w:sz w:val="20"/>
          <w:szCs w:val="20"/>
          <w:color w:val="auto"/>
        </w:rPr>
      </w:pPr>
      <w:r>
        <w:rPr>
          <w:rFonts w:ascii="Arial" w:cs="Arial" w:eastAsia="Arial" w:hAnsi="Arial"/>
          <w:sz w:val="11"/>
          <w:szCs w:val="11"/>
          <w:b w:val="1"/>
          <w:bCs w:val="1"/>
          <w:color w:val="FFFFFF"/>
        </w:rPr>
        <w:t>don’t do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45" w:right="160" w:hanging="245"/>
        <w:spacing w:after="0" w:line="243" w:lineRule="auto"/>
        <w:tabs>
          <w:tab w:leader="none" w:pos="245" w:val="left"/>
        </w:tabs>
        <w:numPr>
          <w:ilvl w:val="0"/>
          <w:numId w:val="7"/>
        </w:numPr>
        <w:rPr>
          <w:rFonts w:ascii="MS PGothic" w:cs="MS PGothic" w:eastAsia="MS PGothic" w:hAnsi="MS PGothic"/>
          <w:sz w:val="18"/>
          <w:szCs w:val="18"/>
          <w:color w:val="auto"/>
          <w:shd w:val="clear" w:color="auto" w:fill="C00000"/>
        </w:rPr>
      </w:pPr>
      <w:r>
        <w:rPr>
          <w:rFonts w:ascii="Arial" w:cs="Arial" w:eastAsia="Arial" w:hAnsi="Arial"/>
          <w:sz w:val="16"/>
          <w:szCs w:val="16"/>
          <w:color w:val="auto"/>
        </w:rPr>
        <w:t>Link a substantial portion of total executive compensation to performance and require that threshold levels of performance be met in order for there to be any payout</w:t>
      </w:r>
    </w:p>
    <w:p>
      <w:pPr>
        <w:spacing w:after="0" w:line="34" w:lineRule="exact"/>
        <w:rPr>
          <w:rFonts w:ascii="MS PGothic" w:cs="MS PGothic" w:eastAsia="MS PGothic" w:hAnsi="MS PGothic"/>
          <w:sz w:val="18"/>
          <w:szCs w:val="18"/>
          <w:color w:val="auto"/>
          <w:shd w:val="clear" w:color="auto" w:fill="C00000"/>
        </w:rPr>
      </w:pPr>
    </w:p>
    <w:p>
      <w:pPr>
        <w:ind w:left="245" w:right="340" w:hanging="245"/>
        <w:spacing w:after="0" w:line="243" w:lineRule="auto"/>
        <w:tabs>
          <w:tab w:leader="none" w:pos="245" w:val="left"/>
        </w:tabs>
        <w:numPr>
          <w:ilvl w:val="0"/>
          <w:numId w:val="7"/>
        </w:numPr>
        <w:rPr>
          <w:rFonts w:ascii="MS PGothic" w:cs="MS PGothic" w:eastAsia="MS PGothic" w:hAnsi="MS PGothic"/>
          <w:sz w:val="18"/>
          <w:szCs w:val="18"/>
          <w:color w:val="auto"/>
          <w:shd w:val="clear" w:color="auto" w:fill="C00000"/>
        </w:rPr>
      </w:pPr>
      <w:r>
        <w:rPr>
          <w:rFonts w:ascii="Arial" w:cs="Arial" w:eastAsia="Arial" w:hAnsi="Arial"/>
          <w:sz w:val="16"/>
          <w:szCs w:val="16"/>
          <w:color w:val="auto"/>
        </w:rPr>
        <w:t>Utilize a mix of earnings, revenue and asset-based performance measures for our annual cash incentive awards and long-term performance share awards</w:t>
      </w:r>
    </w:p>
    <w:p>
      <w:pPr>
        <w:spacing w:after="0" w:line="34" w:lineRule="exact"/>
        <w:rPr>
          <w:rFonts w:ascii="MS PGothic" w:cs="MS PGothic" w:eastAsia="MS PGothic" w:hAnsi="MS PGothic"/>
          <w:sz w:val="18"/>
          <w:szCs w:val="18"/>
          <w:color w:val="auto"/>
          <w:shd w:val="clear" w:color="auto" w:fill="C00000"/>
        </w:rPr>
      </w:pPr>
    </w:p>
    <w:p>
      <w:pPr>
        <w:ind w:left="245" w:right="580" w:hanging="245"/>
        <w:spacing w:after="0" w:line="243" w:lineRule="auto"/>
        <w:tabs>
          <w:tab w:leader="none" w:pos="245" w:val="left"/>
        </w:tabs>
        <w:numPr>
          <w:ilvl w:val="0"/>
          <w:numId w:val="7"/>
        </w:numPr>
        <w:rPr>
          <w:rFonts w:ascii="MS PGothic" w:cs="MS PGothic" w:eastAsia="MS PGothic" w:hAnsi="MS PGothic"/>
          <w:sz w:val="18"/>
          <w:szCs w:val="18"/>
          <w:color w:val="auto"/>
          <w:shd w:val="clear" w:color="auto" w:fill="C00000"/>
        </w:rPr>
      </w:pPr>
      <w:r>
        <w:rPr>
          <w:rFonts w:ascii="Arial" w:cs="Arial" w:eastAsia="Arial" w:hAnsi="Arial"/>
          <w:sz w:val="16"/>
          <w:szCs w:val="16"/>
          <w:color w:val="auto"/>
        </w:rPr>
        <w:t>Utilize three-year performance share awards, the payouts of which vary based on performance and are contingent upon the achievement of three-year performance goals</w:t>
      </w:r>
    </w:p>
    <w:p>
      <w:pPr>
        <w:spacing w:after="0" w:line="1" w:lineRule="exact"/>
        <w:rPr>
          <w:rFonts w:ascii="MS PGothic" w:cs="MS PGothic" w:eastAsia="MS PGothic" w:hAnsi="MS PGothic"/>
          <w:sz w:val="18"/>
          <w:szCs w:val="18"/>
          <w:color w:val="auto"/>
          <w:shd w:val="clear" w:color="auto" w:fill="C00000"/>
        </w:rPr>
      </w:pPr>
    </w:p>
    <w:p>
      <w:pPr>
        <w:ind w:left="245" w:hanging="245"/>
        <w:spacing w:after="0" w:line="191" w:lineRule="auto"/>
        <w:tabs>
          <w:tab w:leader="none" w:pos="245" w:val="left"/>
        </w:tabs>
        <w:numPr>
          <w:ilvl w:val="0"/>
          <w:numId w:val="7"/>
        </w:numPr>
        <w:rPr>
          <w:rFonts w:ascii="MS PGothic" w:cs="MS PGothic" w:eastAsia="MS PGothic" w:hAnsi="MS PGothic"/>
          <w:sz w:val="35"/>
          <w:szCs w:val="35"/>
          <w:color w:val="auto"/>
          <w:vertAlign w:val="superscript"/>
          <w:shd w:val="clear" w:color="auto" w:fill="C00000"/>
        </w:rPr>
      </w:pPr>
      <w:r>
        <w:rPr>
          <w:rFonts w:ascii="Arial" w:cs="Arial" w:eastAsia="Arial" w:hAnsi="Arial"/>
          <w:sz w:val="16"/>
          <w:szCs w:val="16"/>
          <w:color w:val="auto"/>
        </w:rPr>
        <w:t>Utilize stock options, the value of which is contingent upon long-term stock price performance</w:t>
      </w:r>
    </w:p>
    <w:p>
      <w:pPr>
        <w:spacing w:after="0" w:line="87" w:lineRule="exact"/>
        <w:rPr>
          <w:rFonts w:ascii="MS PGothic" w:cs="MS PGothic" w:eastAsia="MS PGothic" w:hAnsi="MS PGothic"/>
          <w:sz w:val="35"/>
          <w:szCs w:val="35"/>
          <w:color w:val="auto"/>
          <w:vertAlign w:val="superscript"/>
          <w:shd w:val="clear" w:color="auto" w:fill="C00000"/>
        </w:rPr>
      </w:pPr>
    </w:p>
    <w:p>
      <w:pPr>
        <w:ind w:left="245" w:hanging="245"/>
        <w:spacing w:after="0" w:line="184" w:lineRule="auto"/>
        <w:tabs>
          <w:tab w:leader="none" w:pos="245" w:val="left"/>
        </w:tabs>
        <w:numPr>
          <w:ilvl w:val="0"/>
          <w:numId w:val="7"/>
        </w:numPr>
        <w:rPr>
          <w:rFonts w:ascii="MS PGothic" w:cs="MS PGothic" w:eastAsia="MS PGothic" w:hAnsi="MS PGothic"/>
          <w:sz w:val="25"/>
          <w:szCs w:val="25"/>
          <w:color w:val="auto"/>
          <w:vertAlign w:val="superscript"/>
          <w:shd w:val="clear" w:color="auto" w:fill="C00000"/>
        </w:rPr>
      </w:pPr>
      <w:r>
        <w:rPr>
          <w:rFonts w:ascii="Arial" w:cs="Arial" w:eastAsia="Arial" w:hAnsi="Arial"/>
          <w:sz w:val="13"/>
          <w:szCs w:val="13"/>
          <w:color w:val="auto"/>
        </w:rPr>
        <w:t>Maintain clawback policy and provisions</w:t>
      </w:r>
    </w:p>
    <w:p>
      <w:pPr>
        <w:spacing w:after="0" w:line="74" w:lineRule="exact"/>
        <w:rPr>
          <w:rFonts w:ascii="MS PGothic" w:cs="MS PGothic" w:eastAsia="MS PGothic" w:hAnsi="MS PGothic"/>
          <w:sz w:val="25"/>
          <w:szCs w:val="25"/>
          <w:color w:val="auto"/>
          <w:vertAlign w:val="superscript"/>
          <w:shd w:val="clear" w:color="auto" w:fill="C00000"/>
        </w:rPr>
      </w:pPr>
    </w:p>
    <w:p>
      <w:pPr>
        <w:ind w:left="245" w:right="5860"/>
        <w:spacing w:after="0" w:line="294" w:lineRule="auto"/>
        <w:rPr>
          <w:rFonts w:ascii="MS PGothic" w:cs="MS PGothic" w:eastAsia="MS PGothic" w:hAnsi="MS PGothic"/>
          <w:sz w:val="25"/>
          <w:szCs w:val="25"/>
          <w:color w:val="auto"/>
          <w:vertAlign w:val="superscript"/>
          <w:shd w:val="clear" w:color="auto" w:fill="C00000"/>
        </w:rPr>
      </w:pPr>
      <w:r>
        <w:rPr>
          <w:rFonts w:ascii="Arial" w:cs="Arial" w:eastAsia="Arial" w:hAnsi="Arial"/>
          <w:sz w:val="16"/>
          <w:szCs w:val="16"/>
          <w:color w:val="auto"/>
        </w:rPr>
        <w:t>No individual executive employment agreements No excessive perquisites</w:t>
      </w:r>
    </w:p>
    <w:p>
      <w:pPr>
        <w:spacing w:after="0" w:line="1" w:lineRule="exact"/>
        <w:rPr>
          <w:rFonts w:ascii="MS PGothic" w:cs="MS PGothic" w:eastAsia="MS PGothic" w:hAnsi="MS PGothic"/>
          <w:sz w:val="25"/>
          <w:szCs w:val="25"/>
          <w:color w:val="auto"/>
          <w:vertAlign w:val="superscript"/>
          <w:shd w:val="clear" w:color="auto" w:fill="C00000"/>
        </w:rPr>
      </w:pPr>
    </w:p>
    <w:p>
      <w:pPr>
        <w:ind w:left="245"/>
        <w:spacing w:after="0"/>
        <w:rPr>
          <w:rFonts w:ascii="MS PGothic" w:cs="MS PGothic" w:eastAsia="MS PGothic" w:hAnsi="MS PGothic"/>
          <w:sz w:val="25"/>
          <w:szCs w:val="25"/>
          <w:color w:val="auto"/>
          <w:vertAlign w:val="superscript"/>
          <w:shd w:val="clear" w:color="auto" w:fill="C00000"/>
        </w:rPr>
      </w:pPr>
      <w:r>
        <w:rPr>
          <w:rFonts w:ascii="Arial" w:cs="Arial" w:eastAsia="Arial" w:hAnsi="Arial"/>
          <w:sz w:val="16"/>
          <w:szCs w:val="16"/>
          <w:color w:val="auto"/>
        </w:rPr>
        <w:t>No gross-up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-455295</wp:posOffset>
            </wp:positionV>
            <wp:extent cx="609600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96000" cy="254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120" w:space="615"/>
            <w:col w:w="9525"/>
          </w:cols>
          <w:pgMar w:left="320" w:top="140" w:right="319" w:bottom="1440" w:gutter="0" w:footer="0" w:header="0"/>
          <w:type w:val="continuous"/>
        </w:sectPr>
      </w:pP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fiscal 2021 financial performance resulted in the following:</w:t>
      </w:r>
    </w:p>
    <w:p>
      <w:pPr>
        <w:spacing w:after="0" w:line="155" w:lineRule="exact"/>
        <w:rPr>
          <w:sz w:val="20"/>
          <w:szCs w:val="20"/>
          <w:color w:val="auto"/>
        </w:rPr>
      </w:pPr>
    </w:p>
    <w:tbl>
      <w:tblPr>
        <w:tblLayout w:type="fixed"/>
        <w:tblInd w:w="10" w:type="dxa"/>
        <w:tblCellMar>
          <w:top w:w="0" w:type="dxa"/>
          <w:left w:w="0" w:type="dxa"/>
          <w:bottom w:w="0" w:type="dxa"/>
          <w:right w:w="0" w:type="dxa"/>
        </w:tblCellMar>
      </w:tblPr>
      <w:tr>
        <w:trPr>
          <w:trHeight w:val="299"/>
        </w:trPr>
        <w:tc>
          <w:tcPr>
            <w:tcW w:w="9700" w:type="dxa"/>
            <w:vAlign w:val="bottom"/>
            <w:tcBorders>
              <w:top w:val="single" w:sz="8" w:color="auto"/>
              <w:left w:val="single" w:sz="8" w:color="auto"/>
              <w:bottom w:val="single" w:sz="8" w:color="auto"/>
            </w:tcBorders>
            <w:shd w:val="clear" w:color="auto" w:fill="D9D9D9"/>
          </w:tcPr>
          <w:p>
            <w:pPr>
              <w:ind w:left="60"/>
              <w:spacing w:after="0"/>
              <w:rPr>
                <w:sz w:val="20"/>
                <w:szCs w:val="20"/>
                <w:color w:val="auto"/>
              </w:rPr>
            </w:pPr>
            <w:r>
              <w:rPr>
                <w:rFonts w:ascii="Arial" w:cs="Arial" w:eastAsia="Arial" w:hAnsi="Arial"/>
                <w:sz w:val="18"/>
                <w:szCs w:val="18"/>
                <w:color w:val="auto"/>
              </w:rPr>
              <w:t>Annual cash incentives were paid at 167% of target.</w:t>
            </w:r>
          </w:p>
        </w:tc>
        <w:tc>
          <w:tcPr>
            <w:tcW w:w="1560" w:type="dxa"/>
            <w:vAlign w:val="bottom"/>
            <w:tcBorders>
              <w:top w:val="single" w:sz="8" w:color="auto"/>
              <w:bottom w:val="single" w:sz="8" w:color="auto"/>
              <w:right w:val="single" w:sz="8" w:color="auto"/>
            </w:tcBorders>
            <w:shd w:val="clear" w:color="auto" w:fill="D9D9D9"/>
          </w:tcPr>
          <w:p>
            <w:pPr>
              <w:ind w:left="860"/>
              <w:spacing w:after="0"/>
              <w:rPr>
                <w:sz w:val="20"/>
                <w:szCs w:val="20"/>
                <w:color w:val="auto"/>
              </w:rPr>
            </w:pPr>
            <w:r>
              <w:rPr>
                <w:rFonts w:ascii="Arial" w:cs="Arial" w:eastAsia="Arial" w:hAnsi="Arial"/>
                <w:sz w:val="18"/>
                <w:szCs w:val="18"/>
                <w:color w:val="auto"/>
                <w:w w:val="98"/>
              </w:rPr>
              <w:t>Page 45</w:t>
            </w:r>
          </w:p>
        </w:tc>
      </w:tr>
      <w:tr>
        <w:trPr>
          <w:trHeight w:val="80"/>
        </w:trPr>
        <w:tc>
          <w:tcPr>
            <w:tcW w:w="970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r>
      <w:tr>
        <w:trPr>
          <w:trHeight w:val="259"/>
        </w:trPr>
        <w:tc>
          <w:tcPr>
            <w:tcW w:w="9700" w:type="dxa"/>
            <w:vAlign w:val="bottom"/>
            <w:tcBorders>
              <w:left w:val="single" w:sz="8" w:color="auto"/>
              <w:bottom w:val="single" w:sz="8" w:color="auto"/>
            </w:tcBorders>
            <w:shd w:val="clear" w:color="auto" w:fill="D9D9D9"/>
          </w:tcPr>
          <w:p>
            <w:pPr>
              <w:ind w:left="20"/>
              <w:spacing w:after="0"/>
              <w:rPr>
                <w:sz w:val="20"/>
                <w:szCs w:val="20"/>
                <w:color w:val="auto"/>
              </w:rPr>
            </w:pPr>
            <w:r>
              <w:rPr>
                <w:rFonts w:ascii="Arial" w:cs="Arial" w:eastAsia="Arial" w:hAnsi="Arial"/>
                <w:sz w:val="18"/>
                <w:szCs w:val="18"/>
                <w:color w:val="auto"/>
              </w:rPr>
              <w:t>Three-year performance awards for the fiscal 2019 to fiscal 2021 performance period were paid at 74% of target.</w:t>
            </w:r>
          </w:p>
        </w:tc>
        <w:tc>
          <w:tcPr>
            <w:tcW w:w="1560" w:type="dxa"/>
            <w:vAlign w:val="bottom"/>
            <w:tcBorders>
              <w:bottom w:val="single" w:sz="8" w:color="auto"/>
              <w:right w:val="single" w:sz="8" w:color="auto"/>
            </w:tcBorders>
            <w:shd w:val="clear" w:color="auto" w:fill="D9D9D9"/>
          </w:tcPr>
          <w:p>
            <w:pPr>
              <w:ind w:left="860"/>
              <w:spacing w:after="0"/>
              <w:rPr>
                <w:sz w:val="20"/>
                <w:szCs w:val="20"/>
                <w:color w:val="auto"/>
              </w:rPr>
            </w:pPr>
            <w:r>
              <w:rPr>
                <w:rFonts w:ascii="Arial" w:cs="Arial" w:eastAsia="Arial" w:hAnsi="Arial"/>
                <w:sz w:val="18"/>
                <w:szCs w:val="18"/>
                <w:color w:val="auto"/>
                <w:w w:val="98"/>
              </w:rPr>
              <w:t>Page 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C00000"/>
        </w:rPr>
        <w:t>THE TORO COMPANY</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8111 Lyndale Avenue South</w:t>
      </w:r>
    </w:p>
    <w:p>
      <w:pPr>
        <w:jc w:val="center"/>
        <w:ind w:right="20"/>
        <w:spacing w:after="0"/>
        <w:rPr>
          <w:sz w:val="20"/>
          <w:szCs w:val="20"/>
          <w:color w:val="auto"/>
        </w:rPr>
      </w:pPr>
      <w:r>
        <w:rPr>
          <w:rFonts w:ascii="Arial" w:cs="Arial" w:eastAsia="Arial" w:hAnsi="Arial"/>
          <w:sz w:val="18"/>
          <w:szCs w:val="18"/>
          <w:color w:val="auto"/>
        </w:rPr>
        <w:t>Bloomington, Minnesota 55420-1196</w:t>
      </w:r>
    </w:p>
    <w:p>
      <w:pPr>
        <w:spacing w:after="0" w:line="124"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C00000"/>
        </w:rPr>
        <w:t>PROXY STATEMENT</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2022 ANNUAL MEETING OF SHAREHOLDERS</w:t>
      </w:r>
    </w:p>
    <w:p>
      <w:pPr>
        <w:jc w:val="center"/>
        <w:ind w:right="20"/>
        <w:spacing w:after="0" w:line="231" w:lineRule="auto"/>
        <w:rPr>
          <w:sz w:val="20"/>
          <w:szCs w:val="20"/>
          <w:color w:val="auto"/>
        </w:rPr>
      </w:pPr>
      <w:r>
        <w:rPr>
          <w:rFonts w:ascii="Arial" w:cs="Arial" w:eastAsia="Arial" w:hAnsi="Arial"/>
          <w:sz w:val="18"/>
          <w:szCs w:val="18"/>
          <w:color w:val="auto"/>
        </w:rPr>
        <w:t>TUESDAY, MARCH 15, 2022</w:t>
      </w:r>
    </w:p>
    <w:p>
      <w:pPr>
        <w:jc w:val="center"/>
        <w:ind w:right="20"/>
        <w:spacing w:after="0"/>
        <w:rPr>
          <w:sz w:val="20"/>
          <w:szCs w:val="20"/>
          <w:color w:val="auto"/>
        </w:rPr>
      </w:pPr>
      <w:r>
        <w:rPr>
          <w:rFonts w:ascii="Arial" w:cs="Arial" w:eastAsia="Arial" w:hAnsi="Arial"/>
          <w:sz w:val="18"/>
          <w:szCs w:val="18"/>
          <w:color w:val="auto"/>
        </w:rPr>
        <w:t>1:30 p.m. Central Daylight Time</w:t>
      </w:r>
    </w:p>
    <w:p>
      <w:pPr>
        <w:spacing w:after="0" w:line="165" w:lineRule="exact"/>
        <w:rPr>
          <w:sz w:val="20"/>
          <w:szCs w:val="20"/>
          <w:color w:val="auto"/>
        </w:rPr>
      </w:pPr>
    </w:p>
    <w:p>
      <w:pPr>
        <w:ind w:right="40" w:firstLine="401"/>
        <w:spacing w:after="0" w:line="235" w:lineRule="auto"/>
        <w:rPr>
          <w:sz w:val="20"/>
          <w:szCs w:val="20"/>
          <w:color w:val="auto"/>
        </w:rPr>
      </w:pPr>
      <w:r>
        <w:rPr>
          <w:rFonts w:ascii="Arial" w:cs="Arial" w:eastAsia="Arial" w:hAnsi="Arial"/>
          <w:sz w:val="18"/>
          <w:szCs w:val="18"/>
          <w:color w:val="auto"/>
        </w:rPr>
        <w:t>The Toro Company Board of Directors is using this proxy statement to solicit your proxy for use at The Toro Company 2022 Annual Meeting of Shareholders. We intend to send a Notice Regarding the Availability of Proxy Materials for the annual meeting and make proxy materials available to shareholders (or for certain shareholders and for those who request, a paper copy of this proxy statement and the form of proxy) on or about February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134225" cy="1943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194310"/>
                    </a:xfrm>
                    <a:prstGeom prst="rect">
                      <a:avLst/>
                    </a:prstGeom>
                    <a:noFill/>
                  </pic:spPr>
                </pic:pic>
              </a:graphicData>
            </a:graphic>
          </wp:anchor>
        </w:drawing>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FFFFFF"/>
        </w:rPr>
        <w:t>GENERAL INFORMATION ABOUT THE 2022 ANNUAL MEETING AND VOTING</w:t>
      </w:r>
    </w:p>
    <w:p>
      <w:pPr>
        <w:spacing w:after="0" w:line="242"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b w:val="1"/>
          <w:bCs w:val="1"/>
          <w:color w:val="C00000"/>
        </w:rPr>
        <w:t>Important Notice Regarding the Availability of Proxy Materials for the Shareholder Meeting To Be Held on Tuesday, March 15, 2022.</w:t>
      </w:r>
    </w:p>
    <w:p>
      <w:pPr>
        <w:spacing w:after="0" w:line="54" w:lineRule="exact"/>
        <w:rPr>
          <w:sz w:val="20"/>
          <w:szCs w:val="20"/>
          <w:color w:val="auto"/>
        </w:rPr>
      </w:pPr>
    </w:p>
    <w:p>
      <w:pPr>
        <w:ind w:right="140" w:firstLine="401"/>
        <w:spacing w:after="0" w:line="238" w:lineRule="auto"/>
        <w:rPr>
          <w:sz w:val="20"/>
          <w:szCs w:val="20"/>
          <w:color w:val="auto"/>
        </w:rPr>
      </w:pPr>
      <w:r>
        <w:rPr>
          <w:rFonts w:ascii="Arial" w:cs="Arial" w:eastAsia="Arial" w:hAnsi="Arial"/>
          <w:sz w:val="18"/>
          <w:szCs w:val="18"/>
          <w:color w:val="auto"/>
        </w:rPr>
        <w:t>This proxy statement and our 2021 Annual Report, which includes our Annual Report on Form 10-K for the fiscal year ended October 31, 2021, or fiscal 2021, are available at www.thetorocompany.com/proxy.</w:t>
      </w:r>
    </w:p>
    <w:p>
      <w:pPr>
        <w:spacing w:after="0" w:line="95" w:lineRule="exact"/>
        <w:rPr>
          <w:sz w:val="20"/>
          <w:szCs w:val="20"/>
          <w:color w:val="auto"/>
        </w:rPr>
      </w:pPr>
    </w:p>
    <w:p>
      <w:pPr>
        <w:ind w:right="200" w:firstLine="401"/>
        <w:spacing w:after="0" w:line="233" w:lineRule="auto"/>
        <w:rPr>
          <w:sz w:val="20"/>
          <w:szCs w:val="20"/>
          <w:color w:val="auto"/>
        </w:rPr>
      </w:pPr>
      <w:r>
        <w:rPr>
          <w:rFonts w:ascii="Arial" w:cs="Arial" w:eastAsia="Arial" w:hAnsi="Arial"/>
          <w:sz w:val="18"/>
          <w:szCs w:val="18"/>
          <w:color w:val="auto"/>
        </w:rPr>
        <w:t>Pursuant to rules adopted by the SEC, we have elected to provide access to our proxy materials over the Internet. Accordingly, we are sending a Notice Regarding the Availability of Proxy Materials to some of our shareholders. Shareholders have the ability to access our proxy materials on the website referred to in the Notice Regarding the Availability of Proxy Materials (www.proxyvote.com) or request to receive a printed set of our proxy materials. Instructions on how to access our proxy materials over the Internet or request a printed copy of our proxy materials may be found in the Notice Regarding the Availability of Proxy Materials. In addition, shareholders may request to receive proxy materials in printed form by mail or electronically by e-mail on an ongoing basis.</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When and Where Will the Annual Meeting Be Held?</w:t>
      </w:r>
    </w:p>
    <w:p>
      <w:pPr>
        <w:spacing w:after="0" w:line="127" w:lineRule="exact"/>
        <w:rPr>
          <w:sz w:val="20"/>
          <w:szCs w:val="20"/>
          <w:color w:val="auto"/>
        </w:rPr>
      </w:pPr>
    </w:p>
    <w:p>
      <w:pPr>
        <w:ind w:right="40" w:firstLine="401"/>
        <w:spacing w:after="0" w:line="235" w:lineRule="auto"/>
        <w:rPr>
          <w:sz w:val="20"/>
          <w:szCs w:val="20"/>
          <w:color w:val="auto"/>
        </w:rPr>
      </w:pPr>
      <w:r>
        <w:rPr>
          <w:rFonts w:ascii="Arial" w:cs="Arial" w:eastAsia="Arial" w:hAnsi="Arial"/>
          <w:sz w:val="18"/>
          <w:szCs w:val="18"/>
          <w:color w:val="auto"/>
        </w:rPr>
        <w:t>The annual meeting will be held virtually, on Tuesday, March 15, 2022 at 1:30 p.m. Central Daylight Time, at www.virtualshareholdermeeting.com/TTC2022. The Board believes that holding the annual meeting of shareholders in a virtual format provides the opportunity for participation by a broader group of shareholders, while reducing the costs and environmental impact associated with planning, holding and arranging logistics for an in-person meeting.</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How Can I Attend the Virtual Annual Meeting?</w:t>
      </w:r>
    </w:p>
    <w:p>
      <w:pPr>
        <w:spacing w:after="0" w:line="127" w:lineRule="exact"/>
        <w:rPr>
          <w:sz w:val="20"/>
          <w:szCs w:val="20"/>
          <w:color w:val="auto"/>
        </w:rPr>
      </w:pPr>
    </w:p>
    <w:p>
      <w:pPr>
        <w:ind w:right="40" w:firstLine="401"/>
        <w:spacing w:after="0" w:line="233" w:lineRule="auto"/>
        <w:rPr>
          <w:sz w:val="20"/>
          <w:szCs w:val="20"/>
          <w:color w:val="auto"/>
        </w:rPr>
      </w:pPr>
      <w:r>
        <w:rPr>
          <w:rFonts w:ascii="Arial" w:cs="Arial" w:eastAsia="Arial" w:hAnsi="Arial"/>
          <w:sz w:val="18"/>
          <w:szCs w:val="18"/>
          <w:color w:val="auto"/>
        </w:rPr>
        <w:t>Shareholders at the close of business on the record date may attend the annual meeting by visiting www.virtualshareholdermeeting.com/TTC2022 and logging in with the 16-digit control number included on your proxy card, voting instruction form or Notice Regarding the Availability of Proxy Materials. On the day of our annual meeting, we recommend that you log into our virtual meeting at least 15 minutes before the scheduled start time to ensure that you can access the meeting. If you have any questions about accessing the virtual meeting website for the annual meeting, please contact Broadridge VSM support at 844-986-0822 (International: 303-562-9302). If you encounter any technical difficulties with the virtual meeting during the log in or meeting time, please call the technical support number that will be posted on the virtual meeting log in page. Rules governing the conduct of the annual meeting will be posted on the virtual meeting platform along with an agenda.</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What Are the Purposes of the Annual Meeting?</w:t>
      </w:r>
    </w:p>
    <w:p>
      <w:pPr>
        <w:spacing w:after="0" w:line="12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purposes of the 2022 Annual Meeting of Shareholders are to vote on the following items described in this proxy statement: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40" w:type="dxa"/>
            <w:vAlign w:val="bottom"/>
            <w:shd w:val="clear" w:color="auto" w:fill="D9D9D9"/>
          </w:tcPr>
          <w:p>
            <w:pPr>
              <w:spacing w:after="0"/>
              <w:rPr>
                <w:sz w:val="20"/>
                <w:szCs w:val="20"/>
                <w:color w:val="auto"/>
              </w:rPr>
            </w:pPr>
            <w:r>
              <w:rPr>
                <w:rFonts w:ascii="Arial" w:cs="Arial" w:eastAsia="Arial" w:hAnsi="Arial"/>
                <w:sz w:val="18"/>
                <w:szCs w:val="18"/>
                <w:color w:val="auto"/>
              </w:rPr>
              <w:t>Proposal One</w:t>
            </w:r>
          </w:p>
        </w:tc>
        <w:tc>
          <w:tcPr>
            <w:tcW w:w="9500" w:type="dxa"/>
            <w:vAlign w:val="bottom"/>
            <w:shd w:val="clear" w:color="auto" w:fill="D9D9D9"/>
          </w:tcPr>
          <w:p>
            <w:pPr>
              <w:ind w:left="520"/>
              <w:spacing w:after="0"/>
              <w:rPr>
                <w:sz w:val="20"/>
                <w:szCs w:val="20"/>
                <w:color w:val="auto"/>
              </w:rPr>
            </w:pPr>
            <w:r>
              <w:rPr>
                <w:rFonts w:ascii="Arial" w:cs="Arial" w:eastAsia="Arial" w:hAnsi="Arial"/>
                <w:sz w:val="18"/>
                <w:szCs w:val="18"/>
                <w:color w:val="auto"/>
              </w:rPr>
              <w:t>Election of Directors</w:t>
            </w:r>
          </w:p>
        </w:tc>
        <w:tc>
          <w:tcPr>
            <w:tcW w:w="20" w:type="dxa"/>
            <w:vAlign w:val="bottom"/>
          </w:tcPr>
          <w:p>
            <w:pPr>
              <w:spacing w:after="0"/>
              <w:rPr>
                <w:sz w:val="21"/>
                <w:szCs w:val="21"/>
                <w:color w:val="auto"/>
              </w:rPr>
            </w:pPr>
          </w:p>
        </w:tc>
      </w:tr>
      <w:tr>
        <w:trPr>
          <w:trHeight w:val="252"/>
        </w:trPr>
        <w:tc>
          <w:tcPr>
            <w:tcW w:w="1740" w:type="dxa"/>
            <w:vAlign w:val="bottom"/>
          </w:tcPr>
          <w:p>
            <w:pPr>
              <w:spacing w:after="0"/>
              <w:rPr>
                <w:sz w:val="20"/>
                <w:szCs w:val="20"/>
                <w:color w:val="auto"/>
              </w:rPr>
            </w:pPr>
            <w:r>
              <w:rPr>
                <w:rFonts w:ascii="Arial" w:cs="Arial" w:eastAsia="Arial" w:hAnsi="Arial"/>
                <w:sz w:val="18"/>
                <w:szCs w:val="18"/>
                <w:color w:val="auto"/>
              </w:rPr>
              <w:t>Proposal Two</w:t>
            </w:r>
          </w:p>
        </w:tc>
        <w:tc>
          <w:tcPr>
            <w:tcW w:w="9500" w:type="dxa"/>
            <w:vAlign w:val="bottom"/>
          </w:tcPr>
          <w:p>
            <w:pPr>
              <w:ind w:left="520"/>
              <w:spacing w:after="0"/>
              <w:rPr>
                <w:sz w:val="20"/>
                <w:szCs w:val="20"/>
                <w:color w:val="auto"/>
              </w:rPr>
            </w:pPr>
            <w:r>
              <w:rPr>
                <w:rFonts w:ascii="Arial" w:cs="Arial" w:eastAsia="Arial" w:hAnsi="Arial"/>
                <w:sz w:val="18"/>
                <w:szCs w:val="18"/>
                <w:color w:val="auto"/>
              </w:rPr>
              <w:t>Ratification of Selection of Independent Registered Public Accounting Firm</w:t>
            </w:r>
          </w:p>
        </w:tc>
        <w:tc>
          <w:tcPr>
            <w:tcW w:w="20" w:type="dxa"/>
            <w:vAlign w:val="bottom"/>
          </w:tcPr>
          <w:p>
            <w:pPr>
              <w:spacing w:after="0"/>
              <w:rPr>
                <w:sz w:val="21"/>
                <w:szCs w:val="21"/>
                <w:color w:val="auto"/>
              </w:rPr>
            </w:pPr>
          </w:p>
        </w:tc>
      </w:tr>
      <w:tr>
        <w:trPr>
          <w:trHeight w:val="253"/>
        </w:trPr>
        <w:tc>
          <w:tcPr>
            <w:tcW w:w="1740" w:type="dxa"/>
            <w:vAlign w:val="bottom"/>
            <w:shd w:val="clear" w:color="auto" w:fill="D9D9D9"/>
          </w:tcPr>
          <w:p>
            <w:pPr>
              <w:spacing w:after="0"/>
              <w:rPr>
                <w:sz w:val="20"/>
                <w:szCs w:val="20"/>
                <w:color w:val="auto"/>
              </w:rPr>
            </w:pPr>
            <w:r>
              <w:rPr>
                <w:rFonts w:ascii="Arial" w:cs="Arial" w:eastAsia="Arial" w:hAnsi="Arial"/>
                <w:sz w:val="18"/>
                <w:szCs w:val="18"/>
                <w:color w:val="auto"/>
              </w:rPr>
              <w:t>Proposal Three</w:t>
            </w:r>
          </w:p>
        </w:tc>
        <w:tc>
          <w:tcPr>
            <w:tcW w:w="9500" w:type="dxa"/>
            <w:vAlign w:val="bottom"/>
            <w:shd w:val="clear" w:color="auto" w:fill="D9D9D9"/>
          </w:tcPr>
          <w:p>
            <w:pPr>
              <w:ind w:left="520"/>
              <w:spacing w:after="0"/>
              <w:rPr>
                <w:sz w:val="20"/>
                <w:szCs w:val="20"/>
                <w:color w:val="auto"/>
              </w:rPr>
            </w:pPr>
            <w:r>
              <w:rPr>
                <w:rFonts w:ascii="Arial" w:cs="Arial" w:eastAsia="Arial" w:hAnsi="Arial"/>
                <w:sz w:val="18"/>
                <w:szCs w:val="18"/>
                <w:color w:val="auto"/>
              </w:rPr>
              <w:t>Advisory Approval of our Executive Compensation</w:t>
            </w:r>
          </w:p>
        </w:tc>
        <w:tc>
          <w:tcPr>
            <w:tcW w:w="20" w:type="dxa"/>
            <w:vAlign w:val="bottom"/>
          </w:tcPr>
          <w:p>
            <w:pPr>
              <w:spacing w:after="0"/>
              <w:rPr>
                <w:sz w:val="22"/>
                <w:szCs w:val="22"/>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18"/>
                <w:szCs w:val="18"/>
                <w:color w:val="auto"/>
              </w:rPr>
              <w:t>Proposal Four</w:t>
            </w:r>
          </w:p>
        </w:tc>
        <w:tc>
          <w:tcPr>
            <w:tcW w:w="9500" w:type="dxa"/>
            <w:vAlign w:val="bottom"/>
          </w:tcPr>
          <w:p>
            <w:pPr>
              <w:ind w:left="520"/>
              <w:spacing w:after="0"/>
              <w:rPr>
                <w:sz w:val="20"/>
                <w:szCs w:val="20"/>
                <w:color w:val="auto"/>
              </w:rPr>
            </w:pPr>
            <w:r>
              <w:rPr>
                <w:rFonts w:ascii="Arial" w:cs="Arial" w:eastAsia="Arial" w:hAnsi="Arial"/>
                <w:sz w:val="18"/>
                <w:szCs w:val="18"/>
                <w:color w:val="auto"/>
              </w:rPr>
              <w:t>Approval of The Toro Company 2022 Equity and Incentive Plan</w:t>
            </w:r>
          </w:p>
        </w:tc>
        <w:tc>
          <w:tcPr>
            <w:tcW w:w="20" w:type="dxa"/>
            <w:vAlign w:val="bottom"/>
          </w:tcPr>
          <w:p>
            <w:pPr>
              <w:spacing w:after="0"/>
              <w:rPr>
                <w:sz w:val="20"/>
                <w:szCs w:val="20"/>
                <w:color w:val="auto"/>
              </w:rPr>
            </w:pPr>
          </w:p>
        </w:tc>
      </w:tr>
      <w:tr>
        <w:trPr>
          <w:trHeight w:val="439"/>
        </w:trPr>
        <w:tc>
          <w:tcPr>
            <w:tcW w:w="1740" w:type="dxa"/>
            <w:vAlign w:val="bottom"/>
          </w:tcPr>
          <w:p>
            <w:pPr>
              <w:spacing w:after="0"/>
              <w:rPr>
                <w:sz w:val="24"/>
                <w:szCs w:val="24"/>
                <w:color w:val="auto"/>
              </w:rPr>
            </w:pPr>
          </w:p>
        </w:tc>
        <w:tc>
          <w:tcPr>
            <w:tcW w:w="9500" w:type="dxa"/>
            <w:vAlign w:val="bottom"/>
          </w:tcPr>
          <w:p>
            <w:pPr>
              <w:ind w:left="38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r>
      <w:tr>
        <w:trPr>
          <w:trHeight w:val="101"/>
        </w:trPr>
        <w:tc>
          <w:tcPr>
            <w:tcW w:w="1740" w:type="dxa"/>
            <w:vAlign w:val="bottom"/>
            <w:tcBorders>
              <w:bottom w:val="single" w:sz="8" w:color="9A9A9A"/>
            </w:tcBorders>
          </w:tcPr>
          <w:p>
            <w:pPr>
              <w:spacing w:after="0"/>
              <w:rPr>
                <w:sz w:val="8"/>
                <w:szCs w:val="8"/>
                <w:color w:val="auto"/>
              </w:rPr>
            </w:pPr>
          </w:p>
        </w:tc>
        <w:tc>
          <w:tcPr>
            <w:tcW w:w="95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Are There Any Matters To Be Voted On at the Annual Meeting that Are Not Included in this Proxy Statement?</w:t>
      </w:r>
    </w:p>
    <w:p>
      <w:pPr>
        <w:spacing w:after="0" w:line="127" w:lineRule="exact"/>
        <w:rPr>
          <w:sz w:val="20"/>
          <w:szCs w:val="20"/>
          <w:color w:val="auto"/>
        </w:rPr>
      </w:pPr>
    </w:p>
    <w:p>
      <w:pPr>
        <w:ind w:firstLine="401"/>
        <w:spacing w:after="0" w:line="235" w:lineRule="auto"/>
        <w:rPr>
          <w:sz w:val="20"/>
          <w:szCs w:val="20"/>
          <w:color w:val="auto"/>
        </w:rPr>
      </w:pPr>
      <w:r>
        <w:rPr>
          <w:rFonts w:ascii="Arial" w:cs="Arial" w:eastAsia="Arial" w:hAnsi="Arial"/>
          <w:sz w:val="18"/>
          <w:szCs w:val="18"/>
          <w:color w:val="auto"/>
        </w:rPr>
        <w:t>We currently are not aware of any business to be acted upon at the annual meeting other than as described in this proxy statement. If, however, other matters are properly brought before the annual meeting, or any adjournment or postponement of the annual meeting, your proxy includes discretionary authority on the part of the individuals appointed to vote your shares or act on those matters according to their best judgment.</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Who Is Entitled to Vote and How Many Shares Must Be Present to Hold the Annual Meeting?</w:t>
      </w:r>
    </w:p>
    <w:p>
      <w:pPr>
        <w:spacing w:after="0" w:line="127" w:lineRule="exact"/>
        <w:rPr>
          <w:sz w:val="20"/>
          <w:szCs w:val="20"/>
          <w:color w:val="auto"/>
        </w:rPr>
      </w:pPr>
    </w:p>
    <w:p>
      <w:pPr>
        <w:ind w:right="60" w:firstLine="401"/>
        <w:spacing w:after="0" w:line="235" w:lineRule="auto"/>
        <w:rPr>
          <w:sz w:val="20"/>
          <w:szCs w:val="20"/>
          <w:color w:val="auto"/>
        </w:rPr>
      </w:pPr>
      <w:r>
        <w:rPr>
          <w:rFonts w:ascii="Arial" w:cs="Arial" w:eastAsia="Arial" w:hAnsi="Arial"/>
          <w:sz w:val="18"/>
          <w:szCs w:val="18"/>
          <w:color w:val="auto"/>
        </w:rPr>
        <w:t>Shareholders of record at the close of business on January 18, 2022, the record date, will be entitled to vote at the annual meeting or any adjournment or postponement of the annual meeting. As of January 18, 2022, there were 104,908,637 outstanding shares of our common stock. Each share of our common stock is entitled to one vote on each matter to be voted on at the annual meeting. Shares of our common stock that are held by us in our treasury are not counted as outstanding shares and will not be voted.</w:t>
      </w:r>
    </w:p>
    <w:p>
      <w:pPr>
        <w:spacing w:after="0" w:line="93" w:lineRule="exact"/>
        <w:rPr>
          <w:sz w:val="20"/>
          <w:szCs w:val="20"/>
          <w:color w:val="auto"/>
        </w:rPr>
      </w:pPr>
    </w:p>
    <w:p>
      <w:pPr>
        <w:ind w:right="180" w:firstLine="401"/>
        <w:spacing w:after="0" w:line="235" w:lineRule="auto"/>
        <w:rPr>
          <w:sz w:val="20"/>
          <w:szCs w:val="20"/>
          <w:color w:val="auto"/>
        </w:rPr>
      </w:pPr>
      <w:r>
        <w:rPr>
          <w:rFonts w:ascii="Arial" w:cs="Arial" w:eastAsia="Arial" w:hAnsi="Arial"/>
          <w:sz w:val="18"/>
          <w:szCs w:val="18"/>
          <w:color w:val="auto"/>
        </w:rPr>
        <w:t>Shareholders entitled to vote at least a majority of the outstanding shares of our common stock as of the record date must be present at the virtual annual meeting or by proxy in order for us to have a quorum for the transaction of business at the annual meeting. Your shares will be counted toward the quorum if you submit a proxy or vote at the annual meeting. Shares represented by proxies marked “abstain” and “broker non-votes” also are counted in determining whether a quorum is present.</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How Do I Vote My Shares?</w:t>
      </w:r>
    </w:p>
    <w:p>
      <w:pPr>
        <w:spacing w:after="0" w:line="12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If your shares are registered in your name, you may vote your shares by one of the five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71755</wp:posOffset>
            </wp:positionV>
            <wp:extent cx="7134225" cy="388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38862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p>
      <w:pPr>
        <w:spacing w:after="0" w:line="328" w:lineRule="exact"/>
        <w:rPr>
          <w:sz w:val="20"/>
          <w:szCs w:val="20"/>
          <w:color w:val="auto"/>
        </w:rPr>
      </w:pPr>
    </w:p>
    <w:p>
      <w:pPr>
        <w:ind w:left="60"/>
        <w:spacing w:after="0"/>
        <w:rPr>
          <w:sz w:val="20"/>
          <w:szCs w:val="20"/>
          <w:color w:val="auto"/>
        </w:rPr>
      </w:pPr>
      <w:r>
        <w:rPr>
          <w:rFonts w:ascii="Arial" w:cs="Arial" w:eastAsia="Arial" w:hAnsi="Arial"/>
          <w:sz w:val="16"/>
          <w:szCs w:val="16"/>
          <w:color w:val="auto"/>
        </w:rPr>
        <w:t>Vote by Internet</w:t>
      </w:r>
    </w:p>
    <w:p>
      <w:pPr>
        <w:spacing w:after="0" w:line="3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Vote by Telephone</w:t>
      </w:r>
    </w:p>
    <w:p>
      <w:pPr>
        <w:spacing w:after="0" w:line="3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Vote by Mail</w:t>
      </w:r>
    </w:p>
    <w:p>
      <w:pPr>
        <w:spacing w:after="0" w:line="361" w:lineRule="exact"/>
        <w:rPr>
          <w:sz w:val="20"/>
          <w:szCs w:val="20"/>
          <w:color w:val="auto"/>
        </w:rPr>
      </w:pPr>
    </w:p>
    <w:p>
      <w:pPr>
        <w:ind w:left="60"/>
        <w:spacing w:after="0"/>
        <w:rPr>
          <w:sz w:val="20"/>
          <w:szCs w:val="20"/>
          <w:color w:val="auto"/>
        </w:rPr>
      </w:pPr>
      <w:r>
        <w:rPr>
          <w:rFonts w:ascii="Arial" w:cs="Arial" w:eastAsia="Arial" w:hAnsi="Arial"/>
          <w:sz w:val="16"/>
          <w:szCs w:val="16"/>
          <w:color w:val="auto"/>
        </w:rPr>
        <w:t>Vote by Mobile Device</w:t>
      </w:r>
    </w:p>
    <w:p>
      <w:pPr>
        <w:spacing w:after="0" w:line="200" w:lineRule="exact"/>
        <w:rPr>
          <w:sz w:val="20"/>
          <w:szCs w:val="20"/>
          <w:color w:val="auto"/>
        </w:rPr>
      </w:pPr>
    </w:p>
    <w:p>
      <w:pPr>
        <w:spacing w:after="0" w:line="347" w:lineRule="exact"/>
        <w:rPr>
          <w:sz w:val="20"/>
          <w:szCs w:val="20"/>
          <w:color w:val="auto"/>
        </w:rPr>
      </w:pPr>
    </w:p>
    <w:p>
      <w:pPr>
        <w:ind w:left="60"/>
        <w:spacing w:after="0"/>
        <w:rPr>
          <w:sz w:val="20"/>
          <w:szCs w:val="20"/>
          <w:color w:val="auto"/>
        </w:rPr>
      </w:pPr>
      <w:r>
        <w:rPr>
          <w:rFonts w:ascii="Arial" w:cs="Arial" w:eastAsia="Arial" w:hAnsi="Arial"/>
          <w:sz w:val="15"/>
          <w:szCs w:val="15"/>
          <w:color w:val="auto"/>
        </w:rPr>
        <w:t>Vote at the Virtual Meeting</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right="1860"/>
        <w:spacing w:after="0" w:line="253" w:lineRule="auto"/>
        <w:rPr>
          <w:sz w:val="20"/>
          <w:szCs w:val="20"/>
          <w:color w:val="auto"/>
        </w:rPr>
      </w:pPr>
      <w:r>
        <w:rPr>
          <w:rFonts w:ascii="Arial" w:cs="Arial" w:eastAsia="Arial" w:hAnsi="Arial"/>
          <w:sz w:val="16"/>
          <w:szCs w:val="16"/>
          <w:color w:val="auto"/>
        </w:rPr>
        <w:t>Go to www.proxyvote.com and follow the instructions for Internet voting shown on your Notice Regarding the Availability of Proxy Materials or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64770</wp:posOffset>
            </wp:positionV>
            <wp:extent cx="186055" cy="2787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6055" cy="278765"/>
                    </a:xfrm>
                    <a:prstGeom prst="rect">
                      <a:avLst/>
                    </a:prstGeom>
                    <a:noFill/>
                  </pic:spPr>
                </pic:pic>
              </a:graphicData>
            </a:graphic>
          </wp:anchor>
        </w:drawing>
      </w:r>
    </w:p>
    <w:p>
      <w:pPr>
        <w:spacing w:after="0" w:line="111" w:lineRule="exact"/>
        <w:rPr>
          <w:sz w:val="20"/>
          <w:szCs w:val="20"/>
          <w:color w:val="auto"/>
        </w:rPr>
      </w:pPr>
    </w:p>
    <w:p>
      <w:pPr>
        <w:ind w:right="1900"/>
        <w:spacing w:after="0" w:line="253" w:lineRule="auto"/>
        <w:rPr>
          <w:sz w:val="20"/>
          <w:szCs w:val="20"/>
          <w:color w:val="auto"/>
        </w:rPr>
      </w:pPr>
      <w:r>
        <w:rPr>
          <w:rFonts w:ascii="Arial" w:cs="Arial" w:eastAsia="Arial" w:hAnsi="Arial"/>
          <w:sz w:val="16"/>
          <w:szCs w:val="16"/>
          <w:color w:val="auto"/>
        </w:rPr>
        <w:t>Call 800-690-6903 and follow the instructions for telephone voting shown on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-2281555</wp:posOffset>
            </wp:positionH>
            <wp:positionV relativeFrom="paragraph">
              <wp:posOffset>13970</wp:posOffset>
            </wp:positionV>
            <wp:extent cx="7134225" cy="6921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692150"/>
                    </a:xfrm>
                    <a:prstGeom prst="rect">
                      <a:avLst/>
                    </a:prstGeom>
                    <a:noFill/>
                  </pic:spPr>
                </pic:pic>
              </a:graphicData>
            </a:graphic>
          </wp:anchor>
        </w:drawing>
      </w:r>
    </w:p>
    <w:p>
      <w:pPr>
        <w:spacing w:after="0" w:line="4" w:lineRule="exact"/>
        <w:rPr>
          <w:sz w:val="20"/>
          <w:szCs w:val="20"/>
          <w:color w:val="auto"/>
        </w:rPr>
      </w:pPr>
    </w:p>
    <w:p>
      <w:pPr>
        <w:ind w:right="1700"/>
        <w:spacing w:after="0" w:line="248" w:lineRule="auto"/>
        <w:rPr>
          <w:sz w:val="20"/>
          <w:szCs w:val="20"/>
          <w:color w:val="auto"/>
        </w:rPr>
      </w:pPr>
      <w:r>
        <w:rPr>
          <w:rFonts w:ascii="Arial" w:cs="Arial" w:eastAsia="Arial" w:hAnsi="Arial"/>
          <w:sz w:val="16"/>
          <w:szCs w:val="16"/>
          <w:color w:val="auto"/>
        </w:rPr>
        <w:t>Complete, sign, date and mail your proxy card in the envelope provided if you received a paper copy of these proxy materials. If you vote by Internet, telephone or mobile device, please do not mail your proxy card.</w:t>
      </w:r>
    </w:p>
    <w:p>
      <w:pPr>
        <w:spacing w:after="0" w:line="68" w:lineRule="exact"/>
        <w:rPr>
          <w:sz w:val="20"/>
          <w:szCs w:val="20"/>
          <w:color w:val="auto"/>
        </w:rPr>
      </w:pPr>
    </w:p>
    <w:p>
      <w:pPr>
        <w:ind w:right="1880"/>
        <w:spacing w:after="0" w:line="253" w:lineRule="auto"/>
        <w:rPr>
          <w:sz w:val="20"/>
          <w:szCs w:val="20"/>
          <w:color w:val="auto"/>
        </w:rPr>
      </w:pPr>
      <w:r>
        <w:rPr>
          <w:rFonts w:ascii="Arial" w:cs="Arial" w:eastAsia="Arial" w:hAnsi="Arial"/>
          <w:sz w:val="16"/>
          <w:szCs w:val="16"/>
          <w:color w:val="auto"/>
        </w:rPr>
        <w:t>Scan the QR code on your Notice Regarding the Availability of Proxy Materials or proxy card and follow the links.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-2281555</wp:posOffset>
            </wp:positionH>
            <wp:positionV relativeFrom="paragraph">
              <wp:posOffset>39370</wp:posOffset>
            </wp:positionV>
            <wp:extent cx="7134225" cy="5911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591185"/>
                    </a:xfrm>
                    <a:prstGeom prst="rect">
                      <a:avLst/>
                    </a:prstGeom>
                    <a:noFill/>
                  </pic:spPr>
                </pic:pic>
              </a:graphicData>
            </a:graphic>
          </wp:anchor>
        </w:drawing>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Attend our virtual meeting and vote your shares electronically by</w:t>
      </w:r>
    </w:p>
    <w:p>
      <w:pPr>
        <w:spacing w:after="0" w:line="2"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visiting www.virtualshareholdermeeting.com/TTC2022. The virtual meeting makes participation and engagement convenient for all our shareholders. You will need the 16-digit control number included on your proxy card voting instruction form or Notice Regarding the Availability of Proxy Materials to enter the annual meeting.</w:t>
      </w:r>
    </w:p>
    <w:p>
      <w:pPr>
        <w:spacing w:after="0" w:line="100" w:lineRule="exact"/>
        <w:rPr>
          <w:sz w:val="20"/>
          <w:szCs w:val="20"/>
          <w:color w:val="auto"/>
        </w:rPr>
      </w:pPr>
    </w:p>
    <w:p>
      <w:pPr>
        <w:sectPr>
          <w:pgSz w:w="11900" w:h="16838" w:orient="portrait"/>
          <w:cols w:equalWidth="0" w:num="2">
            <w:col w:w="2880" w:space="720"/>
            <w:col w:w="7620"/>
          </w:cols>
          <w:pgMar w:left="320" w:top="140" w:right="359" w:bottom="1440" w:gutter="0" w:footer="0" w:header="0"/>
          <w:type w:val="continuous"/>
        </w:sectPr>
      </w:pPr>
    </w:p>
    <w:p>
      <w:pPr>
        <w:ind w:left="400"/>
        <w:spacing w:after="0"/>
        <w:rPr>
          <w:sz w:val="20"/>
          <w:szCs w:val="20"/>
          <w:color w:val="auto"/>
        </w:rPr>
      </w:pPr>
      <w:r>
        <w:rPr>
          <w:rFonts w:ascii="Arial" w:cs="Arial" w:eastAsia="Arial" w:hAnsi="Arial"/>
          <w:sz w:val="18"/>
          <w:szCs w:val="18"/>
          <w:color w:val="auto"/>
        </w:rPr>
        <w:t>If you hold shares as a participant in certain TTC employee benefit plans, you may vote your shares by one</w:t>
      </w:r>
    </w:p>
    <w:p>
      <w:pPr>
        <w:spacing w:after="0" w:line="234" w:lineRule="auto"/>
        <w:rPr>
          <w:sz w:val="20"/>
          <w:szCs w:val="20"/>
          <w:color w:val="auto"/>
        </w:rPr>
      </w:pPr>
      <w:r>
        <w:rPr>
          <w:rFonts w:ascii="Arial" w:cs="Arial" w:eastAsia="Arial" w:hAnsi="Arial"/>
          <w:sz w:val="18"/>
          <w:szCs w:val="18"/>
          <w:color w:val="auto"/>
        </w:rPr>
        <w:t>of the five methods noted above. If your shares are held in “street name,” you may receive a separate voting instruction form with this proxy statement or you may need to contact your broker, bank or other nominee to determine whether you will be able to vote electronically using the Internet, telephone or mobile device. On the day of the annual meeting, you may go to www.virtualshareholdermeeting.com/TTC2022, and log in by entering the 16-digit control number found on your voting instruction form. If you do not have your control number, you will be able register as a guest; however, you will not be able to vote or submit questions during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How Does the Board Recommend that I Vote and What Vote is Required for Each Proposal?</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0" w:type="dxa"/>
            <w:vAlign w:val="bottom"/>
            <w:shd w:val="clear" w:color="auto" w:fill="C00000"/>
          </w:tcPr>
          <w:p>
            <w:pPr>
              <w:spacing w:after="0"/>
              <w:rPr>
                <w:sz w:val="16"/>
                <w:szCs w:val="16"/>
                <w:color w:val="auto"/>
              </w:rPr>
            </w:pPr>
          </w:p>
        </w:tc>
        <w:tc>
          <w:tcPr>
            <w:tcW w:w="2360" w:type="dxa"/>
            <w:vAlign w:val="bottom"/>
            <w:shd w:val="clear" w:color="auto" w:fill="C00000"/>
          </w:tcPr>
          <w:p>
            <w:pPr>
              <w:spacing w:after="0"/>
              <w:rPr>
                <w:sz w:val="16"/>
                <w:szCs w:val="16"/>
                <w:color w:val="auto"/>
              </w:rPr>
            </w:pPr>
          </w:p>
        </w:tc>
        <w:tc>
          <w:tcPr>
            <w:tcW w:w="1500" w:type="dxa"/>
            <w:vAlign w:val="bottom"/>
            <w:gridSpan w:val="2"/>
            <w:vMerge w:val="restart"/>
            <w:shd w:val="clear" w:color="auto" w:fill="C00000"/>
          </w:tcPr>
          <w:p>
            <w:pPr>
              <w:ind w:left="60"/>
              <w:spacing w:after="0"/>
              <w:rPr>
                <w:sz w:val="20"/>
                <w:szCs w:val="20"/>
                <w:color w:val="auto"/>
              </w:rPr>
            </w:pPr>
            <w:r>
              <w:rPr>
                <w:rFonts w:ascii="Arial" w:cs="Arial" w:eastAsia="Arial" w:hAnsi="Arial"/>
                <w:sz w:val="14"/>
                <w:szCs w:val="14"/>
                <w:b w:val="1"/>
                <w:bCs w:val="1"/>
                <w:color w:val="FFFFFF"/>
              </w:rPr>
              <w:t>Board</w:t>
            </w:r>
          </w:p>
        </w:tc>
        <w:tc>
          <w:tcPr>
            <w:tcW w:w="2260" w:type="dxa"/>
            <w:vAlign w:val="bottom"/>
            <w:vMerge w:val="restart"/>
            <w:shd w:val="clear" w:color="auto" w:fill="C00000"/>
          </w:tcPr>
          <w:p>
            <w:pPr>
              <w:ind w:left="260"/>
              <w:spacing w:after="0"/>
              <w:rPr>
                <w:sz w:val="20"/>
                <w:szCs w:val="20"/>
                <w:color w:val="auto"/>
              </w:rPr>
            </w:pPr>
            <w:r>
              <w:rPr>
                <w:rFonts w:ascii="Arial" w:cs="Arial" w:eastAsia="Arial" w:hAnsi="Arial"/>
                <w:sz w:val="14"/>
                <w:szCs w:val="14"/>
                <w:b w:val="1"/>
                <w:bCs w:val="1"/>
                <w:color w:val="FFFFFF"/>
              </w:rPr>
              <w:t>Available Voting</w:t>
            </w:r>
          </w:p>
        </w:tc>
        <w:tc>
          <w:tcPr>
            <w:tcW w:w="2000" w:type="dxa"/>
            <w:vAlign w:val="bottom"/>
            <w:vMerge w:val="restart"/>
            <w:shd w:val="clear" w:color="auto" w:fill="C00000"/>
          </w:tcPr>
          <w:p>
            <w:pPr>
              <w:ind w:left="200"/>
              <w:spacing w:after="0"/>
              <w:rPr>
                <w:sz w:val="20"/>
                <w:szCs w:val="20"/>
                <w:color w:val="auto"/>
              </w:rPr>
            </w:pPr>
            <w:r>
              <w:rPr>
                <w:rFonts w:ascii="Arial" w:cs="Arial" w:eastAsia="Arial" w:hAnsi="Arial"/>
                <w:sz w:val="14"/>
                <w:szCs w:val="14"/>
                <w:b w:val="1"/>
                <w:bCs w:val="1"/>
                <w:color w:val="FFFFFF"/>
              </w:rPr>
              <w:t>Voting Approval</w:t>
            </w:r>
          </w:p>
        </w:tc>
        <w:tc>
          <w:tcPr>
            <w:tcW w:w="1460" w:type="dxa"/>
            <w:vAlign w:val="bottom"/>
            <w:shd w:val="clear" w:color="auto" w:fill="C00000"/>
          </w:tcPr>
          <w:p>
            <w:pPr>
              <w:ind w:left="300"/>
              <w:spacing w:after="0"/>
              <w:rPr>
                <w:sz w:val="20"/>
                <w:szCs w:val="20"/>
                <w:color w:val="auto"/>
              </w:rPr>
            </w:pPr>
            <w:r>
              <w:rPr>
                <w:rFonts w:ascii="Arial" w:cs="Arial" w:eastAsia="Arial" w:hAnsi="Arial"/>
                <w:sz w:val="14"/>
                <w:szCs w:val="14"/>
                <w:b w:val="1"/>
                <w:bCs w:val="1"/>
                <w:color w:val="FFFFFF"/>
              </w:rPr>
              <w:t>Effect of</w:t>
            </w:r>
          </w:p>
        </w:tc>
        <w:tc>
          <w:tcPr>
            <w:tcW w:w="1440" w:type="dxa"/>
            <w:vAlign w:val="bottom"/>
            <w:shd w:val="clear" w:color="auto" w:fill="C00000"/>
          </w:tcPr>
          <w:p>
            <w:pPr>
              <w:ind w:left="220"/>
              <w:spacing w:after="0"/>
              <w:rPr>
                <w:sz w:val="20"/>
                <w:szCs w:val="20"/>
                <w:color w:val="auto"/>
              </w:rPr>
            </w:pPr>
            <w:r>
              <w:rPr>
                <w:rFonts w:ascii="Arial" w:cs="Arial" w:eastAsia="Arial" w:hAnsi="Arial"/>
                <w:sz w:val="14"/>
                <w:szCs w:val="14"/>
                <w:b w:val="1"/>
                <w:bCs w:val="1"/>
                <w:color w:val="FFFFFF"/>
              </w:rPr>
              <w:t>Effect of</w:t>
            </w:r>
          </w:p>
        </w:tc>
        <w:tc>
          <w:tcPr>
            <w:tcW w:w="0" w:type="dxa"/>
            <w:vAlign w:val="bottom"/>
          </w:tcPr>
          <w:p>
            <w:pPr>
              <w:spacing w:after="0"/>
              <w:rPr>
                <w:sz w:val="1"/>
                <w:szCs w:val="1"/>
                <w:color w:val="auto"/>
              </w:rPr>
            </w:pPr>
          </w:p>
        </w:tc>
      </w:tr>
      <w:tr>
        <w:trPr>
          <w:trHeight w:val="173"/>
        </w:trPr>
        <w:tc>
          <w:tcPr>
            <w:tcW w:w="2580" w:type="dxa"/>
            <w:vAlign w:val="bottom"/>
            <w:gridSpan w:val="2"/>
            <w:vMerge w:val="restart"/>
            <w:shd w:val="clear" w:color="auto" w:fill="C00000"/>
          </w:tcPr>
          <w:p>
            <w:pPr>
              <w:spacing w:after="0"/>
              <w:rPr>
                <w:sz w:val="20"/>
                <w:szCs w:val="20"/>
                <w:color w:val="auto"/>
              </w:rPr>
            </w:pPr>
            <w:r>
              <w:rPr>
                <w:rFonts w:ascii="Arial" w:cs="Arial" w:eastAsia="Arial" w:hAnsi="Arial"/>
                <w:sz w:val="14"/>
                <w:szCs w:val="14"/>
                <w:b w:val="1"/>
                <w:bCs w:val="1"/>
                <w:color w:val="FFFFFF"/>
              </w:rPr>
              <w:t>Proposal</w:t>
            </w:r>
          </w:p>
        </w:tc>
        <w:tc>
          <w:tcPr>
            <w:tcW w:w="1500" w:type="dxa"/>
            <w:vAlign w:val="bottom"/>
            <w:gridSpan w:val="2"/>
            <w:vMerge w:val="continue"/>
            <w:shd w:val="clear" w:color="auto" w:fill="C00000"/>
          </w:tcPr>
          <w:p>
            <w:pPr>
              <w:spacing w:after="0"/>
              <w:rPr>
                <w:sz w:val="15"/>
                <w:szCs w:val="15"/>
                <w:color w:val="auto"/>
              </w:rPr>
            </w:pPr>
          </w:p>
        </w:tc>
        <w:tc>
          <w:tcPr>
            <w:tcW w:w="2260" w:type="dxa"/>
            <w:vAlign w:val="bottom"/>
            <w:vMerge w:val="continue"/>
            <w:shd w:val="clear" w:color="auto" w:fill="C00000"/>
          </w:tcPr>
          <w:p>
            <w:pPr>
              <w:spacing w:after="0"/>
              <w:rPr>
                <w:sz w:val="15"/>
                <w:szCs w:val="15"/>
                <w:color w:val="auto"/>
              </w:rPr>
            </w:pPr>
          </w:p>
        </w:tc>
        <w:tc>
          <w:tcPr>
            <w:tcW w:w="2000" w:type="dxa"/>
            <w:vAlign w:val="bottom"/>
            <w:vMerge w:val="continue"/>
            <w:shd w:val="clear" w:color="auto" w:fill="C00000"/>
          </w:tcPr>
          <w:p>
            <w:pPr>
              <w:spacing w:after="0"/>
              <w:rPr>
                <w:sz w:val="15"/>
                <w:szCs w:val="15"/>
                <w:color w:val="auto"/>
              </w:rPr>
            </w:pPr>
          </w:p>
        </w:tc>
        <w:tc>
          <w:tcPr>
            <w:tcW w:w="1460" w:type="dxa"/>
            <w:vAlign w:val="bottom"/>
            <w:shd w:val="clear" w:color="auto" w:fill="C00000"/>
          </w:tcPr>
          <w:p>
            <w:pPr>
              <w:ind w:left="300"/>
              <w:spacing w:after="0"/>
              <w:rPr>
                <w:sz w:val="20"/>
                <w:szCs w:val="20"/>
                <w:color w:val="auto"/>
              </w:rPr>
            </w:pPr>
            <w:r>
              <w:rPr>
                <w:rFonts w:ascii="Arial" w:cs="Arial" w:eastAsia="Arial" w:hAnsi="Arial"/>
                <w:sz w:val="14"/>
                <w:szCs w:val="14"/>
                <w:b w:val="1"/>
                <w:bCs w:val="1"/>
                <w:color w:val="FFFFFF"/>
              </w:rPr>
              <w:t>Withhold or</w:t>
            </w:r>
          </w:p>
        </w:tc>
        <w:tc>
          <w:tcPr>
            <w:tcW w:w="1440" w:type="dxa"/>
            <w:vAlign w:val="bottom"/>
            <w:shd w:val="clear" w:color="auto" w:fill="C00000"/>
          </w:tcPr>
          <w:p>
            <w:pPr>
              <w:ind w:left="220"/>
              <w:spacing w:after="0"/>
              <w:rPr>
                <w:sz w:val="20"/>
                <w:szCs w:val="20"/>
                <w:color w:val="auto"/>
              </w:rPr>
            </w:pPr>
            <w:r>
              <w:rPr>
                <w:rFonts w:ascii="Arial" w:cs="Arial" w:eastAsia="Arial" w:hAnsi="Arial"/>
                <w:sz w:val="14"/>
                <w:szCs w:val="14"/>
                <w:b w:val="1"/>
                <w:bCs w:val="1"/>
                <w:color w:val="FFFFFF"/>
              </w:rPr>
              <w:t>Broker Non-</w:t>
            </w:r>
          </w:p>
        </w:tc>
        <w:tc>
          <w:tcPr>
            <w:tcW w:w="0" w:type="dxa"/>
            <w:vAlign w:val="bottom"/>
          </w:tcPr>
          <w:p>
            <w:pPr>
              <w:spacing w:after="0"/>
              <w:rPr>
                <w:sz w:val="1"/>
                <w:szCs w:val="1"/>
                <w:color w:val="auto"/>
              </w:rPr>
            </w:pPr>
          </w:p>
        </w:tc>
      </w:tr>
      <w:tr>
        <w:trPr>
          <w:trHeight w:val="186"/>
        </w:trPr>
        <w:tc>
          <w:tcPr>
            <w:tcW w:w="2580" w:type="dxa"/>
            <w:vAlign w:val="bottom"/>
            <w:gridSpan w:val="2"/>
            <w:vMerge w:val="continue"/>
            <w:shd w:val="clear" w:color="auto" w:fill="C00000"/>
          </w:tcPr>
          <w:p>
            <w:pPr>
              <w:spacing w:after="0"/>
              <w:rPr>
                <w:sz w:val="16"/>
                <w:szCs w:val="16"/>
                <w:color w:val="auto"/>
              </w:rPr>
            </w:pPr>
          </w:p>
        </w:tc>
        <w:tc>
          <w:tcPr>
            <w:tcW w:w="1500" w:type="dxa"/>
            <w:vAlign w:val="bottom"/>
            <w:gridSpan w:val="2"/>
            <w:shd w:val="clear" w:color="auto" w:fill="C00000"/>
          </w:tcPr>
          <w:p>
            <w:pPr>
              <w:ind w:left="60"/>
              <w:spacing w:after="0"/>
              <w:rPr>
                <w:sz w:val="20"/>
                <w:szCs w:val="20"/>
                <w:color w:val="auto"/>
              </w:rPr>
            </w:pPr>
            <w:r>
              <w:rPr>
                <w:rFonts w:ascii="Arial" w:cs="Arial" w:eastAsia="Arial" w:hAnsi="Arial"/>
                <w:sz w:val="14"/>
                <w:szCs w:val="14"/>
                <w:b w:val="1"/>
                <w:bCs w:val="1"/>
                <w:color w:val="FFFFFF"/>
              </w:rPr>
              <w:t>Recommendation</w:t>
            </w:r>
          </w:p>
        </w:tc>
        <w:tc>
          <w:tcPr>
            <w:tcW w:w="2260" w:type="dxa"/>
            <w:vAlign w:val="bottom"/>
            <w:shd w:val="clear" w:color="auto" w:fill="C00000"/>
          </w:tcPr>
          <w:p>
            <w:pPr>
              <w:ind w:left="260"/>
              <w:spacing w:after="0"/>
              <w:rPr>
                <w:sz w:val="20"/>
                <w:szCs w:val="20"/>
                <w:color w:val="auto"/>
              </w:rPr>
            </w:pPr>
            <w:r>
              <w:rPr>
                <w:rFonts w:ascii="Arial" w:cs="Arial" w:eastAsia="Arial" w:hAnsi="Arial"/>
                <w:sz w:val="14"/>
                <w:szCs w:val="14"/>
                <w:b w:val="1"/>
                <w:bCs w:val="1"/>
                <w:color w:val="FFFFFF"/>
              </w:rPr>
              <w:t>Selections</w:t>
            </w:r>
          </w:p>
        </w:tc>
        <w:tc>
          <w:tcPr>
            <w:tcW w:w="2000" w:type="dxa"/>
            <w:vAlign w:val="bottom"/>
            <w:shd w:val="clear" w:color="auto" w:fill="C00000"/>
          </w:tcPr>
          <w:p>
            <w:pPr>
              <w:ind w:left="200"/>
              <w:spacing w:after="0"/>
              <w:rPr>
                <w:sz w:val="20"/>
                <w:szCs w:val="20"/>
                <w:color w:val="auto"/>
              </w:rPr>
            </w:pPr>
            <w:r>
              <w:rPr>
                <w:rFonts w:ascii="Arial" w:cs="Arial" w:eastAsia="Arial" w:hAnsi="Arial"/>
                <w:sz w:val="14"/>
                <w:szCs w:val="14"/>
                <w:b w:val="1"/>
                <w:bCs w:val="1"/>
                <w:color w:val="FFFFFF"/>
              </w:rPr>
              <w:t>Standard</w:t>
            </w:r>
          </w:p>
        </w:tc>
        <w:tc>
          <w:tcPr>
            <w:tcW w:w="1460" w:type="dxa"/>
            <w:vAlign w:val="bottom"/>
            <w:shd w:val="clear" w:color="auto" w:fill="C00000"/>
          </w:tcPr>
          <w:p>
            <w:pPr>
              <w:ind w:left="300"/>
              <w:spacing w:after="0"/>
              <w:rPr>
                <w:sz w:val="20"/>
                <w:szCs w:val="20"/>
                <w:color w:val="auto"/>
              </w:rPr>
            </w:pPr>
            <w:r>
              <w:rPr>
                <w:rFonts w:ascii="Arial" w:cs="Arial" w:eastAsia="Arial" w:hAnsi="Arial"/>
                <w:sz w:val="14"/>
                <w:szCs w:val="14"/>
                <w:b w:val="1"/>
                <w:bCs w:val="1"/>
                <w:color w:val="FFFFFF"/>
              </w:rPr>
              <w:t>Abstention</w:t>
            </w:r>
          </w:p>
        </w:tc>
        <w:tc>
          <w:tcPr>
            <w:tcW w:w="1440" w:type="dxa"/>
            <w:vAlign w:val="bottom"/>
            <w:shd w:val="clear" w:color="auto" w:fill="C00000"/>
          </w:tcPr>
          <w:p>
            <w:pPr>
              <w:ind w:left="220"/>
              <w:spacing w:after="0"/>
              <w:rPr>
                <w:sz w:val="20"/>
                <w:szCs w:val="20"/>
                <w:color w:val="auto"/>
              </w:rPr>
            </w:pPr>
            <w:r>
              <w:rPr>
                <w:rFonts w:ascii="Arial" w:cs="Arial" w:eastAsia="Arial" w:hAnsi="Arial"/>
                <w:sz w:val="14"/>
                <w:szCs w:val="14"/>
                <w:b w:val="1"/>
                <w:bCs w:val="1"/>
                <w:color w:val="FFFFFF"/>
              </w:rPr>
              <w:t>Vote</w:t>
            </w:r>
          </w:p>
        </w:tc>
        <w:tc>
          <w:tcPr>
            <w:tcW w:w="0" w:type="dxa"/>
            <w:vAlign w:val="bottom"/>
          </w:tcPr>
          <w:p>
            <w:pPr>
              <w:spacing w:after="0"/>
              <w:rPr>
                <w:sz w:val="1"/>
                <w:szCs w:val="1"/>
                <w:color w:val="auto"/>
              </w:rPr>
            </w:pPr>
          </w:p>
        </w:tc>
      </w:tr>
      <w:tr>
        <w:trPr>
          <w:trHeight w:val="212"/>
        </w:trPr>
        <w:tc>
          <w:tcPr>
            <w:tcW w:w="220" w:type="dxa"/>
            <w:vAlign w:val="bottom"/>
          </w:tcPr>
          <w:p>
            <w:pPr>
              <w:spacing w:after="0"/>
              <w:rPr>
                <w:sz w:val="20"/>
                <w:szCs w:val="20"/>
                <w:color w:val="auto"/>
              </w:rPr>
            </w:pPr>
            <w:r>
              <w:rPr>
                <w:rFonts w:ascii="Arial" w:cs="Arial" w:eastAsia="Arial" w:hAnsi="Arial"/>
                <w:sz w:val="16"/>
                <w:szCs w:val="16"/>
                <w:color w:val="auto"/>
              </w:rPr>
              <w:t>1.</w:t>
            </w:r>
          </w:p>
        </w:tc>
        <w:tc>
          <w:tcPr>
            <w:tcW w:w="2360" w:type="dxa"/>
            <w:vAlign w:val="bottom"/>
          </w:tcPr>
          <w:p>
            <w:pPr>
              <w:ind w:left="100"/>
              <w:spacing w:after="0"/>
              <w:rPr>
                <w:sz w:val="20"/>
                <w:szCs w:val="20"/>
                <w:color w:val="auto"/>
              </w:rPr>
            </w:pPr>
            <w:r>
              <w:rPr>
                <w:rFonts w:ascii="Arial" w:cs="Arial" w:eastAsia="Arial" w:hAnsi="Arial"/>
                <w:sz w:val="16"/>
                <w:szCs w:val="16"/>
                <w:color w:val="auto"/>
              </w:rPr>
              <w:t>Election of six</w:t>
            </w:r>
          </w:p>
        </w:tc>
        <w:tc>
          <w:tcPr>
            <w:tcW w:w="1500" w:type="dxa"/>
            <w:vAlign w:val="bottom"/>
            <w:gridSpan w:val="2"/>
          </w:tcPr>
          <w:p>
            <w:pPr>
              <w:ind w:left="6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all six</w:t>
            </w:r>
          </w:p>
        </w:tc>
        <w:tc>
          <w:tcPr>
            <w:tcW w:w="2260" w:type="dxa"/>
            <w:vAlign w:val="bottom"/>
          </w:tcPr>
          <w:p>
            <w:pPr>
              <w:ind w:left="260"/>
              <w:spacing w:after="0"/>
              <w:rPr>
                <w:sz w:val="20"/>
                <w:szCs w:val="20"/>
                <w:color w:val="auto"/>
              </w:rPr>
            </w:pPr>
            <w:r>
              <w:rPr>
                <w:rFonts w:ascii="Arial" w:cs="Arial" w:eastAsia="Arial" w:hAnsi="Arial"/>
                <w:sz w:val="16"/>
                <w:szCs w:val="16"/>
                <w:color w:val="auto"/>
              </w:rPr>
              <w:t>FOR all nominees;</w:t>
            </w:r>
          </w:p>
        </w:tc>
        <w:tc>
          <w:tcPr>
            <w:tcW w:w="2000" w:type="dxa"/>
            <w:vAlign w:val="bottom"/>
          </w:tcPr>
          <w:p>
            <w:pPr>
              <w:ind w:left="200"/>
              <w:spacing w:after="0"/>
              <w:rPr>
                <w:sz w:val="20"/>
                <w:szCs w:val="20"/>
                <w:color w:val="auto"/>
              </w:rPr>
            </w:pPr>
            <w:r>
              <w:rPr>
                <w:rFonts w:ascii="Arial" w:cs="Arial" w:eastAsia="Arial" w:hAnsi="Arial"/>
                <w:sz w:val="16"/>
                <w:szCs w:val="16"/>
                <w:color w:val="auto"/>
              </w:rPr>
              <w:t>Plurality: the</w:t>
            </w:r>
          </w:p>
        </w:tc>
        <w:tc>
          <w:tcPr>
            <w:tcW w:w="1460" w:type="dxa"/>
            <w:vAlign w:val="bottom"/>
          </w:tcPr>
          <w:p>
            <w:pPr>
              <w:ind w:left="300"/>
              <w:spacing w:after="0"/>
              <w:rPr>
                <w:sz w:val="20"/>
                <w:szCs w:val="20"/>
                <w:color w:val="auto"/>
              </w:rPr>
            </w:pPr>
            <w:r>
              <w:rPr>
                <w:rFonts w:ascii="Arial" w:cs="Arial" w:eastAsia="Arial" w:hAnsi="Arial"/>
                <w:sz w:val="16"/>
                <w:szCs w:val="16"/>
                <w:color w:val="auto"/>
              </w:rPr>
              <w:t>Counted as a</w:t>
            </w:r>
          </w:p>
        </w:tc>
        <w:tc>
          <w:tcPr>
            <w:tcW w:w="1440" w:type="dxa"/>
            <w:vAlign w:val="bottom"/>
          </w:tcPr>
          <w:p>
            <w:pPr>
              <w:ind w:left="220"/>
              <w:spacing w:after="0"/>
              <w:rPr>
                <w:sz w:val="20"/>
                <w:szCs w:val="20"/>
                <w:color w:val="auto"/>
              </w:rPr>
            </w:pPr>
            <w:r>
              <w:rPr>
                <w:rFonts w:ascii="Arial" w:cs="Arial" w:eastAsia="Arial" w:hAnsi="Arial"/>
                <w:sz w:val="16"/>
                <w:szCs w:val="16"/>
                <w:color w:val="auto"/>
              </w:rPr>
              <w:t>No effect</w:t>
            </w:r>
          </w:p>
        </w:tc>
        <w:tc>
          <w:tcPr>
            <w:tcW w:w="0" w:type="dxa"/>
            <w:vAlign w:val="bottom"/>
          </w:tcPr>
          <w:p>
            <w:pPr>
              <w:spacing w:after="0"/>
              <w:rPr>
                <w:sz w:val="1"/>
                <w:szCs w:val="1"/>
                <w:color w:val="auto"/>
              </w:rPr>
            </w:pPr>
          </w:p>
        </w:tc>
      </w:tr>
      <w:tr>
        <w:trPr>
          <w:trHeight w:val="208"/>
        </w:trPr>
        <w:tc>
          <w:tcPr>
            <w:tcW w:w="220" w:type="dxa"/>
            <w:vAlign w:val="bottom"/>
          </w:tcPr>
          <w:p>
            <w:pPr>
              <w:spacing w:after="0"/>
              <w:rPr>
                <w:sz w:val="18"/>
                <w:szCs w:val="18"/>
                <w:color w:val="auto"/>
              </w:rPr>
            </w:pPr>
          </w:p>
        </w:tc>
        <w:tc>
          <w:tcPr>
            <w:tcW w:w="2360" w:type="dxa"/>
            <w:vAlign w:val="bottom"/>
          </w:tcPr>
          <w:p>
            <w:pPr>
              <w:ind w:left="100"/>
              <w:spacing w:after="0"/>
              <w:rPr>
                <w:sz w:val="20"/>
                <w:szCs w:val="20"/>
                <w:color w:val="auto"/>
              </w:rPr>
            </w:pPr>
            <w:r>
              <w:rPr>
                <w:rFonts w:ascii="Arial" w:cs="Arial" w:eastAsia="Arial" w:hAnsi="Arial"/>
                <w:sz w:val="16"/>
                <w:szCs w:val="16"/>
                <w:color w:val="auto"/>
              </w:rPr>
              <w:t>directors</w:t>
            </w:r>
          </w:p>
        </w:tc>
        <w:tc>
          <w:tcPr>
            <w:tcW w:w="1500" w:type="dxa"/>
            <w:vAlign w:val="bottom"/>
            <w:gridSpan w:val="2"/>
          </w:tcPr>
          <w:p>
            <w:pPr>
              <w:ind w:left="60"/>
              <w:spacing w:after="0"/>
              <w:rPr>
                <w:sz w:val="20"/>
                <w:szCs w:val="20"/>
                <w:color w:val="auto"/>
              </w:rPr>
            </w:pPr>
            <w:r>
              <w:rPr>
                <w:rFonts w:ascii="Arial" w:cs="Arial" w:eastAsia="Arial" w:hAnsi="Arial"/>
                <w:sz w:val="16"/>
                <w:szCs w:val="16"/>
                <w:color w:val="auto"/>
              </w:rPr>
              <w:t>nominees</w:t>
            </w:r>
          </w:p>
        </w:tc>
        <w:tc>
          <w:tcPr>
            <w:tcW w:w="2260" w:type="dxa"/>
            <w:vAlign w:val="bottom"/>
          </w:tcPr>
          <w:p>
            <w:pPr>
              <w:ind w:left="260"/>
              <w:spacing w:after="0"/>
              <w:rPr>
                <w:sz w:val="20"/>
                <w:szCs w:val="20"/>
                <w:color w:val="auto"/>
              </w:rPr>
            </w:pPr>
            <w:r>
              <w:rPr>
                <w:rFonts w:ascii="Arial" w:cs="Arial" w:eastAsia="Arial" w:hAnsi="Arial"/>
                <w:sz w:val="16"/>
                <w:szCs w:val="16"/>
                <w:color w:val="auto"/>
              </w:rPr>
              <w:t>WITHHOLD from all</w:t>
            </w:r>
          </w:p>
        </w:tc>
        <w:tc>
          <w:tcPr>
            <w:tcW w:w="2000" w:type="dxa"/>
            <w:vAlign w:val="bottom"/>
          </w:tcPr>
          <w:p>
            <w:pPr>
              <w:ind w:left="200"/>
              <w:spacing w:after="0"/>
              <w:rPr>
                <w:sz w:val="20"/>
                <w:szCs w:val="20"/>
                <w:color w:val="auto"/>
              </w:rPr>
            </w:pPr>
            <w:r>
              <w:rPr>
                <w:rFonts w:ascii="Arial" w:cs="Arial" w:eastAsia="Arial" w:hAnsi="Arial"/>
                <w:sz w:val="16"/>
                <w:szCs w:val="16"/>
                <w:color w:val="auto"/>
              </w:rPr>
              <w:t>individuals who</w:t>
            </w:r>
          </w:p>
        </w:tc>
        <w:tc>
          <w:tcPr>
            <w:tcW w:w="1460" w:type="dxa"/>
            <w:vAlign w:val="bottom"/>
          </w:tcPr>
          <w:p>
            <w:pPr>
              <w:ind w:left="300"/>
              <w:spacing w:after="0"/>
              <w:rPr>
                <w:sz w:val="20"/>
                <w:szCs w:val="20"/>
                <w:color w:val="auto"/>
              </w:rPr>
            </w:pPr>
            <w:r>
              <w:rPr>
                <w:rFonts w:ascii="Arial" w:cs="Arial" w:eastAsia="Arial" w:hAnsi="Arial"/>
                <w:sz w:val="16"/>
                <w:szCs w:val="16"/>
                <w:color w:val="auto"/>
              </w:rPr>
              <w:t>vote against</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tcPr>
          <w:p>
            <w:pPr>
              <w:ind w:left="260"/>
              <w:spacing w:after="0"/>
              <w:rPr>
                <w:sz w:val="20"/>
                <w:szCs w:val="20"/>
                <w:color w:val="auto"/>
              </w:rPr>
            </w:pPr>
            <w:r>
              <w:rPr>
                <w:rFonts w:ascii="Arial" w:cs="Arial" w:eastAsia="Arial" w:hAnsi="Arial"/>
                <w:sz w:val="16"/>
                <w:szCs w:val="16"/>
                <w:color w:val="auto"/>
              </w:rPr>
              <w:t>nominees; or WITHHOLD</w:t>
            </w:r>
          </w:p>
        </w:tc>
        <w:tc>
          <w:tcPr>
            <w:tcW w:w="2000" w:type="dxa"/>
            <w:vAlign w:val="bottom"/>
          </w:tcPr>
          <w:p>
            <w:pPr>
              <w:ind w:left="200"/>
              <w:spacing w:after="0"/>
              <w:rPr>
                <w:sz w:val="20"/>
                <w:szCs w:val="20"/>
                <w:color w:val="auto"/>
              </w:rPr>
            </w:pPr>
            <w:r>
              <w:rPr>
                <w:rFonts w:ascii="Arial" w:cs="Arial" w:eastAsia="Arial" w:hAnsi="Arial"/>
                <w:sz w:val="16"/>
                <w:szCs w:val="16"/>
                <w:color w:val="auto"/>
              </w:rPr>
              <w:t>receive the greatest</w:t>
            </w: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60" w:type="dxa"/>
            <w:vAlign w:val="bottom"/>
          </w:tcPr>
          <w:p>
            <w:pPr>
              <w:ind w:left="260"/>
              <w:spacing w:after="0"/>
              <w:rPr>
                <w:sz w:val="20"/>
                <w:szCs w:val="20"/>
                <w:color w:val="auto"/>
              </w:rPr>
            </w:pPr>
            <w:r>
              <w:rPr>
                <w:rFonts w:ascii="Arial" w:cs="Arial" w:eastAsia="Arial" w:hAnsi="Arial"/>
                <w:sz w:val="16"/>
                <w:szCs w:val="16"/>
                <w:color w:val="auto"/>
              </w:rPr>
              <w:t>from</w:t>
            </w:r>
          </w:p>
        </w:tc>
        <w:tc>
          <w:tcPr>
            <w:tcW w:w="2000" w:type="dxa"/>
            <w:vAlign w:val="bottom"/>
          </w:tcPr>
          <w:p>
            <w:pPr>
              <w:ind w:left="200"/>
              <w:spacing w:after="0"/>
              <w:rPr>
                <w:sz w:val="20"/>
                <w:szCs w:val="20"/>
                <w:color w:val="auto"/>
              </w:rPr>
            </w:pPr>
            <w:r>
              <w:rPr>
                <w:rFonts w:ascii="Arial" w:cs="Arial" w:eastAsia="Arial" w:hAnsi="Arial"/>
                <w:sz w:val="16"/>
                <w:szCs w:val="16"/>
                <w:color w:val="auto"/>
              </w:rPr>
              <w:t>number of votes cast</w:t>
            </w: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60" w:type="dxa"/>
            <w:vAlign w:val="bottom"/>
          </w:tcPr>
          <w:p>
            <w:pPr>
              <w:ind w:left="260"/>
              <w:spacing w:after="0"/>
              <w:rPr>
                <w:sz w:val="20"/>
                <w:szCs w:val="20"/>
                <w:color w:val="auto"/>
              </w:rPr>
            </w:pPr>
            <w:r>
              <w:rPr>
                <w:rFonts w:ascii="Arial" w:cs="Arial" w:eastAsia="Arial" w:hAnsi="Arial"/>
                <w:sz w:val="16"/>
                <w:szCs w:val="16"/>
                <w:color w:val="auto"/>
              </w:rPr>
              <w:t>one or more nominees</w:t>
            </w:r>
          </w:p>
        </w:tc>
        <w:tc>
          <w:tcPr>
            <w:tcW w:w="2000" w:type="dxa"/>
            <w:vAlign w:val="bottom"/>
          </w:tcPr>
          <w:p>
            <w:pPr>
              <w:ind w:left="200"/>
              <w:spacing w:after="0"/>
              <w:rPr>
                <w:sz w:val="20"/>
                <w:szCs w:val="20"/>
                <w:color w:val="auto"/>
              </w:rPr>
            </w:pPr>
            <w:r>
              <w:rPr>
                <w:rFonts w:ascii="Arial" w:cs="Arial" w:eastAsia="Arial" w:hAnsi="Arial"/>
                <w:sz w:val="16"/>
                <w:szCs w:val="16"/>
                <w:color w:val="auto"/>
              </w:rPr>
              <w:t>“for” are elected as</w:t>
            </w:r>
          </w:p>
        </w:tc>
        <w:tc>
          <w:tcPr>
            <w:tcW w:w="1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000" w:type="dxa"/>
            <w:vAlign w:val="bottom"/>
          </w:tcPr>
          <w:p>
            <w:pPr>
              <w:ind w:left="200"/>
              <w:spacing w:after="0" w:line="204" w:lineRule="exact"/>
              <w:rPr>
                <w:sz w:val="20"/>
                <w:szCs w:val="20"/>
                <w:color w:val="auto"/>
              </w:rPr>
            </w:pPr>
            <w:r>
              <w:rPr>
                <w:rFonts w:ascii="Arial" w:cs="Arial" w:eastAsia="Arial" w:hAnsi="Arial"/>
                <w:sz w:val="14"/>
                <w:szCs w:val="14"/>
                <w:color w:val="auto"/>
              </w:rPr>
              <w:t>directors</w:t>
            </w:r>
            <w:r>
              <w:rPr>
                <w:rFonts w:ascii="Arial" w:cs="Arial" w:eastAsia="Arial" w:hAnsi="Arial"/>
                <w:sz w:val="23"/>
                <w:szCs w:val="23"/>
                <w:color w:val="auto"/>
                <w:vertAlign w:val="superscript"/>
              </w:rPr>
              <w:t>(1)</w:t>
            </w: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 w:type="dxa"/>
            <w:vAlign w:val="bottom"/>
            <w:shd w:val="clear" w:color="auto" w:fill="D9D9D9"/>
          </w:tcPr>
          <w:p>
            <w:pPr>
              <w:spacing w:after="0"/>
              <w:rPr>
                <w:sz w:val="20"/>
                <w:szCs w:val="20"/>
                <w:color w:val="auto"/>
              </w:rPr>
            </w:pPr>
            <w:r>
              <w:rPr>
                <w:rFonts w:ascii="Arial" w:cs="Arial" w:eastAsia="Arial" w:hAnsi="Arial"/>
                <w:sz w:val="16"/>
                <w:szCs w:val="16"/>
                <w:color w:val="auto"/>
              </w:rPr>
              <w:t>2.</w:t>
            </w:r>
          </w:p>
        </w:tc>
        <w:tc>
          <w:tcPr>
            <w:tcW w:w="2360" w:type="dxa"/>
            <w:vAlign w:val="bottom"/>
            <w:shd w:val="clear" w:color="auto" w:fill="D9D9D9"/>
          </w:tcPr>
          <w:p>
            <w:pPr>
              <w:ind w:left="100"/>
              <w:spacing w:after="0"/>
              <w:rPr>
                <w:sz w:val="20"/>
                <w:szCs w:val="20"/>
                <w:color w:val="auto"/>
              </w:rPr>
            </w:pPr>
            <w:r>
              <w:rPr>
                <w:rFonts w:ascii="Arial" w:cs="Arial" w:eastAsia="Arial" w:hAnsi="Arial"/>
                <w:sz w:val="16"/>
                <w:szCs w:val="16"/>
                <w:color w:val="auto"/>
              </w:rPr>
              <w:t>Ratification of the</w:t>
            </w:r>
          </w:p>
        </w:tc>
        <w:tc>
          <w:tcPr>
            <w:tcW w:w="1500" w:type="dxa"/>
            <w:vAlign w:val="bottom"/>
            <w:gridSpan w:val="2"/>
            <w:shd w:val="clear" w:color="auto" w:fill="D9D9D9"/>
          </w:tcPr>
          <w:p>
            <w:pPr>
              <w:ind w:left="60"/>
              <w:spacing w:after="0"/>
              <w:rPr>
                <w:sz w:val="20"/>
                <w:szCs w:val="20"/>
                <w:color w:val="auto"/>
              </w:rPr>
            </w:pPr>
            <w:r>
              <w:rPr>
                <w:rFonts w:ascii="Arial" w:cs="Arial" w:eastAsia="Arial" w:hAnsi="Arial"/>
                <w:sz w:val="16"/>
                <w:szCs w:val="16"/>
                <w:b w:val="1"/>
                <w:bCs w:val="1"/>
                <w:color w:val="auto"/>
              </w:rPr>
              <w:t>FOR</w:t>
            </w:r>
          </w:p>
        </w:tc>
        <w:tc>
          <w:tcPr>
            <w:tcW w:w="2260" w:type="dxa"/>
            <w:vAlign w:val="bottom"/>
            <w:shd w:val="clear" w:color="auto" w:fill="D9D9D9"/>
          </w:tcPr>
          <w:p>
            <w:pPr>
              <w:ind w:left="260"/>
              <w:spacing w:after="0"/>
              <w:rPr>
                <w:sz w:val="20"/>
                <w:szCs w:val="20"/>
                <w:color w:val="auto"/>
              </w:rPr>
            </w:pPr>
            <w:r>
              <w:rPr>
                <w:rFonts w:ascii="Arial" w:cs="Arial" w:eastAsia="Arial" w:hAnsi="Arial"/>
                <w:sz w:val="16"/>
                <w:szCs w:val="16"/>
                <w:color w:val="auto"/>
              </w:rPr>
              <w:t>FOR; AGAINST;</w:t>
            </w:r>
          </w:p>
        </w:tc>
        <w:tc>
          <w:tcPr>
            <w:tcW w:w="2000" w:type="dxa"/>
            <w:vAlign w:val="bottom"/>
            <w:shd w:val="clear" w:color="auto" w:fill="D9D9D9"/>
          </w:tcPr>
          <w:p>
            <w:pPr>
              <w:ind w:left="200"/>
              <w:spacing w:after="0"/>
              <w:rPr>
                <w:sz w:val="20"/>
                <w:szCs w:val="20"/>
                <w:color w:val="auto"/>
              </w:rPr>
            </w:pPr>
            <w:r>
              <w:rPr>
                <w:rFonts w:ascii="Arial" w:cs="Arial" w:eastAsia="Arial" w:hAnsi="Arial"/>
                <w:sz w:val="16"/>
                <w:szCs w:val="16"/>
                <w:color w:val="auto"/>
              </w:rPr>
              <w:t>Majority of shares</w:t>
            </w:r>
          </w:p>
        </w:tc>
        <w:tc>
          <w:tcPr>
            <w:tcW w:w="1460" w:type="dxa"/>
            <w:vAlign w:val="bottom"/>
            <w:shd w:val="clear" w:color="auto" w:fill="D9D9D9"/>
          </w:tcPr>
          <w:p>
            <w:pPr>
              <w:ind w:left="300"/>
              <w:spacing w:after="0"/>
              <w:rPr>
                <w:sz w:val="20"/>
                <w:szCs w:val="20"/>
                <w:color w:val="auto"/>
              </w:rPr>
            </w:pPr>
            <w:r>
              <w:rPr>
                <w:rFonts w:ascii="Arial" w:cs="Arial" w:eastAsia="Arial" w:hAnsi="Arial"/>
                <w:sz w:val="16"/>
                <w:szCs w:val="16"/>
                <w:color w:val="auto"/>
              </w:rPr>
              <w:t>Counted as a</w:t>
            </w:r>
          </w:p>
        </w:tc>
        <w:tc>
          <w:tcPr>
            <w:tcW w:w="1440" w:type="dxa"/>
            <w:vAlign w:val="bottom"/>
            <w:shd w:val="clear" w:color="auto" w:fill="D9D9D9"/>
          </w:tcPr>
          <w:p>
            <w:pPr>
              <w:ind w:left="220"/>
              <w:spacing w:after="0"/>
              <w:rPr>
                <w:sz w:val="20"/>
                <w:szCs w:val="20"/>
                <w:color w:val="auto"/>
              </w:rPr>
            </w:pPr>
            <w:r>
              <w:rPr>
                <w:rFonts w:ascii="Arial" w:cs="Arial" w:eastAsia="Arial" w:hAnsi="Arial"/>
                <w:sz w:val="16"/>
                <w:szCs w:val="16"/>
                <w:color w:val="auto"/>
              </w:rPr>
              <w:t>Not</w:t>
            </w:r>
          </w:p>
        </w:tc>
        <w:tc>
          <w:tcPr>
            <w:tcW w:w="0" w:type="dxa"/>
            <w:vAlign w:val="bottom"/>
          </w:tcPr>
          <w:p>
            <w:pPr>
              <w:spacing w:after="0"/>
              <w:rPr>
                <w:sz w:val="1"/>
                <w:szCs w:val="1"/>
                <w:color w:val="auto"/>
              </w:rPr>
            </w:pPr>
          </w:p>
        </w:tc>
      </w:tr>
      <w:tr>
        <w:trPr>
          <w:trHeight w:val="208"/>
        </w:trPr>
        <w:tc>
          <w:tcPr>
            <w:tcW w:w="220" w:type="dxa"/>
            <w:vAlign w:val="bottom"/>
            <w:shd w:val="clear" w:color="auto" w:fill="D9D9D9"/>
          </w:tcPr>
          <w:p>
            <w:pPr>
              <w:spacing w:after="0"/>
              <w:rPr>
                <w:sz w:val="18"/>
                <w:szCs w:val="18"/>
                <w:color w:val="auto"/>
              </w:rPr>
            </w:pPr>
          </w:p>
        </w:tc>
        <w:tc>
          <w:tcPr>
            <w:tcW w:w="2360" w:type="dxa"/>
            <w:vAlign w:val="bottom"/>
            <w:shd w:val="clear" w:color="auto" w:fill="D9D9D9"/>
          </w:tcPr>
          <w:p>
            <w:pPr>
              <w:ind w:left="100"/>
              <w:spacing w:after="0"/>
              <w:rPr>
                <w:sz w:val="20"/>
                <w:szCs w:val="20"/>
                <w:color w:val="auto"/>
              </w:rPr>
            </w:pPr>
            <w:r>
              <w:rPr>
                <w:rFonts w:ascii="Arial" w:cs="Arial" w:eastAsia="Arial" w:hAnsi="Arial"/>
                <w:sz w:val="16"/>
                <w:szCs w:val="16"/>
                <w:color w:val="auto"/>
              </w:rPr>
              <w:t>selection of KPMG LLP</w:t>
            </w:r>
          </w:p>
        </w:tc>
        <w:tc>
          <w:tcPr>
            <w:tcW w:w="1180" w:type="dxa"/>
            <w:vAlign w:val="bottom"/>
            <w:shd w:val="clear" w:color="auto" w:fill="D9D9D9"/>
          </w:tcPr>
          <w:p>
            <w:pPr>
              <w:spacing w:after="0"/>
              <w:rPr>
                <w:sz w:val="18"/>
                <w:szCs w:val="18"/>
                <w:color w:val="auto"/>
              </w:rPr>
            </w:pPr>
          </w:p>
        </w:tc>
        <w:tc>
          <w:tcPr>
            <w:tcW w:w="320" w:type="dxa"/>
            <w:vAlign w:val="bottom"/>
            <w:shd w:val="clear" w:color="auto" w:fill="D9D9D9"/>
          </w:tcPr>
          <w:p>
            <w:pPr>
              <w:spacing w:after="0"/>
              <w:rPr>
                <w:sz w:val="18"/>
                <w:szCs w:val="18"/>
                <w:color w:val="auto"/>
              </w:rPr>
            </w:pPr>
          </w:p>
        </w:tc>
        <w:tc>
          <w:tcPr>
            <w:tcW w:w="2260" w:type="dxa"/>
            <w:vAlign w:val="bottom"/>
            <w:shd w:val="clear" w:color="auto" w:fill="D9D9D9"/>
          </w:tcPr>
          <w:p>
            <w:pPr>
              <w:ind w:left="260"/>
              <w:spacing w:after="0"/>
              <w:rPr>
                <w:sz w:val="20"/>
                <w:szCs w:val="20"/>
                <w:color w:val="auto"/>
              </w:rPr>
            </w:pPr>
            <w:r>
              <w:rPr>
                <w:rFonts w:ascii="Arial" w:cs="Arial" w:eastAsia="Arial" w:hAnsi="Arial"/>
                <w:sz w:val="16"/>
                <w:szCs w:val="16"/>
                <w:color w:val="auto"/>
              </w:rPr>
              <w:t>or ABSTAIN</w:t>
            </w:r>
          </w:p>
        </w:tc>
        <w:tc>
          <w:tcPr>
            <w:tcW w:w="2000" w:type="dxa"/>
            <w:vAlign w:val="bottom"/>
            <w:shd w:val="clear" w:color="auto" w:fill="D9D9D9"/>
          </w:tcPr>
          <w:p>
            <w:pPr>
              <w:ind w:left="200"/>
              <w:spacing w:after="0"/>
              <w:rPr>
                <w:sz w:val="20"/>
                <w:szCs w:val="20"/>
                <w:color w:val="auto"/>
              </w:rPr>
            </w:pPr>
            <w:r>
              <w:rPr>
                <w:rFonts w:ascii="Arial" w:cs="Arial" w:eastAsia="Arial" w:hAnsi="Arial"/>
                <w:sz w:val="16"/>
                <w:szCs w:val="16"/>
                <w:color w:val="auto"/>
              </w:rPr>
              <w:t>present and entitled</w:t>
            </w:r>
          </w:p>
        </w:tc>
        <w:tc>
          <w:tcPr>
            <w:tcW w:w="1460" w:type="dxa"/>
            <w:vAlign w:val="bottom"/>
            <w:shd w:val="clear" w:color="auto" w:fill="D9D9D9"/>
          </w:tcPr>
          <w:p>
            <w:pPr>
              <w:ind w:left="300"/>
              <w:spacing w:after="0"/>
              <w:rPr>
                <w:sz w:val="20"/>
                <w:szCs w:val="20"/>
                <w:color w:val="auto"/>
              </w:rPr>
            </w:pPr>
            <w:r>
              <w:rPr>
                <w:rFonts w:ascii="Arial" w:cs="Arial" w:eastAsia="Arial" w:hAnsi="Arial"/>
                <w:sz w:val="16"/>
                <w:szCs w:val="16"/>
                <w:color w:val="auto"/>
              </w:rPr>
              <w:t>vote against</w:t>
            </w:r>
          </w:p>
        </w:tc>
        <w:tc>
          <w:tcPr>
            <w:tcW w:w="1440" w:type="dxa"/>
            <w:vAlign w:val="bottom"/>
            <w:shd w:val="clear" w:color="auto" w:fill="D9D9D9"/>
          </w:tcPr>
          <w:p>
            <w:pPr>
              <w:ind w:left="220"/>
              <w:spacing w:after="0"/>
              <w:rPr>
                <w:sz w:val="20"/>
                <w:szCs w:val="20"/>
                <w:color w:val="auto"/>
              </w:rPr>
            </w:pPr>
            <w:r>
              <w:rPr>
                <w:rFonts w:ascii="Arial" w:cs="Arial" w:eastAsia="Arial" w:hAnsi="Arial"/>
                <w:sz w:val="16"/>
                <w:szCs w:val="16"/>
                <w:color w:val="auto"/>
              </w:rPr>
              <w:t>applicable</w:t>
            </w:r>
          </w:p>
        </w:tc>
        <w:tc>
          <w:tcPr>
            <w:tcW w:w="0" w:type="dxa"/>
            <w:vAlign w:val="bottom"/>
          </w:tcPr>
          <w:p>
            <w:pPr>
              <w:spacing w:after="0"/>
              <w:rPr>
                <w:sz w:val="1"/>
                <w:szCs w:val="1"/>
                <w:color w:val="auto"/>
              </w:rPr>
            </w:pPr>
          </w:p>
        </w:tc>
      </w:tr>
      <w:tr>
        <w:trPr>
          <w:trHeight w:val="199"/>
        </w:trPr>
        <w:tc>
          <w:tcPr>
            <w:tcW w:w="220" w:type="dxa"/>
            <w:vAlign w:val="bottom"/>
            <w:shd w:val="clear" w:color="auto" w:fill="D9D9D9"/>
          </w:tcPr>
          <w:p>
            <w:pPr>
              <w:spacing w:after="0"/>
              <w:rPr>
                <w:sz w:val="17"/>
                <w:szCs w:val="17"/>
                <w:color w:val="auto"/>
              </w:rPr>
            </w:pPr>
          </w:p>
        </w:tc>
        <w:tc>
          <w:tcPr>
            <w:tcW w:w="2360" w:type="dxa"/>
            <w:vAlign w:val="bottom"/>
            <w:shd w:val="clear" w:color="auto" w:fill="D9D9D9"/>
          </w:tcPr>
          <w:p>
            <w:pPr>
              <w:ind w:left="100"/>
              <w:spacing w:after="0"/>
              <w:rPr>
                <w:sz w:val="20"/>
                <w:szCs w:val="20"/>
                <w:color w:val="auto"/>
              </w:rPr>
            </w:pPr>
            <w:r>
              <w:rPr>
                <w:rFonts w:ascii="Arial" w:cs="Arial" w:eastAsia="Arial" w:hAnsi="Arial"/>
                <w:sz w:val="16"/>
                <w:szCs w:val="16"/>
                <w:color w:val="auto"/>
              </w:rPr>
              <w:t>as our independent</w:t>
            </w:r>
          </w:p>
        </w:tc>
        <w:tc>
          <w:tcPr>
            <w:tcW w:w="1180" w:type="dxa"/>
            <w:vAlign w:val="bottom"/>
            <w:shd w:val="clear" w:color="auto" w:fill="D9D9D9"/>
          </w:tcPr>
          <w:p>
            <w:pPr>
              <w:spacing w:after="0"/>
              <w:rPr>
                <w:sz w:val="17"/>
                <w:szCs w:val="17"/>
                <w:color w:val="auto"/>
              </w:rPr>
            </w:pPr>
          </w:p>
        </w:tc>
        <w:tc>
          <w:tcPr>
            <w:tcW w:w="320" w:type="dxa"/>
            <w:vAlign w:val="bottom"/>
            <w:shd w:val="clear" w:color="auto" w:fill="D9D9D9"/>
          </w:tcPr>
          <w:p>
            <w:pPr>
              <w:spacing w:after="0"/>
              <w:rPr>
                <w:sz w:val="17"/>
                <w:szCs w:val="17"/>
                <w:color w:val="auto"/>
              </w:rPr>
            </w:pPr>
          </w:p>
        </w:tc>
        <w:tc>
          <w:tcPr>
            <w:tcW w:w="2260" w:type="dxa"/>
            <w:vAlign w:val="bottom"/>
            <w:shd w:val="clear" w:color="auto" w:fill="D9D9D9"/>
          </w:tcPr>
          <w:p>
            <w:pPr>
              <w:spacing w:after="0"/>
              <w:rPr>
                <w:sz w:val="17"/>
                <w:szCs w:val="17"/>
                <w:color w:val="auto"/>
              </w:rPr>
            </w:pPr>
          </w:p>
        </w:tc>
        <w:tc>
          <w:tcPr>
            <w:tcW w:w="2000" w:type="dxa"/>
            <w:vAlign w:val="bottom"/>
            <w:shd w:val="clear" w:color="auto" w:fill="D9D9D9"/>
          </w:tcPr>
          <w:p>
            <w:pPr>
              <w:ind w:left="200"/>
              <w:spacing w:after="0"/>
              <w:rPr>
                <w:sz w:val="20"/>
                <w:szCs w:val="20"/>
                <w:color w:val="auto"/>
              </w:rPr>
            </w:pPr>
            <w:r>
              <w:rPr>
                <w:rFonts w:ascii="Arial" w:cs="Arial" w:eastAsia="Arial" w:hAnsi="Arial"/>
                <w:sz w:val="16"/>
                <w:szCs w:val="16"/>
                <w:color w:val="auto"/>
              </w:rPr>
              <w:t>to vote</w:t>
            </w:r>
          </w:p>
        </w:tc>
        <w:tc>
          <w:tcPr>
            <w:tcW w:w="1460" w:type="dxa"/>
            <w:vAlign w:val="bottom"/>
            <w:shd w:val="clear" w:color="auto" w:fill="D9D9D9"/>
          </w:tcPr>
          <w:p>
            <w:pPr>
              <w:spacing w:after="0"/>
              <w:rPr>
                <w:sz w:val="17"/>
                <w:szCs w:val="17"/>
                <w:color w:val="auto"/>
              </w:rPr>
            </w:pPr>
          </w:p>
        </w:tc>
        <w:tc>
          <w:tcPr>
            <w:tcW w:w="144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20" w:type="dxa"/>
            <w:vAlign w:val="bottom"/>
            <w:shd w:val="clear" w:color="auto" w:fill="D9D9D9"/>
          </w:tcPr>
          <w:p>
            <w:pPr>
              <w:spacing w:after="0"/>
              <w:rPr>
                <w:sz w:val="17"/>
                <w:szCs w:val="17"/>
                <w:color w:val="auto"/>
              </w:rPr>
            </w:pPr>
          </w:p>
        </w:tc>
        <w:tc>
          <w:tcPr>
            <w:tcW w:w="2360" w:type="dxa"/>
            <w:vAlign w:val="bottom"/>
            <w:shd w:val="clear" w:color="auto" w:fill="D9D9D9"/>
          </w:tcPr>
          <w:p>
            <w:pPr>
              <w:ind w:left="100"/>
              <w:spacing w:after="0"/>
              <w:rPr>
                <w:sz w:val="20"/>
                <w:szCs w:val="20"/>
                <w:color w:val="auto"/>
              </w:rPr>
            </w:pPr>
            <w:r>
              <w:rPr>
                <w:rFonts w:ascii="Arial" w:cs="Arial" w:eastAsia="Arial" w:hAnsi="Arial"/>
                <w:sz w:val="16"/>
                <w:szCs w:val="16"/>
                <w:color w:val="auto"/>
              </w:rPr>
              <w:t>registered public</w:t>
            </w:r>
          </w:p>
        </w:tc>
        <w:tc>
          <w:tcPr>
            <w:tcW w:w="1180" w:type="dxa"/>
            <w:vAlign w:val="bottom"/>
            <w:shd w:val="clear" w:color="auto" w:fill="D9D9D9"/>
          </w:tcPr>
          <w:p>
            <w:pPr>
              <w:spacing w:after="0"/>
              <w:rPr>
                <w:sz w:val="17"/>
                <w:szCs w:val="17"/>
                <w:color w:val="auto"/>
              </w:rPr>
            </w:pPr>
          </w:p>
        </w:tc>
        <w:tc>
          <w:tcPr>
            <w:tcW w:w="320" w:type="dxa"/>
            <w:vAlign w:val="bottom"/>
            <w:shd w:val="clear" w:color="auto" w:fill="D9D9D9"/>
          </w:tcPr>
          <w:p>
            <w:pPr>
              <w:spacing w:after="0"/>
              <w:rPr>
                <w:sz w:val="17"/>
                <w:szCs w:val="17"/>
                <w:color w:val="auto"/>
              </w:rPr>
            </w:pPr>
          </w:p>
        </w:tc>
        <w:tc>
          <w:tcPr>
            <w:tcW w:w="2260" w:type="dxa"/>
            <w:vAlign w:val="bottom"/>
            <w:shd w:val="clear" w:color="auto" w:fill="D9D9D9"/>
          </w:tcPr>
          <w:p>
            <w:pPr>
              <w:spacing w:after="0"/>
              <w:rPr>
                <w:sz w:val="17"/>
                <w:szCs w:val="17"/>
                <w:color w:val="auto"/>
              </w:rPr>
            </w:pPr>
          </w:p>
        </w:tc>
        <w:tc>
          <w:tcPr>
            <w:tcW w:w="2000" w:type="dxa"/>
            <w:vAlign w:val="bottom"/>
            <w:shd w:val="clear" w:color="auto" w:fill="D9D9D9"/>
          </w:tcPr>
          <w:p>
            <w:pPr>
              <w:spacing w:after="0"/>
              <w:rPr>
                <w:sz w:val="17"/>
                <w:szCs w:val="17"/>
                <w:color w:val="auto"/>
              </w:rPr>
            </w:pPr>
          </w:p>
        </w:tc>
        <w:tc>
          <w:tcPr>
            <w:tcW w:w="1460" w:type="dxa"/>
            <w:vAlign w:val="bottom"/>
            <w:shd w:val="clear" w:color="auto" w:fill="D9D9D9"/>
          </w:tcPr>
          <w:p>
            <w:pPr>
              <w:spacing w:after="0"/>
              <w:rPr>
                <w:sz w:val="17"/>
                <w:szCs w:val="17"/>
                <w:color w:val="auto"/>
              </w:rPr>
            </w:pPr>
          </w:p>
        </w:tc>
        <w:tc>
          <w:tcPr>
            <w:tcW w:w="144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20" w:type="dxa"/>
            <w:vAlign w:val="bottom"/>
            <w:shd w:val="clear" w:color="auto" w:fill="D9D9D9"/>
          </w:tcPr>
          <w:p>
            <w:pPr>
              <w:spacing w:after="0"/>
              <w:rPr>
                <w:sz w:val="18"/>
                <w:szCs w:val="18"/>
                <w:color w:val="auto"/>
              </w:rPr>
            </w:pPr>
          </w:p>
        </w:tc>
        <w:tc>
          <w:tcPr>
            <w:tcW w:w="2360" w:type="dxa"/>
            <w:vAlign w:val="bottom"/>
            <w:shd w:val="clear" w:color="auto" w:fill="D9D9D9"/>
          </w:tcPr>
          <w:p>
            <w:pPr>
              <w:ind w:left="100"/>
              <w:spacing w:after="0"/>
              <w:rPr>
                <w:sz w:val="20"/>
                <w:szCs w:val="20"/>
                <w:color w:val="auto"/>
              </w:rPr>
            </w:pPr>
            <w:r>
              <w:rPr>
                <w:rFonts w:ascii="Arial" w:cs="Arial" w:eastAsia="Arial" w:hAnsi="Arial"/>
                <w:sz w:val="16"/>
                <w:szCs w:val="16"/>
                <w:color w:val="auto"/>
              </w:rPr>
              <w:t>accounting firm for our</w:t>
            </w:r>
          </w:p>
        </w:tc>
        <w:tc>
          <w:tcPr>
            <w:tcW w:w="1180" w:type="dxa"/>
            <w:vAlign w:val="bottom"/>
            <w:shd w:val="clear" w:color="auto" w:fill="D9D9D9"/>
          </w:tcPr>
          <w:p>
            <w:pPr>
              <w:spacing w:after="0"/>
              <w:rPr>
                <w:sz w:val="18"/>
                <w:szCs w:val="18"/>
                <w:color w:val="auto"/>
              </w:rPr>
            </w:pPr>
          </w:p>
        </w:tc>
        <w:tc>
          <w:tcPr>
            <w:tcW w:w="320" w:type="dxa"/>
            <w:vAlign w:val="bottom"/>
            <w:shd w:val="clear" w:color="auto" w:fill="D9D9D9"/>
          </w:tcPr>
          <w:p>
            <w:pPr>
              <w:spacing w:after="0"/>
              <w:rPr>
                <w:sz w:val="18"/>
                <w:szCs w:val="18"/>
                <w:color w:val="auto"/>
              </w:rPr>
            </w:pPr>
          </w:p>
        </w:tc>
        <w:tc>
          <w:tcPr>
            <w:tcW w:w="2260" w:type="dxa"/>
            <w:vAlign w:val="bottom"/>
            <w:shd w:val="clear" w:color="auto" w:fill="D9D9D9"/>
          </w:tcPr>
          <w:p>
            <w:pPr>
              <w:spacing w:after="0"/>
              <w:rPr>
                <w:sz w:val="18"/>
                <w:szCs w:val="18"/>
                <w:color w:val="auto"/>
              </w:rPr>
            </w:pPr>
          </w:p>
        </w:tc>
        <w:tc>
          <w:tcPr>
            <w:tcW w:w="2000" w:type="dxa"/>
            <w:vAlign w:val="bottom"/>
            <w:shd w:val="clear" w:color="auto" w:fill="D9D9D9"/>
          </w:tcPr>
          <w:p>
            <w:pPr>
              <w:spacing w:after="0"/>
              <w:rPr>
                <w:sz w:val="18"/>
                <w:szCs w:val="18"/>
                <w:color w:val="auto"/>
              </w:rPr>
            </w:pPr>
          </w:p>
        </w:tc>
        <w:tc>
          <w:tcPr>
            <w:tcW w:w="1460" w:type="dxa"/>
            <w:vAlign w:val="bottom"/>
            <w:shd w:val="clear" w:color="auto" w:fill="D9D9D9"/>
          </w:tcPr>
          <w:p>
            <w:pPr>
              <w:spacing w:after="0"/>
              <w:rPr>
                <w:sz w:val="18"/>
                <w:szCs w:val="18"/>
                <w:color w:val="auto"/>
              </w:rPr>
            </w:pPr>
          </w:p>
        </w:tc>
        <w:tc>
          <w:tcPr>
            <w:tcW w:w="1440" w:type="dxa"/>
            <w:vAlign w:val="bottom"/>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20" w:type="dxa"/>
            <w:vAlign w:val="bottom"/>
            <w:shd w:val="clear" w:color="auto" w:fill="D9D9D9"/>
          </w:tcPr>
          <w:p>
            <w:pPr>
              <w:spacing w:after="0"/>
              <w:rPr>
                <w:sz w:val="17"/>
                <w:szCs w:val="17"/>
                <w:color w:val="auto"/>
              </w:rPr>
            </w:pPr>
          </w:p>
        </w:tc>
        <w:tc>
          <w:tcPr>
            <w:tcW w:w="2360" w:type="dxa"/>
            <w:vAlign w:val="bottom"/>
            <w:shd w:val="clear" w:color="auto" w:fill="D9D9D9"/>
          </w:tcPr>
          <w:p>
            <w:pPr>
              <w:ind w:left="100"/>
              <w:spacing w:after="0"/>
              <w:rPr>
                <w:sz w:val="20"/>
                <w:szCs w:val="20"/>
                <w:color w:val="auto"/>
              </w:rPr>
            </w:pPr>
            <w:r>
              <w:rPr>
                <w:rFonts w:ascii="Arial" w:cs="Arial" w:eastAsia="Arial" w:hAnsi="Arial"/>
                <w:sz w:val="16"/>
                <w:szCs w:val="16"/>
                <w:color w:val="auto"/>
              </w:rPr>
              <w:t>fiscal year ending</w:t>
            </w:r>
          </w:p>
        </w:tc>
        <w:tc>
          <w:tcPr>
            <w:tcW w:w="1180" w:type="dxa"/>
            <w:vAlign w:val="bottom"/>
            <w:shd w:val="clear" w:color="auto" w:fill="D9D9D9"/>
          </w:tcPr>
          <w:p>
            <w:pPr>
              <w:spacing w:after="0"/>
              <w:rPr>
                <w:sz w:val="17"/>
                <w:szCs w:val="17"/>
                <w:color w:val="auto"/>
              </w:rPr>
            </w:pPr>
          </w:p>
        </w:tc>
        <w:tc>
          <w:tcPr>
            <w:tcW w:w="320" w:type="dxa"/>
            <w:vAlign w:val="bottom"/>
            <w:shd w:val="clear" w:color="auto" w:fill="D9D9D9"/>
          </w:tcPr>
          <w:p>
            <w:pPr>
              <w:spacing w:after="0"/>
              <w:rPr>
                <w:sz w:val="17"/>
                <w:szCs w:val="17"/>
                <w:color w:val="auto"/>
              </w:rPr>
            </w:pPr>
          </w:p>
        </w:tc>
        <w:tc>
          <w:tcPr>
            <w:tcW w:w="2260" w:type="dxa"/>
            <w:vAlign w:val="bottom"/>
            <w:shd w:val="clear" w:color="auto" w:fill="D9D9D9"/>
          </w:tcPr>
          <w:p>
            <w:pPr>
              <w:spacing w:after="0"/>
              <w:rPr>
                <w:sz w:val="17"/>
                <w:szCs w:val="17"/>
                <w:color w:val="auto"/>
              </w:rPr>
            </w:pPr>
          </w:p>
        </w:tc>
        <w:tc>
          <w:tcPr>
            <w:tcW w:w="2000" w:type="dxa"/>
            <w:vAlign w:val="bottom"/>
            <w:shd w:val="clear" w:color="auto" w:fill="D9D9D9"/>
          </w:tcPr>
          <w:p>
            <w:pPr>
              <w:spacing w:after="0"/>
              <w:rPr>
                <w:sz w:val="17"/>
                <w:szCs w:val="17"/>
                <w:color w:val="auto"/>
              </w:rPr>
            </w:pPr>
          </w:p>
        </w:tc>
        <w:tc>
          <w:tcPr>
            <w:tcW w:w="1460" w:type="dxa"/>
            <w:vAlign w:val="bottom"/>
            <w:shd w:val="clear" w:color="auto" w:fill="D9D9D9"/>
          </w:tcPr>
          <w:p>
            <w:pPr>
              <w:spacing w:after="0"/>
              <w:rPr>
                <w:sz w:val="17"/>
                <w:szCs w:val="17"/>
                <w:color w:val="auto"/>
              </w:rPr>
            </w:pPr>
          </w:p>
        </w:tc>
        <w:tc>
          <w:tcPr>
            <w:tcW w:w="144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20" w:type="dxa"/>
            <w:vAlign w:val="bottom"/>
            <w:shd w:val="clear" w:color="auto" w:fill="D9D9D9"/>
          </w:tcPr>
          <w:p>
            <w:pPr>
              <w:spacing w:after="0"/>
              <w:rPr>
                <w:sz w:val="18"/>
                <w:szCs w:val="18"/>
                <w:color w:val="auto"/>
              </w:rPr>
            </w:pPr>
          </w:p>
        </w:tc>
        <w:tc>
          <w:tcPr>
            <w:tcW w:w="2360" w:type="dxa"/>
            <w:vAlign w:val="bottom"/>
            <w:shd w:val="clear" w:color="auto" w:fill="D9D9D9"/>
          </w:tcPr>
          <w:p>
            <w:pPr>
              <w:ind w:left="100"/>
              <w:spacing w:after="0"/>
              <w:rPr>
                <w:sz w:val="20"/>
                <w:szCs w:val="20"/>
                <w:color w:val="auto"/>
              </w:rPr>
            </w:pPr>
            <w:r>
              <w:rPr>
                <w:rFonts w:ascii="Arial" w:cs="Arial" w:eastAsia="Arial" w:hAnsi="Arial"/>
                <w:sz w:val="16"/>
                <w:szCs w:val="16"/>
                <w:color w:val="auto"/>
              </w:rPr>
              <w:t>October 31, 2022</w:t>
            </w:r>
          </w:p>
        </w:tc>
        <w:tc>
          <w:tcPr>
            <w:tcW w:w="1180" w:type="dxa"/>
            <w:vAlign w:val="bottom"/>
            <w:shd w:val="clear" w:color="auto" w:fill="D9D9D9"/>
          </w:tcPr>
          <w:p>
            <w:pPr>
              <w:spacing w:after="0"/>
              <w:rPr>
                <w:sz w:val="18"/>
                <w:szCs w:val="18"/>
                <w:color w:val="auto"/>
              </w:rPr>
            </w:pPr>
          </w:p>
        </w:tc>
        <w:tc>
          <w:tcPr>
            <w:tcW w:w="320" w:type="dxa"/>
            <w:vAlign w:val="bottom"/>
            <w:shd w:val="clear" w:color="auto" w:fill="D9D9D9"/>
          </w:tcPr>
          <w:p>
            <w:pPr>
              <w:spacing w:after="0"/>
              <w:rPr>
                <w:sz w:val="18"/>
                <w:szCs w:val="18"/>
                <w:color w:val="auto"/>
              </w:rPr>
            </w:pPr>
          </w:p>
        </w:tc>
        <w:tc>
          <w:tcPr>
            <w:tcW w:w="2260" w:type="dxa"/>
            <w:vAlign w:val="bottom"/>
            <w:shd w:val="clear" w:color="auto" w:fill="D9D9D9"/>
          </w:tcPr>
          <w:p>
            <w:pPr>
              <w:spacing w:after="0"/>
              <w:rPr>
                <w:sz w:val="18"/>
                <w:szCs w:val="18"/>
                <w:color w:val="auto"/>
              </w:rPr>
            </w:pPr>
          </w:p>
        </w:tc>
        <w:tc>
          <w:tcPr>
            <w:tcW w:w="2000" w:type="dxa"/>
            <w:vAlign w:val="bottom"/>
            <w:shd w:val="clear" w:color="auto" w:fill="D9D9D9"/>
          </w:tcPr>
          <w:p>
            <w:pPr>
              <w:spacing w:after="0"/>
              <w:rPr>
                <w:sz w:val="18"/>
                <w:szCs w:val="18"/>
                <w:color w:val="auto"/>
              </w:rPr>
            </w:pPr>
          </w:p>
        </w:tc>
        <w:tc>
          <w:tcPr>
            <w:tcW w:w="1460" w:type="dxa"/>
            <w:vAlign w:val="bottom"/>
            <w:shd w:val="clear" w:color="auto" w:fill="D9D9D9"/>
          </w:tcPr>
          <w:p>
            <w:pPr>
              <w:spacing w:after="0"/>
              <w:rPr>
                <w:sz w:val="18"/>
                <w:szCs w:val="18"/>
                <w:color w:val="auto"/>
              </w:rPr>
            </w:pPr>
          </w:p>
        </w:tc>
        <w:tc>
          <w:tcPr>
            <w:tcW w:w="1440" w:type="dxa"/>
            <w:vAlign w:val="bottom"/>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80" w:type="dxa"/>
            <w:vAlign w:val="bottom"/>
            <w:gridSpan w:val="2"/>
          </w:tcPr>
          <w:p>
            <w:pPr>
              <w:spacing w:after="0"/>
              <w:rPr>
                <w:sz w:val="20"/>
                <w:szCs w:val="20"/>
                <w:color w:val="auto"/>
              </w:rPr>
            </w:pPr>
            <w:r>
              <w:rPr>
                <w:rFonts w:ascii="Arial" w:cs="Arial" w:eastAsia="Arial" w:hAnsi="Arial"/>
                <w:sz w:val="16"/>
                <w:szCs w:val="16"/>
                <w:color w:val="auto"/>
              </w:rPr>
              <w:t>3.  Approval of, on an</w:t>
            </w:r>
          </w:p>
        </w:tc>
        <w:tc>
          <w:tcPr>
            <w:tcW w:w="1500" w:type="dxa"/>
            <w:vAlign w:val="bottom"/>
            <w:gridSpan w:val="2"/>
          </w:tcPr>
          <w:p>
            <w:pPr>
              <w:ind w:left="60"/>
              <w:spacing w:after="0"/>
              <w:rPr>
                <w:sz w:val="20"/>
                <w:szCs w:val="20"/>
                <w:color w:val="auto"/>
              </w:rPr>
            </w:pPr>
            <w:r>
              <w:rPr>
                <w:rFonts w:ascii="Arial" w:cs="Arial" w:eastAsia="Arial" w:hAnsi="Arial"/>
                <w:sz w:val="16"/>
                <w:szCs w:val="16"/>
                <w:b w:val="1"/>
                <w:bCs w:val="1"/>
                <w:color w:val="auto"/>
              </w:rPr>
              <w:t>FOR</w:t>
            </w:r>
          </w:p>
        </w:tc>
        <w:tc>
          <w:tcPr>
            <w:tcW w:w="2260" w:type="dxa"/>
            <w:vAlign w:val="bottom"/>
          </w:tcPr>
          <w:p>
            <w:pPr>
              <w:ind w:left="260"/>
              <w:spacing w:after="0"/>
              <w:rPr>
                <w:sz w:val="20"/>
                <w:szCs w:val="20"/>
                <w:color w:val="auto"/>
              </w:rPr>
            </w:pPr>
            <w:r>
              <w:rPr>
                <w:rFonts w:ascii="Arial" w:cs="Arial" w:eastAsia="Arial" w:hAnsi="Arial"/>
                <w:sz w:val="16"/>
                <w:szCs w:val="16"/>
                <w:color w:val="auto"/>
              </w:rPr>
              <w:t>FOR; AGAINST;</w:t>
            </w:r>
          </w:p>
        </w:tc>
        <w:tc>
          <w:tcPr>
            <w:tcW w:w="2000" w:type="dxa"/>
            <w:vAlign w:val="bottom"/>
          </w:tcPr>
          <w:p>
            <w:pPr>
              <w:ind w:left="200"/>
              <w:spacing w:after="0"/>
              <w:rPr>
                <w:sz w:val="20"/>
                <w:szCs w:val="20"/>
                <w:color w:val="auto"/>
              </w:rPr>
            </w:pPr>
            <w:r>
              <w:rPr>
                <w:rFonts w:ascii="Arial" w:cs="Arial" w:eastAsia="Arial" w:hAnsi="Arial"/>
                <w:sz w:val="16"/>
                <w:szCs w:val="16"/>
                <w:color w:val="auto"/>
              </w:rPr>
              <w:t>Majority of shares</w:t>
            </w:r>
          </w:p>
        </w:tc>
        <w:tc>
          <w:tcPr>
            <w:tcW w:w="1460" w:type="dxa"/>
            <w:vAlign w:val="bottom"/>
          </w:tcPr>
          <w:p>
            <w:pPr>
              <w:ind w:left="300"/>
              <w:spacing w:after="0"/>
              <w:rPr>
                <w:sz w:val="20"/>
                <w:szCs w:val="20"/>
                <w:color w:val="auto"/>
              </w:rPr>
            </w:pPr>
            <w:r>
              <w:rPr>
                <w:rFonts w:ascii="Arial" w:cs="Arial" w:eastAsia="Arial" w:hAnsi="Arial"/>
                <w:sz w:val="16"/>
                <w:szCs w:val="16"/>
                <w:color w:val="auto"/>
              </w:rPr>
              <w:t>Counted as a</w:t>
            </w:r>
          </w:p>
        </w:tc>
        <w:tc>
          <w:tcPr>
            <w:tcW w:w="1440" w:type="dxa"/>
            <w:vAlign w:val="bottom"/>
          </w:tcPr>
          <w:p>
            <w:pPr>
              <w:ind w:left="220"/>
              <w:spacing w:after="0"/>
              <w:rPr>
                <w:sz w:val="20"/>
                <w:szCs w:val="20"/>
                <w:color w:val="auto"/>
              </w:rPr>
            </w:pPr>
            <w:r>
              <w:rPr>
                <w:rFonts w:ascii="Arial" w:cs="Arial" w:eastAsia="Arial" w:hAnsi="Arial"/>
                <w:sz w:val="16"/>
                <w:szCs w:val="16"/>
                <w:color w:val="auto"/>
              </w:rPr>
              <w:t>No effect</w:t>
            </w:r>
          </w:p>
        </w:tc>
        <w:tc>
          <w:tcPr>
            <w:tcW w:w="0" w:type="dxa"/>
            <w:vAlign w:val="bottom"/>
          </w:tcPr>
          <w:p>
            <w:pPr>
              <w:spacing w:after="0"/>
              <w:rPr>
                <w:sz w:val="1"/>
                <w:szCs w:val="1"/>
                <w:color w:val="auto"/>
              </w:rPr>
            </w:pPr>
          </w:p>
        </w:tc>
      </w:tr>
      <w:tr>
        <w:trPr>
          <w:trHeight w:val="208"/>
        </w:trPr>
        <w:tc>
          <w:tcPr>
            <w:tcW w:w="220" w:type="dxa"/>
            <w:vAlign w:val="bottom"/>
          </w:tcPr>
          <w:p>
            <w:pPr>
              <w:spacing w:after="0"/>
              <w:rPr>
                <w:sz w:val="18"/>
                <w:szCs w:val="18"/>
                <w:color w:val="auto"/>
              </w:rPr>
            </w:pPr>
          </w:p>
        </w:tc>
        <w:tc>
          <w:tcPr>
            <w:tcW w:w="2360" w:type="dxa"/>
            <w:vAlign w:val="bottom"/>
          </w:tcPr>
          <w:p>
            <w:pPr>
              <w:ind w:left="100"/>
              <w:spacing w:after="0"/>
              <w:rPr>
                <w:sz w:val="20"/>
                <w:szCs w:val="20"/>
                <w:color w:val="auto"/>
              </w:rPr>
            </w:pPr>
            <w:r>
              <w:rPr>
                <w:rFonts w:ascii="Arial" w:cs="Arial" w:eastAsia="Arial" w:hAnsi="Arial"/>
                <w:sz w:val="16"/>
                <w:szCs w:val="16"/>
                <w:color w:val="auto"/>
              </w:rPr>
              <w:t>advisory basis, our</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tcPr>
          <w:p>
            <w:pPr>
              <w:ind w:left="260"/>
              <w:spacing w:after="0"/>
              <w:rPr>
                <w:sz w:val="20"/>
                <w:szCs w:val="20"/>
                <w:color w:val="auto"/>
              </w:rPr>
            </w:pPr>
            <w:r>
              <w:rPr>
                <w:rFonts w:ascii="Arial" w:cs="Arial" w:eastAsia="Arial" w:hAnsi="Arial"/>
                <w:sz w:val="16"/>
                <w:szCs w:val="16"/>
                <w:color w:val="auto"/>
              </w:rPr>
              <w:t>or ABSTAIN</w:t>
            </w:r>
          </w:p>
        </w:tc>
        <w:tc>
          <w:tcPr>
            <w:tcW w:w="2000" w:type="dxa"/>
            <w:vAlign w:val="bottom"/>
          </w:tcPr>
          <w:p>
            <w:pPr>
              <w:ind w:left="200"/>
              <w:spacing w:after="0"/>
              <w:rPr>
                <w:sz w:val="20"/>
                <w:szCs w:val="20"/>
                <w:color w:val="auto"/>
              </w:rPr>
            </w:pPr>
            <w:r>
              <w:rPr>
                <w:rFonts w:ascii="Arial" w:cs="Arial" w:eastAsia="Arial" w:hAnsi="Arial"/>
                <w:sz w:val="16"/>
                <w:szCs w:val="16"/>
                <w:color w:val="auto"/>
              </w:rPr>
              <w:t>present and entitled</w:t>
            </w:r>
          </w:p>
        </w:tc>
        <w:tc>
          <w:tcPr>
            <w:tcW w:w="1460" w:type="dxa"/>
            <w:vAlign w:val="bottom"/>
          </w:tcPr>
          <w:p>
            <w:pPr>
              <w:ind w:left="300"/>
              <w:spacing w:after="0"/>
              <w:rPr>
                <w:sz w:val="20"/>
                <w:szCs w:val="20"/>
                <w:color w:val="auto"/>
              </w:rPr>
            </w:pPr>
            <w:r>
              <w:rPr>
                <w:rFonts w:ascii="Arial" w:cs="Arial" w:eastAsia="Arial" w:hAnsi="Arial"/>
                <w:sz w:val="16"/>
                <w:szCs w:val="16"/>
                <w:color w:val="auto"/>
              </w:rPr>
              <w:t>vote against</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20" w:type="dxa"/>
            <w:vAlign w:val="bottom"/>
          </w:tcPr>
          <w:p>
            <w:pPr>
              <w:spacing w:after="0"/>
              <w:rPr>
                <w:sz w:val="17"/>
                <w:szCs w:val="17"/>
                <w:color w:val="auto"/>
              </w:rPr>
            </w:pPr>
          </w:p>
        </w:tc>
        <w:tc>
          <w:tcPr>
            <w:tcW w:w="2360" w:type="dxa"/>
            <w:vAlign w:val="bottom"/>
          </w:tcPr>
          <w:p>
            <w:pPr>
              <w:ind w:left="100"/>
              <w:spacing w:after="0"/>
              <w:rPr>
                <w:sz w:val="20"/>
                <w:szCs w:val="20"/>
                <w:color w:val="auto"/>
              </w:rPr>
            </w:pPr>
            <w:r>
              <w:rPr>
                <w:rFonts w:ascii="Arial" w:cs="Arial" w:eastAsia="Arial" w:hAnsi="Arial"/>
                <w:sz w:val="16"/>
                <w:szCs w:val="16"/>
                <w:color w:val="auto"/>
              </w:rPr>
              <w:t>executive</w:t>
            </w: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000" w:type="dxa"/>
            <w:vAlign w:val="bottom"/>
          </w:tcPr>
          <w:p>
            <w:pPr>
              <w:ind w:left="200"/>
              <w:spacing w:after="0"/>
              <w:rPr>
                <w:sz w:val="20"/>
                <w:szCs w:val="20"/>
                <w:color w:val="auto"/>
              </w:rPr>
            </w:pPr>
            <w:r>
              <w:rPr>
                <w:rFonts w:ascii="Arial" w:cs="Arial" w:eastAsia="Arial" w:hAnsi="Arial"/>
                <w:sz w:val="16"/>
                <w:szCs w:val="16"/>
                <w:color w:val="auto"/>
              </w:rPr>
              <w:t>to vote</w:t>
            </w: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20" w:type="dxa"/>
            <w:vAlign w:val="bottom"/>
          </w:tcPr>
          <w:p>
            <w:pPr>
              <w:spacing w:after="0"/>
              <w:rPr>
                <w:sz w:val="18"/>
                <w:szCs w:val="18"/>
                <w:color w:val="auto"/>
              </w:rPr>
            </w:pPr>
          </w:p>
        </w:tc>
        <w:tc>
          <w:tcPr>
            <w:tcW w:w="2360" w:type="dxa"/>
            <w:vAlign w:val="bottom"/>
          </w:tcPr>
          <w:p>
            <w:pPr>
              <w:ind w:left="100"/>
              <w:spacing w:after="0" w:line="217" w:lineRule="exact"/>
              <w:rPr>
                <w:sz w:val="20"/>
                <w:szCs w:val="20"/>
                <w:color w:val="auto"/>
              </w:rPr>
            </w:pPr>
            <w:r>
              <w:rPr>
                <w:rFonts w:ascii="Arial" w:cs="Arial" w:eastAsia="Arial" w:hAnsi="Arial"/>
                <w:sz w:val="15"/>
                <w:szCs w:val="15"/>
                <w:color w:val="auto"/>
              </w:rPr>
              <w:t>compensation</w:t>
            </w:r>
            <w:r>
              <w:rPr>
                <w:rFonts w:ascii="Arial" w:cs="Arial" w:eastAsia="Arial" w:hAnsi="Arial"/>
                <w:sz w:val="25"/>
                <w:szCs w:val="25"/>
                <w:color w:val="auto"/>
                <w:vertAlign w:val="superscript"/>
              </w:rPr>
              <w:t>(2)</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580" w:type="dxa"/>
            <w:vAlign w:val="bottom"/>
            <w:gridSpan w:val="2"/>
            <w:shd w:val="clear" w:color="auto" w:fill="D9D9D9"/>
          </w:tcPr>
          <w:p>
            <w:pPr>
              <w:spacing w:after="0"/>
              <w:rPr>
                <w:sz w:val="20"/>
                <w:szCs w:val="20"/>
                <w:color w:val="auto"/>
              </w:rPr>
            </w:pPr>
            <w:r>
              <w:rPr>
                <w:rFonts w:ascii="Arial" w:cs="Arial" w:eastAsia="Arial" w:hAnsi="Arial"/>
                <w:sz w:val="16"/>
                <w:szCs w:val="16"/>
                <w:color w:val="auto"/>
              </w:rPr>
              <w:t>4.  Approval of The Toro Company</w:t>
            </w:r>
          </w:p>
        </w:tc>
        <w:tc>
          <w:tcPr>
            <w:tcW w:w="1500" w:type="dxa"/>
            <w:vAlign w:val="bottom"/>
            <w:gridSpan w:val="2"/>
            <w:shd w:val="clear" w:color="auto" w:fill="D9D9D9"/>
          </w:tcPr>
          <w:p>
            <w:pPr>
              <w:ind w:left="60"/>
              <w:spacing w:after="0"/>
              <w:rPr>
                <w:sz w:val="20"/>
                <w:szCs w:val="20"/>
                <w:color w:val="auto"/>
              </w:rPr>
            </w:pPr>
            <w:r>
              <w:rPr>
                <w:rFonts w:ascii="Arial" w:cs="Arial" w:eastAsia="Arial" w:hAnsi="Arial"/>
                <w:sz w:val="16"/>
                <w:szCs w:val="16"/>
                <w:b w:val="1"/>
                <w:bCs w:val="1"/>
                <w:color w:val="auto"/>
              </w:rPr>
              <w:t>FOR</w:t>
            </w:r>
          </w:p>
        </w:tc>
        <w:tc>
          <w:tcPr>
            <w:tcW w:w="2260" w:type="dxa"/>
            <w:vAlign w:val="bottom"/>
            <w:shd w:val="clear" w:color="auto" w:fill="D9D9D9"/>
          </w:tcPr>
          <w:p>
            <w:pPr>
              <w:ind w:left="260"/>
              <w:spacing w:after="0"/>
              <w:rPr>
                <w:sz w:val="20"/>
                <w:szCs w:val="20"/>
                <w:color w:val="auto"/>
              </w:rPr>
            </w:pPr>
            <w:r>
              <w:rPr>
                <w:rFonts w:ascii="Arial" w:cs="Arial" w:eastAsia="Arial" w:hAnsi="Arial"/>
                <w:sz w:val="16"/>
                <w:szCs w:val="16"/>
                <w:color w:val="auto"/>
              </w:rPr>
              <w:t>FOR; AGAINST;</w:t>
            </w:r>
          </w:p>
        </w:tc>
        <w:tc>
          <w:tcPr>
            <w:tcW w:w="2000" w:type="dxa"/>
            <w:vAlign w:val="bottom"/>
            <w:shd w:val="clear" w:color="auto" w:fill="D9D9D9"/>
          </w:tcPr>
          <w:p>
            <w:pPr>
              <w:ind w:left="200"/>
              <w:spacing w:after="0"/>
              <w:rPr>
                <w:sz w:val="20"/>
                <w:szCs w:val="20"/>
                <w:color w:val="auto"/>
              </w:rPr>
            </w:pPr>
            <w:r>
              <w:rPr>
                <w:rFonts w:ascii="Arial" w:cs="Arial" w:eastAsia="Arial" w:hAnsi="Arial"/>
                <w:sz w:val="16"/>
                <w:szCs w:val="16"/>
                <w:color w:val="auto"/>
              </w:rPr>
              <w:t>Majority of votes cast</w:t>
            </w:r>
          </w:p>
        </w:tc>
        <w:tc>
          <w:tcPr>
            <w:tcW w:w="1460" w:type="dxa"/>
            <w:vAlign w:val="bottom"/>
            <w:shd w:val="clear" w:color="auto" w:fill="D9D9D9"/>
          </w:tcPr>
          <w:p>
            <w:pPr>
              <w:ind w:left="300"/>
              <w:spacing w:after="0"/>
              <w:rPr>
                <w:sz w:val="20"/>
                <w:szCs w:val="20"/>
                <w:color w:val="auto"/>
              </w:rPr>
            </w:pPr>
            <w:r>
              <w:rPr>
                <w:rFonts w:ascii="Arial" w:cs="Arial" w:eastAsia="Arial" w:hAnsi="Arial"/>
                <w:sz w:val="16"/>
                <w:szCs w:val="16"/>
                <w:color w:val="auto"/>
              </w:rPr>
              <w:t>Counted as a</w:t>
            </w:r>
          </w:p>
        </w:tc>
        <w:tc>
          <w:tcPr>
            <w:tcW w:w="1440" w:type="dxa"/>
            <w:vAlign w:val="bottom"/>
            <w:shd w:val="clear" w:color="auto" w:fill="D9D9D9"/>
          </w:tcPr>
          <w:p>
            <w:pPr>
              <w:ind w:left="220"/>
              <w:spacing w:after="0"/>
              <w:rPr>
                <w:sz w:val="20"/>
                <w:szCs w:val="20"/>
                <w:color w:val="auto"/>
              </w:rPr>
            </w:pPr>
            <w:r>
              <w:rPr>
                <w:rFonts w:ascii="Arial" w:cs="Arial" w:eastAsia="Arial" w:hAnsi="Arial"/>
                <w:sz w:val="16"/>
                <w:szCs w:val="16"/>
                <w:color w:val="auto"/>
              </w:rPr>
              <w:t>No effect</w:t>
            </w:r>
          </w:p>
        </w:tc>
        <w:tc>
          <w:tcPr>
            <w:tcW w:w="0" w:type="dxa"/>
            <w:vAlign w:val="bottom"/>
          </w:tcPr>
          <w:p>
            <w:pPr>
              <w:spacing w:after="0"/>
              <w:rPr>
                <w:sz w:val="1"/>
                <w:szCs w:val="1"/>
                <w:color w:val="auto"/>
              </w:rPr>
            </w:pPr>
          </w:p>
        </w:tc>
      </w:tr>
      <w:tr>
        <w:trPr>
          <w:trHeight w:val="224"/>
        </w:trPr>
        <w:tc>
          <w:tcPr>
            <w:tcW w:w="220" w:type="dxa"/>
            <w:vAlign w:val="bottom"/>
            <w:shd w:val="clear" w:color="auto" w:fill="D9D9D9"/>
          </w:tcPr>
          <w:p>
            <w:pPr>
              <w:spacing w:after="0"/>
              <w:rPr>
                <w:sz w:val="19"/>
                <w:szCs w:val="19"/>
                <w:color w:val="auto"/>
              </w:rPr>
            </w:pPr>
          </w:p>
        </w:tc>
        <w:tc>
          <w:tcPr>
            <w:tcW w:w="2360" w:type="dxa"/>
            <w:vAlign w:val="bottom"/>
            <w:shd w:val="clear" w:color="auto" w:fill="D9D9D9"/>
          </w:tcPr>
          <w:p>
            <w:pPr>
              <w:ind w:left="100"/>
              <w:spacing w:after="0"/>
              <w:rPr>
                <w:sz w:val="20"/>
                <w:szCs w:val="20"/>
                <w:color w:val="auto"/>
              </w:rPr>
            </w:pPr>
            <w:r>
              <w:rPr>
                <w:rFonts w:ascii="Arial" w:cs="Arial" w:eastAsia="Arial" w:hAnsi="Arial"/>
                <w:sz w:val="16"/>
                <w:szCs w:val="16"/>
                <w:color w:val="auto"/>
              </w:rPr>
              <w:t>2022 Equity and Incentive Plan</w:t>
            </w:r>
          </w:p>
        </w:tc>
        <w:tc>
          <w:tcPr>
            <w:tcW w:w="1180" w:type="dxa"/>
            <w:vAlign w:val="bottom"/>
            <w:shd w:val="clear" w:color="auto" w:fill="D9D9D9"/>
          </w:tcPr>
          <w:p>
            <w:pPr>
              <w:spacing w:after="0"/>
              <w:rPr>
                <w:sz w:val="19"/>
                <w:szCs w:val="19"/>
                <w:color w:val="auto"/>
              </w:rPr>
            </w:pPr>
          </w:p>
        </w:tc>
        <w:tc>
          <w:tcPr>
            <w:tcW w:w="320" w:type="dxa"/>
            <w:vAlign w:val="bottom"/>
            <w:shd w:val="clear" w:color="auto" w:fill="D9D9D9"/>
          </w:tcPr>
          <w:p>
            <w:pPr>
              <w:spacing w:after="0"/>
              <w:rPr>
                <w:sz w:val="19"/>
                <w:szCs w:val="19"/>
                <w:color w:val="auto"/>
              </w:rPr>
            </w:pPr>
          </w:p>
        </w:tc>
        <w:tc>
          <w:tcPr>
            <w:tcW w:w="2260" w:type="dxa"/>
            <w:vAlign w:val="bottom"/>
            <w:shd w:val="clear" w:color="auto" w:fill="D9D9D9"/>
          </w:tcPr>
          <w:p>
            <w:pPr>
              <w:ind w:left="260"/>
              <w:spacing w:after="0"/>
              <w:rPr>
                <w:sz w:val="20"/>
                <w:szCs w:val="20"/>
                <w:color w:val="auto"/>
              </w:rPr>
            </w:pPr>
            <w:r>
              <w:rPr>
                <w:rFonts w:ascii="Arial" w:cs="Arial" w:eastAsia="Arial" w:hAnsi="Arial"/>
                <w:sz w:val="16"/>
                <w:szCs w:val="16"/>
                <w:color w:val="auto"/>
              </w:rPr>
              <w:t>or ABSTAIN</w:t>
            </w:r>
          </w:p>
        </w:tc>
        <w:tc>
          <w:tcPr>
            <w:tcW w:w="2000" w:type="dxa"/>
            <w:vAlign w:val="bottom"/>
            <w:shd w:val="clear" w:color="auto" w:fill="D9D9D9"/>
          </w:tcPr>
          <w:p>
            <w:pPr>
              <w:spacing w:after="0"/>
              <w:rPr>
                <w:sz w:val="19"/>
                <w:szCs w:val="19"/>
                <w:color w:val="auto"/>
              </w:rPr>
            </w:pPr>
          </w:p>
        </w:tc>
        <w:tc>
          <w:tcPr>
            <w:tcW w:w="1460" w:type="dxa"/>
            <w:vAlign w:val="bottom"/>
            <w:shd w:val="clear" w:color="auto" w:fill="D9D9D9"/>
          </w:tcPr>
          <w:p>
            <w:pPr>
              <w:ind w:left="300"/>
              <w:spacing w:after="0"/>
              <w:rPr>
                <w:sz w:val="20"/>
                <w:szCs w:val="20"/>
                <w:color w:val="auto"/>
              </w:rPr>
            </w:pPr>
            <w:r>
              <w:rPr>
                <w:rFonts w:ascii="Arial" w:cs="Arial" w:eastAsia="Arial" w:hAnsi="Arial"/>
                <w:sz w:val="16"/>
                <w:szCs w:val="16"/>
                <w:color w:val="auto"/>
              </w:rPr>
              <w:t>vote against</w:t>
            </w:r>
          </w:p>
        </w:tc>
        <w:tc>
          <w:tcPr>
            <w:tcW w:w="1440" w:type="dxa"/>
            <w:vAlign w:val="bottom"/>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220" w:type="dxa"/>
            <w:vAlign w:val="bottom"/>
            <w:tcBorders>
              <w:bottom w:val="single" w:sz="8" w:color="C00000"/>
            </w:tcBorders>
          </w:tcPr>
          <w:p>
            <w:pPr>
              <w:spacing w:after="0"/>
              <w:rPr>
                <w:sz w:val="8"/>
                <w:szCs w:val="8"/>
                <w:color w:val="auto"/>
              </w:rPr>
            </w:pPr>
          </w:p>
        </w:tc>
        <w:tc>
          <w:tcPr>
            <w:tcW w:w="2360" w:type="dxa"/>
            <w:vAlign w:val="bottom"/>
            <w:tcBorders>
              <w:bottom w:val="single" w:sz="8" w:color="C00000"/>
            </w:tcBorders>
          </w:tcPr>
          <w:p>
            <w:pPr>
              <w:spacing w:after="0"/>
              <w:rPr>
                <w:sz w:val="8"/>
                <w:szCs w:val="8"/>
                <w:color w:val="auto"/>
              </w:rPr>
            </w:pPr>
          </w:p>
        </w:tc>
        <w:tc>
          <w:tcPr>
            <w:tcW w:w="1180" w:type="dxa"/>
            <w:vAlign w:val="bottom"/>
            <w:tcBorders>
              <w:bottom w:val="single" w:sz="8" w:color="C00000"/>
            </w:tcBorders>
          </w:tcPr>
          <w:p>
            <w:pPr>
              <w:spacing w:after="0"/>
              <w:rPr>
                <w:sz w:val="8"/>
                <w:szCs w:val="8"/>
                <w:color w:val="auto"/>
              </w:rPr>
            </w:pPr>
          </w:p>
        </w:tc>
        <w:tc>
          <w:tcPr>
            <w:tcW w:w="3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400" w:right="40" w:hanging="394"/>
        <w:spacing w:after="0" w:line="234" w:lineRule="auto"/>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Under our Amended and Restated Bylaws, if any nominee for director in an uncontested election as to whom a majority of the votes of the shares present at the virtual meeting or represented by proxy at the annual meeting and entitled to vote on the election of directors are designated to be “withheld” or are voted “against,” that director must tender his or her resignation for consideration by our Nominating &amp; Governance Committee. Our Nominating &amp; Governance Committee then must evaluate the best interests of our Company and shareholders and recommend the action to be taken by the Board with respect to such tendered resignation.</w:t>
      </w:r>
    </w:p>
    <w:p>
      <w:pPr>
        <w:spacing w:after="0" w:line="41" w:lineRule="exact"/>
        <w:rPr>
          <w:rFonts w:ascii="Arial" w:cs="Arial" w:eastAsia="Arial" w:hAnsi="Arial"/>
          <w:sz w:val="18"/>
          <w:szCs w:val="18"/>
          <w:color w:val="auto"/>
        </w:rPr>
      </w:pPr>
    </w:p>
    <w:p>
      <w:pPr>
        <w:ind w:left="400" w:right="380" w:hanging="394"/>
        <w:spacing w:after="0" w:line="238" w:lineRule="auto"/>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While an advisory vote, our Compensation &amp; Human Resources Committee and Board expect to take into account the outcome of the vote when considering future executive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How Will My Shares Be Voted?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shd w:val="clear" w:color="auto" w:fill="C00000"/>
          </w:tcPr>
          <w:p>
            <w:pPr>
              <w:spacing w:after="0"/>
              <w:rPr>
                <w:sz w:val="14"/>
                <w:szCs w:val="14"/>
                <w:color w:val="auto"/>
              </w:rPr>
            </w:pPr>
          </w:p>
        </w:tc>
        <w:tc>
          <w:tcPr>
            <w:tcW w:w="4940" w:type="dxa"/>
            <w:vAlign w:val="bottom"/>
            <w:vMerge w:val="restart"/>
            <w:shd w:val="clear" w:color="auto" w:fill="C00000"/>
          </w:tcPr>
          <w:p>
            <w:pPr>
              <w:ind w:left="1820"/>
              <w:spacing w:after="0"/>
              <w:rPr>
                <w:sz w:val="20"/>
                <w:szCs w:val="20"/>
                <w:color w:val="auto"/>
              </w:rPr>
            </w:pPr>
            <w:r>
              <w:rPr>
                <w:rFonts w:ascii="Arial" w:cs="Arial" w:eastAsia="Arial" w:hAnsi="Arial"/>
                <w:sz w:val="14"/>
                <w:szCs w:val="14"/>
                <w:b w:val="1"/>
                <w:bCs w:val="1"/>
                <w:color w:val="FFFFFF"/>
              </w:rPr>
              <w:t>How Your Shares will be Voted If You</w:t>
            </w:r>
          </w:p>
        </w:tc>
        <w:tc>
          <w:tcPr>
            <w:tcW w:w="2700" w:type="dxa"/>
            <w:vAlign w:val="bottom"/>
            <w:shd w:val="clear" w:color="auto" w:fill="C00000"/>
          </w:tcPr>
          <w:p>
            <w:pPr>
              <w:ind w:left="660"/>
              <w:spacing w:after="0"/>
              <w:rPr>
                <w:sz w:val="20"/>
                <w:szCs w:val="20"/>
                <w:color w:val="auto"/>
              </w:rPr>
            </w:pPr>
            <w:r>
              <w:rPr>
                <w:rFonts w:ascii="Arial" w:cs="Arial" w:eastAsia="Arial" w:hAnsi="Arial"/>
                <w:sz w:val="14"/>
                <w:szCs w:val="14"/>
                <w:b w:val="1"/>
                <w:bCs w:val="1"/>
                <w:color w:val="FFFFFF"/>
              </w:rPr>
              <w:t>How Your Shares will be</w:t>
            </w:r>
          </w:p>
        </w:tc>
        <w:tc>
          <w:tcPr>
            <w:tcW w:w="0" w:type="dxa"/>
            <w:vAlign w:val="bottom"/>
          </w:tcPr>
          <w:p>
            <w:pPr>
              <w:spacing w:after="0"/>
              <w:rPr>
                <w:sz w:val="1"/>
                <w:szCs w:val="1"/>
                <w:color w:val="auto"/>
              </w:rPr>
            </w:pPr>
          </w:p>
        </w:tc>
      </w:tr>
      <w:tr>
        <w:trPr>
          <w:trHeight w:val="93"/>
        </w:trPr>
        <w:tc>
          <w:tcPr>
            <w:tcW w:w="3600" w:type="dxa"/>
            <w:vAlign w:val="bottom"/>
            <w:shd w:val="clear" w:color="auto" w:fill="C00000"/>
          </w:tcPr>
          <w:p>
            <w:pPr>
              <w:spacing w:after="0"/>
              <w:rPr>
                <w:sz w:val="8"/>
                <w:szCs w:val="8"/>
                <w:color w:val="auto"/>
              </w:rPr>
            </w:pPr>
          </w:p>
        </w:tc>
        <w:tc>
          <w:tcPr>
            <w:tcW w:w="4940" w:type="dxa"/>
            <w:vAlign w:val="bottom"/>
            <w:vMerge w:val="continue"/>
            <w:shd w:val="clear" w:color="auto" w:fill="C00000"/>
          </w:tcPr>
          <w:p>
            <w:pPr>
              <w:spacing w:after="0"/>
              <w:rPr>
                <w:sz w:val="8"/>
                <w:szCs w:val="8"/>
                <w:color w:val="auto"/>
              </w:rPr>
            </w:pPr>
          </w:p>
        </w:tc>
        <w:tc>
          <w:tcPr>
            <w:tcW w:w="2700" w:type="dxa"/>
            <w:vAlign w:val="bottom"/>
            <w:vMerge w:val="restart"/>
            <w:shd w:val="clear" w:color="auto" w:fill="C00000"/>
          </w:tcPr>
          <w:p>
            <w:pPr>
              <w:ind w:left="660"/>
              <w:spacing w:after="0" w:line="159" w:lineRule="exact"/>
              <w:rPr>
                <w:sz w:val="20"/>
                <w:szCs w:val="20"/>
                <w:color w:val="auto"/>
              </w:rPr>
            </w:pPr>
            <w:r>
              <w:rPr>
                <w:rFonts w:ascii="Arial" w:cs="Arial" w:eastAsia="Arial" w:hAnsi="Arial"/>
                <w:sz w:val="14"/>
                <w:szCs w:val="14"/>
                <w:b w:val="1"/>
                <w:bCs w:val="1"/>
                <w:color w:val="FFFFFF"/>
              </w:rPr>
              <w:t>Voted If You</w:t>
            </w:r>
          </w:p>
        </w:tc>
        <w:tc>
          <w:tcPr>
            <w:tcW w:w="0" w:type="dxa"/>
            <w:vAlign w:val="bottom"/>
          </w:tcPr>
          <w:p>
            <w:pPr>
              <w:spacing w:after="0"/>
              <w:rPr>
                <w:sz w:val="1"/>
                <w:szCs w:val="1"/>
                <w:color w:val="auto"/>
              </w:rPr>
            </w:pPr>
          </w:p>
        </w:tc>
      </w:tr>
      <w:tr>
        <w:trPr>
          <w:trHeight w:val="66"/>
        </w:trPr>
        <w:tc>
          <w:tcPr>
            <w:tcW w:w="3600" w:type="dxa"/>
            <w:vAlign w:val="bottom"/>
            <w:vMerge w:val="restart"/>
            <w:shd w:val="clear" w:color="auto" w:fill="C00000"/>
          </w:tcPr>
          <w:p>
            <w:pPr>
              <w:spacing w:after="0"/>
              <w:rPr>
                <w:sz w:val="20"/>
                <w:szCs w:val="20"/>
                <w:color w:val="auto"/>
              </w:rPr>
            </w:pPr>
            <w:r>
              <w:rPr>
                <w:rFonts w:ascii="Arial" w:cs="Arial" w:eastAsia="Arial" w:hAnsi="Arial"/>
                <w:sz w:val="14"/>
                <w:szCs w:val="14"/>
                <w:b w:val="1"/>
                <w:bCs w:val="1"/>
                <w:color w:val="FFFFFF"/>
              </w:rPr>
              <w:t>How Your Shares are Held</w:t>
            </w:r>
          </w:p>
        </w:tc>
        <w:tc>
          <w:tcPr>
            <w:tcW w:w="4940" w:type="dxa"/>
            <w:vAlign w:val="bottom"/>
            <w:vMerge w:val="restart"/>
            <w:shd w:val="clear" w:color="auto" w:fill="C00000"/>
          </w:tcPr>
          <w:p>
            <w:pPr>
              <w:ind w:left="1820"/>
              <w:spacing w:after="0"/>
              <w:rPr>
                <w:sz w:val="20"/>
                <w:szCs w:val="20"/>
                <w:color w:val="auto"/>
              </w:rPr>
            </w:pPr>
            <w:r>
              <w:rPr>
                <w:rFonts w:ascii="Arial" w:cs="Arial" w:eastAsia="Arial" w:hAnsi="Arial"/>
                <w:sz w:val="14"/>
                <w:szCs w:val="14"/>
                <w:b w:val="1"/>
                <w:bCs w:val="1"/>
                <w:color w:val="FFFFFF"/>
              </w:rPr>
              <w:t>Specify How to Vote</w:t>
            </w:r>
          </w:p>
        </w:tc>
        <w:tc>
          <w:tcPr>
            <w:tcW w:w="2700" w:type="dxa"/>
            <w:vAlign w:val="bottom"/>
            <w:vMerge w:val="continue"/>
            <w:shd w:val="clear" w:color="auto" w:fill="C00000"/>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3600" w:type="dxa"/>
            <w:vAlign w:val="bottom"/>
            <w:vMerge w:val="continue"/>
            <w:shd w:val="clear" w:color="auto" w:fill="C00000"/>
          </w:tcPr>
          <w:p>
            <w:pPr>
              <w:spacing w:after="0"/>
              <w:rPr>
                <w:sz w:val="10"/>
                <w:szCs w:val="10"/>
                <w:color w:val="auto"/>
              </w:rPr>
            </w:pPr>
          </w:p>
        </w:tc>
        <w:tc>
          <w:tcPr>
            <w:tcW w:w="4940" w:type="dxa"/>
            <w:vAlign w:val="bottom"/>
            <w:vMerge w:val="continue"/>
            <w:shd w:val="clear" w:color="auto" w:fill="C00000"/>
          </w:tcPr>
          <w:p>
            <w:pPr>
              <w:spacing w:after="0"/>
              <w:rPr>
                <w:sz w:val="10"/>
                <w:szCs w:val="10"/>
                <w:color w:val="auto"/>
              </w:rPr>
            </w:pPr>
          </w:p>
        </w:tc>
        <w:tc>
          <w:tcPr>
            <w:tcW w:w="2700" w:type="dxa"/>
            <w:vAlign w:val="bottom"/>
            <w:vMerge w:val="restart"/>
            <w:shd w:val="clear" w:color="auto" w:fill="C00000"/>
          </w:tcPr>
          <w:p>
            <w:pPr>
              <w:ind w:left="660"/>
              <w:spacing w:after="0"/>
              <w:rPr>
                <w:sz w:val="20"/>
                <w:szCs w:val="20"/>
                <w:color w:val="auto"/>
              </w:rPr>
            </w:pPr>
            <w:r>
              <w:rPr>
                <w:rFonts w:ascii="Arial" w:cs="Arial" w:eastAsia="Arial" w:hAnsi="Arial"/>
                <w:sz w:val="14"/>
                <w:szCs w:val="14"/>
                <w:b w:val="1"/>
                <w:bCs w:val="1"/>
                <w:color w:val="FFFFFF"/>
              </w:rPr>
              <w:t>Do Not Specify How to Vote</w:t>
            </w:r>
          </w:p>
        </w:tc>
        <w:tc>
          <w:tcPr>
            <w:tcW w:w="0" w:type="dxa"/>
            <w:vAlign w:val="bottom"/>
          </w:tcPr>
          <w:p>
            <w:pPr>
              <w:spacing w:after="0"/>
              <w:rPr>
                <w:sz w:val="1"/>
                <w:szCs w:val="1"/>
                <w:color w:val="auto"/>
              </w:rPr>
            </w:pPr>
          </w:p>
        </w:tc>
      </w:tr>
      <w:tr>
        <w:trPr>
          <w:trHeight w:val="78"/>
        </w:trPr>
        <w:tc>
          <w:tcPr>
            <w:tcW w:w="3600" w:type="dxa"/>
            <w:vAlign w:val="bottom"/>
            <w:shd w:val="clear" w:color="auto" w:fill="C00000"/>
          </w:tcPr>
          <w:p>
            <w:pPr>
              <w:spacing w:after="0"/>
              <w:rPr>
                <w:sz w:val="6"/>
                <w:szCs w:val="6"/>
                <w:color w:val="auto"/>
              </w:rPr>
            </w:pPr>
          </w:p>
        </w:tc>
        <w:tc>
          <w:tcPr>
            <w:tcW w:w="4940" w:type="dxa"/>
            <w:vAlign w:val="bottom"/>
            <w:shd w:val="clear" w:color="auto" w:fill="C00000"/>
          </w:tcPr>
          <w:p>
            <w:pPr>
              <w:spacing w:after="0"/>
              <w:rPr>
                <w:sz w:val="6"/>
                <w:szCs w:val="6"/>
                <w:color w:val="auto"/>
              </w:rPr>
            </w:pPr>
          </w:p>
        </w:tc>
        <w:tc>
          <w:tcPr>
            <w:tcW w:w="2700" w:type="dxa"/>
            <w:vAlign w:val="bottom"/>
            <w:vMerge w:val="continue"/>
            <w:shd w:val="clear" w:color="auto" w:fill="C00000"/>
          </w:tcPr>
          <w:p>
            <w:pPr>
              <w:spacing w:after="0"/>
              <w:rPr>
                <w:sz w:val="6"/>
                <w:szCs w:val="6"/>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tabs>
          <w:tab w:leader="none" w:pos="5400" w:val="left"/>
        </w:tabs>
        <w:rPr>
          <w:sz w:val="20"/>
          <w:szCs w:val="20"/>
          <w:color w:val="auto"/>
        </w:rPr>
      </w:pPr>
      <w:r>
        <w:rPr>
          <w:rFonts w:ascii="Arial" w:cs="Arial" w:eastAsia="Arial" w:hAnsi="Arial"/>
          <w:sz w:val="16"/>
          <w:szCs w:val="16"/>
          <w:color w:val="auto"/>
        </w:rPr>
        <w:t>Shares registered in your name</w:t>
      </w:r>
      <w:r>
        <w:rPr>
          <w:sz w:val="20"/>
          <w:szCs w:val="20"/>
          <w:color w:val="auto"/>
        </w:rPr>
        <w:tab/>
      </w:r>
      <w:r>
        <w:rPr>
          <w:rFonts w:ascii="Arial" w:cs="Arial" w:eastAsia="Arial" w:hAnsi="Arial"/>
          <w:sz w:val="15"/>
          <w:szCs w:val="15"/>
          <w:color w:val="auto"/>
        </w:rPr>
        <w:t>The named proxies will vote your shares</w:t>
      </w:r>
    </w:p>
    <w:p>
      <w:pPr>
        <w:spacing w:after="0" w:line="29"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as you direct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7134225" cy="6330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633095"/>
                    </a:xfrm>
                    <a:prstGeom prst="rect">
                      <a:avLst/>
                    </a:prstGeom>
                    <a:noFill/>
                  </pic:spPr>
                </pic:pic>
              </a:graphicData>
            </a:graphic>
          </wp:anchor>
        </w:drawing>
      </w:r>
    </w:p>
    <w:p>
      <w:pPr>
        <w:spacing w:after="0" w:line="195" w:lineRule="exact"/>
        <w:rPr>
          <w:sz w:val="20"/>
          <w:szCs w:val="20"/>
          <w:color w:val="auto"/>
        </w:rPr>
      </w:pPr>
    </w:p>
    <w:p>
      <w:pPr>
        <w:spacing w:after="0"/>
        <w:tabs>
          <w:tab w:leader="none" w:pos="5400" w:val="left"/>
        </w:tabs>
        <w:rPr>
          <w:sz w:val="20"/>
          <w:szCs w:val="20"/>
          <w:color w:val="auto"/>
        </w:rPr>
      </w:pPr>
      <w:r>
        <w:rPr>
          <w:rFonts w:ascii="Arial" w:cs="Arial" w:eastAsia="Arial" w:hAnsi="Arial"/>
          <w:sz w:val="16"/>
          <w:szCs w:val="16"/>
          <w:color w:val="auto"/>
        </w:rPr>
        <w:t>Shares held in street name</w:t>
      </w:r>
      <w:r>
        <w:rPr>
          <w:sz w:val="20"/>
          <w:szCs w:val="20"/>
          <w:color w:val="auto"/>
        </w:rPr>
        <w:tab/>
      </w:r>
      <w:r>
        <w:rPr>
          <w:rFonts w:ascii="Arial" w:cs="Arial" w:eastAsia="Arial" w:hAnsi="Arial"/>
          <w:sz w:val="15"/>
          <w:szCs w:val="15"/>
          <w:color w:val="auto"/>
        </w:rPr>
        <w:t>Your broker will vote your shares as you</w:t>
      </w:r>
    </w:p>
    <w:p>
      <w:pPr>
        <w:spacing w:after="0" w:line="29"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direct</w:t>
      </w:r>
    </w:p>
    <w:p>
      <w:pPr>
        <w:spacing w:after="0" w:line="200" w:lineRule="exact"/>
        <w:rPr>
          <w:sz w:val="20"/>
          <w:szCs w:val="20"/>
          <w:color w:val="auto"/>
        </w:rPr>
      </w:pPr>
    </w:p>
    <w:p>
      <w:pPr>
        <w:spacing w:after="0" w:line="400" w:lineRule="exact"/>
        <w:rPr>
          <w:sz w:val="20"/>
          <w:szCs w:val="20"/>
          <w:color w:val="auto"/>
        </w:rPr>
      </w:pPr>
    </w:p>
    <w:p>
      <w:pPr>
        <w:spacing w:after="0"/>
        <w:tabs>
          <w:tab w:leader="none" w:pos="5400" w:val="left"/>
        </w:tabs>
        <w:rPr>
          <w:sz w:val="20"/>
          <w:szCs w:val="20"/>
          <w:color w:val="auto"/>
        </w:rPr>
      </w:pPr>
      <w:r>
        <w:rPr>
          <w:rFonts w:ascii="Arial" w:cs="Arial" w:eastAsia="Arial" w:hAnsi="Arial"/>
          <w:sz w:val="16"/>
          <w:szCs w:val="16"/>
          <w:color w:val="auto"/>
        </w:rPr>
        <w:t>Shares held in certain TTC employee</w:t>
      </w:r>
      <w:r>
        <w:rPr>
          <w:sz w:val="20"/>
          <w:szCs w:val="20"/>
          <w:color w:val="auto"/>
        </w:rPr>
        <w:tab/>
      </w:r>
      <w:r>
        <w:rPr>
          <w:rFonts w:ascii="Arial" w:cs="Arial" w:eastAsia="Arial" w:hAnsi="Arial"/>
          <w:sz w:val="15"/>
          <w:szCs w:val="15"/>
          <w:color w:val="auto"/>
        </w:rPr>
        <w:t>The plan trustee will vote your shares</w:t>
      </w:r>
    </w:p>
    <w:p>
      <w:pPr>
        <w:spacing w:after="0" w:line="29" w:lineRule="exact"/>
        <w:rPr>
          <w:sz w:val="20"/>
          <w:szCs w:val="20"/>
          <w:color w:val="auto"/>
        </w:rPr>
      </w:pPr>
    </w:p>
    <w:p>
      <w:pPr>
        <w:spacing w:after="0"/>
        <w:tabs>
          <w:tab w:leader="none" w:pos="5400" w:val="left"/>
        </w:tabs>
        <w:rPr>
          <w:sz w:val="20"/>
          <w:szCs w:val="20"/>
          <w:color w:val="auto"/>
        </w:rPr>
      </w:pPr>
      <w:r>
        <w:rPr>
          <w:rFonts w:ascii="Arial" w:cs="Arial" w:eastAsia="Arial" w:hAnsi="Arial"/>
          <w:sz w:val="16"/>
          <w:szCs w:val="16"/>
          <w:color w:val="auto"/>
        </w:rPr>
        <w:t>benefit plans</w:t>
      </w:r>
      <w:r>
        <w:rPr>
          <w:sz w:val="20"/>
          <w:szCs w:val="20"/>
          <w:color w:val="auto"/>
        </w:rPr>
        <w:tab/>
      </w:r>
      <w:r>
        <w:rPr>
          <w:rFonts w:ascii="Arial" w:cs="Arial" w:eastAsia="Arial" w:hAnsi="Arial"/>
          <w:sz w:val="15"/>
          <w:szCs w:val="15"/>
          <w:color w:val="auto"/>
        </w:rPr>
        <w:t>confidentially as you direct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447675</wp:posOffset>
            </wp:positionV>
            <wp:extent cx="22371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0"/>
        <w:spacing w:after="0" w:line="253" w:lineRule="auto"/>
        <w:rPr>
          <w:sz w:val="20"/>
          <w:szCs w:val="20"/>
          <w:color w:val="auto"/>
        </w:rPr>
      </w:pPr>
      <w:r>
        <w:rPr>
          <w:rFonts w:ascii="Arial" w:cs="Arial" w:eastAsia="Arial" w:hAnsi="Arial"/>
          <w:sz w:val="16"/>
          <w:szCs w:val="16"/>
          <w:color w:val="auto"/>
        </w:rPr>
        <w:t xml:space="preserve">The named proxies will vote </w:t>
      </w:r>
      <w:r>
        <w:rPr>
          <w:rFonts w:ascii="Arial" w:cs="Arial" w:eastAsia="Arial" w:hAnsi="Arial"/>
          <w:sz w:val="16"/>
          <w:szCs w:val="16"/>
          <w:b w:val="1"/>
          <w:bCs w:val="1"/>
          <w:color w:val="auto"/>
        </w:rPr>
        <w:t xml:space="preserve">FOR </w:t>
      </w:r>
      <w:r>
        <w:rPr>
          <w:rFonts w:ascii="Arial" w:cs="Arial" w:eastAsia="Arial" w:hAnsi="Arial"/>
          <w:sz w:val="16"/>
          <w:szCs w:val="16"/>
          <w:color w:val="auto"/>
        </w:rPr>
        <w:t>all</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proposals</w:t>
      </w:r>
    </w:p>
    <w:p>
      <w:pPr>
        <w:spacing w:after="0" w:line="29"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Your broker may vote only on routine</w:t>
      </w:r>
    </w:p>
    <w:p>
      <w:pPr>
        <w:spacing w:after="0" w:line="11"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items in the absence of your instruction</w:t>
      </w:r>
    </w:p>
    <w:p>
      <w:pPr>
        <w:spacing w:after="0" w:line="182" w:lineRule="auto"/>
        <w:rPr>
          <w:sz w:val="20"/>
          <w:szCs w:val="20"/>
          <w:color w:val="auto"/>
        </w:rPr>
      </w:pPr>
      <w:r>
        <w:rPr>
          <w:rFonts w:ascii="Arial" w:cs="Arial" w:eastAsia="Arial" w:hAnsi="Arial"/>
          <w:sz w:val="15"/>
          <w:szCs w:val="15"/>
          <w:color w:val="auto"/>
        </w:rPr>
        <w:t>how to vote</w:t>
      </w:r>
      <w:r>
        <w:rPr>
          <w:rFonts w:ascii="Arial" w:cs="Arial" w:eastAsia="Arial" w:hAnsi="Arial"/>
          <w:sz w:val="25"/>
          <w:szCs w:val="25"/>
          <w:color w:val="auto"/>
          <w:vertAlign w:val="superscript"/>
        </w:rPr>
        <w:t>(1)</w:t>
      </w:r>
    </w:p>
    <w:p>
      <w:pPr>
        <w:ind w:right="280"/>
        <w:spacing w:after="0" w:line="253" w:lineRule="auto"/>
        <w:rPr>
          <w:sz w:val="20"/>
          <w:szCs w:val="20"/>
          <w:color w:val="auto"/>
        </w:rPr>
      </w:pPr>
      <w:r>
        <w:rPr>
          <w:rFonts w:ascii="Arial" w:cs="Arial" w:eastAsia="Arial" w:hAnsi="Arial"/>
          <w:sz w:val="16"/>
          <w:szCs w:val="16"/>
          <w:color w:val="auto"/>
        </w:rPr>
        <w:t>The plan trustee will vote your shares in</w:t>
      </w:r>
    </w:p>
    <w:p>
      <w:pPr>
        <w:spacing w:after="0" w:line="11"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the same proportion as the votes actually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cast by participants</w:t>
      </w:r>
    </w:p>
    <w:p>
      <w:pPr>
        <w:spacing w:after="0" w:line="199" w:lineRule="exact"/>
        <w:rPr>
          <w:sz w:val="20"/>
          <w:szCs w:val="20"/>
          <w:color w:val="auto"/>
        </w:rPr>
      </w:pPr>
    </w:p>
    <w:p>
      <w:pPr>
        <w:sectPr>
          <w:pgSz w:w="11900" w:h="16838" w:orient="portrait"/>
          <w:cols w:equalWidth="0" w:num="2">
            <w:col w:w="8480" w:space="720"/>
            <w:col w:w="2040"/>
          </w:cols>
          <w:pgMar w:left="320" w:top="140" w:right="339" w:bottom="1440" w:gutter="0" w:footer="0" w:header="0"/>
          <w:type w:val="continuous"/>
        </w:sectPr>
      </w:pPr>
    </w:p>
    <w:p>
      <w:pPr>
        <w:ind w:left="400" w:hanging="394"/>
        <w:spacing w:after="0" w:line="247" w:lineRule="auto"/>
        <w:tabs>
          <w:tab w:leader="none" w:pos="4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your shares are held in “street name” and you do not indicate how you wish to vote, under the New York Stock Exchange, or NYSE, rules, your broker is permitted to exercise its discretion to vote your shares only on certain “routine” matters. Proposal One—Election of Directors, Proposal Three —Advisory Approval of our Executive Compensation, and Proposal Four—Approval of 2022 Equity and Incentive Plan are not “routine” matters. Accordingly, if you do not direct your broker how to vote on those proposals, your broker may not exercise discretionary voting authority and may not vote your shares on these proposals. This is called a “broker non-vote” and although your shares will be considered to be represented by proxy at the annual meeting for purposes of establishing quorum, as discussed on page 2, they are not considered to be shares “entitled to vote” at the annual meeting and will not be counted as having been voted on the applicable proposal. Proposal Two—Ratification of Selection of Independent Registered Public Accounting Firm is a “routine” matter, and your broker is permitted to exercise discretionary voting authority to vote your shares “for” or “against” the proposal in the absence of your instruction.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What Does It Mean If I Receive More Than One Notice or Set of Proxy Materials?</w:t>
      </w:r>
    </w:p>
    <w:p>
      <w:pPr>
        <w:spacing w:after="0" w:line="127" w:lineRule="exact"/>
        <w:rPr>
          <w:sz w:val="20"/>
          <w:szCs w:val="20"/>
          <w:color w:val="auto"/>
        </w:rPr>
      </w:pPr>
    </w:p>
    <w:p>
      <w:pPr>
        <w:ind w:right="200" w:firstLine="401"/>
        <w:spacing w:after="0" w:line="233" w:lineRule="auto"/>
        <w:rPr>
          <w:sz w:val="20"/>
          <w:szCs w:val="20"/>
          <w:color w:val="auto"/>
        </w:rPr>
      </w:pPr>
      <w:r>
        <w:rPr>
          <w:rFonts w:ascii="Arial" w:cs="Arial" w:eastAsia="Arial" w:hAnsi="Arial"/>
          <w:sz w:val="18"/>
          <w:szCs w:val="18"/>
          <w:color w:val="auto"/>
        </w:rPr>
        <w:t>If you hold your shares in more than one account, you may receive multiple copies of the Notice Regarding the Availability of Proxy Materials and/or electronic or paper copies of our proxy materials. If you are a participant in the dividend reinvestment feature of our Direct Stock Purchase Plan, shares registered in your name are combined with shares you hold in that plan. Similarly, where possible, shares registered in your name are combined with shares you hold, if any, as a participant in certain TTC employee benefit plans. However, shares you hold in “street name” (through a broker, bank or other nominee) are not combined with shares registered in your name or held as a participant in TTC employee benefit plans. If you receive more than one Notice Regarding the Availability of Proxy Materials and/or electronic or paper copies of our proxy materials, you must vote separately for each notice, e-mail notification or proxy and/or voting instruction card having a unique control number to ensure that all of your shares are voted.</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How Can I Revoke or Change My Vote?</w:t>
      </w:r>
    </w:p>
    <w:p>
      <w:pPr>
        <w:spacing w:after="0" w:line="127" w:lineRule="exact"/>
        <w:rPr>
          <w:sz w:val="20"/>
          <w:szCs w:val="20"/>
          <w:color w:val="auto"/>
        </w:rPr>
      </w:pPr>
    </w:p>
    <w:p>
      <w:pPr>
        <w:ind w:right="280" w:firstLine="401"/>
        <w:spacing w:after="0" w:line="238" w:lineRule="auto"/>
        <w:rPr>
          <w:sz w:val="20"/>
          <w:szCs w:val="20"/>
          <w:color w:val="auto"/>
        </w:rPr>
      </w:pPr>
      <w:r>
        <w:rPr>
          <w:rFonts w:ascii="Arial" w:cs="Arial" w:eastAsia="Arial" w:hAnsi="Arial"/>
          <w:sz w:val="18"/>
          <w:szCs w:val="18"/>
          <w:color w:val="auto"/>
        </w:rPr>
        <w:t>You may revoke your proxy or change your vote at any time before your shares are voted at the annual meeting by one of the following methods: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740" w:type="dxa"/>
            <w:vAlign w:val="bottom"/>
            <w:tcBorders>
              <w:bottom w:val="single" w:sz="8" w:color="C00000"/>
            </w:tcBorders>
            <w:shd w:val="clear" w:color="auto" w:fill="C00000"/>
          </w:tcPr>
          <w:p>
            <w:pPr>
              <w:spacing w:after="0"/>
              <w:rPr>
                <w:sz w:val="20"/>
                <w:szCs w:val="20"/>
                <w:color w:val="auto"/>
              </w:rPr>
            </w:pPr>
            <w:r>
              <w:rPr>
                <w:rFonts w:ascii="Arial" w:cs="Arial" w:eastAsia="Arial" w:hAnsi="Arial"/>
                <w:sz w:val="14"/>
                <w:szCs w:val="14"/>
                <w:b w:val="1"/>
                <w:bCs w:val="1"/>
                <w:color w:val="FFFFFF"/>
              </w:rPr>
              <w:t>How Your Shares are Held</w:t>
            </w:r>
          </w:p>
        </w:tc>
        <w:tc>
          <w:tcPr>
            <w:tcW w:w="8500" w:type="dxa"/>
            <w:vAlign w:val="bottom"/>
            <w:tcBorders>
              <w:bottom w:val="single" w:sz="8" w:color="C00000"/>
            </w:tcBorders>
            <w:shd w:val="clear" w:color="auto" w:fill="C00000"/>
          </w:tcPr>
          <w:p>
            <w:pPr>
              <w:ind w:left="80"/>
              <w:spacing w:after="0"/>
              <w:rPr>
                <w:sz w:val="20"/>
                <w:szCs w:val="20"/>
                <w:color w:val="auto"/>
              </w:rPr>
            </w:pPr>
            <w:r>
              <w:rPr>
                <w:rFonts w:ascii="Arial" w:cs="Arial" w:eastAsia="Arial" w:hAnsi="Arial"/>
                <w:sz w:val="14"/>
                <w:szCs w:val="14"/>
                <w:b w:val="1"/>
                <w:bCs w:val="1"/>
                <w:color w:val="FFFFFF"/>
              </w:rPr>
              <w:t>Method to Revoke or Change Your Vote</w:t>
            </w:r>
          </w:p>
        </w:tc>
      </w:tr>
      <w:tr>
        <w:trPr>
          <w:trHeight w:val="215"/>
        </w:trPr>
        <w:tc>
          <w:tcPr>
            <w:tcW w:w="2740" w:type="dxa"/>
            <w:vAlign w:val="bottom"/>
          </w:tcPr>
          <w:p>
            <w:pPr>
              <w:spacing w:after="0"/>
              <w:rPr>
                <w:sz w:val="20"/>
                <w:szCs w:val="20"/>
                <w:color w:val="auto"/>
              </w:rPr>
            </w:pPr>
            <w:r>
              <w:rPr>
                <w:rFonts w:ascii="Arial" w:cs="Arial" w:eastAsia="Arial" w:hAnsi="Arial"/>
                <w:sz w:val="16"/>
                <w:szCs w:val="16"/>
                <w:color w:val="auto"/>
              </w:rPr>
              <w:t>Shares registered in your name</w:t>
            </w:r>
          </w:p>
        </w:tc>
        <w:tc>
          <w:tcPr>
            <w:tcW w:w="8500" w:type="dxa"/>
            <w:vAlign w:val="bottom"/>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Submit another proper proxy with a more recent date than that of the proxy first given by following the Internet,</w:t>
            </w:r>
          </w:p>
        </w:tc>
      </w:tr>
      <w:tr>
        <w:trPr>
          <w:trHeight w:val="192"/>
        </w:trPr>
        <w:tc>
          <w:tcPr>
            <w:tcW w:w="2740" w:type="dxa"/>
            <w:vAlign w:val="bottom"/>
          </w:tcPr>
          <w:p>
            <w:pPr>
              <w:spacing w:after="0"/>
              <w:rPr>
                <w:sz w:val="16"/>
                <w:szCs w:val="16"/>
                <w:color w:val="auto"/>
              </w:rPr>
            </w:pPr>
          </w:p>
        </w:tc>
        <w:tc>
          <w:tcPr>
            <w:tcW w:w="8500" w:type="dxa"/>
            <w:vAlign w:val="bottom"/>
          </w:tcPr>
          <w:p>
            <w:pPr>
              <w:ind w:left="240"/>
              <w:spacing w:after="0"/>
              <w:rPr>
                <w:sz w:val="20"/>
                <w:szCs w:val="20"/>
                <w:color w:val="auto"/>
              </w:rPr>
            </w:pPr>
            <w:r>
              <w:rPr>
                <w:rFonts w:ascii="Arial" w:cs="Arial" w:eastAsia="Arial" w:hAnsi="Arial"/>
                <w:sz w:val="16"/>
                <w:szCs w:val="16"/>
                <w:color w:val="auto"/>
              </w:rPr>
              <w:t>telephone or mobile device voting instructions or complete, sign, date and mail a proxy card;</w:t>
            </w:r>
          </w:p>
        </w:tc>
      </w:tr>
      <w:tr>
        <w:trPr>
          <w:trHeight w:val="230"/>
        </w:trPr>
        <w:tc>
          <w:tcPr>
            <w:tcW w:w="2740" w:type="dxa"/>
            <w:vAlign w:val="bottom"/>
          </w:tcPr>
          <w:p>
            <w:pPr>
              <w:spacing w:after="0"/>
              <w:rPr>
                <w:sz w:val="20"/>
                <w:szCs w:val="20"/>
                <w:color w:val="auto"/>
              </w:rPr>
            </w:pPr>
          </w:p>
        </w:tc>
        <w:tc>
          <w:tcPr>
            <w:tcW w:w="8500" w:type="dxa"/>
            <w:vAlign w:val="bottom"/>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Attend the annual meeting virtually and vote electronically at the meeting; or</w:t>
            </w:r>
          </w:p>
        </w:tc>
      </w:tr>
      <w:tr>
        <w:trPr>
          <w:trHeight w:val="213"/>
        </w:trPr>
        <w:tc>
          <w:tcPr>
            <w:tcW w:w="2740" w:type="dxa"/>
            <w:vAlign w:val="bottom"/>
          </w:tcPr>
          <w:p>
            <w:pPr>
              <w:spacing w:after="0"/>
              <w:rPr>
                <w:sz w:val="18"/>
                <w:szCs w:val="18"/>
                <w:color w:val="auto"/>
              </w:rPr>
            </w:pPr>
          </w:p>
        </w:tc>
        <w:tc>
          <w:tcPr>
            <w:tcW w:w="8500" w:type="dxa"/>
            <w:vAlign w:val="bottom"/>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Send written notice of revocation to our General Counsel.</w:t>
            </w:r>
          </w:p>
        </w:tc>
      </w:tr>
      <w:tr>
        <w:trPr>
          <w:trHeight w:val="233"/>
        </w:trPr>
        <w:tc>
          <w:tcPr>
            <w:tcW w:w="2740" w:type="dxa"/>
            <w:vAlign w:val="bottom"/>
            <w:tcBorders>
              <w:bottom w:val="single" w:sz="8" w:color="D9D9D9"/>
            </w:tcBorders>
            <w:shd w:val="clear" w:color="auto" w:fill="D9D9D9"/>
          </w:tcPr>
          <w:p>
            <w:pPr>
              <w:spacing w:after="0"/>
              <w:rPr>
                <w:sz w:val="20"/>
                <w:szCs w:val="20"/>
                <w:color w:val="auto"/>
              </w:rPr>
            </w:pPr>
            <w:r>
              <w:rPr>
                <w:rFonts w:ascii="Arial" w:cs="Arial" w:eastAsia="Arial" w:hAnsi="Arial"/>
                <w:sz w:val="16"/>
                <w:szCs w:val="16"/>
                <w:color w:val="auto"/>
              </w:rPr>
              <w:t>Shares held in street name</w:t>
            </w:r>
          </w:p>
        </w:tc>
        <w:tc>
          <w:tcPr>
            <w:tcW w:w="8500" w:type="dxa"/>
            <w:vAlign w:val="bottom"/>
            <w:tcBorders>
              <w:bottom w:val="single" w:sz="8" w:color="D9D9D9"/>
            </w:tcBorders>
            <w:shd w:val="clear" w:color="auto" w:fill="D9D9D9"/>
          </w:tcPr>
          <w:p>
            <w:pPr>
              <w:ind w:left="80"/>
              <w:spacing w:after="0"/>
              <w:rPr>
                <w:sz w:val="20"/>
                <w:szCs w:val="20"/>
                <w:color w:val="auto"/>
              </w:rPr>
            </w:pPr>
            <w:r>
              <w:rPr>
                <w:rFonts w:ascii="Arial" w:cs="Arial" w:eastAsia="Arial" w:hAnsi="Arial"/>
                <w:sz w:val="16"/>
                <w:szCs w:val="16"/>
                <w:color w:val="auto"/>
              </w:rPr>
              <w:t>Follow instructions provided by your broker, bank or other nominee</w:t>
            </w:r>
          </w:p>
        </w:tc>
      </w:tr>
      <w:tr>
        <w:trPr>
          <w:trHeight w:val="201"/>
        </w:trPr>
        <w:tc>
          <w:tcPr>
            <w:tcW w:w="2740" w:type="dxa"/>
            <w:vAlign w:val="bottom"/>
          </w:tcPr>
          <w:p>
            <w:pPr>
              <w:spacing w:after="0"/>
              <w:rPr>
                <w:sz w:val="20"/>
                <w:szCs w:val="20"/>
                <w:color w:val="auto"/>
              </w:rPr>
            </w:pPr>
            <w:r>
              <w:rPr>
                <w:rFonts w:ascii="Arial" w:cs="Arial" w:eastAsia="Arial" w:hAnsi="Arial"/>
                <w:sz w:val="16"/>
                <w:szCs w:val="16"/>
                <w:color w:val="auto"/>
              </w:rPr>
              <w:t>Shares held in certain TTC employee</w:t>
            </w:r>
          </w:p>
        </w:tc>
        <w:tc>
          <w:tcPr>
            <w:tcW w:w="8500" w:type="dxa"/>
            <w:vAlign w:val="bottom"/>
          </w:tcPr>
          <w:p>
            <w:pPr>
              <w:ind w:left="80"/>
              <w:spacing w:after="0"/>
              <w:rPr>
                <w:sz w:val="20"/>
                <w:szCs w:val="20"/>
                <w:color w:val="auto"/>
              </w:rPr>
            </w:pPr>
            <w:r>
              <w:rPr>
                <w:rFonts w:ascii="Arial" w:cs="Arial" w:eastAsia="Arial" w:hAnsi="Arial"/>
                <w:sz w:val="16"/>
                <w:szCs w:val="16"/>
                <w:color w:val="auto"/>
              </w:rPr>
              <w:t>Submit another proper proxy with a more recent date than that of the proxy first given by following the Internet,</w:t>
            </w:r>
          </w:p>
        </w:tc>
      </w:tr>
      <w:tr>
        <w:trPr>
          <w:trHeight w:val="192"/>
        </w:trPr>
        <w:tc>
          <w:tcPr>
            <w:tcW w:w="2740" w:type="dxa"/>
            <w:vAlign w:val="bottom"/>
          </w:tcPr>
          <w:p>
            <w:pPr>
              <w:spacing w:after="0"/>
              <w:rPr>
                <w:sz w:val="20"/>
                <w:szCs w:val="20"/>
                <w:color w:val="auto"/>
              </w:rPr>
            </w:pPr>
            <w:r>
              <w:rPr>
                <w:rFonts w:ascii="Arial" w:cs="Arial" w:eastAsia="Arial" w:hAnsi="Arial"/>
                <w:sz w:val="16"/>
                <w:szCs w:val="16"/>
                <w:color w:val="auto"/>
              </w:rPr>
              <w:t>benefit plans</w:t>
            </w:r>
          </w:p>
        </w:tc>
        <w:tc>
          <w:tcPr>
            <w:tcW w:w="8500" w:type="dxa"/>
            <w:vAlign w:val="bottom"/>
          </w:tcPr>
          <w:p>
            <w:pPr>
              <w:ind w:left="80"/>
              <w:spacing w:after="0"/>
              <w:rPr>
                <w:sz w:val="20"/>
                <w:szCs w:val="20"/>
                <w:color w:val="auto"/>
              </w:rPr>
            </w:pPr>
            <w:r>
              <w:rPr>
                <w:rFonts w:ascii="Arial" w:cs="Arial" w:eastAsia="Arial" w:hAnsi="Arial"/>
                <w:sz w:val="16"/>
                <w:szCs w:val="16"/>
                <w:color w:val="auto"/>
              </w:rPr>
              <w:t>telephone or mobile device voting instructions or complete, sign, date and mail a proxy card</w:t>
            </w:r>
          </w:p>
        </w:tc>
      </w:tr>
    </w:tbl>
    <w:p>
      <w:pPr>
        <w:spacing w:after="0" w:line="150"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Who Will Count the Votes?</w:t>
      </w:r>
    </w:p>
    <w:p>
      <w:pPr>
        <w:spacing w:after="0" w:line="127" w:lineRule="exact"/>
        <w:rPr>
          <w:sz w:val="20"/>
          <w:szCs w:val="20"/>
          <w:color w:val="auto"/>
        </w:rPr>
      </w:pPr>
    </w:p>
    <w:p>
      <w:pPr>
        <w:ind w:right="60" w:firstLine="401"/>
        <w:spacing w:after="0" w:line="238" w:lineRule="auto"/>
        <w:rPr>
          <w:sz w:val="20"/>
          <w:szCs w:val="20"/>
          <w:color w:val="auto"/>
        </w:rPr>
      </w:pPr>
      <w:r>
        <w:rPr>
          <w:rFonts w:ascii="Arial" w:cs="Arial" w:eastAsia="Arial" w:hAnsi="Arial"/>
          <w:sz w:val="18"/>
          <w:szCs w:val="18"/>
          <w:color w:val="auto"/>
        </w:rPr>
        <w:t>Broadridge Financial Solutions, Inc. has been engaged to tabulate shareholder votes. An agent of Broadridge Financial Solutions, Inc. will act as our independent inspector of elections for the annual meeting.</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How Will Business Be Conducted at the Annual Meeting?</w:t>
      </w:r>
    </w:p>
    <w:p>
      <w:pPr>
        <w:spacing w:after="0" w:line="127" w:lineRule="exact"/>
        <w:rPr>
          <w:sz w:val="20"/>
          <w:szCs w:val="20"/>
          <w:color w:val="auto"/>
        </w:rPr>
      </w:pPr>
    </w:p>
    <w:p>
      <w:pPr>
        <w:ind w:right="380" w:firstLine="401"/>
        <w:spacing w:after="0" w:line="236" w:lineRule="auto"/>
        <w:rPr>
          <w:sz w:val="20"/>
          <w:szCs w:val="20"/>
          <w:color w:val="auto"/>
        </w:rPr>
      </w:pPr>
      <w:r>
        <w:rPr>
          <w:rFonts w:ascii="Arial" w:cs="Arial" w:eastAsia="Arial" w:hAnsi="Arial"/>
          <w:sz w:val="18"/>
          <w:szCs w:val="18"/>
          <w:color w:val="auto"/>
        </w:rPr>
        <w:t>The presiding officer at the annual meeting will determine how business at the meeting will be conducted. Only nominations and other proposals brought before the annual meeting in accordance with the advance notice and information requirements of our Amended and Restated Bylaws will be considered, and no such nominations or other proposals were received.</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How Can I Ask Questions During the Annual Meeting?</w:t>
      </w:r>
    </w:p>
    <w:p>
      <w:pPr>
        <w:spacing w:after="0" w:line="127" w:lineRule="exact"/>
        <w:rPr>
          <w:sz w:val="20"/>
          <w:szCs w:val="20"/>
          <w:color w:val="auto"/>
        </w:rPr>
      </w:pPr>
    </w:p>
    <w:p>
      <w:pPr>
        <w:ind w:right="120" w:firstLine="401"/>
        <w:spacing w:after="0" w:line="235" w:lineRule="auto"/>
        <w:rPr>
          <w:sz w:val="20"/>
          <w:szCs w:val="20"/>
          <w:color w:val="auto"/>
        </w:rPr>
      </w:pPr>
      <w:r>
        <w:rPr>
          <w:rFonts w:ascii="Arial" w:cs="Arial" w:eastAsia="Arial" w:hAnsi="Arial"/>
          <w:sz w:val="18"/>
          <w:szCs w:val="18"/>
          <w:color w:val="auto"/>
        </w:rPr>
        <w:t>Shareholders may submit questions during a portion of the meeting. If you wish to submit a question during the meeting, log into the virtual meeting platform at www.virtualshareholdermeeting.com/TTC2022 using the 16-digit control number included on your proxy card, voting instruction form or Notice Regarding the Availability of Proxy Materials and follow the instructions to submit a question. Questions pertinent to meeting matters will be answered during the meeting, subject to time limitations.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134225" cy="2025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225" cy="202565"/>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PROPOSAL ONE—ELECTION OF DIRECTORS</w:t>
      </w:r>
    </w:p>
    <w:p>
      <w:pPr>
        <w:spacing w:after="0" w:line="267"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Number of Directors; Board Structure</w:t>
      </w:r>
    </w:p>
    <w:p>
      <w:pPr>
        <w:spacing w:after="0" w:line="127" w:lineRule="exact"/>
        <w:rPr>
          <w:sz w:val="20"/>
          <w:szCs w:val="20"/>
          <w:color w:val="auto"/>
        </w:rPr>
      </w:pPr>
    </w:p>
    <w:p>
      <w:pPr>
        <w:ind w:right="20" w:firstLine="401"/>
        <w:spacing w:after="0" w:line="235" w:lineRule="auto"/>
        <w:rPr>
          <w:sz w:val="20"/>
          <w:szCs w:val="20"/>
          <w:color w:val="auto"/>
        </w:rPr>
      </w:pPr>
      <w:r>
        <w:rPr>
          <w:rFonts w:ascii="Arial" w:cs="Arial" w:eastAsia="Arial" w:hAnsi="Arial"/>
          <w:sz w:val="18"/>
          <w:szCs w:val="18"/>
          <w:color w:val="auto"/>
        </w:rPr>
        <w:t>Our Restated Certificate of Incorporation provides that our Board of Directors may be comprised of between eight and twelve directors. As provided in our Restated Certificate of Incorporation, our Board is divided into three staggered classes of directors of the same or nearly the same number, with each class elected in a different year for a term of three years. Our current directors and their respective current terms are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shd w:val="clear" w:color="auto" w:fill="C00000"/>
          </w:tcPr>
          <w:p>
            <w:pPr>
              <w:jc w:val="center"/>
              <w:spacing w:after="0"/>
              <w:rPr>
                <w:sz w:val="20"/>
                <w:szCs w:val="20"/>
                <w:color w:val="auto"/>
              </w:rPr>
            </w:pPr>
            <w:r>
              <w:rPr>
                <w:rFonts w:ascii="Arial" w:cs="Arial" w:eastAsia="Arial" w:hAnsi="Arial"/>
                <w:sz w:val="16"/>
                <w:szCs w:val="16"/>
                <w:b w:val="1"/>
                <w:bCs w:val="1"/>
                <w:color w:val="FFFFFF"/>
                <w:w w:val="98"/>
              </w:rPr>
              <w:t>Current Term Ending at</w:t>
            </w:r>
          </w:p>
        </w:tc>
        <w:tc>
          <w:tcPr>
            <w:tcW w:w="3740" w:type="dxa"/>
            <w:vAlign w:val="bottom"/>
            <w:shd w:val="clear" w:color="auto" w:fill="C00000"/>
          </w:tcPr>
          <w:p>
            <w:pPr>
              <w:jc w:val="center"/>
              <w:spacing w:after="0"/>
              <w:rPr>
                <w:sz w:val="20"/>
                <w:szCs w:val="20"/>
                <w:color w:val="auto"/>
              </w:rPr>
            </w:pPr>
            <w:r>
              <w:rPr>
                <w:rFonts w:ascii="Arial" w:cs="Arial" w:eastAsia="Arial" w:hAnsi="Arial"/>
                <w:sz w:val="16"/>
                <w:szCs w:val="16"/>
                <w:b w:val="1"/>
                <w:bCs w:val="1"/>
                <w:color w:val="FFFFFF"/>
                <w:w w:val="99"/>
              </w:rPr>
              <w:t>Current Term Ending at</w:t>
            </w:r>
          </w:p>
        </w:tc>
        <w:tc>
          <w:tcPr>
            <w:tcW w:w="3740" w:type="dxa"/>
            <w:vAlign w:val="bottom"/>
            <w:shd w:val="clear" w:color="auto" w:fill="C00000"/>
          </w:tcPr>
          <w:p>
            <w:pPr>
              <w:jc w:val="center"/>
              <w:spacing w:after="0"/>
              <w:rPr>
                <w:sz w:val="20"/>
                <w:szCs w:val="20"/>
                <w:color w:val="auto"/>
              </w:rPr>
            </w:pPr>
            <w:r>
              <w:rPr>
                <w:rFonts w:ascii="Arial" w:cs="Arial" w:eastAsia="Arial" w:hAnsi="Arial"/>
                <w:sz w:val="16"/>
                <w:szCs w:val="16"/>
                <w:b w:val="1"/>
                <w:bCs w:val="1"/>
                <w:color w:val="FFFFFF"/>
                <w:w w:val="99"/>
              </w:rPr>
              <w:t>Current Term Ending at</w:t>
            </w:r>
          </w:p>
        </w:tc>
      </w:tr>
      <w:tr>
        <w:trPr>
          <w:trHeight w:val="225"/>
        </w:trPr>
        <w:tc>
          <w:tcPr>
            <w:tcW w:w="3760" w:type="dxa"/>
            <w:vAlign w:val="bottom"/>
            <w:tcBorders>
              <w:bottom w:val="single" w:sz="8" w:color="C00000"/>
            </w:tcBorders>
            <w:shd w:val="clear" w:color="auto" w:fill="C00000"/>
          </w:tcPr>
          <w:p>
            <w:pPr>
              <w:jc w:val="center"/>
              <w:spacing w:after="0"/>
              <w:rPr>
                <w:sz w:val="20"/>
                <w:szCs w:val="20"/>
                <w:color w:val="auto"/>
              </w:rPr>
            </w:pPr>
            <w:r>
              <w:rPr>
                <w:rFonts w:ascii="Arial" w:cs="Arial" w:eastAsia="Arial" w:hAnsi="Arial"/>
                <w:sz w:val="16"/>
                <w:szCs w:val="16"/>
                <w:b w:val="1"/>
                <w:bCs w:val="1"/>
                <w:color w:val="FFFFFF"/>
              </w:rPr>
              <w:t>2022 Annual Meeting</w:t>
            </w:r>
          </w:p>
        </w:tc>
        <w:tc>
          <w:tcPr>
            <w:tcW w:w="3740" w:type="dxa"/>
            <w:vAlign w:val="bottom"/>
            <w:tcBorders>
              <w:bottom w:val="single" w:sz="8" w:color="C00000"/>
            </w:tcBorders>
            <w:shd w:val="clear" w:color="auto" w:fill="C00000"/>
          </w:tcPr>
          <w:p>
            <w:pPr>
              <w:jc w:val="center"/>
              <w:spacing w:after="0"/>
              <w:rPr>
                <w:sz w:val="20"/>
                <w:szCs w:val="20"/>
                <w:color w:val="auto"/>
              </w:rPr>
            </w:pPr>
            <w:r>
              <w:rPr>
                <w:rFonts w:ascii="Arial" w:cs="Arial" w:eastAsia="Arial" w:hAnsi="Arial"/>
                <w:sz w:val="16"/>
                <w:szCs w:val="16"/>
                <w:b w:val="1"/>
                <w:bCs w:val="1"/>
                <w:color w:val="FFFFFF"/>
                <w:w w:val="99"/>
              </w:rPr>
              <w:t>2023 Annual Meeting</w:t>
            </w:r>
          </w:p>
        </w:tc>
        <w:tc>
          <w:tcPr>
            <w:tcW w:w="3740" w:type="dxa"/>
            <w:vAlign w:val="bottom"/>
            <w:tcBorders>
              <w:bottom w:val="single" w:sz="8" w:color="C00000"/>
            </w:tcBorders>
            <w:shd w:val="clear" w:color="auto" w:fill="C00000"/>
          </w:tcPr>
          <w:p>
            <w:pPr>
              <w:jc w:val="center"/>
              <w:spacing w:after="0"/>
              <w:rPr>
                <w:sz w:val="20"/>
                <w:szCs w:val="20"/>
                <w:color w:val="auto"/>
              </w:rPr>
            </w:pPr>
            <w:r>
              <w:rPr>
                <w:rFonts w:ascii="Arial" w:cs="Arial" w:eastAsia="Arial" w:hAnsi="Arial"/>
                <w:sz w:val="16"/>
                <w:szCs w:val="16"/>
                <w:b w:val="1"/>
                <w:bCs w:val="1"/>
                <w:color w:val="FFFFFF"/>
                <w:w w:val="99"/>
              </w:rPr>
              <w:t>2024 Annual Meeting</w:t>
            </w:r>
          </w:p>
        </w:tc>
      </w:tr>
      <w:tr>
        <w:trPr>
          <w:trHeight w:val="234"/>
        </w:trPr>
        <w:tc>
          <w:tcPr>
            <w:tcW w:w="3760" w:type="dxa"/>
            <w:vAlign w:val="bottom"/>
            <w:shd w:val="clear" w:color="auto" w:fill="D9D9D9"/>
          </w:tcPr>
          <w:p>
            <w:pPr>
              <w:jc w:val="center"/>
              <w:spacing w:after="0"/>
              <w:rPr>
                <w:sz w:val="20"/>
                <w:szCs w:val="20"/>
                <w:color w:val="auto"/>
              </w:rPr>
            </w:pPr>
            <w:r>
              <w:rPr>
                <w:rFonts w:ascii="Arial" w:cs="Arial" w:eastAsia="Arial" w:hAnsi="Arial"/>
                <w:sz w:val="16"/>
                <w:szCs w:val="16"/>
                <w:color w:val="auto"/>
                <w:w w:val="99"/>
              </w:rPr>
              <w:t>Jeffrey L. Harmening</w:t>
            </w:r>
          </w:p>
        </w:tc>
        <w:tc>
          <w:tcPr>
            <w:tcW w:w="3740" w:type="dxa"/>
            <w:vAlign w:val="bottom"/>
          </w:tcPr>
          <w:p>
            <w:pPr>
              <w:jc w:val="center"/>
              <w:spacing w:after="0"/>
              <w:rPr>
                <w:sz w:val="20"/>
                <w:szCs w:val="20"/>
                <w:color w:val="auto"/>
              </w:rPr>
            </w:pPr>
            <w:r>
              <w:rPr>
                <w:rFonts w:ascii="Arial" w:cs="Arial" w:eastAsia="Arial" w:hAnsi="Arial"/>
                <w:sz w:val="16"/>
                <w:szCs w:val="16"/>
                <w:color w:val="auto"/>
              </w:rPr>
              <w:t>Jeffrey M. Ettinger</w:t>
            </w:r>
          </w:p>
        </w:tc>
        <w:tc>
          <w:tcPr>
            <w:tcW w:w="3740" w:type="dxa"/>
            <w:vAlign w:val="bottom"/>
            <w:shd w:val="clear" w:color="auto" w:fill="D9D9D9"/>
          </w:tcPr>
          <w:p>
            <w:pPr>
              <w:jc w:val="center"/>
              <w:spacing w:after="0"/>
              <w:rPr>
                <w:sz w:val="20"/>
                <w:szCs w:val="20"/>
                <w:color w:val="auto"/>
              </w:rPr>
            </w:pPr>
            <w:r>
              <w:rPr>
                <w:rFonts w:ascii="Arial" w:cs="Arial" w:eastAsia="Arial" w:hAnsi="Arial"/>
                <w:sz w:val="16"/>
                <w:szCs w:val="16"/>
                <w:color w:val="auto"/>
              </w:rPr>
              <w:t>Janet K. Cooper</w:t>
            </w:r>
          </w:p>
        </w:tc>
      </w:tr>
      <w:tr>
        <w:trPr>
          <w:trHeight w:val="239"/>
        </w:trPr>
        <w:tc>
          <w:tcPr>
            <w:tcW w:w="3760" w:type="dxa"/>
            <w:vAlign w:val="bottom"/>
            <w:shd w:val="clear" w:color="auto" w:fill="D9D9D9"/>
          </w:tcPr>
          <w:p>
            <w:pPr>
              <w:jc w:val="center"/>
              <w:spacing w:after="0"/>
              <w:rPr>
                <w:sz w:val="20"/>
                <w:szCs w:val="20"/>
                <w:color w:val="auto"/>
              </w:rPr>
            </w:pPr>
            <w:r>
              <w:rPr>
                <w:rFonts w:ascii="Arial" w:cs="Arial" w:eastAsia="Arial" w:hAnsi="Arial"/>
                <w:sz w:val="16"/>
                <w:szCs w:val="16"/>
                <w:color w:val="auto"/>
                <w:w w:val="99"/>
              </w:rPr>
              <w:t>Joyce A. Mullen</w:t>
            </w:r>
          </w:p>
        </w:tc>
        <w:tc>
          <w:tcPr>
            <w:tcW w:w="3740" w:type="dxa"/>
            <w:vAlign w:val="bottom"/>
          </w:tcPr>
          <w:p>
            <w:pPr>
              <w:jc w:val="center"/>
              <w:spacing w:after="0"/>
              <w:rPr>
                <w:sz w:val="20"/>
                <w:szCs w:val="20"/>
                <w:color w:val="auto"/>
              </w:rPr>
            </w:pPr>
            <w:r>
              <w:rPr>
                <w:rFonts w:ascii="Arial" w:cs="Arial" w:eastAsia="Arial" w:hAnsi="Arial"/>
                <w:sz w:val="16"/>
                <w:szCs w:val="16"/>
                <w:color w:val="auto"/>
                <w:w w:val="98"/>
              </w:rPr>
              <w:t>Katherine J. Harless</w:t>
            </w:r>
          </w:p>
        </w:tc>
        <w:tc>
          <w:tcPr>
            <w:tcW w:w="3740" w:type="dxa"/>
            <w:vAlign w:val="bottom"/>
            <w:shd w:val="clear" w:color="auto" w:fill="D9D9D9"/>
          </w:tcPr>
          <w:p>
            <w:pPr>
              <w:jc w:val="center"/>
              <w:spacing w:after="0"/>
              <w:rPr>
                <w:sz w:val="20"/>
                <w:szCs w:val="20"/>
                <w:color w:val="auto"/>
              </w:rPr>
            </w:pPr>
            <w:r>
              <w:rPr>
                <w:rFonts w:ascii="Arial" w:cs="Arial" w:eastAsia="Arial" w:hAnsi="Arial"/>
                <w:sz w:val="16"/>
                <w:szCs w:val="16"/>
                <w:color w:val="auto"/>
                <w:w w:val="99"/>
              </w:rPr>
              <w:t>Gary L. Ellis</w:t>
            </w:r>
          </w:p>
        </w:tc>
      </w:tr>
      <w:tr>
        <w:trPr>
          <w:trHeight w:val="253"/>
        </w:trPr>
        <w:tc>
          <w:tcPr>
            <w:tcW w:w="3760" w:type="dxa"/>
            <w:vAlign w:val="bottom"/>
            <w:shd w:val="clear" w:color="auto" w:fill="D9D9D9"/>
          </w:tcPr>
          <w:p>
            <w:pPr>
              <w:jc w:val="center"/>
              <w:spacing w:after="0"/>
              <w:rPr>
                <w:sz w:val="20"/>
                <w:szCs w:val="20"/>
                <w:color w:val="auto"/>
              </w:rPr>
            </w:pPr>
            <w:r>
              <w:rPr>
                <w:rFonts w:ascii="Arial" w:cs="Arial" w:eastAsia="Arial" w:hAnsi="Arial"/>
                <w:sz w:val="16"/>
                <w:szCs w:val="16"/>
                <w:color w:val="auto"/>
              </w:rPr>
              <w:t>Richard M. Olson</w:t>
            </w:r>
          </w:p>
        </w:tc>
        <w:tc>
          <w:tcPr>
            <w:tcW w:w="3740" w:type="dxa"/>
            <w:vAlign w:val="bottom"/>
          </w:tcPr>
          <w:p>
            <w:pPr>
              <w:jc w:val="center"/>
              <w:spacing w:after="0"/>
              <w:rPr>
                <w:sz w:val="20"/>
                <w:szCs w:val="20"/>
                <w:color w:val="auto"/>
              </w:rPr>
            </w:pPr>
            <w:r>
              <w:rPr>
                <w:rFonts w:ascii="Arial" w:cs="Arial" w:eastAsia="Arial" w:hAnsi="Arial"/>
                <w:sz w:val="16"/>
                <w:szCs w:val="16"/>
                <w:color w:val="auto"/>
              </w:rPr>
              <w:t>D. Christian Koch</w:t>
            </w:r>
          </w:p>
        </w:tc>
        <w:tc>
          <w:tcPr>
            <w:tcW w:w="3740" w:type="dxa"/>
            <w:vAlign w:val="bottom"/>
            <w:shd w:val="clear" w:color="auto" w:fill="D9D9D9"/>
          </w:tcPr>
          <w:p>
            <w:pPr>
              <w:jc w:val="center"/>
              <w:spacing w:after="0"/>
              <w:rPr>
                <w:sz w:val="20"/>
                <w:szCs w:val="20"/>
                <w:color w:val="auto"/>
              </w:rPr>
            </w:pPr>
            <w:r>
              <w:rPr>
                <w:rFonts w:ascii="Arial" w:cs="Arial" w:eastAsia="Arial" w:hAnsi="Arial"/>
                <w:sz w:val="16"/>
                <w:szCs w:val="16"/>
                <w:color w:val="auto"/>
                <w:w w:val="99"/>
              </w:rPr>
              <w:t>Michael G. Vale</w:t>
            </w:r>
          </w:p>
        </w:tc>
      </w:tr>
      <w:tr>
        <w:trPr>
          <w:trHeight w:val="253"/>
        </w:trPr>
        <w:tc>
          <w:tcPr>
            <w:tcW w:w="3760" w:type="dxa"/>
            <w:vAlign w:val="bottom"/>
            <w:shd w:val="clear" w:color="auto" w:fill="D9D9D9"/>
          </w:tcPr>
          <w:p>
            <w:pPr>
              <w:jc w:val="center"/>
              <w:spacing w:after="0"/>
              <w:rPr>
                <w:sz w:val="20"/>
                <w:szCs w:val="20"/>
                <w:color w:val="auto"/>
              </w:rPr>
            </w:pPr>
            <w:r>
              <w:rPr>
                <w:rFonts w:ascii="Arial" w:cs="Arial" w:eastAsia="Arial" w:hAnsi="Arial"/>
                <w:sz w:val="16"/>
                <w:szCs w:val="16"/>
                <w:color w:val="auto"/>
              </w:rPr>
              <w:t>James C. O’Rourke</w:t>
            </w:r>
          </w:p>
        </w:tc>
        <w:tc>
          <w:tcPr>
            <w:tcW w:w="3740" w:type="dxa"/>
            <w:vAlign w:val="bottom"/>
          </w:tcPr>
          <w:p>
            <w:pPr>
              <w:spacing w:after="0"/>
              <w:rPr>
                <w:sz w:val="21"/>
                <w:szCs w:val="21"/>
                <w:color w:val="auto"/>
              </w:rPr>
            </w:pPr>
          </w:p>
        </w:tc>
        <w:tc>
          <w:tcPr>
            <w:tcW w:w="3740" w:type="dxa"/>
            <w:vAlign w:val="bottom"/>
            <w:shd w:val="clear" w:color="auto" w:fill="D9D9D9"/>
          </w:tcPr>
          <w:p>
            <w:pPr>
              <w:spacing w:after="0"/>
              <w:rPr>
                <w:sz w:val="21"/>
                <w:szCs w:val="21"/>
                <w:color w:val="auto"/>
              </w:rPr>
            </w:pPr>
          </w:p>
        </w:tc>
      </w:tr>
      <w:tr>
        <w:trPr>
          <w:trHeight w:val="32"/>
        </w:trPr>
        <w:tc>
          <w:tcPr>
            <w:tcW w:w="3760" w:type="dxa"/>
            <w:vAlign w:val="bottom"/>
            <w:shd w:val="clear" w:color="auto" w:fill="D9D9D9"/>
          </w:tcPr>
          <w:p>
            <w:pPr>
              <w:spacing w:after="0"/>
              <w:rPr>
                <w:sz w:val="2"/>
                <w:szCs w:val="2"/>
                <w:color w:val="auto"/>
              </w:rPr>
            </w:pPr>
          </w:p>
        </w:tc>
        <w:tc>
          <w:tcPr>
            <w:tcW w:w="3740" w:type="dxa"/>
            <w:vAlign w:val="bottom"/>
          </w:tcPr>
          <w:p>
            <w:pPr>
              <w:spacing w:after="0"/>
              <w:rPr>
                <w:sz w:val="2"/>
                <w:szCs w:val="2"/>
                <w:color w:val="auto"/>
              </w:rPr>
            </w:pPr>
          </w:p>
        </w:tc>
        <w:tc>
          <w:tcPr>
            <w:tcW w:w="3740" w:type="dxa"/>
            <w:vAlign w:val="bottom"/>
            <w:shd w:val="clear" w:color="auto" w:fill="D9D9D9"/>
          </w:tcPr>
          <w:p>
            <w:pPr>
              <w:spacing w:after="0"/>
              <w:rPr>
                <w:sz w:val="2"/>
                <w:szCs w:val="2"/>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Nominees for Director</w:t>
      </w:r>
    </w:p>
    <w:p>
      <w:pPr>
        <w:spacing w:after="0" w:line="127" w:lineRule="exact"/>
        <w:rPr>
          <w:sz w:val="20"/>
          <w:szCs w:val="20"/>
          <w:color w:val="auto"/>
        </w:rPr>
      </w:pPr>
    </w:p>
    <w:p>
      <w:pPr>
        <w:ind w:right="60" w:firstLine="401"/>
        <w:spacing w:after="0" w:line="233" w:lineRule="auto"/>
        <w:rPr>
          <w:sz w:val="20"/>
          <w:szCs w:val="20"/>
          <w:color w:val="auto"/>
        </w:rPr>
      </w:pPr>
      <w:r>
        <w:rPr>
          <w:rFonts w:ascii="Arial" w:cs="Arial" w:eastAsia="Arial" w:hAnsi="Arial"/>
          <w:sz w:val="18"/>
          <w:szCs w:val="18"/>
          <w:color w:val="auto"/>
        </w:rPr>
        <w:t>The Board has nominated Jeffrey L. Harmening, Joyce A. Mullen, Richard M. Olson and James C. O’Rourke for election to the Board each to serve for a three-year term ending at the 2025 Annual Meeting of Shareholders. Each of Messrs. Harmening, Olson and O’Rourke and Ms. Mullen is a current member of the Board with a term expiring at the annual meeting. In addition, the Board has nominated two new director nominees who are not current members of the Board, each to serve for a staggered term of less than the full three years. The Board has nominated Eric P. Hansotia to serve for a one-year term ending at the 2023 Annual Meeting of Shareholders and Jill M. Pemberton to serve for a two-year term ending at the 2024 Annual Meeting of Shareholders. The addition of these two new directors to these respective terms will keep each class of directors at an equal number of four directors.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shd w:val="clear" w:color="auto" w:fill="C00000"/>
          </w:tcPr>
          <w:p>
            <w:pPr>
              <w:jc w:val="center"/>
              <w:spacing w:after="0"/>
              <w:rPr>
                <w:sz w:val="20"/>
                <w:szCs w:val="20"/>
                <w:color w:val="auto"/>
              </w:rPr>
            </w:pPr>
            <w:r>
              <w:rPr>
                <w:rFonts w:ascii="Arial" w:cs="Arial" w:eastAsia="Arial" w:hAnsi="Arial"/>
                <w:sz w:val="16"/>
                <w:szCs w:val="16"/>
                <w:b w:val="1"/>
                <w:bCs w:val="1"/>
                <w:color w:val="FFFFFF"/>
                <w:w w:val="98"/>
              </w:rPr>
              <w:t>Director Nominee for Term</w:t>
            </w:r>
          </w:p>
        </w:tc>
        <w:tc>
          <w:tcPr>
            <w:tcW w:w="3260" w:type="dxa"/>
            <w:vAlign w:val="bottom"/>
            <w:shd w:val="clear" w:color="auto" w:fill="C00000"/>
          </w:tcPr>
          <w:p>
            <w:pPr>
              <w:jc w:val="center"/>
              <w:spacing w:after="0"/>
              <w:rPr>
                <w:sz w:val="20"/>
                <w:szCs w:val="20"/>
                <w:color w:val="auto"/>
              </w:rPr>
            </w:pPr>
            <w:r>
              <w:rPr>
                <w:rFonts w:ascii="Arial" w:cs="Arial" w:eastAsia="Arial" w:hAnsi="Arial"/>
                <w:sz w:val="16"/>
                <w:szCs w:val="16"/>
                <w:b w:val="1"/>
                <w:bCs w:val="1"/>
                <w:color w:val="FFFFFF"/>
                <w:w w:val="99"/>
              </w:rPr>
              <w:t>Director Nominee for Term</w:t>
            </w:r>
          </w:p>
        </w:tc>
        <w:tc>
          <w:tcPr>
            <w:tcW w:w="4700" w:type="dxa"/>
            <w:vAlign w:val="bottom"/>
            <w:gridSpan w:val="2"/>
            <w:shd w:val="clear" w:color="auto" w:fill="C00000"/>
          </w:tcPr>
          <w:p>
            <w:pPr>
              <w:jc w:val="center"/>
              <w:spacing w:after="0"/>
              <w:rPr>
                <w:sz w:val="20"/>
                <w:szCs w:val="20"/>
                <w:color w:val="auto"/>
              </w:rPr>
            </w:pPr>
            <w:r>
              <w:rPr>
                <w:rFonts w:ascii="Arial" w:cs="Arial" w:eastAsia="Arial" w:hAnsi="Arial"/>
                <w:sz w:val="16"/>
                <w:szCs w:val="16"/>
                <w:b w:val="1"/>
                <w:bCs w:val="1"/>
                <w:color w:val="FFFFFF"/>
                <w:w w:val="99"/>
              </w:rPr>
              <w:t>Director Nominees for Term</w:t>
            </w:r>
          </w:p>
        </w:tc>
      </w:tr>
      <w:tr>
        <w:trPr>
          <w:trHeight w:val="225"/>
        </w:trPr>
        <w:tc>
          <w:tcPr>
            <w:tcW w:w="3280" w:type="dxa"/>
            <w:vAlign w:val="bottom"/>
            <w:tcBorders>
              <w:bottom w:val="single" w:sz="8" w:color="C00000"/>
            </w:tcBorders>
            <w:shd w:val="clear" w:color="auto" w:fill="C00000"/>
          </w:tcPr>
          <w:p>
            <w:pPr>
              <w:jc w:val="center"/>
              <w:spacing w:after="0"/>
              <w:rPr>
                <w:sz w:val="20"/>
                <w:szCs w:val="20"/>
                <w:color w:val="auto"/>
              </w:rPr>
            </w:pPr>
            <w:r>
              <w:rPr>
                <w:rFonts w:ascii="Arial" w:cs="Arial" w:eastAsia="Arial" w:hAnsi="Arial"/>
                <w:sz w:val="16"/>
                <w:szCs w:val="16"/>
                <w:b w:val="1"/>
                <w:bCs w:val="1"/>
                <w:color w:val="FFFFFF"/>
                <w:w w:val="99"/>
              </w:rPr>
              <w:t>Ending at 2023 Annual Meeting</w:t>
            </w:r>
          </w:p>
        </w:tc>
        <w:tc>
          <w:tcPr>
            <w:tcW w:w="3260" w:type="dxa"/>
            <w:vAlign w:val="bottom"/>
            <w:tcBorders>
              <w:bottom w:val="single" w:sz="8" w:color="C00000"/>
            </w:tcBorders>
            <w:shd w:val="clear" w:color="auto" w:fill="C00000"/>
          </w:tcPr>
          <w:p>
            <w:pPr>
              <w:jc w:val="center"/>
              <w:spacing w:after="0"/>
              <w:rPr>
                <w:sz w:val="20"/>
                <w:szCs w:val="20"/>
                <w:color w:val="auto"/>
              </w:rPr>
            </w:pPr>
            <w:r>
              <w:rPr>
                <w:rFonts w:ascii="Arial" w:cs="Arial" w:eastAsia="Arial" w:hAnsi="Arial"/>
                <w:sz w:val="16"/>
                <w:szCs w:val="16"/>
                <w:b w:val="1"/>
                <w:bCs w:val="1"/>
                <w:color w:val="FFFFFF"/>
                <w:w w:val="99"/>
              </w:rPr>
              <w:t>Ending at 2024 Annual Meeting</w:t>
            </w:r>
          </w:p>
        </w:tc>
        <w:tc>
          <w:tcPr>
            <w:tcW w:w="4700" w:type="dxa"/>
            <w:vAlign w:val="bottom"/>
            <w:tcBorders>
              <w:bottom w:val="single" w:sz="8" w:color="C00000"/>
            </w:tcBorders>
            <w:gridSpan w:val="2"/>
            <w:shd w:val="clear" w:color="auto" w:fill="C00000"/>
          </w:tcPr>
          <w:p>
            <w:pPr>
              <w:jc w:val="center"/>
              <w:spacing w:after="0"/>
              <w:rPr>
                <w:sz w:val="20"/>
                <w:szCs w:val="20"/>
                <w:color w:val="auto"/>
              </w:rPr>
            </w:pPr>
            <w:r>
              <w:rPr>
                <w:rFonts w:ascii="Arial" w:cs="Arial" w:eastAsia="Arial" w:hAnsi="Arial"/>
                <w:sz w:val="16"/>
                <w:szCs w:val="16"/>
                <w:b w:val="1"/>
                <w:bCs w:val="1"/>
                <w:color w:val="FFFFFF"/>
                <w:w w:val="99"/>
              </w:rPr>
              <w:t>Ending at 2025 Annual Meeting</w:t>
            </w:r>
          </w:p>
        </w:tc>
      </w:tr>
      <w:tr>
        <w:trPr>
          <w:trHeight w:val="221"/>
        </w:trPr>
        <w:tc>
          <w:tcPr>
            <w:tcW w:w="3280" w:type="dxa"/>
            <w:vAlign w:val="bottom"/>
            <w:shd w:val="clear" w:color="auto" w:fill="D9D9D9"/>
          </w:tcPr>
          <w:p>
            <w:pPr>
              <w:jc w:val="center"/>
              <w:spacing w:after="0"/>
              <w:rPr>
                <w:sz w:val="20"/>
                <w:szCs w:val="20"/>
                <w:color w:val="auto"/>
              </w:rPr>
            </w:pPr>
            <w:r>
              <w:rPr>
                <w:rFonts w:ascii="Arial" w:cs="Arial" w:eastAsia="Arial" w:hAnsi="Arial"/>
                <w:sz w:val="16"/>
                <w:szCs w:val="16"/>
                <w:color w:val="auto"/>
                <w:w w:val="97"/>
              </w:rPr>
              <w:t>Eric P. Hansotia</w:t>
            </w:r>
          </w:p>
        </w:tc>
        <w:tc>
          <w:tcPr>
            <w:tcW w:w="3260" w:type="dxa"/>
            <w:vAlign w:val="bottom"/>
          </w:tcPr>
          <w:p>
            <w:pPr>
              <w:jc w:val="center"/>
              <w:spacing w:after="0"/>
              <w:rPr>
                <w:sz w:val="20"/>
                <w:szCs w:val="20"/>
                <w:color w:val="auto"/>
              </w:rPr>
            </w:pPr>
            <w:r>
              <w:rPr>
                <w:rFonts w:ascii="Arial" w:cs="Arial" w:eastAsia="Arial" w:hAnsi="Arial"/>
                <w:sz w:val="16"/>
                <w:szCs w:val="16"/>
                <w:color w:val="auto"/>
              </w:rPr>
              <w:t>Jill M. Pemberton</w:t>
            </w:r>
          </w:p>
        </w:tc>
        <w:tc>
          <w:tcPr>
            <w:tcW w:w="2340" w:type="dxa"/>
            <w:vAlign w:val="bottom"/>
            <w:shd w:val="clear" w:color="auto" w:fill="D9D9D9"/>
          </w:tcPr>
          <w:p>
            <w:pPr>
              <w:jc w:val="center"/>
              <w:spacing w:after="0"/>
              <w:rPr>
                <w:sz w:val="20"/>
                <w:szCs w:val="20"/>
                <w:color w:val="auto"/>
              </w:rPr>
            </w:pPr>
            <w:r>
              <w:rPr>
                <w:rFonts w:ascii="Arial" w:cs="Arial" w:eastAsia="Arial" w:hAnsi="Arial"/>
                <w:sz w:val="16"/>
                <w:szCs w:val="16"/>
                <w:color w:val="auto"/>
                <w:w w:val="99"/>
              </w:rPr>
              <w:t>Jeffrey L. Harmening</w:t>
            </w:r>
          </w:p>
        </w:tc>
        <w:tc>
          <w:tcPr>
            <w:tcW w:w="2360" w:type="dxa"/>
            <w:vAlign w:val="bottom"/>
            <w:shd w:val="clear" w:color="auto" w:fill="D9D9D9"/>
          </w:tcPr>
          <w:p>
            <w:pPr>
              <w:jc w:val="center"/>
              <w:spacing w:after="0"/>
              <w:rPr>
                <w:sz w:val="20"/>
                <w:szCs w:val="20"/>
                <w:color w:val="auto"/>
              </w:rPr>
            </w:pPr>
            <w:r>
              <w:rPr>
                <w:rFonts w:ascii="Arial" w:cs="Arial" w:eastAsia="Arial" w:hAnsi="Arial"/>
                <w:sz w:val="16"/>
                <w:szCs w:val="16"/>
                <w:color w:val="auto"/>
              </w:rPr>
              <w:t>Richard M. Olson</w:t>
            </w:r>
          </w:p>
        </w:tc>
      </w:tr>
      <w:tr>
        <w:trPr>
          <w:trHeight w:val="253"/>
        </w:trPr>
        <w:tc>
          <w:tcPr>
            <w:tcW w:w="3280" w:type="dxa"/>
            <w:vAlign w:val="bottom"/>
            <w:shd w:val="clear" w:color="auto" w:fill="D9D9D9"/>
          </w:tcPr>
          <w:p>
            <w:pPr>
              <w:spacing w:after="0"/>
              <w:rPr>
                <w:sz w:val="21"/>
                <w:szCs w:val="21"/>
                <w:color w:val="auto"/>
              </w:rPr>
            </w:pPr>
          </w:p>
        </w:tc>
        <w:tc>
          <w:tcPr>
            <w:tcW w:w="3260" w:type="dxa"/>
            <w:vAlign w:val="bottom"/>
          </w:tcPr>
          <w:p>
            <w:pPr>
              <w:spacing w:after="0"/>
              <w:rPr>
                <w:sz w:val="21"/>
                <w:szCs w:val="21"/>
                <w:color w:val="auto"/>
              </w:rPr>
            </w:pPr>
          </w:p>
        </w:tc>
        <w:tc>
          <w:tcPr>
            <w:tcW w:w="2340" w:type="dxa"/>
            <w:vAlign w:val="bottom"/>
            <w:shd w:val="clear" w:color="auto" w:fill="D9D9D9"/>
          </w:tcPr>
          <w:p>
            <w:pPr>
              <w:jc w:val="center"/>
              <w:spacing w:after="0"/>
              <w:rPr>
                <w:sz w:val="20"/>
                <w:szCs w:val="20"/>
                <w:color w:val="auto"/>
              </w:rPr>
            </w:pPr>
            <w:r>
              <w:rPr>
                <w:rFonts w:ascii="Arial" w:cs="Arial" w:eastAsia="Arial" w:hAnsi="Arial"/>
                <w:sz w:val="16"/>
                <w:szCs w:val="16"/>
                <w:color w:val="auto"/>
              </w:rPr>
              <w:t>Joyce A. Mullen</w:t>
            </w:r>
          </w:p>
        </w:tc>
        <w:tc>
          <w:tcPr>
            <w:tcW w:w="2360" w:type="dxa"/>
            <w:vAlign w:val="bottom"/>
            <w:shd w:val="clear" w:color="auto" w:fill="D9D9D9"/>
          </w:tcPr>
          <w:p>
            <w:pPr>
              <w:jc w:val="center"/>
              <w:spacing w:after="0"/>
              <w:rPr>
                <w:sz w:val="20"/>
                <w:szCs w:val="20"/>
                <w:color w:val="auto"/>
              </w:rPr>
            </w:pPr>
            <w:r>
              <w:rPr>
                <w:rFonts w:ascii="Arial" w:cs="Arial" w:eastAsia="Arial" w:hAnsi="Arial"/>
                <w:sz w:val="16"/>
                <w:szCs w:val="16"/>
                <w:color w:val="auto"/>
              </w:rPr>
              <w:t>James C. O’Rourke</w:t>
            </w:r>
          </w:p>
        </w:tc>
      </w:tr>
      <w:tr>
        <w:trPr>
          <w:trHeight w:val="32"/>
        </w:trPr>
        <w:tc>
          <w:tcPr>
            <w:tcW w:w="3280" w:type="dxa"/>
            <w:vAlign w:val="bottom"/>
            <w:shd w:val="clear" w:color="auto" w:fill="D9D9D9"/>
          </w:tcPr>
          <w:p>
            <w:pPr>
              <w:spacing w:after="0"/>
              <w:rPr>
                <w:sz w:val="2"/>
                <w:szCs w:val="2"/>
                <w:color w:val="auto"/>
              </w:rPr>
            </w:pPr>
          </w:p>
        </w:tc>
        <w:tc>
          <w:tcPr>
            <w:tcW w:w="3260" w:type="dxa"/>
            <w:vAlign w:val="bottom"/>
          </w:tcPr>
          <w:p>
            <w:pPr>
              <w:spacing w:after="0"/>
              <w:rPr>
                <w:sz w:val="2"/>
                <w:szCs w:val="2"/>
                <w:color w:val="auto"/>
              </w:rPr>
            </w:pPr>
          </w:p>
        </w:tc>
        <w:tc>
          <w:tcPr>
            <w:tcW w:w="2340" w:type="dxa"/>
            <w:vAlign w:val="bottom"/>
            <w:shd w:val="clear" w:color="auto" w:fill="D9D9D9"/>
          </w:tcPr>
          <w:p>
            <w:pPr>
              <w:spacing w:after="0"/>
              <w:rPr>
                <w:sz w:val="2"/>
                <w:szCs w:val="2"/>
                <w:color w:val="auto"/>
              </w:rPr>
            </w:pPr>
          </w:p>
        </w:tc>
        <w:tc>
          <w:tcPr>
            <w:tcW w:w="2360" w:type="dxa"/>
            <w:vAlign w:val="bottom"/>
            <w:shd w:val="clear" w:color="auto" w:fill="D9D9D9"/>
          </w:tcPr>
          <w:p>
            <w:pPr>
              <w:spacing w:after="0"/>
              <w:rPr>
                <w:sz w:val="2"/>
                <w:szCs w:val="2"/>
                <w:color w:val="auto"/>
              </w:rPr>
            </w:pPr>
          </w:p>
        </w:tc>
      </w:tr>
    </w:tbl>
    <w:p>
      <w:pPr>
        <w:spacing w:after="0" w:line="106" w:lineRule="exact"/>
        <w:rPr>
          <w:sz w:val="20"/>
          <w:szCs w:val="20"/>
          <w:color w:val="auto"/>
        </w:rPr>
      </w:pPr>
    </w:p>
    <w:p>
      <w:pPr>
        <w:ind w:right="800" w:firstLine="401"/>
        <w:spacing w:after="0" w:line="238" w:lineRule="auto"/>
        <w:rPr>
          <w:sz w:val="20"/>
          <w:szCs w:val="20"/>
          <w:color w:val="auto"/>
        </w:rPr>
      </w:pPr>
      <w:r>
        <w:rPr>
          <w:rFonts w:ascii="Arial" w:cs="Arial" w:eastAsia="Arial" w:hAnsi="Arial"/>
          <w:sz w:val="18"/>
          <w:szCs w:val="18"/>
          <w:color w:val="auto"/>
        </w:rPr>
        <w:t>Each of the director nominees has consented to serve if elected. Proxies only can be voted for the number of persons named as nominees in this proxy statement, which is six.</w:t>
      </w:r>
    </w:p>
    <w:p>
      <w:pPr>
        <w:spacing w:after="0" w:line="95" w:lineRule="exact"/>
        <w:rPr>
          <w:sz w:val="20"/>
          <w:szCs w:val="20"/>
          <w:color w:val="auto"/>
        </w:rPr>
      </w:pPr>
    </w:p>
    <w:p>
      <w:pPr>
        <w:ind w:right="200" w:firstLine="401"/>
        <w:spacing w:after="0" w:line="235" w:lineRule="auto"/>
        <w:rPr>
          <w:sz w:val="20"/>
          <w:szCs w:val="20"/>
          <w:color w:val="auto"/>
        </w:rPr>
      </w:pPr>
      <w:r>
        <w:rPr>
          <w:rFonts w:ascii="Arial" w:cs="Arial" w:eastAsia="Arial" w:hAnsi="Arial"/>
          <w:sz w:val="18"/>
          <w:szCs w:val="18"/>
          <w:color w:val="auto"/>
        </w:rPr>
        <w:t>If prior to the annual meeting the Board learns that any nominee will be unable to serve for any reason, the proxies that otherwise would have been voted for that nominee will be voted for a substitute nominee as selected by the Board. Alternatively, at the Board’s discretion, the proxies may be voted for that fewer number of nominees as results from the inability of any nominee to serve. The Board has no reason to believe that any of the nominees will be unable to serve.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500"/>
        </w:trPr>
        <w:tc>
          <w:tcPr>
            <w:tcW w:w="9460" w:type="dxa"/>
            <w:vAlign w:val="bottom"/>
            <w:vMerge w:val="restart"/>
            <w:shd w:val="clear" w:color="auto" w:fill="C00000"/>
          </w:tcPr>
          <w:p>
            <w:pPr>
              <w:ind w:left="1960"/>
              <w:spacing w:after="0"/>
              <w:rPr>
                <w:sz w:val="20"/>
                <w:szCs w:val="20"/>
                <w:color w:val="auto"/>
              </w:rPr>
            </w:pPr>
            <w:r>
              <w:rPr>
                <w:rFonts w:ascii="Arial" w:cs="Arial" w:eastAsia="Arial" w:hAnsi="Arial"/>
                <w:sz w:val="18"/>
                <w:szCs w:val="18"/>
                <w:b w:val="1"/>
                <w:bCs w:val="1"/>
                <w:color w:val="FFFFFF"/>
              </w:rPr>
              <w:t>The Board of Directors Recommends a Vote FOR Each Nominee for Director</w:t>
            </w:r>
          </w:p>
        </w:tc>
        <w:tc>
          <w:tcPr>
            <w:tcW w:w="1780" w:type="dxa"/>
            <w:vAlign w:val="bottom"/>
            <w:shd w:val="clear" w:color="auto" w:fill="C00000"/>
          </w:tcPr>
          <w:p>
            <w:pPr>
              <w:ind w:left="1100"/>
              <w:spacing w:after="0" w:line="501" w:lineRule="exact"/>
              <w:rPr>
                <w:sz w:val="20"/>
                <w:szCs w:val="20"/>
                <w:color w:val="auto"/>
              </w:rPr>
            </w:pPr>
            <w:r>
              <w:rPr>
                <w:rFonts w:ascii="MS PGothic" w:cs="MS PGothic" w:eastAsia="MS PGothic" w:hAnsi="MS PGothic"/>
                <w:sz w:val="50"/>
                <w:szCs w:val="50"/>
                <w:color w:val="auto"/>
                <w:highlight w:val="white"/>
              </w:rPr>
              <w:t>☑</w:t>
            </w:r>
          </w:p>
        </w:tc>
        <w:tc>
          <w:tcPr>
            <w:tcW w:w="0" w:type="dxa"/>
            <w:vAlign w:val="bottom"/>
          </w:tcPr>
          <w:p>
            <w:pPr>
              <w:spacing w:after="0"/>
              <w:rPr>
                <w:sz w:val="1"/>
                <w:szCs w:val="1"/>
                <w:color w:val="auto"/>
              </w:rPr>
            </w:pPr>
          </w:p>
        </w:tc>
      </w:tr>
      <w:tr>
        <w:trPr>
          <w:trHeight w:val="52"/>
        </w:trPr>
        <w:tc>
          <w:tcPr>
            <w:tcW w:w="9460" w:type="dxa"/>
            <w:vAlign w:val="bottom"/>
            <w:vMerge w:val="continue"/>
            <w:shd w:val="clear" w:color="auto" w:fill="C00000"/>
          </w:tcPr>
          <w:p>
            <w:pPr>
              <w:spacing w:after="0"/>
              <w:rPr>
                <w:sz w:val="4"/>
                <w:szCs w:val="4"/>
                <w:color w:val="auto"/>
              </w:rPr>
            </w:pPr>
          </w:p>
        </w:tc>
        <w:tc>
          <w:tcPr>
            <w:tcW w:w="1780" w:type="dxa"/>
            <w:vAlign w:val="bottom"/>
            <w:shd w:val="clear" w:color="auto" w:fill="C00000"/>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9460" w:type="dxa"/>
            <w:vAlign w:val="bottom"/>
            <w:shd w:val="clear" w:color="auto" w:fill="C00000"/>
          </w:tcPr>
          <w:p>
            <w:pPr>
              <w:spacing w:after="0"/>
              <w:rPr>
                <w:sz w:val="16"/>
                <w:szCs w:val="16"/>
                <w:color w:val="auto"/>
              </w:rPr>
            </w:pPr>
          </w:p>
        </w:tc>
        <w:tc>
          <w:tcPr>
            <w:tcW w:w="1780" w:type="dxa"/>
            <w:vAlign w:val="bottom"/>
            <w:shd w:val="clear" w:color="auto" w:fill="C00000"/>
          </w:tcPr>
          <w:p>
            <w:pPr>
              <w:spacing w:after="0"/>
              <w:rPr>
                <w:sz w:val="16"/>
                <w:szCs w:val="16"/>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Information About Director Nominees and Continuing Directors</w:t>
      </w:r>
    </w:p>
    <w:p>
      <w:pPr>
        <w:spacing w:after="0" w:line="127" w:lineRule="exact"/>
        <w:rPr>
          <w:sz w:val="20"/>
          <w:szCs w:val="20"/>
          <w:color w:val="auto"/>
        </w:rPr>
      </w:pPr>
    </w:p>
    <w:p>
      <w:pPr>
        <w:ind w:right="100" w:firstLine="401"/>
        <w:spacing w:after="0" w:line="265" w:lineRule="auto"/>
        <w:rPr>
          <w:sz w:val="20"/>
          <w:szCs w:val="20"/>
          <w:color w:val="auto"/>
        </w:rPr>
      </w:pPr>
      <w:r>
        <w:rPr>
          <w:rFonts w:ascii="Arial" w:cs="Arial" w:eastAsia="Arial" w:hAnsi="Arial"/>
          <w:sz w:val="17"/>
          <w:szCs w:val="17"/>
          <w:color w:val="auto"/>
        </w:rPr>
        <w:t>The following pages provide information about the nominees for election to the Board at the annual meeting, four of whom are current Board members, and each other continuing member of the Board. We believe that all of our director nominees and continuing directors display:</w:t>
      </w:r>
    </w:p>
    <w:p>
      <w:pPr>
        <w:spacing w:after="0" w:line="20" w:lineRule="exact"/>
        <w:rPr>
          <w:sz w:val="20"/>
          <w:szCs w:val="20"/>
          <w:color w:val="auto"/>
        </w:rPr>
      </w:pPr>
    </w:p>
    <w:p>
      <w:pPr>
        <w:ind w:left="680" w:hanging="275"/>
        <w:spacing w:after="0"/>
        <w:tabs>
          <w:tab w:leader="none" w:pos="680" w:val="left"/>
        </w:tabs>
        <w:numPr>
          <w:ilvl w:val="0"/>
          <w:numId w:val="10"/>
        </w:numPr>
        <w:rPr>
          <w:rFonts w:ascii="Arial" w:cs="Arial" w:eastAsia="Arial" w:hAnsi="Arial"/>
          <w:sz w:val="16"/>
          <w:szCs w:val="16"/>
          <w:color w:val="auto"/>
        </w:rPr>
      </w:pPr>
      <w:r>
        <w:rPr>
          <w:rFonts w:ascii="Arial" w:cs="Arial" w:eastAsia="Arial" w:hAnsi="Arial"/>
          <w:sz w:val="18"/>
          <w:szCs w:val="18"/>
          <w:color w:val="auto"/>
        </w:rPr>
        <w:t>personal and professional integrity;</w:t>
      </w:r>
    </w:p>
    <w:p>
      <w:pPr>
        <w:spacing w:after="0" w:line="45" w:lineRule="exact"/>
        <w:rPr>
          <w:rFonts w:ascii="Arial" w:cs="Arial" w:eastAsia="Arial" w:hAnsi="Arial"/>
          <w:sz w:val="16"/>
          <w:szCs w:val="16"/>
          <w:color w:val="auto"/>
        </w:rPr>
      </w:pPr>
    </w:p>
    <w:p>
      <w:pPr>
        <w:ind w:left="680" w:hanging="275"/>
        <w:spacing w:after="0"/>
        <w:tabs>
          <w:tab w:leader="none" w:pos="680" w:val="left"/>
        </w:tabs>
        <w:numPr>
          <w:ilvl w:val="0"/>
          <w:numId w:val="10"/>
        </w:numPr>
        <w:rPr>
          <w:rFonts w:ascii="Arial" w:cs="Arial" w:eastAsia="Arial" w:hAnsi="Arial"/>
          <w:sz w:val="16"/>
          <w:szCs w:val="16"/>
          <w:color w:val="auto"/>
        </w:rPr>
      </w:pPr>
      <w:r>
        <w:rPr>
          <w:rFonts w:ascii="Arial" w:cs="Arial" w:eastAsia="Arial" w:hAnsi="Arial"/>
          <w:sz w:val="18"/>
          <w:szCs w:val="18"/>
          <w:color w:val="auto"/>
        </w:rPr>
        <w:t>appropriate levels of education and business experience;</w:t>
      </w:r>
    </w:p>
    <w:p>
      <w:pPr>
        <w:spacing w:after="0" w:line="45" w:lineRule="exact"/>
        <w:rPr>
          <w:rFonts w:ascii="Arial" w:cs="Arial" w:eastAsia="Arial" w:hAnsi="Arial"/>
          <w:sz w:val="16"/>
          <w:szCs w:val="16"/>
          <w:color w:val="auto"/>
        </w:rPr>
      </w:pPr>
    </w:p>
    <w:p>
      <w:pPr>
        <w:ind w:left="680" w:hanging="275"/>
        <w:spacing w:after="0"/>
        <w:tabs>
          <w:tab w:leader="none" w:pos="680" w:val="left"/>
        </w:tabs>
        <w:numPr>
          <w:ilvl w:val="0"/>
          <w:numId w:val="10"/>
        </w:numPr>
        <w:rPr>
          <w:rFonts w:ascii="Arial" w:cs="Arial" w:eastAsia="Arial" w:hAnsi="Arial"/>
          <w:sz w:val="16"/>
          <w:szCs w:val="16"/>
          <w:color w:val="auto"/>
        </w:rPr>
      </w:pPr>
      <w:r>
        <w:rPr>
          <w:rFonts w:ascii="Arial" w:cs="Arial" w:eastAsia="Arial" w:hAnsi="Arial"/>
          <w:sz w:val="18"/>
          <w:szCs w:val="18"/>
          <w:color w:val="auto"/>
        </w:rPr>
        <w:t>strong business acumen;</w:t>
      </w:r>
    </w:p>
    <w:p>
      <w:pPr>
        <w:spacing w:after="0" w:line="45" w:lineRule="exact"/>
        <w:rPr>
          <w:rFonts w:ascii="Arial" w:cs="Arial" w:eastAsia="Arial" w:hAnsi="Arial"/>
          <w:sz w:val="16"/>
          <w:szCs w:val="16"/>
          <w:color w:val="auto"/>
        </w:rPr>
      </w:pPr>
    </w:p>
    <w:p>
      <w:pPr>
        <w:ind w:left="680" w:hanging="275"/>
        <w:spacing w:after="0"/>
        <w:tabs>
          <w:tab w:leader="none" w:pos="680" w:val="left"/>
        </w:tabs>
        <w:numPr>
          <w:ilvl w:val="0"/>
          <w:numId w:val="10"/>
        </w:numPr>
        <w:rPr>
          <w:rFonts w:ascii="Arial" w:cs="Arial" w:eastAsia="Arial" w:hAnsi="Arial"/>
          <w:sz w:val="16"/>
          <w:szCs w:val="16"/>
          <w:color w:val="auto"/>
        </w:rPr>
      </w:pPr>
      <w:r>
        <w:rPr>
          <w:rFonts w:ascii="Arial" w:cs="Arial" w:eastAsia="Arial" w:hAnsi="Arial"/>
          <w:sz w:val="18"/>
          <w:szCs w:val="18"/>
          <w:color w:val="auto"/>
        </w:rPr>
        <w:t>an appropriate level of understanding of our business, industries and other industries relevant to our business;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45" w:lineRule="exact"/>
        <w:rPr>
          <w:sz w:val="20"/>
          <w:szCs w:val="20"/>
          <w:color w:val="auto"/>
        </w:rPr>
      </w:pPr>
    </w:p>
    <w:p>
      <w:pPr>
        <w:ind w:left="680" w:hanging="275"/>
        <w:spacing w:after="0"/>
        <w:tabs>
          <w:tab w:leader="none" w:pos="680" w:val="left"/>
        </w:tabs>
        <w:numPr>
          <w:ilvl w:val="0"/>
          <w:numId w:val="11"/>
        </w:numPr>
        <w:rPr>
          <w:rFonts w:ascii="Arial" w:cs="Arial" w:eastAsia="Arial" w:hAnsi="Arial"/>
          <w:sz w:val="16"/>
          <w:szCs w:val="16"/>
          <w:color w:val="auto"/>
        </w:rPr>
      </w:pPr>
      <w:r>
        <w:rPr>
          <w:rFonts w:ascii="Arial" w:cs="Arial" w:eastAsia="Arial" w:hAnsi="Arial"/>
          <w:sz w:val="18"/>
          <w:szCs w:val="18"/>
          <w:color w:val="auto"/>
        </w:rPr>
        <w:t>the ability and willingness to devote adequate time to the work of our Board and its committees;</w:t>
      </w:r>
    </w:p>
    <w:p>
      <w:pPr>
        <w:spacing w:after="0" w:line="45" w:lineRule="exact"/>
        <w:rPr>
          <w:rFonts w:ascii="Arial" w:cs="Arial" w:eastAsia="Arial" w:hAnsi="Arial"/>
          <w:sz w:val="16"/>
          <w:szCs w:val="16"/>
          <w:color w:val="auto"/>
        </w:rPr>
      </w:pPr>
    </w:p>
    <w:p>
      <w:pPr>
        <w:ind w:left="680" w:right="340" w:hanging="275"/>
        <w:spacing w:after="0" w:line="238" w:lineRule="auto"/>
        <w:tabs>
          <w:tab w:leader="none" w:pos="680" w:val="left"/>
        </w:tabs>
        <w:numPr>
          <w:ilvl w:val="0"/>
          <w:numId w:val="11"/>
        </w:numPr>
        <w:rPr>
          <w:rFonts w:ascii="Arial" w:cs="Arial" w:eastAsia="Arial" w:hAnsi="Arial"/>
          <w:sz w:val="16"/>
          <w:szCs w:val="16"/>
          <w:color w:val="auto"/>
        </w:rPr>
      </w:pPr>
      <w:r>
        <w:rPr>
          <w:rFonts w:ascii="Arial" w:cs="Arial" w:eastAsia="Arial" w:hAnsi="Arial"/>
          <w:sz w:val="18"/>
          <w:szCs w:val="18"/>
          <w:color w:val="auto"/>
        </w:rPr>
        <w:t>a fit of skills and personality with those of our other directors that helps build a Board that is effective, collegial and responsive to the needs of our Company;</w:t>
      </w:r>
    </w:p>
    <w:p>
      <w:pPr>
        <w:spacing w:after="0" w:line="41" w:lineRule="exact"/>
        <w:rPr>
          <w:rFonts w:ascii="Arial" w:cs="Arial" w:eastAsia="Arial" w:hAnsi="Arial"/>
          <w:sz w:val="16"/>
          <w:szCs w:val="16"/>
          <w:color w:val="auto"/>
        </w:rPr>
      </w:pPr>
    </w:p>
    <w:p>
      <w:pPr>
        <w:ind w:left="680" w:hanging="275"/>
        <w:spacing w:after="0"/>
        <w:tabs>
          <w:tab w:leader="none" w:pos="680" w:val="left"/>
        </w:tabs>
        <w:numPr>
          <w:ilvl w:val="0"/>
          <w:numId w:val="11"/>
        </w:numPr>
        <w:rPr>
          <w:rFonts w:ascii="Arial" w:cs="Arial" w:eastAsia="Arial" w:hAnsi="Arial"/>
          <w:sz w:val="16"/>
          <w:szCs w:val="16"/>
          <w:color w:val="auto"/>
        </w:rPr>
      </w:pPr>
      <w:r>
        <w:rPr>
          <w:rFonts w:ascii="Arial" w:cs="Arial" w:eastAsia="Arial" w:hAnsi="Arial"/>
          <w:sz w:val="18"/>
          <w:szCs w:val="18"/>
          <w:color w:val="auto"/>
        </w:rPr>
        <w:t>strategic thinking acumen and a willingness to share ideas;</w:t>
      </w:r>
    </w:p>
    <w:p>
      <w:pPr>
        <w:spacing w:after="0" w:line="45" w:lineRule="exact"/>
        <w:rPr>
          <w:rFonts w:ascii="Arial" w:cs="Arial" w:eastAsia="Arial" w:hAnsi="Arial"/>
          <w:sz w:val="16"/>
          <w:szCs w:val="16"/>
          <w:color w:val="auto"/>
        </w:rPr>
      </w:pPr>
    </w:p>
    <w:p>
      <w:pPr>
        <w:ind w:left="680" w:hanging="275"/>
        <w:spacing w:after="0"/>
        <w:tabs>
          <w:tab w:leader="none" w:pos="680" w:val="left"/>
        </w:tabs>
        <w:numPr>
          <w:ilvl w:val="0"/>
          <w:numId w:val="11"/>
        </w:numPr>
        <w:rPr>
          <w:rFonts w:ascii="Arial" w:cs="Arial" w:eastAsia="Arial" w:hAnsi="Arial"/>
          <w:sz w:val="16"/>
          <w:szCs w:val="16"/>
          <w:color w:val="auto"/>
        </w:rPr>
      </w:pPr>
      <w:r>
        <w:rPr>
          <w:rFonts w:ascii="Arial" w:cs="Arial" w:eastAsia="Arial" w:hAnsi="Arial"/>
          <w:sz w:val="18"/>
          <w:szCs w:val="18"/>
          <w:color w:val="auto"/>
        </w:rPr>
        <w:t>a diversity of experiences, expertise and backgrounds, including but not limited to, racial, ethnic and gender diversity; and</w:t>
      </w:r>
    </w:p>
    <w:p>
      <w:pPr>
        <w:spacing w:after="0" w:line="45" w:lineRule="exact"/>
        <w:rPr>
          <w:rFonts w:ascii="Arial" w:cs="Arial" w:eastAsia="Arial" w:hAnsi="Arial"/>
          <w:sz w:val="16"/>
          <w:szCs w:val="16"/>
          <w:color w:val="auto"/>
        </w:rPr>
      </w:pPr>
    </w:p>
    <w:p>
      <w:pPr>
        <w:ind w:left="680" w:hanging="275"/>
        <w:spacing w:after="0"/>
        <w:tabs>
          <w:tab w:leader="none" w:pos="680" w:val="left"/>
        </w:tabs>
        <w:numPr>
          <w:ilvl w:val="0"/>
          <w:numId w:val="11"/>
        </w:numPr>
        <w:rPr>
          <w:rFonts w:ascii="Arial" w:cs="Arial" w:eastAsia="Arial" w:hAnsi="Arial"/>
          <w:sz w:val="16"/>
          <w:szCs w:val="16"/>
          <w:color w:val="auto"/>
        </w:rPr>
      </w:pPr>
      <w:r>
        <w:rPr>
          <w:rFonts w:ascii="Arial" w:cs="Arial" w:eastAsia="Arial" w:hAnsi="Arial"/>
          <w:sz w:val="18"/>
          <w:szCs w:val="18"/>
          <w:color w:val="auto"/>
        </w:rPr>
        <w:t>the ability to represent the interests of all of our shareholders.</w:t>
      </w:r>
    </w:p>
    <w:p>
      <w:pPr>
        <w:spacing w:after="0" w:line="99" w:lineRule="exact"/>
        <w:rPr>
          <w:sz w:val="20"/>
          <w:szCs w:val="20"/>
          <w:color w:val="auto"/>
        </w:rPr>
      </w:pPr>
    </w:p>
    <w:p>
      <w:pPr>
        <w:ind w:right="300" w:firstLine="401"/>
        <w:spacing w:after="0" w:line="238" w:lineRule="auto"/>
        <w:rPr>
          <w:sz w:val="20"/>
          <w:szCs w:val="20"/>
          <w:color w:val="auto"/>
        </w:rPr>
      </w:pPr>
      <w:r>
        <w:rPr>
          <w:rFonts w:ascii="Arial" w:cs="Arial" w:eastAsia="Arial" w:hAnsi="Arial"/>
          <w:sz w:val="18"/>
          <w:szCs w:val="18"/>
          <w:color w:val="auto"/>
        </w:rPr>
        <w:t>All of our director nominees and continuing directors bring to our Board a wealth of executive leadership experience. The following chart summarizes the key experience and qualifications of each director nominee and continuing director.</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461"/>
        </w:trPr>
        <w:tc>
          <w:tcPr>
            <w:tcW w:w="1940" w:type="dxa"/>
            <w:vAlign w:val="bottom"/>
            <w:shd w:val="clear" w:color="auto" w:fill="C00000"/>
          </w:tcPr>
          <w:p>
            <w:pPr>
              <w:spacing w:after="0"/>
              <w:rPr>
                <w:sz w:val="24"/>
                <w:szCs w:val="24"/>
                <w:color w:val="auto"/>
              </w:rPr>
            </w:pPr>
          </w:p>
        </w:tc>
        <w:tc>
          <w:tcPr>
            <w:tcW w:w="780" w:type="dxa"/>
            <w:vAlign w:val="bottom"/>
            <w:vMerge w:val="restart"/>
            <w:shd w:val="clear" w:color="auto" w:fill="C00000"/>
          </w:tcPr>
          <w:p>
            <w:pPr>
              <w:jc w:val="center"/>
              <w:spacing w:after="0"/>
              <w:rPr>
                <w:sz w:val="20"/>
                <w:szCs w:val="20"/>
                <w:color w:val="auto"/>
              </w:rPr>
            </w:pPr>
            <w:r>
              <w:rPr>
                <w:rFonts w:ascii="Arial" w:cs="Arial" w:eastAsia="Arial" w:hAnsi="Arial"/>
                <w:sz w:val="16"/>
                <w:szCs w:val="16"/>
                <w:b w:val="1"/>
                <w:bCs w:val="1"/>
                <w:color w:val="FFFFFF"/>
              </w:rPr>
              <w:t>Janet</w:t>
            </w:r>
          </w:p>
        </w:tc>
        <w:tc>
          <w:tcPr>
            <w:tcW w:w="520" w:type="dxa"/>
            <w:vAlign w:val="bottom"/>
            <w:vMerge w:val="restart"/>
            <w:shd w:val="clear" w:color="auto" w:fill="C00000"/>
          </w:tcPr>
          <w:p>
            <w:pPr>
              <w:ind w:left="80"/>
              <w:spacing w:after="0"/>
              <w:rPr>
                <w:sz w:val="20"/>
                <w:szCs w:val="20"/>
                <w:color w:val="auto"/>
              </w:rPr>
            </w:pPr>
            <w:r>
              <w:rPr>
                <w:rFonts w:ascii="Arial" w:cs="Arial" w:eastAsia="Arial" w:hAnsi="Arial"/>
                <w:sz w:val="16"/>
                <w:szCs w:val="16"/>
                <w:b w:val="1"/>
                <w:bCs w:val="1"/>
                <w:color w:val="FFFFFF"/>
              </w:rPr>
              <w:t>Gary</w:t>
            </w:r>
          </w:p>
        </w:tc>
        <w:tc>
          <w:tcPr>
            <w:tcW w:w="740" w:type="dxa"/>
            <w:vAlign w:val="bottom"/>
            <w:vMerge w:val="restart"/>
            <w:shd w:val="clear" w:color="auto" w:fill="C00000"/>
          </w:tcPr>
          <w:p>
            <w:pPr>
              <w:jc w:val="center"/>
              <w:spacing w:after="0"/>
              <w:rPr>
                <w:sz w:val="20"/>
                <w:szCs w:val="20"/>
                <w:color w:val="auto"/>
              </w:rPr>
            </w:pPr>
            <w:r>
              <w:rPr>
                <w:rFonts w:ascii="Arial" w:cs="Arial" w:eastAsia="Arial" w:hAnsi="Arial"/>
                <w:sz w:val="16"/>
                <w:szCs w:val="16"/>
                <w:b w:val="1"/>
                <w:bCs w:val="1"/>
                <w:color w:val="FFFFFF"/>
              </w:rPr>
              <w:t>Jeffrey</w:t>
            </w:r>
          </w:p>
        </w:tc>
        <w:tc>
          <w:tcPr>
            <w:tcW w:w="800" w:type="dxa"/>
            <w:vAlign w:val="bottom"/>
            <w:vMerge w:val="restart"/>
            <w:shd w:val="clear" w:color="auto" w:fill="C00000"/>
          </w:tcPr>
          <w:p>
            <w:pPr>
              <w:jc w:val="center"/>
              <w:spacing w:after="0"/>
              <w:rPr>
                <w:sz w:val="20"/>
                <w:szCs w:val="20"/>
                <w:color w:val="auto"/>
              </w:rPr>
            </w:pPr>
            <w:r>
              <w:rPr>
                <w:rFonts w:ascii="Arial" w:cs="Arial" w:eastAsia="Arial" w:hAnsi="Arial"/>
                <w:sz w:val="16"/>
                <w:szCs w:val="16"/>
                <w:b w:val="1"/>
                <w:bCs w:val="1"/>
                <w:color w:val="FFFFFF"/>
              </w:rPr>
              <w:t>Eric</w:t>
            </w:r>
          </w:p>
        </w:tc>
        <w:tc>
          <w:tcPr>
            <w:tcW w:w="880" w:type="dxa"/>
            <w:vAlign w:val="bottom"/>
            <w:vMerge w:val="restart"/>
            <w:shd w:val="clear" w:color="auto" w:fill="C00000"/>
          </w:tcPr>
          <w:p>
            <w:pPr>
              <w:jc w:val="center"/>
              <w:spacing w:after="0"/>
              <w:rPr>
                <w:sz w:val="20"/>
                <w:szCs w:val="20"/>
                <w:color w:val="auto"/>
              </w:rPr>
            </w:pPr>
            <w:r>
              <w:rPr>
                <w:rFonts w:ascii="Arial" w:cs="Arial" w:eastAsia="Arial" w:hAnsi="Arial"/>
                <w:sz w:val="16"/>
                <w:szCs w:val="16"/>
                <w:b w:val="1"/>
                <w:bCs w:val="1"/>
                <w:color w:val="FFFFFF"/>
                <w:w w:val="97"/>
              </w:rPr>
              <w:t>Katherine</w:t>
            </w:r>
          </w:p>
        </w:tc>
        <w:tc>
          <w:tcPr>
            <w:tcW w:w="960" w:type="dxa"/>
            <w:vAlign w:val="bottom"/>
            <w:vMerge w:val="restart"/>
            <w:shd w:val="clear" w:color="auto" w:fill="C00000"/>
          </w:tcPr>
          <w:p>
            <w:pPr>
              <w:jc w:val="center"/>
              <w:spacing w:after="0"/>
              <w:rPr>
                <w:sz w:val="20"/>
                <w:szCs w:val="20"/>
                <w:color w:val="auto"/>
              </w:rPr>
            </w:pPr>
            <w:r>
              <w:rPr>
                <w:rFonts w:ascii="Arial" w:cs="Arial" w:eastAsia="Arial" w:hAnsi="Arial"/>
                <w:sz w:val="16"/>
                <w:szCs w:val="16"/>
                <w:b w:val="1"/>
                <w:bCs w:val="1"/>
                <w:color w:val="FFFFFF"/>
                <w:w w:val="99"/>
              </w:rPr>
              <w:t>Jeffrey</w:t>
            </w:r>
          </w:p>
        </w:tc>
        <w:tc>
          <w:tcPr>
            <w:tcW w:w="820" w:type="dxa"/>
            <w:vAlign w:val="bottom"/>
            <w:shd w:val="clear" w:color="auto" w:fill="C00000"/>
          </w:tcPr>
          <w:p>
            <w:pPr>
              <w:jc w:val="center"/>
              <w:spacing w:after="0"/>
              <w:rPr>
                <w:sz w:val="20"/>
                <w:szCs w:val="20"/>
                <w:color w:val="auto"/>
              </w:rPr>
            </w:pPr>
            <w:r>
              <w:rPr>
                <w:rFonts w:ascii="Arial" w:cs="Arial" w:eastAsia="Arial" w:hAnsi="Arial"/>
                <w:sz w:val="16"/>
                <w:szCs w:val="16"/>
                <w:b w:val="1"/>
                <w:bCs w:val="1"/>
                <w:color w:val="FFFFFF"/>
                <w:w w:val="99"/>
              </w:rPr>
              <w:t>D.</w:t>
            </w:r>
          </w:p>
        </w:tc>
        <w:tc>
          <w:tcPr>
            <w:tcW w:w="640" w:type="dxa"/>
            <w:vAlign w:val="bottom"/>
            <w:vMerge w:val="restart"/>
            <w:shd w:val="clear" w:color="auto" w:fill="C00000"/>
          </w:tcPr>
          <w:p>
            <w:pPr>
              <w:jc w:val="center"/>
              <w:spacing w:after="0"/>
              <w:rPr>
                <w:sz w:val="20"/>
                <w:szCs w:val="20"/>
                <w:color w:val="auto"/>
              </w:rPr>
            </w:pPr>
            <w:r>
              <w:rPr>
                <w:rFonts w:ascii="Arial" w:cs="Arial" w:eastAsia="Arial" w:hAnsi="Arial"/>
                <w:sz w:val="16"/>
                <w:szCs w:val="16"/>
                <w:b w:val="1"/>
                <w:bCs w:val="1"/>
                <w:color w:val="FFFFFF"/>
              </w:rPr>
              <w:t>Joyce</w:t>
            </w:r>
          </w:p>
        </w:tc>
        <w:tc>
          <w:tcPr>
            <w:tcW w:w="740" w:type="dxa"/>
            <w:vAlign w:val="bottom"/>
            <w:vMerge w:val="restart"/>
            <w:shd w:val="clear" w:color="auto" w:fill="C00000"/>
          </w:tcPr>
          <w:p>
            <w:pPr>
              <w:jc w:val="center"/>
              <w:spacing w:after="0"/>
              <w:rPr>
                <w:sz w:val="20"/>
                <w:szCs w:val="20"/>
                <w:color w:val="auto"/>
              </w:rPr>
            </w:pPr>
            <w:r>
              <w:rPr>
                <w:rFonts w:ascii="Arial" w:cs="Arial" w:eastAsia="Arial" w:hAnsi="Arial"/>
                <w:sz w:val="16"/>
                <w:szCs w:val="16"/>
                <w:b w:val="1"/>
                <w:bCs w:val="1"/>
                <w:color w:val="FFFFFF"/>
                <w:w w:val="97"/>
              </w:rPr>
              <w:t>Richard</w:t>
            </w:r>
          </w:p>
        </w:tc>
        <w:tc>
          <w:tcPr>
            <w:tcW w:w="880" w:type="dxa"/>
            <w:vAlign w:val="bottom"/>
            <w:vMerge w:val="restart"/>
            <w:shd w:val="clear" w:color="auto" w:fill="C00000"/>
          </w:tcPr>
          <w:p>
            <w:pPr>
              <w:jc w:val="center"/>
              <w:spacing w:after="0"/>
              <w:rPr>
                <w:sz w:val="20"/>
                <w:szCs w:val="20"/>
                <w:color w:val="auto"/>
              </w:rPr>
            </w:pPr>
            <w:r>
              <w:rPr>
                <w:rFonts w:ascii="Arial" w:cs="Arial" w:eastAsia="Arial" w:hAnsi="Arial"/>
                <w:sz w:val="16"/>
                <w:szCs w:val="16"/>
                <w:b w:val="1"/>
                <w:bCs w:val="1"/>
                <w:color w:val="FFFFFF"/>
              </w:rPr>
              <w:t>James</w:t>
            </w:r>
          </w:p>
        </w:tc>
        <w:tc>
          <w:tcPr>
            <w:tcW w:w="960" w:type="dxa"/>
            <w:vAlign w:val="bottom"/>
            <w:vMerge w:val="restart"/>
            <w:shd w:val="clear" w:color="auto" w:fill="C00000"/>
          </w:tcPr>
          <w:p>
            <w:pPr>
              <w:jc w:val="center"/>
              <w:spacing w:after="0"/>
              <w:rPr>
                <w:sz w:val="20"/>
                <w:szCs w:val="20"/>
                <w:color w:val="auto"/>
              </w:rPr>
            </w:pPr>
            <w:r>
              <w:rPr>
                <w:rFonts w:ascii="Arial" w:cs="Arial" w:eastAsia="Arial" w:hAnsi="Arial"/>
                <w:sz w:val="16"/>
                <w:szCs w:val="16"/>
                <w:b w:val="1"/>
                <w:bCs w:val="1"/>
                <w:color w:val="FFFFFF"/>
                <w:w w:val="98"/>
              </w:rPr>
              <w:t>Jill</w:t>
            </w:r>
          </w:p>
        </w:tc>
        <w:tc>
          <w:tcPr>
            <w:tcW w:w="680" w:type="dxa"/>
            <w:vAlign w:val="bottom"/>
            <w:vMerge w:val="restart"/>
            <w:shd w:val="clear" w:color="auto" w:fill="C00000"/>
          </w:tcPr>
          <w:p>
            <w:pPr>
              <w:jc w:val="center"/>
              <w:spacing w:after="0"/>
              <w:rPr>
                <w:sz w:val="20"/>
                <w:szCs w:val="20"/>
                <w:color w:val="auto"/>
              </w:rPr>
            </w:pPr>
            <w:r>
              <w:rPr>
                <w:rFonts w:ascii="Arial" w:cs="Arial" w:eastAsia="Arial" w:hAnsi="Arial"/>
                <w:sz w:val="16"/>
                <w:szCs w:val="16"/>
                <w:b w:val="1"/>
                <w:bCs w:val="1"/>
                <w:color w:val="FFFFFF"/>
                <w:w w:val="98"/>
              </w:rPr>
              <w:t>Michael</w:t>
            </w:r>
          </w:p>
        </w:tc>
        <w:tc>
          <w:tcPr>
            <w:tcW w:w="0" w:type="dxa"/>
            <w:vAlign w:val="bottom"/>
          </w:tcPr>
          <w:p>
            <w:pPr>
              <w:spacing w:after="0"/>
              <w:rPr>
                <w:sz w:val="1"/>
                <w:szCs w:val="1"/>
                <w:color w:val="auto"/>
              </w:rPr>
            </w:pPr>
          </w:p>
        </w:tc>
      </w:tr>
      <w:tr>
        <w:trPr>
          <w:trHeight w:val="93"/>
        </w:trPr>
        <w:tc>
          <w:tcPr>
            <w:tcW w:w="1940" w:type="dxa"/>
            <w:vAlign w:val="bottom"/>
            <w:shd w:val="clear" w:color="auto" w:fill="C00000"/>
          </w:tcPr>
          <w:p>
            <w:pPr>
              <w:spacing w:after="0"/>
              <w:rPr>
                <w:sz w:val="8"/>
                <w:szCs w:val="8"/>
                <w:color w:val="auto"/>
              </w:rPr>
            </w:pPr>
          </w:p>
        </w:tc>
        <w:tc>
          <w:tcPr>
            <w:tcW w:w="780" w:type="dxa"/>
            <w:vAlign w:val="bottom"/>
            <w:vMerge w:val="continue"/>
            <w:shd w:val="clear" w:color="auto" w:fill="C00000"/>
          </w:tcPr>
          <w:p>
            <w:pPr>
              <w:spacing w:after="0"/>
              <w:rPr>
                <w:sz w:val="8"/>
                <w:szCs w:val="8"/>
                <w:color w:val="auto"/>
              </w:rPr>
            </w:pPr>
          </w:p>
        </w:tc>
        <w:tc>
          <w:tcPr>
            <w:tcW w:w="520" w:type="dxa"/>
            <w:vAlign w:val="bottom"/>
            <w:vMerge w:val="continue"/>
            <w:shd w:val="clear" w:color="auto" w:fill="C00000"/>
          </w:tcPr>
          <w:p>
            <w:pPr>
              <w:spacing w:after="0"/>
              <w:rPr>
                <w:sz w:val="8"/>
                <w:szCs w:val="8"/>
                <w:color w:val="auto"/>
              </w:rPr>
            </w:pPr>
          </w:p>
        </w:tc>
        <w:tc>
          <w:tcPr>
            <w:tcW w:w="740" w:type="dxa"/>
            <w:vAlign w:val="bottom"/>
            <w:vMerge w:val="continue"/>
            <w:shd w:val="clear" w:color="auto" w:fill="C00000"/>
          </w:tcPr>
          <w:p>
            <w:pPr>
              <w:spacing w:after="0"/>
              <w:rPr>
                <w:sz w:val="8"/>
                <w:szCs w:val="8"/>
                <w:color w:val="auto"/>
              </w:rPr>
            </w:pPr>
          </w:p>
        </w:tc>
        <w:tc>
          <w:tcPr>
            <w:tcW w:w="800" w:type="dxa"/>
            <w:vAlign w:val="bottom"/>
            <w:vMerge w:val="continue"/>
            <w:shd w:val="clear" w:color="auto" w:fill="C00000"/>
          </w:tcPr>
          <w:p>
            <w:pPr>
              <w:spacing w:after="0"/>
              <w:rPr>
                <w:sz w:val="8"/>
                <w:szCs w:val="8"/>
                <w:color w:val="auto"/>
              </w:rPr>
            </w:pPr>
          </w:p>
        </w:tc>
        <w:tc>
          <w:tcPr>
            <w:tcW w:w="880" w:type="dxa"/>
            <w:vAlign w:val="bottom"/>
            <w:vMerge w:val="continue"/>
            <w:shd w:val="clear" w:color="auto" w:fill="C00000"/>
          </w:tcPr>
          <w:p>
            <w:pPr>
              <w:spacing w:after="0"/>
              <w:rPr>
                <w:sz w:val="8"/>
                <w:szCs w:val="8"/>
                <w:color w:val="auto"/>
              </w:rPr>
            </w:pPr>
          </w:p>
        </w:tc>
        <w:tc>
          <w:tcPr>
            <w:tcW w:w="960" w:type="dxa"/>
            <w:vAlign w:val="bottom"/>
            <w:vMerge w:val="continue"/>
            <w:shd w:val="clear" w:color="auto" w:fill="C00000"/>
          </w:tcPr>
          <w:p>
            <w:pPr>
              <w:spacing w:after="0"/>
              <w:rPr>
                <w:sz w:val="8"/>
                <w:szCs w:val="8"/>
                <w:color w:val="auto"/>
              </w:rPr>
            </w:pPr>
          </w:p>
        </w:tc>
        <w:tc>
          <w:tcPr>
            <w:tcW w:w="820" w:type="dxa"/>
            <w:vAlign w:val="bottom"/>
            <w:vMerge w:val="restart"/>
            <w:shd w:val="clear" w:color="auto" w:fill="C00000"/>
          </w:tcPr>
          <w:p>
            <w:pPr>
              <w:jc w:val="center"/>
              <w:spacing w:after="0"/>
              <w:rPr>
                <w:sz w:val="20"/>
                <w:szCs w:val="20"/>
                <w:color w:val="auto"/>
              </w:rPr>
            </w:pPr>
            <w:r>
              <w:rPr>
                <w:rFonts w:ascii="Arial" w:cs="Arial" w:eastAsia="Arial" w:hAnsi="Arial"/>
                <w:sz w:val="16"/>
                <w:szCs w:val="16"/>
                <w:b w:val="1"/>
                <w:bCs w:val="1"/>
                <w:color w:val="FFFFFF"/>
              </w:rPr>
              <w:t>Christian</w:t>
            </w:r>
          </w:p>
        </w:tc>
        <w:tc>
          <w:tcPr>
            <w:tcW w:w="640" w:type="dxa"/>
            <w:vAlign w:val="bottom"/>
            <w:vMerge w:val="continue"/>
            <w:shd w:val="clear" w:color="auto" w:fill="C00000"/>
          </w:tcPr>
          <w:p>
            <w:pPr>
              <w:spacing w:after="0"/>
              <w:rPr>
                <w:sz w:val="8"/>
                <w:szCs w:val="8"/>
                <w:color w:val="auto"/>
              </w:rPr>
            </w:pPr>
          </w:p>
        </w:tc>
        <w:tc>
          <w:tcPr>
            <w:tcW w:w="740" w:type="dxa"/>
            <w:vAlign w:val="bottom"/>
            <w:vMerge w:val="continue"/>
            <w:shd w:val="clear" w:color="auto" w:fill="C00000"/>
          </w:tcPr>
          <w:p>
            <w:pPr>
              <w:spacing w:after="0"/>
              <w:rPr>
                <w:sz w:val="8"/>
                <w:szCs w:val="8"/>
                <w:color w:val="auto"/>
              </w:rPr>
            </w:pPr>
          </w:p>
        </w:tc>
        <w:tc>
          <w:tcPr>
            <w:tcW w:w="880" w:type="dxa"/>
            <w:vAlign w:val="bottom"/>
            <w:vMerge w:val="continue"/>
            <w:shd w:val="clear" w:color="auto" w:fill="C00000"/>
          </w:tcPr>
          <w:p>
            <w:pPr>
              <w:spacing w:after="0"/>
              <w:rPr>
                <w:sz w:val="8"/>
                <w:szCs w:val="8"/>
                <w:color w:val="auto"/>
              </w:rPr>
            </w:pPr>
          </w:p>
        </w:tc>
        <w:tc>
          <w:tcPr>
            <w:tcW w:w="960" w:type="dxa"/>
            <w:vAlign w:val="bottom"/>
            <w:vMerge w:val="continue"/>
            <w:shd w:val="clear" w:color="auto" w:fill="C00000"/>
          </w:tcPr>
          <w:p>
            <w:pPr>
              <w:spacing w:after="0"/>
              <w:rPr>
                <w:sz w:val="8"/>
                <w:szCs w:val="8"/>
                <w:color w:val="auto"/>
              </w:rPr>
            </w:pPr>
          </w:p>
        </w:tc>
        <w:tc>
          <w:tcPr>
            <w:tcW w:w="680" w:type="dxa"/>
            <w:vAlign w:val="bottom"/>
            <w:vMerge w:val="continue"/>
            <w:shd w:val="clear" w:color="auto" w:fill="C00000"/>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940" w:type="dxa"/>
            <w:vAlign w:val="bottom"/>
            <w:shd w:val="clear" w:color="auto" w:fill="C00000"/>
          </w:tcPr>
          <w:p>
            <w:pPr>
              <w:ind w:left="40"/>
              <w:spacing w:after="0" w:line="178" w:lineRule="exact"/>
              <w:rPr>
                <w:sz w:val="20"/>
                <w:szCs w:val="20"/>
                <w:color w:val="auto"/>
              </w:rPr>
            </w:pPr>
            <w:r>
              <w:rPr>
                <w:rFonts w:ascii="Arial" w:cs="Arial" w:eastAsia="Arial" w:hAnsi="Arial"/>
                <w:sz w:val="16"/>
                <w:szCs w:val="16"/>
                <w:b w:val="1"/>
                <w:bCs w:val="1"/>
                <w:color w:val="FFFFFF"/>
              </w:rPr>
              <w:t>Experience as an</w:t>
            </w:r>
          </w:p>
        </w:tc>
        <w:tc>
          <w:tcPr>
            <w:tcW w:w="780" w:type="dxa"/>
            <w:vAlign w:val="bottom"/>
            <w:shd w:val="clear" w:color="auto" w:fill="C00000"/>
          </w:tcPr>
          <w:p>
            <w:pPr>
              <w:jc w:val="center"/>
              <w:spacing w:after="0" w:line="178" w:lineRule="exact"/>
              <w:rPr>
                <w:sz w:val="20"/>
                <w:szCs w:val="20"/>
                <w:color w:val="auto"/>
              </w:rPr>
            </w:pPr>
            <w:r>
              <w:rPr>
                <w:rFonts w:ascii="Arial" w:cs="Arial" w:eastAsia="Arial" w:hAnsi="Arial"/>
                <w:sz w:val="16"/>
                <w:szCs w:val="16"/>
                <w:b w:val="1"/>
                <w:bCs w:val="1"/>
                <w:color w:val="FFFFFF"/>
                <w:w w:val="99"/>
              </w:rPr>
              <w:t>Cooper</w:t>
            </w:r>
          </w:p>
        </w:tc>
        <w:tc>
          <w:tcPr>
            <w:tcW w:w="520" w:type="dxa"/>
            <w:vAlign w:val="bottom"/>
            <w:shd w:val="clear" w:color="auto" w:fill="C00000"/>
          </w:tcPr>
          <w:p>
            <w:pPr>
              <w:ind w:left="80"/>
              <w:spacing w:after="0" w:line="178" w:lineRule="exact"/>
              <w:rPr>
                <w:sz w:val="20"/>
                <w:szCs w:val="20"/>
                <w:color w:val="auto"/>
              </w:rPr>
            </w:pPr>
            <w:r>
              <w:rPr>
                <w:rFonts w:ascii="Arial" w:cs="Arial" w:eastAsia="Arial" w:hAnsi="Arial"/>
                <w:sz w:val="16"/>
                <w:szCs w:val="16"/>
                <w:b w:val="1"/>
                <w:bCs w:val="1"/>
                <w:color w:val="FFFFFF"/>
              </w:rPr>
              <w:t>Ellis</w:t>
            </w:r>
          </w:p>
        </w:tc>
        <w:tc>
          <w:tcPr>
            <w:tcW w:w="740" w:type="dxa"/>
            <w:vAlign w:val="bottom"/>
            <w:shd w:val="clear" w:color="auto" w:fill="C00000"/>
          </w:tcPr>
          <w:p>
            <w:pPr>
              <w:jc w:val="center"/>
              <w:spacing w:after="0" w:line="178" w:lineRule="exact"/>
              <w:rPr>
                <w:sz w:val="20"/>
                <w:szCs w:val="20"/>
                <w:color w:val="auto"/>
              </w:rPr>
            </w:pPr>
            <w:r>
              <w:rPr>
                <w:rFonts w:ascii="Arial" w:cs="Arial" w:eastAsia="Arial" w:hAnsi="Arial"/>
                <w:sz w:val="16"/>
                <w:szCs w:val="16"/>
                <w:b w:val="1"/>
                <w:bCs w:val="1"/>
                <w:color w:val="FFFFFF"/>
                <w:w w:val="99"/>
              </w:rPr>
              <w:t>Ettinger</w:t>
            </w:r>
          </w:p>
        </w:tc>
        <w:tc>
          <w:tcPr>
            <w:tcW w:w="800" w:type="dxa"/>
            <w:vAlign w:val="bottom"/>
            <w:shd w:val="clear" w:color="auto" w:fill="C00000"/>
          </w:tcPr>
          <w:p>
            <w:pPr>
              <w:jc w:val="center"/>
              <w:spacing w:after="0" w:line="178" w:lineRule="exact"/>
              <w:rPr>
                <w:sz w:val="20"/>
                <w:szCs w:val="20"/>
                <w:color w:val="auto"/>
              </w:rPr>
            </w:pPr>
            <w:r>
              <w:rPr>
                <w:rFonts w:ascii="Arial" w:cs="Arial" w:eastAsia="Arial" w:hAnsi="Arial"/>
                <w:sz w:val="16"/>
                <w:szCs w:val="16"/>
                <w:b w:val="1"/>
                <w:bCs w:val="1"/>
                <w:color w:val="FFFFFF"/>
              </w:rPr>
              <w:t>Hansotia</w:t>
            </w:r>
          </w:p>
        </w:tc>
        <w:tc>
          <w:tcPr>
            <w:tcW w:w="880" w:type="dxa"/>
            <w:vAlign w:val="bottom"/>
            <w:shd w:val="clear" w:color="auto" w:fill="C00000"/>
          </w:tcPr>
          <w:p>
            <w:pPr>
              <w:jc w:val="center"/>
              <w:spacing w:after="0" w:line="178" w:lineRule="exact"/>
              <w:rPr>
                <w:sz w:val="20"/>
                <w:szCs w:val="20"/>
                <w:color w:val="auto"/>
              </w:rPr>
            </w:pPr>
            <w:r>
              <w:rPr>
                <w:rFonts w:ascii="Arial" w:cs="Arial" w:eastAsia="Arial" w:hAnsi="Arial"/>
                <w:sz w:val="16"/>
                <w:szCs w:val="16"/>
                <w:b w:val="1"/>
                <w:bCs w:val="1"/>
                <w:color w:val="FFFFFF"/>
                <w:w w:val="96"/>
              </w:rPr>
              <w:t>Harless</w:t>
            </w:r>
          </w:p>
        </w:tc>
        <w:tc>
          <w:tcPr>
            <w:tcW w:w="960" w:type="dxa"/>
            <w:vAlign w:val="bottom"/>
            <w:shd w:val="clear" w:color="auto" w:fill="C00000"/>
          </w:tcPr>
          <w:p>
            <w:pPr>
              <w:jc w:val="center"/>
              <w:spacing w:after="0" w:line="178" w:lineRule="exact"/>
              <w:rPr>
                <w:sz w:val="20"/>
                <w:szCs w:val="20"/>
                <w:color w:val="auto"/>
              </w:rPr>
            </w:pPr>
            <w:r>
              <w:rPr>
                <w:rFonts w:ascii="Arial" w:cs="Arial" w:eastAsia="Arial" w:hAnsi="Arial"/>
                <w:sz w:val="16"/>
                <w:szCs w:val="16"/>
                <w:b w:val="1"/>
                <w:bCs w:val="1"/>
                <w:color w:val="FFFFFF"/>
              </w:rPr>
              <w:t>Harmening</w:t>
            </w:r>
          </w:p>
        </w:tc>
        <w:tc>
          <w:tcPr>
            <w:tcW w:w="820" w:type="dxa"/>
            <w:vAlign w:val="bottom"/>
            <w:vMerge w:val="continue"/>
            <w:shd w:val="clear" w:color="auto" w:fill="C00000"/>
          </w:tcPr>
          <w:p>
            <w:pPr>
              <w:spacing w:after="0"/>
              <w:rPr>
                <w:sz w:val="15"/>
                <w:szCs w:val="15"/>
                <w:color w:val="auto"/>
              </w:rPr>
            </w:pPr>
          </w:p>
        </w:tc>
        <w:tc>
          <w:tcPr>
            <w:tcW w:w="640" w:type="dxa"/>
            <w:vAlign w:val="bottom"/>
            <w:shd w:val="clear" w:color="auto" w:fill="C00000"/>
          </w:tcPr>
          <w:p>
            <w:pPr>
              <w:jc w:val="center"/>
              <w:spacing w:after="0" w:line="178" w:lineRule="exact"/>
              <w:rPr>
                <w:sz w:val="20"/>
                <w:szCs w:val="20"/>
                <w:color w:val="auto"/>
              </w:rPr>
            </w:pPr>
            <w:r>
              <w:rPr>
                <w:rFonts w:ascii="Arial" w:cs="Arial" w:eastAsia="Arial" w:hAnsi="Arial"/>
                <w:sz w:val="16"/>
                <w:szCs w:val="16"/>
                <w:b w:val="1"/>
                <w:bCs w:val="1"/>
                <w:color w:val="FFFFFF"/>
                <w:w w:val="98"/>
              </w:rPr>
              <w:t>Mullen</w:t>
            </w:r>
          </w:p>
        </w:tc>
        <w:tc>
          <w:tcPr>
            <w:tcW w:w="740" w:type="dxa"/>
            <w:vAlign w:val="bottom"/>
            <w:shd w:val="clear" w:color="auto" w:fill="C00000"/>
          </w:tcPr>
          <w:p>
            <w:pPr>
              <w:jc w:val="center"/>
              <w:spacing w:after="0" w:line="178" w:lineRule="exact"/>
              <w:rPr>
                <w:sz w:val="20"/>
                <w:szCs w:val="20"/>
                <w:color w:val="auto"/>
              </w:rPr>
            </w:pPr>
            <w:r>
              <w:rPr>
                <w:rFonts w:ascii="Arial" w:cs="Arial" w:eastAsia="Arial" w:hAnsi="Arial"/>
                <w:sz w:val="16"/>
                <w:szCs w:val="16"/>
                <w:b w:val="1"/>
                <w:bCs w:val="1"/>
                <w:color w:val="FFFFFF"/>
              </w:rPr>
              <w:t>Olson</w:t>
            </w:r>
          </w:p>
        </w:tc>
        <w:tc>
          <w:tcPr>
            <w:tcW w:w="880" w:type="dxa"/>
            <w:vAlign w:val="bottom"/>
            <w:shd w:val="clear" w:color="auto" w:fill="C00000"/>
          </w:tcPr>
          <w:p>
            <w:pPr>
              <w:jc w:val="center"/>
              <w:spacing w:after="0" w:line="178" w:lineRule="exact"/>
              <w:rPr>
                <w:sz w:val="20"/>
                <w:szCs w:val="20"/>
                <w:color w:val="auto"/>
              </w:rPr>
            </w:pPr>
            <w:r>
              <w:rPr>
                <w:rFonts w:ascii="Arial" w:cs="Arial" w:eastAsia="Arial" w:hAnsi="Arial"/>
                <w:sz w:val="16"/>
                <w:szCs w:val="16"/>
                <w:b w:val="1"/>
                <w:bCs w:val="1"/>
                <w:color w:val="FFFFFF"/>
                <w:w w:val="98"/>
              </w:rPr>
              <w:t>O'Rourke</w:t>
            </w:r>
          </w:p>
        </w:tc>
        <w:tc>
          <w:tcPr>
            <w:tcW w:w="960" w:type="dxa"/>
            <w:vAlign w:val="bottom"/>
            <w:shd w:val="clear" w:color="auto" w:fill="C00000"/>
          </w:tcPr>
          <w:p>
            <w:pPr>
              <w:jc w:val="center"/>
              <w:spacing w:after="0" w:line="178" w:lineRule="exact"/>
              <w:rPr>
                <w:sz w:val="20"/>
                <w:szCs w:val="20"/>
                <w:color w:val="auto"/>
              </w:rPr>
            </w:pPr>
            <w:r>
              <w:rPr>
                <w:rFonts w:ascii="Arial" w:cs="Arial" w:eastAsia="Arial" w:hAnsi="Arial"/>
                <w:sz w:val="16"/>
                <w:szCs w:val="16"/>
                <w:b w:val="1"/>
                <w:bCs w:val="1"/>
                <w:color w:val="FFFFFF"/>
              </w:rPr>
              <w:t>Pemberton</w:t>
            </w:r>
          </w:p>
        </w:tc>
        <w:tc>
          <w:tcPr>
            <w:tcW w:w="680" w:type="dxa"/>
            <w:vAlign w:val="bottom"/>
            <w:shd w:val="clear" w:color="auto" w:fill="C00000"/>
          </w:tcPr>
          <w:p>
            <w:pPr>
              <w:jc w:val="center"/>
              <w:spacing w:after="0" w:line="178" w:lineRule="exact"/>
              <w:rPr>
                <w:sz w:val="20"/>
                <w:szCs w:val="20"/>
                <w:color w:val="auto"/>
              </w:rPr>
            </w:pPr>
            <w:r>
              <w:rPr>
                <w:rFonts w:ascii="Arial" w:cs="Arial" w:eastAsia="Arial" w:hAnsi="Arial"/>
                <w:sz w:val="16"/>
                <w:szCs w:val="16"/>
                <w:b w:val="1"/>
                <w:bCs w:val="1"/>
                <w:color w:val="FFFFFF"/>
                <w:w w:val="97"/>
              </w:rPr>
              <w:t>Vale</w:t>
            </w:r>
          </w:p>
        </w:tc>
        <w:tc>
          <w:tcPr>
            <w:tcW w:w="0" w:type="dxa"/>
            <w:vAlign w:val="bottom"/>
          </w:tcPr>
          <w:p>
            <w:pPr>
              <w:spacing w:after="0"/>
              <w:rPr>
                <w:sz w:val="1"/>
                <w:szCs w:val="1"/>
                <w:color w:val="auto"/>
              </w:rPr>
            </w:pPr>
          </w:p>
        </w:tc>
      </w:tr>
      <w:tr>
        <w:trPr>
          <w:trHeight w:val="186"/>
        </w:trPr>
        <w:tc>
          <w:tcPr>
            <w:tcW w:w="1940" w:type="dxa"/>
            <w:vAlign w:val="bottom"/>
            <w:vMerge w:val="restart"/>
            <w:shd w:val="clear" w:color="auto" w:fill="C00000"/>
          </w:tcPr>
          <w:p>
            <w:pPr>
              <w:ind w:left="40"/>
              <w:spacing w:after="0"/>
              <w:rPr>
                <w:sz w:val="20"/>
                <w:szCs w:val="20"/>
                <w:color w:val="auto"/>
              </w:rPr>
            </w:pPr>
            <w:r>
              <w:rPr>
                <w:rFonts w:ascii="Arial" w:cs="Arial" w:eastAsia="Arial" w:hAnsi="Arial"/>
                <w:sz w:val="16"/>
                <w:szCs w:val="16"/>
                <w:b w:val="1"/>
                <w:bCs w:val="1"/>
                <w:color w:val="FFFFFF"/>
              </w:rPr>
              <w:t>Executive Leader in the</w:t>
            </w:r>
          </w:p>
        </w:tc>
        <w:tc>
          <w:tcPr>
            <w:tcW w:w="780" w:type="dxa"/>
            <w:vAlign w:val="bottom"/>
            <w:shd w:val="clear" w:color="auto" w:fill="C00000"/>
          </w:tcPr>
          <w:p>
            <w:pPr>
              <w:spacing w:after="0"/>
              <w:rPr>
                <w:sz w:val="16"/>
                <w:szCs w:val="16"/>
                <w:color w:val="auto"/>
              </w:rPr>
            </w:pPr>
          </w:p>
        </w:tc>
        <w:tc>
          <w:tcPr>
            <w:tcW w:w="520" w:type="dxa"/>
            <w:vAlign w:val="bottom"/>
            <w:shd w:val="clear" w:color="auto" w:fill="C00000"/>
          </w:tcPr>
          <w:p>
            <w:pPr>
              <w:spacing w:after="0"/>
              <w:rPr>
                <w:sz w:val="16"/>
                <w:szCs w:val="16"/>
                <w:color w:val="auto"/>
              </w:rPr>
            </w:pPr>
          </w:p>
        </w:tc>
        <w:tc>
          <w:tcPr>
            <w:tcW w:w="740" w:type="dxa"/>
            <w:vAlign w:val="bottom"/>
            <w:shd w:val="clear" w:color="auto" w:fill="C00000"/>
          </w:tcPr>
          <w:p>
            <w:pPr>
              <w:spacing w:after="0"/>
              <w:rPr>
                <w:sz w:val="16"/>
                <w:szCs w:val="16"/>
                <w:color w:val="auto"/>
              </w:rPr>
            </w:pPr>
          </w:p>
        </w:tc>
        <w:tc>
          <w:tcPr>
            <w:tcW w:w="800" w:type="dxa"/>
            <w:vAlign w:val="bottom"/>
            <w:shd w:val="clear" w:color="auto" w:fill="C00000"/>
          </w:tcPr>
          <w:p>
            <w:pPr>
              <w:spacing w:after="0"/>
              <w:rPr>
                <w:sz w:val="16"/>
                <w:szCs w:val="16"/>
                <w:color w:val="auto"/>
              </w:rPr>
            </w:pPr>
          </w:p>
        </w:tc>
        <w:tc>
          <w:tcPr>
            <w:tcW w:w="880" w:type="dxa"/>
            <w:vAlign w:val="bottom"/>
            <w:shd w:val="clear" w:color="auto" w:fill="C00000"/>
          </w:tcPr>
          <w:p>
            <w:pPr>
              <w:spacing w:after="0"/>
              <w:rPr>
                <w:sz w:val="16"/>
                <w:szCs w:val="16"/>
                <w:color w:val="auto"/>
              </w:rPr>
            </w:pPr>
          </w:p>
        </w:tc>
        <w:tc>
          <w:tcPr>
            <w:tcW w:w="960" w:type="dxa"/>
            <w:vAlign w:val="bottom"/>
            <w:shd w:val="clear" w:color="auto" w:fill="C00000"/>
          </w:tcPr>
          <w:p>
            <w:pPr>
              <w:spacing w:after="0"/>
              <w:rPr>
                <w:sz w:val="16"/>
                <w:szCs w:val="16"/>
                <w:color w:val="auto"/>
              </w:rPr>
            </w:pPr>
          </w:p>
        </w:tc>
        <w:tc>
          <w:tcPr>
            <w:tcW w:w="820" w:type="dxa"/>
            <w:vAlign w:val="bottom"/>
            <w:shd w:val="clear" w:color="auto" w:fill="C00000"/>
          </w:tcPr>
          <w:p>
            <w:pPr>
              <w:jc w:val="center"/>
              <w:spacing w:after="0"/>
              <w:rPr>
                <w:sz w:val="20"/>
                <w:szCs w:val="20"/>
                <w:color w:val="auto"/>
              </w:rPr>
            </w:pPr>
            <w:r>
              <w:rPr>
                <w:rFonts w:ascii="Arial" w:cs="Arial" w:eastAsia="Arial" w:hAnsi="Arial"/>
                <w:sz w:val="16"/>
                <w:szCs w:val="16"/>
                <w:b w:val="1"/>
                <w:bCs w:val="1"/>
                <w:color w:val="FFFFFF"/>
                <w:w w:val="99"/>
              </w:rPr>
              <w:t>Koch</w:t>
            </w:r>
          </w:p>
        </w:tc>
        <w:tc>
          <w:tcPr>
            <w:tcW w:w="640" w:type="dxa"/>
            <w:vAlign w:val="bottom"/>
            <w:shd w:val="clear" w:color="auto" w:fill="C00000"/>
          </w:tcPr>
          <w:p>
            <w:pPr>
              <w:spacing w:after="0"/>
              <w:rPr>
                <w:sz w:val="16"/>
                <w:szCs w:val="16"/>
                <w:color w:val="auto"/>
              </w:rPr>
            </w:pPr>
          </w:p>
        </w:tc>
        <w:tc>
          <w:tcPr>
            <w:tcW w:w="740" w:type="dxa"/>
            <w:vAlign w:val="bottom"/>
            <w:shd w:val="clear" w:color="auto" w:fill="C00000"/>
          </w:tcPr>
          <w:p>
            <w:pPr>
              <w:spacing w:after="0"/>
              <w:rPr>
                <w:sz w:val="16"/>
                <w:szCs w:val="16"/>
                <w:color w:val="auto"/>
              </w:rPr>
            </w:pPr>
          </w:p>
        </w:tc>
        <w:tc>
          <w:tcPr>
            <w:tcW w:w="880" w:type="dxa"/>
            <w:vAlign w:val="bottom"/>
            <w:shd w:val="clear" w:color="auto" w:fill="C00000"/>
          </w:tcPr>
          <w:p>
            <w:pPr>
              <w:spacing w:after="0"/>
              <w:rPr>
                <w:sz w:val="16"/>
                <w:szCs w:val="16"/>
                <w:color w:val="auto"/>
              </w:rPr>
            </w:pPr>
          </w:p>
        </w:tc>
        <w:tc>
          <w:tcPr>
            <w:tcW w:w="960" w:type="dxa"/>
            <w:vAlign w:val="bottom"/>
            <w:shd w:val="clear" w:color="auto" w:fill="C00000"/>
          </w:tcPr>
          <w:p>
            <w:pPr>
              <w:spacing w:after="0"/>
              <w:rPr>
                <w:sz w:val="16"/>
                <w:szCs w:val="16"/>
                <w:color w:val="auto"/>
              </w:rPr>
            </w:pPr>
          </w:p>
        </w:tc>
        <w:tc>
          <w:tcPr>
            <w:tcW w:w="680" w:type="dxa"/>
            <w:vAlign w:val="bottom"/>
            <w:shd w:val="clear" w:color="auto" w:fill="C00000"/>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940" w:type="dxa"/>
            <w:vAlign w:val="bottom"/>
            <w:vMerge w:val="continue"/>
            <w:shd w:val="clear" w:color="auto" w:fill="C00000"/>
          </w:tcPr>
          <w:p>
            <w:pPr>
              <w:spacing w:after="0" w:line="20" w:lineRule="exact"/>
              <w:rPr>
                <w:sz w:val="1"/>
                <w:szCs w:val="1"/>
                <w:color w:val="auto"/>
              </w:rPr>
            </w:pPr>
          </w:p>
        </w:tc>
        <w:tc>
          <w:tcPr>
            <w:tcW w:w="780" w:type="dxa"/>
            <w:vAlign w:val="bottom"/>
            <w:shd w:val="clear" w:color="auto" w:fill="C00000"/>
          </w:tcPr>
          <w:p>
            <w:pPr>
              <w:spacing w:after="0" w:line="20" w:lineRule="exact"/>
              <w:rPr>
                <w:sz w:val="1"/>
                <w:szCs w:val="1"/>
                <w:color w:val="auto"/>
              </w:rPr>
            </w:pPr>
          </w:p>
        </w:tc>
        <w:tc>
          <w:tcPr>
            <w:tcW w:w="520" w:type="dxa"/>
            <w:vAlign w:val="bottom"/>
            <w:shd w:val="clear" w:color="auto" w:fill="C00000"/>
          </w:tcPr>
          <w:p>
            <w:pPr>
              <w:spacing w:after="0" w:line="20" w:lineRule="exact"/>
              <w:rPr>
                <w:sz w:val="1"/>
                <w:szCs w:val="1"/>
                <w:color w:val="auto"/>
              </w:rPr>
            </w:pPr>
          </w:p>
        </w:tc>
        <w:tc>
          <w:tcPr>
            <w:tcW w:w="740" w:type="dxa"/>
            <w:vAlign w:val="bottom"/>
            <w:shd w:val="clear" w:color="auto" w:fill="C00000"/>
          </w:tcPr>
          <w:p>
            <w:pPr>
              <w:spacing w:after="0" w:line="20" w:lineRule="exact"/>
              <w:rPr>
                <w:sz w:val="1"/>
                <w:szCs w:val="1"/>
                <w:color w:val="auto"/>
              </w:rPr>
            </w:pPr>
          </w:p>
        </w:tc>
        <w:tc>
          <w:tcPr>
            <w:tcW w:w="800" w:type="dxa"/>
            <w:vAlign w:val="bottom"/>
            <w:shd w:val="clear" w:color="auto" w:fill="C00000"/>
          </w:tcPr>
          <w:p>
            <w:pPr>
              <w:spacing w:after="0" w:line="20" w:lineRule="exact"/>
              <w:rPr>
                <w:sz w:val="1"/>
                <w:szCs w:val="1"/>
                <w:color w:val="auto"/>
              </w:rPr>
            </w:pPr>
          </w:p>
        </w:tc>
        <w:tc>
          <w:tcPr>
            <w:tcW w:w="880" w:type="dxa"/>
            <w:vAlign w:val="bottom"/>
            <w:shd w:val="clear" w:color="auto" w:fill="C00000"/>
          </w:tcPr>
          <w:p>
            <w:pPr>
              <w:spacing w:after="0" w:line="20" w:lineRule="exact"/>
              <w:rPr>
                <w:sz w:val="1"/>
                <w:szCs w:val="1"/>
                <w:color w:val="auto"/>
              </w:rPr>
            </w:pPr>
          </w:p>
        </w:tc>
        <w:tc>
          <w:tcPr>
            <w:tcW w:w="960" w:type="dxa"/>
            <w:vAlign w:val="bottom"/>
            <w:shd w:val="clear" w:color="auto" w:fill="C00000"/>
          </w:tcPr>
          <w:p>
            <w:pPr>
              <w:spacing w:after="0" w:line="20" w:lineRule="exact"/>
              <w:rPr>
                <w:sz w:val="1"/>
                <w:szCs w:val="1"/>
                <w:color w:val="auto"/>
              </w:rPr>
            </w:pPr>
          </w:p>
        </w:tc>
        <w:tc>
          <w:tcPr>
            <w:tcW w:w="820" w:type="dxa"/>
            <w:vAlign w:val="bottom"/>
            <w:shd w:val="clear" w:color="auto" w:fill="C00000"/>
          </w:tcPr>
          <w:p>
            <w:pPr>
              <w:spacing w:after="0" w:line="20" w:lineRule="exact"/>
              <w:rPr>
                <w:sz w:val="1"/>
                <w:szCs w:val="1"/>
                <w:color w:val="auto"/>
              </w:rPr>
            </w:pPr>
          </w:p>
        </w:tc>
        <w:tc>
          <w:tcPr>
            <w:tcW w:w="640" w:type="dxa"/>
            <w:vAlign w:val="bottom"/>
            <w:shd w:val="clear" w:color="auto" w:fill="C00000"/>
          </w:tcPr>
          <w:p>
            <w:pPr>
              <w:spacing w:after="0" w:line="20" w:lineRule="exact"/>
              <w:rPr>
                <w:sz w:val="1"/>
                <w:szCs w:val="1"/>
                <w:color w:val="auto"/>
              </w:rPr>
            </w:pPr>
          </w:p>
        </w:tc>
        <w:tc>
          <w:tcPr>
            <w:tcW w:w="740" w:type="dxa"/>
            <w:vAlign w:val="bottom"/>
            <w:shd w:val="clear" w:color="auto" w:fill="C00000"/>
          </w:tcPr>
          <w:p>
            <w:pPr>
              <w:spacing w:after="0" w:line="20" w:lineRule="exact"/>
              <w:rPr>
                <w:sz w:val="1"/>
                <w:szCs w:val="1"/>
                <w:color w:val="auto"/>
              </w:rPr>
            </w:pPr>
          </w:p>
        </w:tc>
        <w:tc>
          <w:tcPr>
            <w:tcW w:w="880" w:type="dxa"/>
            <w:vAlign w:val="bottom"/>
            <w:shd w:val="clear" w:color="auto" w:fill="C00000"/>
          </w:tcPr>
          <w:p>
            <w:pPr>
              <w:spacing w:after="0" w:line="20" w:lineRule="exact"/>
              <w:rPr>
                <w:sz w:val="1"/>
                <w:szCs w:val="1"/>
                <w:color w:val="auto"/>
              </w:rPr>
            </w:pPr>
          </w:p>
        </w:tc>
        <w:tc>
          <w:tcPr>
            <w:tcW w:w="960" w:type="dxa"/>
            <w:vAlign w:val="bottom"/>
            <w:shd w:val="clear" w:color="auto" w:fill="C00000"/>
          </w:tcPr>
          <w:p>
            <w:pPr>
              <w:spacing w:after="0" w:line="20" w:lineRule="exact"/>
              <w:rPr>
                <w:sz w:val="1"/>
                <w:szCs w:val="1"/>
                <w:color w:val="auto"/>
              </w:rPr>
            </w:pPr>
          </w:p>
        </w:tc>
        <w:tc>
          <w:tcPr>
            <w:tcW w:w="680" w:type="dxa"/>
            <w:vAlign w:val="bottom"/>
            <w:shd w:val="clear" w:color="auto" w:fill="C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940" w:type="dxa"/>
            <w:vAlign w:val="bottom"/>
            <w:shd w:val="clear" w:color="auto" w:fill="C00000"/>
          </w:tcPr>
          <w:p>
            <w:pPr>
              <w:ind w:left="40"/>
              <w:spacing w:after="0"/>
              <w:rPr>
                <w:sz w:val="20"/>
                <w:szCs w:val="20"/>
                <w:color w:val="auto"/>
              </w:rPr>
            </w:pPr>
            <w:r>
              <w:rPr>
                <w:rFonts w:ascii="Arial" w:cs="Arial" w:eastAsia="Arial" w:hAnsi="Arial"/>
                <w:sz w:val="16"/>
                <w:szCs w:val="16"/>
                <w:b w:val="1"/>
                <w:bCs w:val="1"/>
                <w:color w:val="FFFFFF"/>
              </w:rPr>
              <w:t>Following Areas</w:t>
            </w:r>
          </w:p>
        </w:tc>
        <w:tc>
          <w:tcPr>
            <w:tcW w:w="780" w:type="dxa"/>
            <w:vAlign w:val="bottom"/>
            <w:shd w:val="clear" w:color="auto" w:fill="C00000"/>
          </w:tcPr>
          <w:p>
            <w:pPr>
              <w:spacing w:after="0"/>
              <w:rPr>
                <w:sz w:val="17"/>
                <w:szCs w:val="17"/>
                <w:color w:val="auto"/>
              </w:rPr>
            </w:pPr>
          </w:p>
        </w:tc>
        <w:tc>
          <w:tcPr>
            <w:tcW w:w="520" w:type="dxa"/>
            <w:vAlign w:val="bottom"/>
            <w:shd w:val="clear" w:color="auto" w:fill="C00000"/>
          </w:tcPr>
          <w:p>
            <w:pPr>
              <w:spacing w:after="0"/>
              <w:rPr>
                <w:sz w:val="17"/>
                <w:szCs w:val="17"/>
                <w:color w:val="auto"/>
              </w:rPr>
            </w:pPr>
          </w:p>
        </w:tc>
        <w:tc>
          <w:tcPr>
            <w:tcW w:w="740" w:type="dxa"/>
            <w:vAlign w:val="bottom"/>
            <w:shd w:val="clear" w:color="auto" w:fill="C00000"/>
          </w:tcPr>
          <w:p>
            <w:pPr>
              <w:spacing w:after="0"/>
              <w:rPr>
                <w:sz w:val="17"/>
                <w:szCs w:val="17"/>
                <w:color w:val="auto"/>
              </w:rPr>
            </w:pPr>
          </w:p>
        </w:tc>
        <w:tc>
          <w:tcPr>
            <w:tcW w:w="800" w:type="dxa"/>
            <w:vAlign w:val="bottom"/>
            <w:shd w:val="clear" w:color="auto" w:fill="C00000"/>
          </w:tcPr>
          <w:p>
            <w:pPr>
              <w:spacing w:after="0"/>
              <w:rPr>
                <w:sz w:val="17"/>
                <w:szCs w:val="17"/>
                <w:color w:val="auto"/>
              </w:rPr>
            </w:pPr>
          </w:p>
        </w:tc>
        <w:tc>
          <w:tcPr>
            <w:tcW w:w="880" w:type="dxa"/>
            <w:vAlign w:val="bottom"/>
            <w:shd w:val="clear" w:color="auto" w:fill="C00000"/>
          </w:tcPr>
          <w:p>
            <w:pPr>
              <w:spacing w:after="0"/>
              <w:rPr>
                <w:sz w:val="17"/>
                <w:szCs w:val="17"/>
                <w:color w:val="auto"/>
              </w:rPr>
            </w:pPr>
          </w:p>
        </w:tc>
        <w:tc>
          <w:tcPr>
            <w:tcW w:w="960" w:type="dxa"/>
            <w:vAlign w:val="bottom"/>
            <w:shd w:val="clear" w:color="auto" w:fill="C00000"/>
          </w:tcPr>
          <w:p>
            <w:pPr>
              <w:spacing w:after="0"/>
              <w:rPr>
                <w:sz w:val="17"/>
                <w:szCs w:val="17"/>
                <w:color w:val="auto"/>
              </w:rPr>
            </w:pPr>
          </w:p>
        </w:tc>
        <w:tc>
          <w:tcPr>
            <w:tcW w:w="820" w:type="dxa"/>
            <w:vAlign w:val="bottom"/>
            <w:shd w:val="clear" w:color="auto" w:fill="C00000"/>
          </w:tcPr>
          <w:p>
            <w:pPr>
              <w:spacing w:after="0"/>
              <w:rPr>
                <w:sz w:val="17"/>
                <w:szCs w:val="17"/>
                <w:color w:val="auto"/>
              </w:rPr>
            </w:pPr>
          </w:p>
        </w:tc>
        <w:tc>
          <w:tcPr>
            <w:tcW w:w="640" w:type="dxa"/>
            <w:vAlign w:val="bottom"/>
            <w:shd w:val="clear" w:color="auto" w:fill="C00000"/>
          </w:tcPr>
          <w:p>
            <w:pPr>
              <w:spacing w:after="0"/>
              <w:rPr>
                <w:sz w:val="17"/>
                <w:szCs w:val="17"/>
                <w:color w:val="auto"/>
              </w:rPr>
            </w:pPr>
          </w:p>
        </w:tc>
        <w:tc>
          <w:tcPr>
            <w:tcW w:w="740" w:type="dxa"/>
            <w:vAlign w:val="bottom"/>
            <w:shd w:val="clear" w:color="auto" w:fill="C00000"/>
          </w:tcPr>
          <w:p>
            <w:pPr>
              <w:spacing w:after="0"/>
              <w:rPr>
                <w:sz w:val="17"/>
                <w:szCs w:val="17"/>
                <w:color w:val="auto"/>
              </w:rPr>
            </w:pPr>
          </w:p>
        </w:tc>
        <w:tc>
          <w:tcPr>
            <w:tcW w:w="880" w:type="dxa"/>
            <w:vAlign w:val="bottom"/>
            <w:shd w:val="clear" w:color="auto" w:fill="C00000"/>
          </w:tcPr>
          <w:p>
            <w:pPr>
              <w:spacing w:after="0"/>
              <w:rPr>
                <w:sz w:val="17"/>
                <w:szCs w:val="17"/>
                <w:color w:val="auto"/>
              </w:rPr>
            </w:pPr>
          </w:p>
        </w:tc>
        <w:tc>
          <w:tcPr>
            <w:tcW w:w="960" w:type="dxa"/>
            <w:vAlign w:val="bottom"/>
            <w:shd w:val="clear" w:color="auto" w:fill="C00000"/>
          </w:tcPr>
          <w:p>
            <w:pPr>
              <w:spacing w:after="0"/>
              <w:rPr>
                <w:sz w:val="17"/>
                <w:szCs w:val="17"/>
                <w:color w:val="auto"/>
              </w:rPr>
            </w:pPr>
          </w:p>
        </w:tc>
        <w:tc>
          <w:tcPr>
            <w:tcW w:w="680" w:type="dxa"/>
            <w:vAlign w:val="bottom"/>
            <w:shd w:val="clear" w:color="auto" w:fill="C00000"/>
          </w:tcPr>
          <w:p>
            <w:pPr>
              <w:spacing w:after="0"/>
              <w:rPr>
                <w:sz w:val="17"/>
                <w:szCs w:val="1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sectPr>
          <w:pgSz w:w="11900" w:h="16838" w:orient="portrait"/>
          <w:cols w:equalWidth="0" w:num="1">
            <w:col w:w="11340"/>
          </w:cols>
          <w:pgMar w:left="320" w:top="140" w:right="239" w:bottom="1440" w:gutter="0" w:footer="0" w:header="0"/>
        </w:sectPr>
      </w:pPr>
    </w:p>
    <w:p>
      <w:pPr>
        <w:spacing w:after="0" w:line="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Current/Former CEO</w:t>
      </w:r>
    </w:p>
    <w:p>
      <w:pPr>
        <w:spacing w:after="0" w:line="86" w:lineRule="exact"/>
        <w:rPr>
          <w:sz w:val="20"/>
          <w:szCs w:val="20"/>
          <w:color w:val="auto"/>
        </w:rPr>
      </w:pPr>
    </w:p>
    <w:p>
      <w:pPr>
        <w:ind w:left="40" w:right="500"/>
        <w:spacing w:after="0" w:line="244" w:lineRule="auto"/>
        <w:rPr>
          <w:sz w:val="20"/>
          <w:szCs w:val="20"/>
          <w:color w:val="auto"/>
        </w:rPr>
      </w:pPr>
      <w:r>
        <w:rPr>
          <w:rFonts w:ascii="Arial" w:cs="Arial" w:eastAsia="Arial" w:hAnsi="Arial"/>
          <w:sz w:val="17"/>
          <w:szCs w:val="17"/>
          <w:color w:val="auto"/>
        </w:rPr>
        <w:t>Finance/Financial Oversight</w:t>
      </w:r>
    </w:p>
    <w:p>
      <w:pPr>
        <w:spacing w:after="0" w:line="1" w:lineRule="exact"/>
        <w:rPr>
          <w:sz w:val="20"/>
          <w:szCs w:val="20"/>
          <w:color w:val="auto"/>
        </w:rPr>
      </w:pPr>
    </w:p>
    <w:p>
      <w:pPr>
        <w:ind w:left="40" w:right="80"/>
        <w:spacing w:after="0" w:line="253" w:lineRule="auto"/>
        <w:rPr>
          <w:sz w:val="20"/>
          <w:szCs w:val="20"/>
          <w:color w:val="auto"/>
        </w:rPr>
      </w:pPr>
      <w:r>
        <w:rPr>
          <w:rFonts w:ascii="Arial" w:cs="Arial" w:eastAsia="Arial" w:hAnsi="Arial"/>
          <w:sz w:val="17"/>
          <w:szCs w:val="17"/>
          <w:color w:val="auto"/>
        </w:rPr>
        <w:t>Public Company Board (other than TTC)</w:t>
      </w:r>
    </w:p>
    <w:p>
      <w:pPr>
        <w:ind w:left="40" w:right="180"/>
        <w:spacing w:after="0" w:line="265" w:lineRule="auto"/>
        <w:rPr>
          <w:sz w:val="20"/>
          <w:szCs w:val="20"/>
          <w:color w:val="auto"/>
        </w:rPr>
      </w:pPr>
      <w:r>
        <w:rPr>
          <w:rFonts w:ascii="Arial" w:cs="Arial" w:eastAsia="Arial" w:hAnsi="Arial"/>
          <w:sz w:val="17"/>
          <w:szCs w:val="17"/>
          <w:color w:val="auto"/>
        </w:rPr>
        <w:t>Manufacturing/Supply Chain/Operations</w:t>
      </w:r>
    </w:p>
    <w:p>
      <w:pPr>
        <w:spacing w:after="0" w:line="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Distribution Channel</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Strategic Planning</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7"/>
          <w:szCs w:val="17"/>
          <w:color w:val="auto"/>
        </w:rPr>
        <w:t>Regulatory/Government</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Health and Safety</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Mergers &amp; Acquisitions</w:t>
      </w:r>
    </w:p>
    <w:p>
      <w:pPr>
        <w:spacing w:after="0" w:line="86" w:lineRule="exact"/>
        <w:rPr>
          <w:sz w:val="20"/>
          <w:szCs w:val="20"/>
          <w:color w:val="auto"/>
        </w:rPr>
      </w:pPr>
    </w:p>
    <w:p>
      <w:pPr>
        <w:ind w:left="40" w:right="220"/>
        <w:spacing w:after="0" w:line="248" w:lineRule="auto"/>
        <w:rPr>
          <w:sz w:val="20"/>
          <w:szCs w:val="20"/>
          <w:color w:val="auto"/>
        </w:rPr>
      </w:pPr>
      <w:r>
        <w:rPr>
          <w:rFonts w:ascii="Arial" w:cs="Arial" w:eastAsia="Arial" w:hAnsi="Arial"/>
          <w:sz w:val="17"/>
          <w:szCs w:val="17"/>
          <w:color w:val="auto"/>
        </w:rPr>
        <w:t>International Operations Information Systems/ Cybersecurity</w:t>
      </w:r>
    </w:p>
    <w:p>
      <w:pPr>
        <w:ind w:left="40"/>
        <w:spacing w:after="0" w:line="234" w:lineRule="auto"/>
        <w:rPr>
          <w:sz w:val="20"/>
          <w:szCs w:val="20"/>
          <w:color w:val="auto"/>
        </w:rPr>
      </w:pPr>
      <w:r>
        <w:rPr>
          <w:rFonts w:ascii="Arial" w:cs="Arial" w:eastAsia="Arial" w:hAnsi="Arial"/>
          <w:sz w:val="18"/>
          <w:szCs w:val="18"/>
          <w:color w:val="auto"/>
        </w:rPr>
        <w:t>Previously Resided</w:t>
      </w:r>
    </w:p>
    <w:p>
      <w:pPr>
        <w:ind w:left="40"/>
        <w:spacing w:after="0" w:line="232" w:lineRule="auto"/>
        <w:rPr>
          <w:sz w:val="20"/>
          <w:szCs w:val="20"/>
          <w:color w:val="auto"/>
        </w:rPr>
      </w:pPr>
      <w:r>
        <w:rPr>
          <w:rFonts w:ascii="Arial" w:cs="Arial" w:eastAsia="Arial" w:hAnsi="Arial"/>
          <w:sz w:val="18"/>
          <w:szCs w:val="18"/>
          <w:color w:val="auto"/>
        </w:rPr>
        <w:t>Outside the United</w:t>
      </w:r>
    </w:p>
    <w:p>
      <w:pPr>
        <w:ind w:left="40"/>
        <w:spacing w:after="0"/>
        <w:rPr>
          <w:sz w:val="20"/>
          <w:szCs w:val="20"/>
          <w:color w:val="auto"/>
        </w:rPr>
      </w:pPr>
      <w:r>
        <w:rPr>
          <w:rFonts w:ascii="Arial" w:cs="Arial" w:eastAsia="Arial" w:hAnsi="Arial"/>
          <w:sz w:val="18"/>
          <w:szCs w:val="18"/>
          <w:color w:val="auto"/>
        </w:rPr>
        <w:t>States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07"/>
        </w:trPr>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jc w:val="right"/>
              <w:ind w:right="203"/>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800" w:type="dxa"/>
            <w:vAlign w:val="bottom"/>
          </w:tcPr>
          <w:p>
            <w:pPr>
              <w:ind w:left="30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880" w:type="dxa"/>
            <w:vAlign w:val="bottom"/>
          </w:tcPr>
          <w:p>
            <w:pPr>
              <w:ind w:left="34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920" w:type="dxa"/>
            <w:vAlign w:val="bottom"/>
          </w:tcPr>
          <w:p>
            <w:pPr>
              <w:ind w:left="38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800" w:type="dxa"/>
            <w:vAlign w:val="bottom"/>
          </w:tcPr>
          <w:p>
            <w:pPr>
              <w:ind w:left="36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720" w:type="dxa"/>
            <w:vAlign w:val="bottom"/>
          </w:tcPr>
          <w:p>
            <w:pPr>
              <w:ind w:left="30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740" w:type="dxa"/>
            <w:vAlign w:val="bottom"/>
          </w:tcPr>
          <w:p>
            <w:pPr>
              <w:ind w:left="26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880" w:type="dxa"/>
            <w:vAlign w:val="bottom"/>
          </w:tcPr>
          <w:p>
            <w:pPr>
              <w:ind w:left="34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1720" w:type="dxa"/>
            <w:vAlign w:val="bottom"/>
            <w:gridSpan w:val="3"/>
          </w:tcPr>
          <w:p>
            <w:pPr>
              <w:jc w:val="right"/>
              <w:ind w:right="203"/>
              <w:spacing w:after="0" w:line="191" w:lineRule="exact"/>
              <w:rPr>
                <w:sz w:val="20"/>
                <w:szCs w:val="20"/>
                <w:color w:val="auto"/>
              </w:rPr>
            </w:pPr>
            <w:r>
              <w:rPr>
                <w:rFonts w:ascii="MS PGothic" w:cs="MS PGothic" w:eastAsia="MS PGothic" w:hAnsi="MS PGothic"/>
                <w:sz w:val="19"/>
                <w:szCs w:val="19"/>
                <w:color w:val="auto"/>
                <w:shd w:val="clear" w:color="auto" w:fill="C00000"/>
              </w:rPr>
              <w:t>✓   ✓    ✓</w:t>
            </w:r>
          </w:p>
        </w:tc>
        <w:tc>
          <w:tcPr>
            <w:tcW w:w="800" w:type="dxa"/>
            <w:vAlign w:val="bottom"/>
          </w:tcPr>
          <w:p>
            <w:pPr>
              <w:ind w:left="30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880" w:type="dxa"/>
            <w:vAlign w:val="bottom"/>
          </w:tcPr>
          <w:p>
            <w:pPr>
              <w:ind w:left="34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920" w:type="dxa"/>
            <w:vAlign w:val="bottom"/>
          </w:tcPr>
          <w:p>
            <w:pPr>
              <w:ind w:left="38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800" w:type="dxa"/>
            <w:vAlign w:val="bottom"/>
          </w:tcPr>
          <w:p>
            <w:pPr>
              <w:ind w:left="36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720" w:type="dxa"/>
            <w:vAlign w:val="bottom"/>
          </w:tcPr>
          <w:p>
            <w:pPr>
              <w:ind w:left="30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740" w:type="dxa"/>
            <w:vAlign w:val="bottom"/>
          </w:tcPr>
          <w:p>
            <w:pPr>
              <w:ind w:left="26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880" w:type="dxa"/>
            <w:vAlign w:val="bottom"/>
          </w:tcPr>
          <w:p>
            <w:pPr>
              <w:ind w:left="34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860" w:type="dxa"/>
            <w:vAlign w:val="bottom"/>
          </w:tcPr>
          <w:p>
            <w:pPr>
              <w:ind w:left="36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520" w:type="dxa"/>
            <w:vAlign w:val="bottom"/>
          </w:tcPr>
          <w:p>
            <w:pPr>
              <w:ind w:left="340"/>
              <w:spacing w:after="0" w:line="191" w:lineRule="exact"/>
              <w:rPr>
                <w:sz w:val="20"/>
                <w:szCs w:val="20"/>
                <w:color w:val="auto"/>
              </w:rPr>
            </w:pPr>
            <w:r>
              <w:rPr>
                <w:rFonts w:ascii="MS PGothic" w:cs="MS PGothic" w:eastAsia="MS PGothic" w:hAnsi="MS PGothic"/>
                <w:sz w:val="19"/>
                <w:szCs w:val="19"/>
                <w:color w:val="auto"/>
                <w:w w:val="83"/>
                <w:shd w:val="clear" w:color="auto" w:fill="C00000"/>
              </w:rPr>
              <w:t>✓</w:t>
            </w:r>
          </w:p>
        </w:tc>
        <w:tc>
          <w:tcPr>
            <w:tcW w:w="0" w:type="dxa"/>
            <w:vAlign w:val="bottom"/>
          </w:tcPr>
          <w:p>
            <w:pPr>
              <w:spacing w:after="0"/>
              <w:rPr>
                <w:sz w:val="1"/>
                <w:szCs w:val="1"/>
                <w:color w:val="auto"/>
              </w:rPr>
            </w:pPr>
          </w:p>
        </w:tc>
      </w:tr>
      <w:tr>
        <w:trPr>
          <w:trHeight w:val="399"/>
        </w:trPr>
        <w:tc>
          <w:tcPr>
            <w:tcW w:w="400" w:type="dxa"/>
            <w:vAlign w:val="bottom"/>
          </w:tcPr>
          <w:p>
            <w:pPr>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620" w:type="dxa"/>
            <w:vAlign w:val="bottom"/>
          </w:tcPr>
          <w:p>
            <w:pPr>
              <w:ind w:left="22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700" w:type="dxa"/>
            <w:vAlign w:val="bottom"/>
          </w:tcPr>
          <w:p>
            <w:pPr>
              <w:jc w:val="right"/>
              <w:ind w:right="203"/>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800" w:type="dxa"/>
            <w:vAlign w:val="bottom"/>
          </w:tcPr>
          <w:p>
            <w:pPr>
              <w:ind w:left="30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880" w:type="dxa"/>
            <w:vAlign w:val="bottom"/>
          </w:tcPr>
          <w:p>
            <w:pPr>
              <w:spacing w:after="0"/>
              <w:rPr>
                <w:sz w:val="24"/>
                <w:szCs w:val="24"/>
                <w:color w:val="auto"/>
              </w:rPr>
            </w:pPr>
          </w:p>
        </w:tc>
        <w:tc>
          <w:tcPr>
            <w:tcW w:w="920" w:type="dxa"/>
            <w:vAlign w:val="bottom"/>
          </w:tcPr>
          <w:p>
            <w:pPr>
              <w:ind w:left="38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800" w:type="dxa"/>
            <w:vAlign w:val="bottom"/>
          </w:tcPr>
          <w:p>
            <w:pPr>
              <w:ind w:left="36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720" w:type="dxa"/>
            <w:vAlign w:val="bottom"/>
          </w:tcPr>
          <w:p>
            <w:pPr>
              <w:ind w:left="30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740" w:type="dxa"/>
            <w:vAlign w:val="bottom"/>
          </w:tcPr>
          <w:p>
            <w:pPr>
              <w:ind w:left="26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880" w:type="dxa"/>
            <w:vAlign w:val="bottom"/>
          </w:tcPr>
          <w:p>
            <w:pPr>
              <w:ind w:left="34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jc w:val="right"/>
              <w:ind w:right="203"/>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800" w:type="dxa"/>
            <w:vAlign w:val="bottom"/>
          </w:tcPr>
          <w:p>
            <w:pPr>
              <w:ind w:left="30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880" w:type="dxa"/>
            <w:vAlign w:val="bottom"/>
          </w:tcPr>
          <w:p>
            <w:pPr>
              <w:spacing w:after="0"/>
              <w:rPr>
                <w:sz w:val="24"/>
                <w:szCs w:val="24"/>
                <w:color w:val="auto"/>
              </w:rPr>
            </w:pPr>
          </w:p>
        </w:tc>
        <w:tc>
          <w:tcPr>
            <w:tcW w:w="920" w:type="dxa"/>
            <w:vAlign w:val="bottom"/>
          </w:tcPr>
          <w:p>
            <w:pPr>
              <w:ind w:left="38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800" w:type="dxa"/>
            <w:vAlign w:val="bottom"/>
          </w:tcPr>
          <w:p>
            <w:pPr>
              <w:ind w:left="36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720" w:type="dxa"/>
            <w:vAlign w:val="bottom"/>
          </w:tcPr>
          <w:p>
            <w:pPr>
              <w:ind w:left="30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740" w:type="dxa"/>
            <w:vAlign w:val="bottom"/>
          </w:tcPr>
          <w:p>
            <w:pPr>
              <w:ind w:left="26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880" w:type="dxa"/>
            <w:vAlign w:val="bottom"/>
          </w:tcPr>
          <w:p>
            <w:pPr>
              <w:ind w:left="34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860" w:type="dxa"/>
            <w:vAlign w:val="bottom"/>
          </w:tcPr>
          <w:p>
            <w:pPr>
              <w:ind w:left="36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520" w:type="dxa"/>
            <w:vAlign w:val="bottom"/>
          </w:tcPr>
          <w:p>
            <w:pPr>
              <w:ind w:left="340"/>
              <w:spacing w:after="0" w:line="191" w:lineRule="exact"/>
              <w:rPr>
                <w:sz w:val="20"/>
                <w:szCs w:val="20"/>
                <w:color w:val="auto"/>
              </w:rPr>
            </w:pPr>
            <w:r>
              <w:rPr>
                <w:rFonts w:ascii="MS PGothic" w:cs="MS PGothic" w:eastAsia="MS PGothic" w:hAnsi="MS PGothic"/>
                <w:sz w:val="19"/>
                <w:szCs w:val="19"/>
                <w:color w:val="auto"/>
                <w:w w:val="83"/>
                <w:shd w:val="clear" w:color="auto" w:fill="C00000"/>
              </w:rPr>
              <w:t>✓</w:t>
            </w:r>
          </w:p>
        </w:tc>
        <w:tc>
          <w:tcPr>
            <w:tcW w:w="0" w:type="dxa"/>
            <w:vAlign w:val="bottom"/>
          </w:tcPr>
          <w:p>
            <w:pPr>
              <w:spacing w:after="0"/>
              <w:rPr>
                <w:sz w:val="1"/>
                <w:szCs w:val="1"/>
                <w:color w:val="auto"/>
              </w:rPr>
            </w:pPr>
          </w:p>
        </w:tc>
      </w:tr>
      <w:tr>
        <w:trPr>
          <w:trHeight w:val="412"/>
        </w:trPr>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jc w:val="right"/>
              <w:ind w:right="203"/>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800" w:type="dxa"/>
            <w:vAlign w:val="bottom"/>
          </w:tcPr>
          <w:p>
            <w:pPr>
              <w:ind w:left="30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880" w:type="dxa"/>
            <w:vAlign w:val="bottom"/>
          </w:tcPr>
          <w:p>
            <w:pPr>
              <w:ind w:left="34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920" w:type="dxa"/>
            <w:vAlign w:val="bottom"/>
          </w:tcPr>
          <w:p>
            <w:pPr>
              <w:ind w:left="38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800" w:type="dxa"/>
            <w:vAlign w:val="bottom"/>
          </w:tcPr>
          <w:p>
            <w:pPr>
              <w:ind w:left="36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720" w:type="dxa"/>
            <w:vAlign w:val="bottom"/>
          </w:tcPr>
          <w:p>
            <w:pPr>
              <w:ind w:left="30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740" w:type="dxa"/>
            <w:vAlign w:val="bottom"/>
          </w:tcPr>
          <w:p>
            <w:pPr>
              <w:ind w:left="26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880" w:type="dxa"/>
            <w:vAlign w:val="bottom"/>
          </w:tcPr>
          <w:p>
            <w:pPr>
              <w:spacing w:after="0"/>
              <w:rPr>
                <w:sz w:val="24"/>
                <w:szCs w:val="24"/>
                <w:color w:val="auto"/>
              </w:rPr>
            </w:pPr>
          </w:p>
        </w:tc>
        <w:tc>
          <w:tcPr>
            <w:tcW w:w="860" w:type="dxa"/>
            <w:vAlign w:val="bottom"/>
          </w:tcPr>
          <w:p>
            <w:pPr>
              <w:ind w:left="36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520" w:type="dxa"/>
            <w:vAlign w:val="bottom"/>
          </w:tcPr>
          <w:p>
            <w:pPr>
              <w:ind w:left="340"/>
              <w:spacing w:after="0" w:line="191" w:lineRule="exact"/>
              <w:rPr>
                <w:sz w:val="20"/>
                <w:szCs w:val="20"/>
                <w:color w:val="auto"/>
              </w:rPr>
            </w:pPr>
            <w:r>
              <w:rPr>
                <w:rFonts w:ascii="MS PGothic" w:cs="MS PGothic" w:eastAsia="MS PGothic" w:hAnsi="MS PGothic"/>
                <w:sz w:val="19"/>
                <w:szCs w:val="19"/>
                <w:color w:val="auto"/>
                <w:w w:val="83"/>
                <w:shd w:val="clear" w:color="auto" w:fill="C00000"/>
              </w:rPr>
              <w:t>✓</w:t>
            </w:r>
          </w:p>
        </w:tc>
        <w:tc>
          <w:tcPr>
            <w:tcW w:w="0" w:type="dxa"/>
            <w:vAlign w:val="bottom"/>
          </w:tcPr>
          <w:p>
            <w:pPr>
              <w:spacing w:after="0"/>
              <w:rPr>
                <w:sz w:val="1"/>
                <w:szCs w:val="1"/>
                <w:color w:val="auto"/>
              </w:rPr>
            </w:pPr>
          </w:p>
        </w:tc>
      </w:tr>
      <w:tr>
        <w:trPr>
          <w:trHeight w:val="386"/>
        </w:trPr>
        <w:tc>
          <w:tcPr>
            <w:tcW w:w="1720" w:type="dxa"/>
            <w:vAlign w:val="bottom"/>
            <w:gridSpan w:val="3"/>
          </w:tcPr>
          <w:p>
            <w:pPr>
              <w:jc w:val="right"/>
              <w:ind w:right="203"/>
              <w:spacing w:after="0" w:line="191" w:lineRule="exact"/>
              <w:rPr>
                <w:sz w:val="20"/>
                <w:szCs w:val="20"/>
                <w:color w:val="auto"/>
              </w:rPr>
            </w:pPr>
            <w:r>
              <w:rPr>
                <w:rFonts w:ascii="MS PGothic" w:cs="MS PGothic" w:eastAsia="MS PGothic" w:hAnsi="MS PGothic"/>
                <w:sz w:val="19"/>
                <w:szCs w:val="19"/>
                <w:color w:val="auto"/>
                <w:shd w:val="clear" w:color="auto" w:fill="C00000"/>
              </w:rPr>
              <w:t>✓   ✓    ✓</w:t>
            </w:r>
          </w:p>
        </w:tc>
        <w:tc>
          <w:tcPr>
            <w:tcW w:w="800" w:type="dxa"/>
            <w:vAlign w:val="bottom"/>
          </w:tcPr>
          <w:p>
            <w:pPr>
              <w:ind w:left="30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880" w:type="dxa"/>
            <w:vAlign w:val="bottom"/>
          </w:tcPr>
          <w:p>
            <w:pPr>
              <w:ind w:left="34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920" w:type="dxa"/>
            <w:vAlign w:val="bottom"/>
          </w:tcPr>
          <w:p>
            <w:pPr>
              <w:ind w:left="38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800" w:type="dxa"/>
            <w:vAlign w:val="bottom"/>
          </w:tcPr>
          <w:p>
            <w:pPr>
              <w:ind w:left="36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720" w:type="dxa"/>
            <w:vAlign w:val="bottom"/>
          </w:tcPr>
          <w:p>
            <w:pPr>
              <w:ind w:left="30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740" w:type="dxa"/>
            <w:vAlign w:val="bottom"/>
          </w:tcPr>
          <w:p>
            <w:pPr>
              <w:ind w:left="26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880" w:type="dxa"/>
            <w:vAlign w:val="bottom"/>
          </w:tcPr>
          <w:p>
            <w:pPr>
              <w:ind w:left="34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860" w:type="dxa"/>
            <w:vAlign w:val="bottom"/>
          </w:tcPr>
          <w:p>
            <w:pPr>
              <w:ind w:left="36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520" w:type="dxa"/>
            <w:vAlign w:val="bottom"/>
          </w:tcPr>
          <w:p>
            <w:pPr>
              <w:ind w:left="340"/>
              <w:spacing w:after="0" w:line="191" w:lineRule="exact"/>
              <w:rPr>
                <w:sz w:val="20"/>
                <w:szCs w:val="20"/>
                <w:color w:val="auto"/>
              </w:rPr>
            </w:pPr>
            <w:r>
              <w:rPr>
                <w:rFonts w:ascii="MS PGothic" w:cs="MS PGothic" w:eastAsia="MS PGothic" w:hAnsi="MS PGothic"/>
                <w:sz w:val="19"/>
                <w:szCs w:val="19"/>
                <w:color w:val="auto"/>
                <w:w w:val="83"/>
                <w:shd w:val="clear" w:color="auto" w:fill="C00000"/>
              </w:rPr>
              <w:t>✓</w:t>
            </w:r>
          </w:p>
        </w:tc>
        <w:tc>
          <w:tcPr>
            <w:tcW w:w="0" w:type="dxa"/>
            <w:vAlign w:val="bottom"/>
          </w:tcPr>
          <w:p>
            <w:pPr>
              <w:spacing w:after="0"/>
              <w:rPr>
                <w:sz w:val="1"/>
                <w:szCs w:val="1"/>
                <w:color w:val="auto"/>
              </w:rPr>
            </w:pPr>
          </w:p>
        </w:tc>
      </w:tr>
      <w:tr>
        <w:trPr>
          <w:trHeight w:val="386"/>
        </w:trPr>
        <w:tc>
          <w:tcPr>
            <w:tcW w:w="400" w:type="dxa"/>
            <w:vAlign w:val="bottom"/>
          </w:tcPr>
          <w:p>
            <w:pPr>
              <w:spacing w:after="0"/>
              <w:rPr>
                <w:sz w:val="24"/>
                <w:szCs w:val="24"/>
                <w:color w:val="auto"/>
              </w:rPr>
            </w:pPr>
          </w:p>
        </w:tc>
        <w:tc>
          <w:tcPr>
            <w:tcW w:w="620" w:type="dxa"/>
            <w:vAlign w:val="bottom"/>
          </w:tcPr>
          <w:p>
            <w:pPr>
              <w:ind w:left="22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700" w:type="dxa"/>
            <w:vAlign w:val="bottom"/>
          </w:tcPr>
          <w:p>
            <w:pPr>
              <w:jc w:val="right"/>
              <w:ind w:right="203"/>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800" w:type="dxa"/>
            <w:vAlign w:val="bottom"/>
          </w:tcPr>
          <w:p>
            <w:pPr>
              <w:spacing w:after="0"/>
              <w:rPr>
                <w:sz w:val="24"/>
                <w:szCs w:val="24"/>
                <w:color w:val="auto"/>
              </w:rPr>
            </w:pPr>
          </w:p>
        </w:tc>
        <w:tc>
          <w:tcPr>
            <w:tcW w:w="880" w:type="dxa"/>
            <w:vAlign w:val="bottom"/>
          </w:tcPr>
          <w:p>
            <w:pPr>
              <w:ind w:left="34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920" w:type="dxa"/>
            <w:vAlign w:val="bottom"/>
          </w:tcPr>
          <w:p>
            <w:pPr>
              <w:ind w:left="38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800" w:type="dxa"/>
            <w:vAlign w:val="bottom"/>
          </w:tcPr>
          <w:p>
            <w:pPr>
              <w:spacing w:after="0"/>
              <w:rPr>
                <w:sz w:val="24"/>
                <w:szCs w:val="24"/>
                <w:color w:val="auto"/>
              </w:rPr>
            </w:pPr>
          </w:p>
        </w:tc>
        <w:tc>
          <w:tcPr>
            <w:tcW w:w="720" w:type="dxa"/>
            <w:vAlign w:val="bottom"/>
          </w:tcPr>
          <w:p>
            <w:pPr>
              <w:ind w:left="30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740" w:type="dxa"/>
            <w:vAlign w:val="bottom"/>
          </w:tcPr>
          <w:p>
            <w:pPr>
              <w:ind w:left="26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880" w:type="dxa"/>
            <w:vAlign w:val="bottom"/>
          </w:tcPr>
          <w:p>
            <w:pPr>
              <w:ind w:left="34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860" w:type="dxa"/>
            <w:vAlign w:val="bottom"/>
          </w:tcPr>
          <w:p>
            <w:pPr>
              <w:spacing w:after="0"/>
              <w:rPr>
                <w:sz w:val="24"/>
                <w:szCs w:val="24"/>
                <w:color w:val="auto"/>
              </w:rPr>
            </w:pPr>
          </w:p>
        </w:tc>
        <w:tc>
          <w:tcPr>
            <w:tcW w:w="520" w:type="dxa"/>
            <w:vAlign w:val="bottom"/>
          </w:tcPr>
          <w:p>
            <w:pPr>
              <w:ind w:left="340"/>
              <w:spacing w:after="0" w:line="191" w:lineRule="exact"/>
              <w:rPr>
                <w:sz w:val="20"/>
                <w:szCs w:val="20"/>
                <w:color w:val="auto"/>
              </w:rPr>
            </w:pPr>
            <w:r>
              <w:rPr>
                <w:rFonts w:ascii="MS PGothic" w:cs="MS PGothic" w:eastAsia="MS PGothic" w:hAnsi="MS PGothic"/>
                <w:sz w:val="19"/>
                <w:szCs w:val="19"/>
                <w:color w:val="auto"/>
                <w:w w:val="83"/>
                <w:shd w:val="clear" w:color="auto" w:fill="C00000"/>
              </w:rPr>
              <w:t>✓</w:t>
            </w:r>
          </w:p>
        </w:tc>
        <w:tc>
          <w:tcPr>
            <w:tcW w:w="0" w:type="dxa"/>
            <w:vAlign w:val="bottom"/>
          </w:tcPr>
          <w:p>
            <w:pPr>
              <w:spacing w:after="0"/>
              <w:rPr>
                <w:sz w:val="1"/>
                <w:szCs w:val="1"/>
                <w:color w:val="auto"/>
              </w:rPr>
            </w:pPr>
          </w:p>
        </w:tc>
      </w:tr>
      <w:tr>
        <w:trPr>
          <w:trHeight w:val="386"/>
        </w:trPr>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jc w:val="right"/>
              <w:ind w:right="203"/>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800" w:type="dxa"/>
            <w:vAlign w:val="bottom"/>
          </w:tcPr>
          <w:p>
            <w:pPr>
              <w:spacing w:after="0"/>
              <w:rPr>
                <w:sz w:val="24"/>
                <w:szCs w:val="24"/>
                <w:color w:val="auto"/>
              </w:rPr>
            </w:pPr>
          </w:p>
        </w:tc>
        <w:tc>
          <w:tcPr>
            <w:tcW w:w="880" w:type="dxa"/>
            <w:vAlign w:val="bottom"/>
          </w:tcPr>
          <w:p>
            <w:pPr>
              <w:ind w:left="34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920" w:type="dxa"/>
            <w:vAlign w:val="bottom"/>
          </w:tcPr>
          <w:p>
            <w:pPr>
              <w:ind w:left="38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800" w:type="dxa"/>
            <w:vAlign w:val="bottom"/>
          </w:tcPr>
          <w:p>
            <w:pPr>
              <w:ind w:left="36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720" w:type="dxa"/>
            <w:vAlign w:val="bottom"/>
          </w:tcPr>
          <w:p>
            <w:pPr>
              <w:spacing w:after="0"/>
              <w:rPr>
                <w:sz w:val="24"/>
                <w:szCs w:val="24"/>
                <w:color w:val="auto"/>
              </w:rPr>
            </w:pPr>
          </w:p>
        </w:tc>
        <w:tc>
          <w:tcPr>
            <w:tcW w:w="740" w:type="dxa"/>
            <w:vAlign w:val="bottom"/>
          </w:tcPr>
          <w:p>
            <w:pPr>
              <w:ind w:left="26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880" w:type="dxa"/>
            <w:vAlign w:val="bottom"/>
          </w:tcPr>
          <w:p>
            <w:pPr>
              <w:ind w:left="34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860" w:type="dxa"/>
            <w:vAlign w:val="bottom"/>
          </w:tcPr>
          <w:p>
            <w:pPr>
              <w:spacing w:after="0"/>
              <w:rPr>
                <w:sz w:val="24"/>
                <w:szCs w:val="24"/>
                <w:color w:val="auto"/>
              </w:rPr>
            </w:pPr>
          </w:p>
        </w:tc>
        <w:tc>
          <w:tcPr>
            <w:tcW w:w="520" w:type="dxa"/>
            <w:vAlign w:val="bottom"/>
          </w:tcPr>
          <w:p>
            <w:pPr>
              <w:ind w:left="340"/>
              <w:spacing w:after="0" w:line="191" w:lineRule="exact"/>
              <w:rPr>
                <w:sz w:val="20"/>
                <w:szCs w:val="20"/>
                <w:color w:val="auto"/>
              </w:rPr>
            </w:pPr>
            <w:r>
              <w:rPr>
                <w:rFonts w:ascii="MS PGothic" w:cs="MS PGothic" w:eastAsia="MS PGothic" w:hAnsi="MS PGothic"/>
                <w:sz w:val="19"/>
                <w:szCs w:val="19"/>
                <w:color w:val="auto"/>
                <w:w w:val="83"/>
                <w:shd w:val="clear" w:color="auto" w:fill="C00000"/>
              </w:rPr>
              <w:t>✓</w:t>
            </w:r>
          </w:p>
        </w:tc>
        <w:tc>
          <w:tcPr>
            <w:tcW w:w="0" w:type="dxa"/>
            <w:vAlign w:val="bottom"/>
          </w:tcPr>
          <w:p>
            <w:pPr>
              <w:spacing w:after="0"/>
              <w:rPr>
                <w:sz w:val="1"/>
                <w:szCs w:val="1"/>
                <w:color w:val="auto"/>
              </w:rPr>
            </w:pPr>
          </w:p>
        </w:tc>
      </w:tr>
      <w:tr>
        <w:trPr>
          <w:trHeight w:val="386"/>
        </w:trPr>
        <w:tc>
          <w:tcPr>
            <w:tcW w:w="1720" w:type="dxa"/>
            <w:vAlign w:val="bottom"/>
            <w:gridSpan w:val="3"/>
          </w:tcPr>
          <w:p>
            <w:pPr>
              <w:jc w:val="right"/>
              <w:ind w:right="203"/>
              <w:spacing w:after="0" w:line="191" w:lineRule="exact"/>
              <w:rPr>
                <w:sz w:val="20"/>
                <w:szCs w:val="20"/>
                <w:color w:val="auto"/>
              </w:rPr>
            </w:pPr>
            <w:r>
              <w:rPr>
                <w:rFonts w:ascii="MS PGothic" w:cs="MS PGothic" w:eastAsia="MS PGothic" w:hAnsi="MS PGothic"/>
                <w:sz w:val="19"/>
                <w:szCs w:val="19"/>
                <w:color w:val="auto"/>
                <w:shd w:val="clear" w:color="auto" w:fill="C00000"/>
              </w:rPr>
              <w:t>✓   ✓    ✓</w:t>
            </w:r>
          </w:p>
        </w:tc>
        <w:tc>
          <w:tcPr>
            <w:tcW w:w="800" w:type="dxa"/>
            <w:vAlign w:val="bottom"/>
          </w:tcPr>
          <w:p>
            <w:pPr>
              <w:ind w:left="30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880" w:type="dxa"/>
            <w:vAlign w:val="bottom"/>
          </w:tcPr>
          <w:p>
            <w:pPr>
              <w:ind w:left="34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920" w:type="dxa"/>
            <w:vAlign w:val="bottom"/>
          </w:tcPr>
          <w:p>
            <w:pPr>
              <w:ind w:left="38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800" w:type="dxa"/>
            <w:vAlign w:val="bottom"/>
          </w:tcPr>
          <w:p>
            <w:pPr>
              <w:ind w:left="36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720" w:type="dxa"/>
            <w:vAlign w:val="bottom"/>
          </w:tcPr>
          <w:p>
            <w:pPr>
              <w:ind w:left="30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740" w:type="dxa"/>
            <w:vAlign w:val="bottom"/>
          </w:tcPr>
          <w:p>
            <w:pPr>
              <w:ind w:left="26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880" w:type="dxa"/>
            <w:vAlign w:val="bottom"/>
          </w:tcPr>
          <w:p>
            <w:pPr>
              <w:ind w:left="34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860" w:type="dxa"/>
            <w:vAlign w:val="bottom"/>
          </w:tcPr>
          <w:p>
            <w:pPr>
              <w:ind w:left="36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520" w:type="dxa"/>
            <w:vAlign w:val="bottom"/>
          </w:tcPr>
          <w:p>
            <w:pPr>
              <w:ind w:left="340"/>
              <w:spacing w:after="0" w:line="191" w:lineRule="exact"/>
              <w:rPr>
                <w:sz w:val="20"/>
                <w:szCs w:val="20"/>
                <w:color w:val="auto"/>
              </w:rPr>
            </w:pPr>
            <w:r>
              <w:rPr>
                <w:rFonts w:ascii="MS PGothic" w:cs="MS PGothic" w:eastAsia="MS PGothic" w:hAnsi="MS PGothic"/>
                <w:sz w:val="19"/>
                <w:szCs w:val="19"/>
                <w:color w:val="auto"/>
                <w:w w:val="83"/>
                <w:shd w:val="clear" w:color="auto" w:fill="C00000"/>
              </w:rPr>
              <w:t>✓</w:t>
            </w:r>
          </w:p>
        </w:tc>
        <w:tc>
          <w:tcPr>
            <w:tcW w:w="0" w:type="dxa"/>
            <w:vAlign w:val="bottom"/>
          </w:tcPr>
          <w:p>
            <w:pPr>
              <w:spacing w:after="0"/>
              <w:rPr>
                <w:sz w:val="1"/>
                <w:szCs w:val="1"/>
                <w:color w:val="auto"/>
              </w:rPr>
            </w:pPr>
          </w:p>
        </w:tc>
      </w:tr>
      <w:tr>
        <w:trPr>
          <w:trHeight w:val="386"/>
        </w:trPr>
        <w:tc>
          <w:tcPr>
            <w:tcW w:w="400" w:type="dxa"/>
            <w:vAlign w:val="bottom"/>
          </w:tcPr>
          <w:p>
            <w:pPr>
              <w:spacing w:after="0"/>
              <w:rPr>
                <w:sz w:val="24"/>
                <w:szCs w:val="24"/>
                <w:color w:val="auto"/>
              </w:rPr>
            </w:pPr>
          </w:p>
        </w:tc>
        <w:tc>
          <w:tcPr>
            <w:tcW w:w="620" w:type="dxa"/>
            <w:vAlign w:val="bottom"/>
          </w:tcPr>
          <w:p>
            <w:pPr>
              <w:ind w:left="22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700" w:type="dxa"/>
            <w:vAlign w:val="bottom"/>
          </w:tcPr>
          <w:p>
            <w:pPr>
              <w:jc w:val="right"/>
              <w:ind w:right="203"/>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800" w:type="dxa"/>
            <w:vAlign w:val="bottom"/>
          </w:tcPr>
          <w:p>
            <w:pPr>
              <w:ind w:left="30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880" w:type="dxa"/>
            <w:vAlign w:val="bottom"/>
          </w:tcPr>
          <w:p>
            <w:pPr>
              <w:spacing w:after="0"/>
              <w:rPr>
                <w:sz w:val="24"/>
                <w:szCs w:val="24"/>
                <w:color w:val="auto"/>
              </w:rPr>
            </w:pPr>
          </w:p>
        </w:tc>
        <w:tc>
          <w:tcPr>
            <w:tcW w:w="920" w:type="dxa"/>
            <w:vAlign w:val="bottom"/>
          </w:tcPr>
          <w:p>
            <w:pPr>
              <w:ind w:left="38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800" w:type="dxa"/>
            <w:vAlign w:val="bottom"/>
          </w:tcPr>
          <w:p>
            <w:pPr>
              <w:ind w:left="36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720" w:type="dxa"/>
            <w:vAlign w:val="bottom"/>
          </w:tcPr>
          <w:p>
            <w:pPr>
              <w:ind w:left="30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740" w:type="dxa"/>
            <w:vAlign w:val="bottom"/>
          </w:tcPr>
          <w:p>
            <w:pPr>
              <w:ind w:left="26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880" w:type="dxa"/>
            <w:vAlign w:val="bottom"/>
          </w:tcPr>
          <w:p>
            <w:pPr>
              <w:ind w:left="34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860" w:type="dxa"/>
            <w:vAlign w:val="bottom"/>
          </w:tcPr>
          <w:p>
            <w:pPr>
              <w:ind w:left="36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520" w:type="dxa"/>
            <w:vAlign w:val="bottom"/>
          </w:tcPr>
          <w:p>
            <w:pPr>
              <w:ind w:left="340"/>
              <w:spacing w:after="0" w:line="191" w:lineRule="exact"/>
              <w:rPr>
                <w:sz w:val="20"/>
                <w:szCs w:val="20"/>
                <w:color w:val="auto"/>
              </w:rPr>
            </w:pPr>
            <w:r>
              <w:rPr>
                <w:rFonts w:ascii="MS PGothic" w:cs="MS PGothic" w:eastAsia="MS PGothic" w:hAnsi="MS PGothic"/>
                <w:sz w:val="19"/>
                <w:szCs w:val="19"/>
                <w:color w:val="auto"/>
                <w:w w:val="83"/>
                <w:shd w:val="clear" w:color="auto" w:fill="C00000"/>
              </w:rPr>
              <w:t>✓</w:t>
            </w:r>
          </w:p>
        </w:tc>
        <w:tc>
          <w:tcPr>
            <w:tcW w:w="0" w:type="dxa"/>
            <w:vAlign w:val="bottom"/>
          </w:tcPr>
          <w:p>
            <w:pPr>
              <w:spacing w:after="0"/>
              <w:rPr>
                <w:sz w:val="1"/>
                <w:szCs w:val="1"/>
                <w:color w:val="auto"/>
              </w:rPr>
            </w:pPr>
          </w:p>
        </w:tc>
      </w:tr>
      <w:tr>
        <w:trPr>
          <w:trHeight w:val="412"/>
        </w:trPr>
        <w:tc>
          <w:tcPr>
            <w:tcW w:w="400" w:type="dxa"/>
            <w:vAlign w:val="bottom"/>
          </w:tcPr>
          <w:p>
            <w:pPr>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620" w:type="dxa"/>
            <w:vAlign w:val="bottom"/>
          </w:tcPr>
          <w:p>
            <w:pPr>
              <w:ind w:left="22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ind w:left="38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800" w:type="dxa"/>
            <w:vAlign w:val="bottom"/>
          </w:tcPr>
          <w:p>
            <w:pPr>
              <w:ind w:left="36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720" w:type="dxa"/>
            <w:vAlign w:val="bottom"/>
          </w:tcPr>
          <w:p>
            <w:pPr>
              <w:ind w:left="30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740" w:type="dxa"/>
            <w:vAlign w:val="bottom"/>
          </w:tcPr>
          <w:p>
            <w:pPr>
              <w:ind w:left="26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880" w:type="dxa"/>
            <w:vAlign w:val="bottom"/>
          </w:tcPr>
          <w:p>
            <w:pPr>
              <w:ind w:left="34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860" w:type="dxa"/>
            <w:vAlign w:val="bottom"/>
          </w:tcPr>
          <w:p>
            <w:pPr>
              <w:ind w:left="36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0" w:type="dxa"/>
            <w:vAlign w:val="bottom"/>
          </w:tcPr>
          <w:p>
            <w:pPr>
              <w:spacing w:after="0"/>
              <w:rPr>
                <w:sz w:val="24"/>
                <w:szCs w:val="24"/>
                <w:color w:val="auto"/>
              </w:rPr>
            </w:pPr>
          </w:p>
        </w:tc>
        <w:tc>
          <w:tcPr>
            <w:tcW w:w="620" w:type="dxa"/>
            <w:vAlign w:val="bottom"/>
            <w:vMerge w:val="restart"/>
          </w:tcPr>
          <w:p>
            <w:pPr>
              <w:ind w:left="22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700" w:type="dxa"/>
            <w:vAlign w:val="bottom"/>
          </w:tcPr>
          <w:p>
            <w:pPr>
              <w:spacing w:after="0"/>
              <w:rPr>
                <w:sz w:val="24"/>
                <w:szCs w:val="24"/>
                <w:color w:val="auto"/>
              </w:rPr>
            </w:pPr>
          </w:p>
        </w:tc>
        <w:tc>
          <w:tcPr>
            <w:tcW w:w="800" w:type="dxa"/>
            <w:vAlign w:val="bottom"/>
          </w:tcPr>
          <w:p>
            <w:pPr>
              <w:ind w:left="30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880" w:type="dxa"/>
            <w:vAlign w:val="bottom"/>
          </w:tcPr>
          <w:p>
            <w:pPr>
              <w:spacing w:after="0"/>
              <w:rPr>
                <w:sz w:val="24"/>
                <w:szCs w:val="24"/>
                <w:color w:val="auto"/>
              </w:rPr>
            </w:pPr>
          </w:p>
        </w:tc>
        <w:tc>
          <w:tcPr>
            <w:tcW w:w="920" w:type="dxa"/>
            <w:vAlign w:val="bottom"/>
            <w:vMerge w:val="restart"/>
          </w:tcPr>
          <w:p>
            <w:pPr>
              <w:ind w:left="38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800" w:type="dxa"/>
            <w:vAlign w:val="bottom"/>
            <w:vMerge w:val="restart"/>
          </w:tcPr>
          <w:p>
            <w:pPr>
              <w:ind w:left="36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720" w:type="dxa"/>
            <w:vAlign w:val="bottom"/>
            <w:vMerge w:val="restart"/>
          </w:tcPr>
          <w:p>
            <w:pPr>
              <w:ind w:left="30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740" w:type="dxa"/>
            <w:vAlign w:val="bottom"/>
          </w:tcPr>
          <w:p>
            <w:pPr>
              <w:spacing w:after="0"/>
              <w:rPr>
                <w:sz w:val="24"/>
                <w:szCs w:val="24"/>
                <w:color w:val="auto"/>
              </w:rPr>
            </w:pPr>
          </w:p>
        </w:tc>
        <w:tc>
          <w:tcPr>
            <w:tcW w:w="880" w:type="dxa"/>
            <w:vAlign w:val="bottom"/>
            <w:vMerge w:val="restart"/>
          </w:tcPr>
          <w:p>
            <w:pPr>
              <w:ind w:left="34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860" w:type="dxa"/>
            <w:vAlign w:val="bottom"/>
          </w:tcPr>
          <w:p>
            <w:pPr>
              <w:ind w:left="360"/>
              <w:spacing w:after="0" w:line="191" w:lineRule="exact"/>
              <w:rPr>
                <w:sz w:val="20"/>
                <w:szCs w:val="20"/>
                <w:color w:val="auto"/>
              </w:rPr>
            </w:pPr>
            <w:r>
              <w:rPr>
                <w:rFonts w:ascii="MS PGothic" w:cs="MS PGothic" w:eastAsia="MS PGothic" w:hAnsi="MS PGothic"/>
                <w:sz w:val="19"/>
                <w:szCs w:val="19"/>
                <w:color w:val="auto"/>
                <w:shd w:val="clear" w:color="auto" w:fill="C00000"/>
              </w:rPr>
              <w:t>✓</w:t>
            </w:r>
          </w:p>
        </w:tc>
        <w:tc>
          <w:tcPr>
            <w:tcW w:w="520" w:type="dxa"/>
            <w:vAlign w:val="bottom"/>
            <w:vMerge w:val="restart"/>
          </w:tcPr>
          <w:p>
            <w:pPr>
              <w:ind w:left="340"/>
              <w:spacing w:after="0" w:line="191" w:lineRule="exact"/>
              <w:rPr>
                <w:sz w:val="20"/>
                <w:szCs w:val="20"/>
                <w:color w:val="auto"/>
              </w:rPr>
            </w:pPr>
            <w:r>
              <w:rPr>
                <w:rFonts w:ascii="MS PGothic" w:cs="MS PGothic" w:eastAsia="MS PGothic" w:hAnsi="MS PGothic"/>
                <w:sz w:val="19"/>
                <w:szCs w:val="19"/>
                <w:color w:val="auto"/>
                <w:w w:val="83"/>
                <w:shd w:val="clear" w:color="auto" w:fill="C00000"/>
              </w:rPr>
              <w:t>✓</w:t>
            </w:r>
          </w:p>
        </w:tc>
        <w:tc>
          <w:tcPr>
            <w:tcW w:w="0" w:type="dxa"/>
            <w:vAlign w:val="bottom"/>
          </w:tcPr>
          <w:p>
            <w:pPr>
              <w:spacing w:after="0"/>
              <w:rPr>
                <w:sz w:val="1"/>
                <w:szCs w:val="1"/>
                <w:color w:val="auto"/>
              </w:rPr>
            </w:pPr>
          </w:p>
        </w:tc>
      </w:tr>
      <w:tr>
        <w:trPr>
          <w:trHeight w:val="106"/>
        </w:trPr>
        <w:tc>
          <w:tcPr>
            <w:tcW w:w="4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-1405255</wp:posOffset>
            </wp:positionH>
            <wp:positionV relativeFrom="paragraph">
              <wp:posOffset>-2811145</wp:posOffset>
            </wp:positionV>
            <wp:extent cx="7197090" cy="2533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7090" cy="253365"/>
                    </a:xfrm>
                    <a:prstGeom prst="rect">
                      <a:avLst/>
                    </a:prstGeom>
                    <a:noFill/>
                  </pic:spPr>
                </pic:pic>
              </a:graphicData>
            </a:graphic>
          </wp:anchor>
        </w:drawing>
        <w:drawing>
          <wp:anchor simplePos="0" relativeHeight="251657728" behindDoc="1" locked="0" layoutInCell="0" allowOverlap="1">
            <wp:simplePos x="0" y="0"/>
            <wp:positionH relativeFrom="column">
              <wp:posOffset>-1405255</wp:posOffset>
            </wp:positionH>
            <wp:positionV relativeFrom="paragraph">
              <wp:posOffset>-2304415</wp:posOffset>
            </wp:positionV>
            <wp:extent cx="7197090" cy="269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7090" cy="269875"/>
                    </a:xfrm>
                    <a:prstGeom prst="rect">
                      <a:avLst/>
                    </a:prstGeom>
                    <a:noFill/>
                  </pic:spPr>
                </pic:pic>
              </a:graphicData>
            </a:graphic>
          </wp:anchor>
        </w:drawing>
        <w:drawing>
          <wp:anchor simplePos="0" relativeHeight="251657728" behindDoc="1" locked="0" layoutInCell="0" allowOverlap="1">
            <wp:simplePos x="0" y="0"/>
            <wp:positionH relativeFrom="column">
              <wp:posOffset>-1405255</wp:posOffset>
            </wp:positionH>
            <wp:positionV relativeFrom="paragraph">
              <wp:posOffset>-1789430</wp:posOffset>
            </wp:positionV>
            <wp:extent cx="7197090" cy="2451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7090" cy="245110"/>
                    </a:xfrm>
                    <a:prstGeom prst="rect">
                      <a:avLst/>
                    </a:prstGeom>
                    <a:noFill/>
                  </pic:spPr>
                </pic:pic>
              </a:graphicData>
            </a:graphic>
          </wp:anchor>
        </w:drawing>
        <w:drawing>
          <wp:anchor simplePos="0" relativeHeight="251657728" behindDoc="1" locked="0" layoutInCell="0" allowOverlap="1">
            <wp:simplePos x="0" y="0"/>
            <wp:positionH relativeFrom="column">
              <wp:posOffset>-1405255</wp:posOffset>
            </wp:positionH>
            <wp:positionV relativeFrom="paragraph">
              <wp:posOffset>-1299845</wp:posOffset>
            </wp:positionV>
            <wp:extent cx="7197090" cy="2451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97090" cy="245110"/>
                    </a:xfrm>
                    <a:prstGeom prst="rect">
                      <a:avLst/>
                    </a:prstGeom>
                    <a:noFill/>
                  </pic:spPr>
                </pic:pic>
              </a:graphicData>
            </a:graphic>
          </wp:anchor>
        </w:drawing>
        <w:drawing>
          <wp:anchor simplePos="0" relativeHeight="251657728" behindDoc="1" locked="0" layoutInCell="0" allowOverlap="1">
            <wp:simplePos x="0" y="0"/>
            <wp:positionH relativeFrom="column">
              <wp:posOffset>-1405255</wp:posOffset>
            </wp:positionH>
            <wp:positionV relativeFrom="paragraph">
              <wp:posOffset>-810260</wp:posOffset>
            </wp:positionV>
            <wp:extent cx="7197090" cy="2533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7090" cy="253365"/>
                    </a:xfrm>
                    <a:prstGeom prst="rect">
                      <a:avLst/>
                    </a:prstGeom>
                    <a:noFill/>
                  </pic:spPr>
                </pic:pic>
              </a:graphicData>
            </a:graphic>
          </wp:anchor>
        </w:drawing>
        <w:drawing>
          <wp:anchor simplePos="0" relativeHeight="251657728" behindDoc="1" locked="0" layoutInCell="0" allowOverlap="1">
            <wp:simplePos x="0" y="0"/>
            <wp:positionH relativeFrom="column">
              <wp:posOffset>-1405255</wp:posOffset>
            </wp:positionH>
            <wp:positionV relativeFrom="paragraph">
              <wp:posOffset>-295275</wp:posOffset>
            </wp:positionV>
            <wp:extent cx="7197090" cy="3797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97090" cy="379730"/>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1920" w:space="300"/>
            <w:col w:w="9120"/>
          </w:cols>
          <w:pgMar w:left="320" w:top="140" w:right="239" w:bottom="1440" w:gutter="0" w:footer="0" w:header="0"/>
          <w:type w:val="continuous"/>
        </w:sectPr>
      </w:pPr>
    </w:p>
    <w:p>
      <w:pPr>
        <w:ind w:right="300" w:firstLine="401"/>
        <w:spacing w:after="0" w:line="236" w:lineRule="auto"/>
        <w:rPr>
          <w:sz w:val="20"/>
          <w:szCs w:val="20"/>
          <w:color w:val="auto"/>
        </w:rPr>
      </w:pPr>
      <w:r>
        <w:rPr>
          <w:rFonts w:ascii="Arial" w:cs="Arial" w:eastAsia="Arial" w:hAnsi="Arial"/>
          <w:sz w:val="18"/>
          <w:szCs w:val="18"/>
          <w:color w:val="auto"/>
        </w:rPr>
        <w:t>The information presented on the following pages regarding each director nominee or continuing director also sets forth specific experience, qualifications, attributes and skills that led our Board to conclude that he or she should serve as a director in light of our business and structure.</w:t>
      </w:r>
    </w:p>
    <w:p>
      <w:pPr>
        <w:spacing w:after="0" w:line="20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340"/>
          </w:cols>
          <w:pgMar w:left="320" w:top="140"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jc w:val="center"/>
        <w:ind w:right="20"/>
        <w:spacing w:after="0"/>
        <w:rPr>
          <w:sz w:val="20"/>
          <w:szCs w:val="20"/>
          <w:color w:val="auto"/>
        </w:rPr>
      </w:pPr>
      <w:r>
        <w:rPr>
          <w:rFonts w:ascii="Arial" w:cs="Arial" w:eastAsia="Arial" w:hAnsi="Arial"/>
          <w:sz w:val="17"/>
          <w:szCs w:val="17"/>
          <w:b w:val="1"/>
          <w:bCs w:val="1"/>
          <w:color w:val="C00000"/>
        </w:rPr>
        <w:t>Director Nominee for Election to the Board for a Term Ending at the 2023 Annual Meeting</w:t>
      </w:r>
    </w:p>
    <w:p>
      <w:pPr>
        <w:spacing w:after="0" w:line="19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134225" cy="12071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225" cy="1207135"/>
                    </a:xfrm>
                    <a:prstGeom prst="rect">
                      <a:avLst/>
                    </a:prstGeom>
                    <a:noFill/>
                  </pic:spPr>
                </pic:pic>
              </a:graphicData>
            </a:graphic>
          </wp:anchor>
        </w:drawing>
      </w:r>
    </w:p>
    <w:p>
      <w:pPr>
        <w:sectPr>
          <w:pgSz w:w="11900" w:h="16838" w:orient="portrait"/>
          <w:cols w:equalWidth="0" w:num="1">
            <w:col w:w="11260"/>
          </w:cols>
          <w:pgMar w:left="320" w:top="13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C00000"/>
        </w:rPr>
        <w:t>Eric P. Hansotia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14693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spacing w:after="0" w:line="8" w:lineRule="exact"/>
        <w:rPr>
          <w:sz w:val="20"/>
          <w:szCs w:val="20"/>
          <w:color w:val="auto"/>
        </w:rPr>
      </w:pPr>
    </w:p>
    <w:p>
      <w:pPr>
        <w:ind w:left="80"/>
        <w:spacing w:after="0"/>
        <w:rPr>
          <w:sz w:val="20"/>
          <w:szCs w:val="20"/>
          <w:color w:val="auto"/>
        </w:rPr>
      </w:pPr>
      <w:r>
        <w:rPr>
          <w:rFonts w:ascii="Arial" w:cs="Arial" w:eastAsia="Arial" w:hAnsi="Arial"/>
          <w:sz w:val="18"/>
          <w:szCs w:val="18"/>
          <w:color w:val="auto"/>
        </w:rPr>
        <w:t>Age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14693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7"/>
          <w:szCs w:val="17"/>
          <w:color w:val="auto"/>
        </w:rPr>
        <w:t>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14693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14693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b w:val="1"/>
          <w:bCs w:val="1"/>
          <w:color w:val="auto"/>
        </w:rPr>
        <w:t>Committees</w:t>
      </w:r>
    </w:p>
    <w:p>
      <w:pPr>
        <w:spacing w:after="0" w:line="6"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Not yet assigned</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180"/>
        <w:spacing w:after="0" w:line="230" w:lineRule="auto"/>
        <w:rPr>
          <w:sz w:val="20"/>
          <w:szCs w:val="20"/>
          <w:color w:val="auto"/>
        </w:rPr>
      </w:pPr>
      <w:r>
        <w:rPr>
          <w:rFonts w:ascii="Arial" w:cs="Arial" w:eastAsia="Arial" w:hAnsi="Arial"/>
          <w:sz w:val="18"/>
          <w:szCs w:val="18"/>
          <w:color w:val="auto"/>
        </w:rPr>
        <w:t>Eric P. Hansotia is Chairman, President and Chief Executive Officer of AGCO Corporation, Duluth, Georgia (a global leader in the design, manufacture and distribution of agricultural solutions). He holds or held the following positions at AGCO: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9"/>
          <w:szCs w:val="19"/>
          <w:color w:val="auto"/>
        </w:rPr>
        <w:t>Chairman, President and Chief Executive Officer (since January 2021)</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9"/>
          <w:szCs w:val="19"/>
          <w:color w:val="auto"/>
        </w:rPr>
        <w:t>Chief Operating Officer (January 2019 – December 2020)</w:t>
      </w:r>
    </w:p>
    <w:p>
      <w:pPr>
        <w:spacing w:after="0" w:line="8" w:lineRule="exact"/>
        <w:rPr>
          <w:sz w:val="20"/>
          <w:szCs w:val="20"/>
          <w:color w:val="auto"/>
        </w:rPr>
      </w:pPr>
    </w:p>
    <w:p>
      <w:pPr>
        <w:ind w:left="160" w:right="260" w:hanging="159"/>
        <w:spacing w:after="0"/>
        <w:rPr>
          <w:sz w:val="20"/>
          <w:szCs w:val="20"/>
          <w:color w:val="auto"/>
        </w:rPr>
      </w:pPr>
      <w:r>
        <w:rPr>
          <w:rFonts w:ascii="Arial" w:cs="Arial" w:eastAsia="Arial" w:hAnsi="Arial"/>
          <w:sz w:val="16"/>
          <w:szCs w:val="16"/>
          <w:color w:val="auto"/>
        </w:rPr>
        <w:t>•</w:t>
      </w:r>
      <w:r>
        <w:rPr>
          <w:rFonts w:ascii="Arial" w:cs="Arial" w:eastAsia="Arial" w:hAnsi="Arial"/>
          <w:sz w:val="19"/>
          <w:szCs w:val="19"/>
          <w:color w:val="auto"/>
        </w:rPr>
        <w:t>Senior Vice President, Global Crop Cycle and Fuse Connected Services (January 2015 – January</w:t>
      </w:r>
      <w:r>
        <w:rPr>
          <w:rFonts w:ascii="Arial" w:cs="Arial" w:eastAsia="Arial" w:hAnsi="Arial"/>
          <w:sz w:val="16"/>
          <w:szCs w:val="16"/>
          <w:color w:val="auto"/>
        </w:rPr>
        <w:t xml:space="preserve"> </w:t>
      </w:r>
      <w:r>
        <w:rPr>
          <w:rFonts w:ascii="Arial" w:cs="Arial" w:eastAsia="Arial" w:hAnsi="Arial"/>
          <w:sz w:val="19"/>
          <w:szCs w:val="19"/>
          <w:color w:val="auto"/>
        </w:rPr>
        <w:t>2019)</w:t>
      </w:r>
    </w:p>
    <w:p>
      <w:pPr>
        <w:spacing w:after="0" w:line="2" w:lineRule="exact"/>
        <w:rPr>
          <w:sz w:val="20"/>
          <w:szCs w:val="20"/>
          <w:color w:val="auto"/>
        </w:rPr>
      </w:pPr>
    </w:p>
    <w:p>
      <w:pPr>
        <w:ind w:left="160" w:right="120" w:hanging="159"/>
        <w:spacing w:after="0" w:line="242" w:lineRule="auto"/>
        <w:rPr>
          <w:sz w:val="20"/>
          <w:szCs w:val="20"/>
          <w:color w:val="auto"/>
        </w:rPr>
      </w:pPr>
      <w:r>
        <w:rPr>
          <w:rFonts w:ascii="Arial" w:cs="Arial" w:eastAsia="Arial" w:hAnsi="Arial"/>
          <w:sz w:val="16"/>
          <w:szCs w:val="16"/>
          <w:color w:val="auto"/>
        </w:rPr>
        <w:t>•</w:t>
      </w:r>
      <w:r>
        <w:rPr>
          <w:rFonts w:ascii="Arial" w:cs="Arial" w:eastAsia="Arial" w:hAnsi="Arial"/>
          <w:sz w:val="19"/>
          <w:szCs w:val="19"/>
          <w:color w:val="auto"/>
        </w:rPr>
        <w:t>Senior Vice President, Global Harvesting and Advanced Technology Solutions (July 2013 – January</w:t>
      </w:r>
      <w:r>
        <w:rPr>
          <w:rFonts w:ascii="Arial" w:cs="Arial" w:eastAsia="Arial" w:hAnsi="Arial"/>
          <w:sz w:val="16"/>
          <w:szCs w:val="16"/>
          <w:color w:val="auto"/>
        </w:rPr>
        <w:t xml:space="preserve"> </w:t>
      </w:r>
      <w:r>
        <w:rPr>
          <w:rFonts w:ascii="Arial" w:cs="Arial" w:eastAsia="Arial" w:hAnsi="Arial"/>
          <w:sz w:val="19"/>
          <w:szCs w:val="19"/>
          <w:color w:val="auto"/>
        </w:rPr>
        <w:t>2015)</w:t>
      </w:r>
    </w:p>
    <w:p>
      <w:pPr>
        <w:spacing w:after="0" w:line="1" w:lineRule="exact"/>
        <w:rPr>
          <w:sz w:val="20"/>
          <w:szCs w:val="20"/>
          <w:color w:val="auto"/>
        </w:rPr>
      </w:pPr>
    </w:p>
    <w:p>
      <w:pPr>
        <w:ind w:right="620"/>
        <w:spacing w:after="0" w:line="238" w:lineRule="auto"/>
        <w:rPr>
          <w:sz w:val="20"/>
          <w:szCs w:val="20"/>
          <w:color w:val="auto"/>
        </w:rPr>
      </w:pPr>
      <w:r>
        <w:rPr>
          <w:rFonts w:ascii="Arial" w:cs="Arial" w:eastAsia="Arial" w:hAnsi="Arial"/>
          <w:sz w:val="18"/>
          <w:szCs w:val="18"/>
          <w:color w:val="auto"/>
        </w:rPr>
        <w:t>Prior to joining AGCO, Mr. Hansotia spent 20 years at Deere &amp; Company in various leadership positions including at the general manager, vice president and senior vice president levels.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18415</wp:posOffset>
            </wp:positionV>
            <wp:extent cx="55975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97525" cy="8255"/>
                    </a:xfrm>
                    <a:prstGeom prst="rect">
                      <a:avLst/>
                    </a:prstGeom>
                    <a:noFill/>
                  </pic:spPr>
                </pic:pic>
              </a:graphicData>
            </a:graphic>
          </wp:anchor>
        </w:drawing>
      </w:r>
    </w:p>
    <w:p>
      <w:pPr>
        <w:spacing w:after="0" w:line="74"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Mr. Hansotia brings to our Board a strong strategic perspective and extensive executive leadership experience in areas critical to our Company’s success, including engineering, quality, advanced technology, manufacturing, product management, mergers and acquisitions, channel development and public company governance. He has significant international experience gained from leading global manufacturing and supply chain functions. As an individual of Indian descent, Mr. Hansotia champions diversity, equity and inclusion.</w:t>
      </w:r>
    </w:p>
    <w:p>
      <w:pPr>
        <w:spacing w:after="0" w:line="200" w:lineRule="exact"/>
        <w:rPr>
          <w:sz w:val="20"/>
          <w:szCs w:val="20"/>
          <w:color w:val="auto"/>
        </w:rPr>
      </w:pPr>
    </w:p>
    <w:p>
      <w:pPr>
        <w:sectPr>
          <w:pgSz w:w="11900" w:h="16838" w:orient="portrait"/>
          <w:cols w:equalWidth="0" w:num="2">
            <w:col w:w="1780" w:space="720"/>
            <w:col w:w="8760"/>
          </w:cols>
          <w:pgMar w:left="320" w:top="131" w:right="319" w:bottom="1440" w:gutter="0" w:footer="0" w:header="0"/>
          <w:type w:val="continuous"/>
        </w:sectPr>
      </w:pPr>
    </w:p>
    <w:p>
      <w:pPr>
        <w:spacing w:after="0" w:line="4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C00000"/>
        </w:rPr>
        <w:t>Other Public Company Boards</w:t>
      </w:r>
    </w:p>
    <w:p>
      <w:pPr>
        <w:spacing w:after="0" w:line="15" w:lineRule="exact"/>
        <w:rPr>
          <w:sz w:val="20"/>
          <w:szCs w:val="20"/>
          <w:color w:val="auto"/>
        </w:rPr>
      </w:pPr>
    </w:p>
    <w:tbl>
      <w:tblPr>
        <w:tblLayout w:type="fixed"/>
        <w:tblInd w:w="2420" w:type="dxa"/>
        <w:tblCellMar>
          <w:top w:w="0" w:type="dxa"/>
          <w:left w:w="0" w:type="dxa"/>
          <w:bottom w:w="0" w:type="dxa"/>
          <w:right w:w="0" w:type="dxa"/>
        </w:tblCellMar>
      </w:tblPr>
      <w:tr>
        <w:trPr>
          <w:trHeight w:val="205"/>
        </w:trPr>
        <w:tc>
          <w:tcPr>
            <w:tcW w:w="4540" w:type="dxa"/>
            <w:vAlign w:val="bottom"/>
            <w:tcBorders>
              <w:top w:val="single" w:sz="8" w:color="C00000"/>
            </w:tcBorders>
          </w:tcPr>
          <w:p>
            <w:pPr>
              <w:jc w:val="center"/>
              <w:ind w:right="11"/>
              <w:spacing w:after="0" w:line="205" w:lineRule="exact"/>
              <w:rPr>
                <w:sz w:val="20"/>
                <w:szCs w:val="20"/>
                <w:color w:val="auto"/>
              </w:rPr>
            </w:pPr>
            <w:r>
              <w:rPr>
                <w:rFonts w:ascii="Arial" w:cs="Arial" w:eastAsia="Arial" w:hAnsi="Arial"/>
                <w:sz w:val="18"/>
                <w:szCs w:val="18"/>
                <w:b w:val="1"/>
                <w:bCs w:val="1"/>
                <w:color w:val="auto"/>
                <w:w w:val="98"/>
              </w:rPr>
              <w:t>Current</w:t>
            </w:r>
          </w:p>
        </w:tc>
        <w:tc>
          <w:tcPr>
            <w:tcW w:w="4280" w:type="dxa"/>
            <w:vAlign w:val="bottom"/>
            <w:tcBorders>
              <w:top w:val="single" w:sz="8" w:color="C00000"/>
            </w:tcBorders>
          </w:tcPr>
          <w:p>
            <w:pPr>
              <w:jc w:val="center"/>
              <w:ind w:right="31"/>
              <w:spacing w:after="0" w:line="205" w:lineRule="exact"/>
              <w:rPr>
                <w:sz w:val="20"/>
                <w:szCs w:val="20"/>
                <w:color w:val="auto"/>
              </w:rPr>
            </w:pPr>
            <w:r>
              <w:rPr>
                <w:rFonts w:ascii="Arial" w:cs="Arial" w:eastAsia="Arial" w:hAnsi="Arial"/>
                <w:sz w:val="18"/>
                <w:szCs w:val="18"/>
                <w:b w:val="1"/>
                <w:bCs w:val="1"/>
                <w:color w:val="auto"/>
                <w:w w:val="97"/>
              </w:rPr>
              <w:t>Past 5 Years</w:t>
            </w:r>
          </w:p>
        </w:tc>
      </w:tr>
      <w:tr>
        <w:trPr>
          <w:trHeight w:val="212"/>
        </w:trPr>
        <w:tc>
          <w:tcPr>
            <w:tcW w:w="4540" w:type="dxa"/>
            <w:vAlign w:val="bottom"/>
          </w:tcPr>
          <w:p>
            <w:pPr>
              <w:jc w:val="center"/>
              <w:ind w:right="31"/>
              <w:spacing w:after="0"/>
              <w:rPr>
                <w:sz w:val="20"/>
                <w:szCs w:val="20"/>
                <w:color w:val="auto"/>
              </w:rPr>
            </w:pPr>
            <w:r>
              <w:rPr>
                <w:rFonts w:ascii="Arial" w:cs="Arial" w:eastAsia="Arial" w:hAnsi="Arial"/>
                <w:sz w:val="18"/>
                <w:szCs w:val="18"/>
                <w:color w:val="auto"/>
                <w:w w:val="98"/>
              </w:rPr>
              <w:t>AGCO Corporation</w:t>
            </w:r>
          </w:p>
        </w:tc>
        <w:tc>
          <w:tcPr>
            <w:tcW w:w="4280" w:type="dxa"/>
            <w:vAlign w:val="bottom"/>
          </w:tcPr>
          <w:p>
            <w:pPr>
              <w:jc w:val="center"/>
              <w:ind w:right="31"/>
              <w:spacing w:after="0"/>
              <w:rPr>
                <w:sz w:val="20"/>
                <w:szCs w:val="20"/>
                <w:color w:val="auto"/>
              </w:rPr>
            </w:pPr>
            <w:r>
              <w:rPr>
                <w:rFonts w:ascii="Arial" w:cs="Arial" w:eastAsia="Arial" w:hAnsi="Arial"/>
                <w:sz w:val="18"/>
                <w:szCs w:val="18"/>
                <w:color w:val="auto"/>
              </w:rPr>
              <w:t>None</w:t>
            </w:r>
          </w:p>
        </w:tc>
      </w:tr>
    </w:tbl>
    <w:p>
      <w:pPr>
        <w:spacing w:after="0" w:line="19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C00000"/>
        </w:rPr>
        <w:t>Director Nominee for Election to the Board for a Term Ending at the 2024 Annual Meeting</w:t>
      </w:r>
    </w:p>
    <w:p>
      <w:pPr>
        <w:sectPr>
          <w:pgSz w:w="11900" w:h="16838" w:orient="portrait"/>
          <w:cols w:equalWidth="0" w:num="1">
            <w:col w:w="11260"/>
          </w:cols>
          <w:pgMar w:left="320" w:top="131"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C00000"/>
        </w:rPr>
        <w:t>Jill M. Pemberton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14693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6939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-1417955</wp:posOffset>
            </wp:positionV>
            <wp:extent cx="1021715" cy="12071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21715" cy="1207135"/>
                    </a:xfrm>
                    <a:prstGeom prst="rect">
                      <a:avLst/>
                    </a:prstGeom>
                    <a:noFill/>
                  </pic:spPr>
                </pic:pic>
              </a:graphicData>
            </a:graphic>
          </wp:anchor>
        </w:drawing>
      </w:r>
    </w:p>
    <w:p>
      <w:pPr>
        <w:spacing w:after="0" w:line="19" w:lineRule="exact"/>
        <w:rPr>
          <w:sz w:val="20"/>
          <w:szCs w:val="20"/>
          <w:color w:val="auto"/>
        </w:rPr>
      </w:pPr>
    </w:p>
    <w:p>
      <w:pPr>
        <w:ind w:left="80"/>
        <w:spacing w:after="0"/>
        <w:rPr>
          <w:sz w:val="20"/>
          <w:szCs w:val="20"/>
          <w:color w:val="auto"/>
        </w:rPr>
      </w:pPr>
      <w:r>
        <w:rPr>
          <w:rFonts w:ascii="Arial" w:cs="Arial" w:eastAsia="Arial" w:hAnsi="Arial"/>
          <w:sz w:val="18"/>
          <w:szCs w:val="18"/>
          <w:color w:val="auto"/>
        </w:rPr>
        <w:t>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14693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spacing w:after="0" w:line="12" w:lineRule="exact"/>
        <w:rPr>
          <w:sz w:val="20"/>
          <w:szCs w:val="20"/>
          <w:color w:val="auto"/>
        </w:rPr>
      </w:pPr>
    </w:p>
    <w:p>
      <w:pPr>
        <w:ind w:left="80"/>
        <w:spacing w:after="0"/>
        <w:rPr>
          <w:sz w:val="20"/>
          <w:szCs w:val="20"/>
          <w:color w:val="auto"/>
        </w:rPr>
      </w:pPr>
      <w:r>
        <w:rPr>
          <w:rFonts w:ascii="Arial" w:cs="Arial" w:eastAsia="Arial" w:hAnsi="Arial"/>
          <w:sz w:val="18"/>
          <w:szCs w:val="18"/>
          <w:color w:val="auto"/>
        </w:rPr>
        <w:t>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14693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14693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b w:val="1"/>
          <w:bCs w:val="1"/>
          <w:color w:val="auto"/>
        </w:rPr>
        <w:t>Committees</w:t>
      </w:r>
    </w:p>
    <w:p>
      <w:pPr>
        <w:spacing w:after="0" w:line="6"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Not yet assigned</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9525</wp:posOffset>
            </wp:positionV>
            <wp:extent cx="55975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97525" cy="8255"/>
                    </a:xfrm>
                    <a:prstGeom prst="rect">
                      <a:avLst/>
                    </a:prstGeom>
                    <a:noFill/>
                  </pic:spPr>
                </pic:pic>
              </a:graphicData>
            </a:graphic>
          </wp:anchor>
        </w:drawing>
      </w:r>
    </w:p>
    <w:p>
      <w:pPr>
        <w:spacing w:after="0" w:line="61" w:lineRule="exact"/>
        <w:rPr>
          <w:sz w:val="20"/>
          <w:szCs w:val="20"/>
          <w:color w:val="auto"/>
        </w:rPr>
      </w:pPr>
    </w:p>
    <w:p>
      <w:pPr>
        <w:ind w:right="340"/>
        <w:spacing w:after="0" w:line="230" w:lineRule="auto"/>
        <w:rPr>
          <w:sz w:val="20"/>
          <w:szCs w:val="20"/>
          <w:color w:val="auto"/>
        </w:rPr>
      </w:pPr>
      <w:r>
        <w:rPr>
          <w:rFonts w:ascii="Arial" w:cs="Arial" w:eastAsia="Arial" w:hAnsi="Arial"/>
          <w:sz w:val="18"/>
          <w:szCs w:val="18"/>
          <w:color w:val="auto"/>
        </w:rPr>
        <w:t>Jill M. Pemberton is Chief Financial Officer, North America of LVMH Moët Hennessy Louis Vuitton, Paris, France (a global luxury product company), a position she has held since July 2020. Prior to her current role, she held the following positions:</w:t>
      </w:r>
    </w:p>
    <w:p>
      <w:pPr>
        <w:spacing w:after="0" w:line="1" w:lineRule="exact"/>
        <w:rPr>
          <w:sz w:val="20"/>
          <w:szCs w:val="20"/>
          <w:color w:val="auto"/>
        </w:rPr>
      </w:pPr>
    </w:p>
    <w:p>
      <w:pPr>
        <w:ind w:left="160" w:right="60" w:hanging="159"/>
        <w:spacing w:after="0"/>
        <w:rPr>
          <w:sz w:val="20"/>
          <w:szCs w:val="20"/>
          <w:color w:val="auto"/>
        </w:rPr>
      </w:pPr>
      <w:r>
        <w:rPr>
          <w:rFonts w:ascii="Arial" w:cs="Arial" w:eastAsia="Arial" w:hAnsi="Arial"/>
          <w:sz w:val="16"/>
          <w:szCs w:val="16"/>
          <w:color w:val="auto"/>
        </w:rPr>
        <w:t>•</w:t>
      </w:r>
      <w:r>
        <w:rPr>
          <w:rFonts w:ascii="Arial" w:cs="Arial" w:eastAsia="Arial" w:hAnsi="Arial"/>
          <w:sz w:val="19"/>
          <w:szCs w:val="19"/>
          <w:color w:val="auto"/>
        </w:rPr>
        <w:t>Senior Vice President, Corporate Financial Planning &amp; Analysis, Viacom Inc. (a leading global media</w:t>
      </w:r>
      <w:r>
        <w:rPr>
          <w:rFonts w:ascii="Arial" w:cs="Arial" w:eastAsia="Arial" w:hAnsi="Arial"/>
          <w:sz w:val="16"/>
          <w:szCs w:val="16"/>
          <w:color w:val="auto"/>
        </w:rPr>
        <w:t xml:space="preserve"> </w:t>
      </w:r>
      <w:r>
        <w:rPr>
          <w:rFonts w:ascii="Arial" w:cs="Arial" w:eastAsia="Arial" w:hAnsi="Arial"/>
          <w:sz w:val="19"/>
          <w:szCs w:val="19"/>
          <w:color w:val="auto"/>
        </w:rPr>
        <w:t>company) (July 2019 to January 2020)</w:t>
      </w:r>
    </w:p>
    <w:p>
      <w:pPr>
        <w:spacing w:after="0" w:line="2" w:lineRule="exact"/>
        <w:rPr>
          <w:sz w:val="20"/>
          <w:szCs w:val="20"/>
          <w:color w:val="auto"/>
        </w:rPr>
      </w:pPr>
    </w:p>
    <w:p>
      <w:pPr>
        <w:ind w:left="160" w:right="120" w:hanging="159"/>
        <w:spacing w:after="0" w:line="238" w:lineRule="auto"/>
        <w:rPr>
          <w:sz w:val="20"/>
          <w:szCs w:val="20"/>
          <w:color w:val="auto"/>
        </w:rPr>
      </w:pPr>
      <w:r>
        <w:rPr>
          <w:rFonts w:ascii="Arial" w:cs="Arial" w:eastAsia="Arial" w:hAnsi="Arial"/>
          <w:sz w:val="16"/>
          <w:szCs w:val="16"/>
          <w:color w:val="auto"/>
        </w:rPr>
        <w:t>•</w:t>
      </w:r>
      <w:r>
        <w:rPr>
          <w:rFonts w:ascii="Arial" w:cs="Arial" w:eastAsia="Arial" w:hAnsi="Arial"/>
          <w:sz w:val="19"/>
          <w:szCs w:val="19"/>
          <w:color w:val="auto"/>
        </w:rPr>
        <w:t>Vice President, Finance, Source COE, Supply Chain (February 2017 to June 2019); Vice President,</w:t>
      </w:r>
      <w:r>
        <w:rPr>
          <w:rFonts w:ascii="Arial" w:cs="Arial" w:eastAsia="Arial" w:hAnsi="Arial"/>
          <w:sz w:val="16"/>
          <w:szCs w:val="16"/>
          <w:color w:val="auto"/>
        </w:rPr>
        <w:t xml:space="preserve"> </w:t>
      </w:r>
      <w:r>
        <w:rPr>
          <w:rFonts w:ascii="Arial" w:cs="Arial" w:eastAsia="Arial" w:hAnsi="Arial"/>
          <w:sz w:val="19"/>
          <w:szCs w:val="19"/>
          <w:color w:val="auto"/>
        </w:rPr>
        <w:t>Finance, Global Franchise Organization, Consumer (March 2014 to February 2017; and Vice President, Finance (September 2013 to March 2014), all at Johnson &amp; Johnson (a global health care company)</w:t>
      </w:r>
    </w:p>
    <w:p>
      <w:pPr>
        <w:ind w:right="20"/>
        <w:spacing w:after="0" w:line="236" w:lineRule="auto"/>
        <w:rPr>
          <w:sz w:val="20"/>
          <w:szCs w:val="20"/>
          <w:color w:val="auto"/>
        </w:rPr>
      </w:pPr>
      <w:r>
        <w:rPr>
          <w:rFonts w:ascii="Arial" w:cs="Arial" w:eastAsia="Arial" w:hAnsi="Arial"/>
          <w:sz w:val="18"/>
          <w:szCs w:val="18"/>
          <w:color w:val="auto"/>
        </w:rPr>
        <w:t>Prior to these roles, Ms. Pemberton served in various finance roles of increasing responsibility at the Kraft Heinz Company, Delta Air Lines, Inc. and ZF Group Inc. She holds a Directorship Certification from the National Association of Corporate Directors, or NACD.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18415</wp:posOffset>
            </wp:positionV>
            <wp:extent cx="55975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97525" cy="8255"/>
                    </a:xfrm>
                    <a:prstGeom prst="rect">
                      <a:avLst/>
                    </a:prstGeom>
                    <a:noFill/>
                  </pic:spPr>
                </pic:pic>
              </a:graphicData>
            </a:graphic>
          </wp:anchor>
        </w:drawing>
      </w:r>
    </w:p>
    <w:p>
      <w:pPr>
        <w:spacing w:after="0" w:line="74" w:lineRule="exact"/>
        <w:rPr>
          <w:sz w:val="20"/>
          <w:szCs w:val="20"/>
          <w:color w:val="auto"/>
        </w:rPr>
      </w:pPr>
    </w:p>
    <w:p>
      <w:pPr>
        <w:ind w:right="60"/>
        <w:spacing w:after="0" w:line="233" w:lineRule="auto"/>
        <w:rPr>
          <w:sz w:val="20"/>
          <w:szCs w:val="20"/>
          <w:color w:val="auto"/>
        </w:rPr>
      </w:pPr>
      <w:r>
        <w:rPr>
          <w:rFonts w:ascii="Arial" w:cs="Arial" w:eastAsia="Arial" w:hAnsi="Arial"/>
          <w:sz w:val="18"/>
          <w:szCs w:val="18"/>
          <w:color w:val="auto"/>
        </w:rPr>
        <w:t>Ms. Pemberton brings to our Board strong and broad financial experience and acumen, enterprise risk management knowledge including relating to cybersecurity and business continuity, investor perspective, strong brand experience and sourcing and supply chain oversight. In addition, she contributes a strategic perspective, with significant acquisition and integration experience, all of which will assist our Board in providing guidance and oversight in these areas. As a female, black leader, Ms. Pemberton champions diversity, equity and inclusion initiatives as an Executive Sponsor of LVMH North America’s Women and Black Employee Resource Groups and will do so as a member of our Board.</w:t>
      </w:r>
    </w:p>
    <w:p>
      <w:pPr>
        <w:spacing w:after="0" w:line="21" w:lineRule="exact"/>
        <w:rPr>
          <w:sz w:val="20"/>
          <w:szCs w:val="20"/>
          <w:color w:val="auto"/>
        </w:rPr>
      </w:pPr>
    </w:p>
    <w:p>
      <w:pPr>
        <w:sectPr>
          <w:pgSz w:w="11900" w:h="16838" w:orient="portrait"/>
          <w:cols w:equalWidth="0" w:num="2">
            <w:col w:w="1780" w:space="720"/>
            <w:col w:w="8760"/>
          </w:cols>
          <w:pgMar w:left="320" w:top="131" w:right="319" w:bottom="1440" w:gutter="0" w:footer="0" w:header="0"/>
          <w:type w:val="continuous"/>
        </w:sectPr>
      </w:pPr>
    </w:p>
    <w:p>
      <w:pPr>
        <w:ind w:left="2500"/>
        <w:spacing w:after="0"/>
        <w:rPr>
          <w:sz w:val="20"/>
          <w:szCs w:val="20"/>
          <w:color w:val="auto"/>
        </w:rPr>
      </w:pPr>
      <w:r>
        <w:rPr>
          <w:rFonts w:ascii="Arial" w:cs="Arial" w:eastAsia="Arial" w:hAnsi="Arial"/>
          <w:sz w:val="18"/>
          <w:szCs w:val="18"/>
          <w:b w:val="1"/>
          <w:bCs w:val="1"/>
          <w:color w:val="C00000"/>
        </w:rPr>
        <w:t>Other Public Company Boards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420" w:type="dxa"/>
            <w:vAlign w:val="bottom"/>
          </w:tcPr>
          <w:p>
            <w:pPr>
              <w:spacing w:after="0"/>
              <w:rPr>
                <w:sz w:val="17"/>
                <w:szCs w:val="17"/>
                <w:color w:val="auto"/>
              </w:rPr>
            </w:pPr>
          </w:p>
        </w:tc>
        <w:tc>
          <w:tcPr>
            <w:tcW w:w="2840" w:type="dxa"/>
            <w:vAlign w:val="bottom"/>
            <w:tcBorders>
              <w:top w:val="single" w:sz="8" w:color="C00000"/>
            </w:tcBorders>
          </w:tcPr>
          <w:p>
            <w:pPr>
              <w:jc w:val="center"/>
              <w:ind w:left="1511"/>
              <w:spacing w:after="0" w:line="205" w:lineRule="exact"/>
              <w:rPr>
                <w:sz w:val="20"/>
                <w:szCs w:val="20"/>
                <w:color w:val="auto"/>
              </w:rPr>
            </w:pPr>
            <w:r>
              <w:rPr>
                <w:rFonts w:ascii="Arial" w:cs="Arial" w:eastAsia="Arial" w:hAnsi="Arial"/>
                <w:sz w:val="18"/>
                <w:szCs w:val="18"/>
                <w:b w:val="1"/>
                <w:bCs w:val="1"/>
                <w:color w:val="auto"/>
                <w:w w:val="98"/>
              </w:rPr>
              <w:t>Current</w:t>
            </w:r>
          </w:p>
        </w:tc>
        <w:tc>
          <w:tcPr>
            <w:tcW w:w="5980" w:type="dxa"/>
            <w:vAlign w:val="bottom"/>
            <w:tcBorders>
              <w:top w:val="single" w:sz="8" w:color="C00000"/>
            </w:tcBorders>
          </w:tcPr>
          <w:p>
            <w:pPr>
              <w:jc w:val="center"/>
              <w:ind w:left="1491"/>
              <w:spacing w:after="0" w:line="205" w:lineRule="exact"/>
              <w:rPr>
                <w:sz w:val="20"/>
                <w:szCs w:val="20"/>
                <w:color w:val="auto"/>
              </w:rPr>
            </w:pPr>
            <w:r>
              <w:rPr>
                <w:rFonts w:ascii="Arial" w:cs="Arial" w:eastAsia="Arial" w:hAnsi="Arial"/>
                <w:sz w:val="18"/>
                <w:szCs w:val="18"/>
                <w:b w:val="1"/>
                <w:bCs w:val="1"/>
                <w:color w:val="auto"/>
                <w:w w:val="97"/>
              </w:rPr>
              <w:t>Past 5 Years</w:t>
            </w:r>
          </w:p>
        </w:tc>
        <w:tc>
          <w:tcPr>
            <w:tcW w:w="20" w:type="dxa"/>
            <w:vAlign w:val="bottom"/>
          </w:tcPr>
          <w:p>
            <w:pPr>
              <w:spacing w:after="0"/>
              <w:rPr>
                <w:sz w:val="17"/>
                <w:szCs w:val="17"/>
                <w:color w:val="auto"/>
              </w:rPr>
            </w:pPr>
          </w:p>
        </w:tc>
      </w:tr>
      <w:tr>
        <w:trPr>
          <w:trHeight w:val="212"/>
        </w:trPr>
        <w:tc>
          <w:tcPr>
            <w:tcW w:w="2420" w:type="dxa"/>
            <w:vAlign w:val="bottom"/>
          </w:tcPr>
          <w:p>
            <w:pPr>
              <w:spacing w:after="0"/>
              <w:rPr>
                <w:sz w:val="18"/>
                <w:szCs w:val="18"/>
                <w:color w:val="auto"/>
              </w:rPr>
            </w:pPr>
          </w:p>
        </w:tc>
        <w:tc>
          <w:tcPr>
            <w:tcW w:w="2840" w:type="dxa"/>
            <w:vAlign w:val="bottom"/>
          </w:tcPr>
          <w:p>
            <w:pPr>
              <w:jc w:val="center"/>
              <w:ind w:left="1491"/>
              <w:spacing w:after="0"/>
              <w:rPr>
                <w:sz w:val="20"/>
                <w:szCs w:val="20"/>
                <w:color w:val="auto"/>
              </w:rPr>
            </w:pPr>
            <w:r>
              <w:rPr>
                <w:rFonts w:ascii="Arial" w:cs="Arial" w:eastAsia="Arial" w:hAnsi="Arial"/>
                <w:sz w:val="18"/>
                <w:szCs w:val="18"/>
                <w:color w:val="auto"/>
                <w:w w:val="97"/>
              </w:rPr>
              <w:t>None</w:t>
            </w:r>
          </w:p>
        </w:tc>
        <w:tc>
          <w:tcPr>
            <w:tcW w:w="5980" w:type="dxa"/>
            <w:vAlign w:val="bottom"/>
          </w:tcPr>
          <w:p>
            <w:pPr>
              <w:jc w:val="center"/>
              <w:ind w:left="1491"/>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r>
      <w:tr>
        <w:trPr>
          <w:trHeight w:val="505"/>
        </w:trPr>
        <w:tc>
          <w:tcPr>
            <w:tcW w:w="24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5980" w:type="dxa"/>
            <w:vAlign w:val="bottom"/>
          </w:tcPr>
          <w:p>
            <w:pPr>
              <w:jc w:val="right"/>
              <w:ind w:right="5471"/>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4"/>
                <w:szCs w:val="24"/>
                <w:color w:val="auto"/>
              </w:rPr>
            </w:pPr>
          </w:p>
        </w:tc>
      </w:tr>
      <w:tr>
        <w:trPr>
          <w:trHeight w:val="101"/>
        </w:trPr>
        <w:tc>
          <w:tcPr>
            <w:tcW w:w="2420" w:type="dxa"/>
            <w:vAlign w:val="bottom"/>
            <w:tcBorders>
              <w:bottom w:val="single" w:sz="8" w:color="9A9A9A"/>
            </w:tcBorders>
          </w:tcPr>
          <w:p>
            <w:pPr>
              <w:spacing w:after="0"/>
              <w:rPr>
                <w:sz w:val="8"/>
                <w:szCs w:val="8"/>
                <w:color w:val="auto"/>
              </w:rPr>
            </w:pPr>
          </w:p>
        </w:tc>
        <w:tc>
          <w:tcPr>
            <w:tcW w:w="2840" w:type="dxa"/>
            <w:vAlign w:val="bottom"/>
            <w:tcBorders>
              <w:bottom w:val="single" w:sz="8" w:color="9A9A9A"/>
            </w:tcBorders>
          </w:tcPr>
          <w:p>
            <w:pPr>
              <w:spacing w:after="0"/>
              <w:rPr>
                <w:sz w:val="8"/>
                <w:szCs w:val="8"/>
                <w:color w:val="auto"/>
              </w:rPr>
            </w:pPr>
          </w:p>
        </w:tc>
        <w:tc>
          <w:tcPr>
            <w:tcW w:w="59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131" w:right="31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C00000"/>
        </w:rPr>
        <w:t>Director Nominees for Election to the Board for a Term Ending at the 2025 Annual Meeting</w:t>
      </w:r>
    </w:p>
    <w:p>
      <w:pPr>
        <w:spacing w:after="0" w:line="20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7134225" cy="12160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225" cy="1216025"/>
                    </a:xfrm>
                    <a:prstGeom prst="rect">
                      <a:avLst/>
                    </a:prstGeom>
                    <a:noFill/>
                  </pic:spPr>
                </pic:pic>
              </a:graphicData>
            </a:graphic>
          </wp:anchor>
        </w:drawing>
      </w:r>
    </w:p>
    <w:p>
      <w:pPr>
        <w:spacing w:after="0" w:line="61" w:lineRule="exact"/>
        <w:rPr>
          <w:sz w:val="20"/>
          <w:szCs w:val="20"/>
          <w:color w:val="auto"/>
        </w:rPr>
      </w:pPr>
    </w:p>
    <w:p>
      <w:pPr>
        <w:ind w:left="2500" w:right="500"/>
        <w:spacing w:after="0" w:line="231" w:lineRule="auto"/>
        <w:rPr>
          <w:sz w:val="20"/>
          <w:szCs w:val="20"/>
          <w:color w:val="auto"/>
        </w:rPr>
      </w:pPr>
      <w:r>
        <w:rPr>
          <w:rFonts w:ascii="Arial" w:cs="Arial" w:eastAsia="Arial" w:hAnsi="Arial"/>
          <w:sz w:val="18"/>
          <w:szCs w:val="18"/>
          <w:color w:val="auto"/>
        </w:rPr>
        <w:t>Jeffrey L. Harmening is the Chairman and Chief Executive Officer of General Mills, Inc., Minneapolis, Minnesota (a global manufacturer, marketer and supplier of food products). He holds or held the following positions, all at General Mills:</w:t>
      </w:r>
    </w:p>
    <w:p>
      <w:pPr>
        <w:spacing w:after="0" w:line="1"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Chairman and Chief Executive Officer (since January 2018)</w:t>
      </w:r>
    </w:p>
    <w:p>
      <w:pPr>
        <w:spacing w:after="0" w:line="17"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Chief Executive Officer (June 2017 – January 2018)</w:t>
      </w:r>
    </w:p>
    <w:p>
      <w:pPr>
        <w:spacing w:after="0" w:line="17"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President and Chief Operating Officer (July 2016 – May 2017)</w:t>
      </w:r>
    </w:p>
    <w:p>
      <w:pPr>
        <w:spacing w:after="0" w:line="17"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Executive Vice President, Chief Operating Officer, U.S. Retail (May 2014 – June 2016)</w:t>
      </w:r>
    </w:p>
    <w:p>
      <w:pPr>
        <w:spacing w:after="0" w:line="17"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Senior Vice President, Chief Executive Officer, Cereal Partners Worldwide (July 2012 – April 2014)</w:t>
      </w:r>
    </w:p>
    <w:p>
      <w:pPr>
        <w:sectPr>
          <w:pgSz w:w="11900" w:h="16838" w:orient="portrait"/>
          <w:cols w:equalWidth="0" w:num="1">
            <w:col w:w="11240"/>
          </w:cols>
          <w:pgMar w:left="320" w:top="140" w:right="339" w:bottom="1440" w:gutter="0" w:footer="0" w:header="0"/>
        </w:sectPr>
      </w:pPr>
    </w:p>
    <w:p>
      <w:pPr>
        <w:spacing w:after="0" w:line="274"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C00000"/>
        </w:rPr>
        <w:t>Jeffrey L. Harmening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14693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spacing w:after="0" w:line="19" w:lineRule="exact"/>
        <w:rPr>
          <w:sz w:val="20"/>
          <w:szCs w:val="20"/>
          <w:color w:val="auto"/>
        </w:rPr>
      </w:pPr>
    </w:p>
    <w:p>
      <w:pPr>
        <w:ind w:left="80"/>
        <w:spacing w:after="0"/>
        <w:rPr>
          <w:sz w:val="20"/>
          <w:szCs w:val="20"/>
          <w:color w:val="auto"/>
        </w:rPr>
      </w:pPr>
      <w:r>
        <w:rPr>
          <w:rFonts w:ascii="Arial" w:cs="Arial" w:eastAsia="Arial" w:hAnsi="Arial"/>
          <w:sz w:val="18"/>
          <w:szCs w:val="18"/>
          <w:color w:val="auto"/>
        </w:rPr>
        <w:t>Age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14693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color w:val="auto"/>
        </w:rPr>
        <w:t>Director since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14693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color w:val="auto"/>
        </w:rPr>
        <w:t>Independent</w:t>
      </w:r>
    </w:p>
    <w:p>
      <w:pPr>
        <w:spacing w:after="0" w:line="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14693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Audit</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Finance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18415</wp:posOffset>
            </wp:positionV>
            <wp:extent cx="55975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597525" cy="8255"/>
                    </a:xfrm>
                    <a:prstGeom prst="rect">
                      <a:avLst/>
                    </a:prstGeom>
                    <a:noFill/>
                  </pic:spPr>
                </pic:pic>
              </a:graphicData>
            </a:graphic>
          </wp:anchor>
        </w:drawing>
      </w:r>
    </w:p>
    <w:p>
      <w:pPr>
        <w:spacing w:after="0" w:line="74" w:lineRule="exact"/>
        <w:rPr>
          <w:sz w:val="20"/>
          <w:szCs w:val="20"/>
          <w:color w:val="auto"/>
        </w:rPr>
      </w:pPr>
    </w:p>
    <w:p>
      <w:pPr>
        <w:ind w:right="60"/>
        <w:spacing w:after="0" w:line="233" w:lineRule="auto"/>
        <w:rPr>
          <w:sz w:val="20"/>
          <w:szCs w:val="20"/>
          <w:color w:val="auto"/>
        </w:rPr>
      </w:pPr>
      <w:r>
        <w:rPr>
          <w:rFonts w:ascii="Arial" w:cs="Arial" w:eastAsia="Arial" w:hAnsi="Arial"/>
          <w:sz w:val="18"/>
          <w:szCs w:val="18"/>
          <w:color w:val="auto"/>
        </w:rPr>
        <w:t>Mr. Harmening brings to our Board extensive experience as a seasoned executive with strong business acumen and experience implementing the strategic direction for a publicly traded company with extensive distribution channels and supply chain operations. Furthermore, he brings experience in driving growth through customer-valued products and acquisitions and advancing diversity, equity and inclusion matters. In addition, he has significant experience managing operations around the world, including having lived in Europe for six years during his tenure at General Mills.</w:t>
      </w:r>
    </w:p>
    <w:p>
      <w:pPr>
        <w:spacing w:after="0" w:line="75" w:lineRule="exact"/>
        <w:rPr>
          <w:sz w:val="20"/>
          <w:szCs w:val="20"/>
          <w:color w:val="auto"/>
        </w:rPr>
      </w:pPr>
    </w:p>
    <w:p>
      <w:pPr>
        <w:sectPr>
          <w:pgSz w:w="11900" w:h="16838" w:orient="portrait"/>
          <w:cols w:equalWidth="0" w:num="2">
            <w:col w:w="1840" w:space="660"/>
            <w:col w:w="8740"/>
          </w:cols>
          <w:pgMar w:left="320" w:top="1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C00000"/>
        </w:rPr>
        <w:t>Joyce A. Mullen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14693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6939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-1450340</wp:posOffset>
            </wp:positionV>
            <wp:extent cx="1004570" cy="12160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04570" cy="1216025"/>
                    </a:xfrm>
                    <a:prstGeom prst="rect">
                      <a:avLst/>
                    </a:prstGeom>
                    <a:noFill/>
                  </pic:spPr>
                </pic:pic>
              </a:graphicData>
            </a:graphic>
          </wp:anchor>
        </w:drawing>
      </w:r>
    </w:p>
    <w:p>
      <w:pPr>
        <w:spacing w:after="0" w:line="8" w:lineRule="exact"/>
        <w:rPr>
          <w:sz w:val="20"/>
          <w:szCs w:val="20"/>
          <w:color w:val="auto"/>
        </w:rPr>
      </w:pPr>
    </w:p>
    <w:p>
      <w:pPr>
        <w:ind w:left="80"/>
        <w:spacing w:after="0"/>
        <w:rPr>
          <w:sz w:val="20"/>
          <w:szCs w:val="20"/>
          <w:color w:val="auto"/>
        </w:rPr>
      </w:pPr>
      <w:r>
        <w:rPr>
          <w:rFonts w:ascii="Arial" w:cs="Arial" w:eastAsia="Arial" w:hAnsi="Arial"/>
          <w:sz w:val="18"/>
          <w:szCs w:val="18"/>
          <w:color w:val="auto"/>
        </w:rPr>
        <w:t>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14693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color w:val="auto"/>
        </w:rPr>
        <w:t>Director since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14693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14693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b w:val="1"/>
          <w:bCs w:val="1"/>
          <w:color w:val="auto"/>
        </w:rPr>
        <w:t>Committees</w:t>
      </w:r>
    </w:p>
    <w:p>
      <w:pPr>
        <w:spacing w:after="0" w:line="46" w:lineRule="exact"/>
        <w:rPr>
          <w:sz w:val="20"/>
          <w:szCs w:val="20"/>
          <w:color w:val="auto"/>
        </w:rPr>
      </w:pPr>
    </w:p>
    <w:p>
      <w:pPr>
        <w:ind w:left="240" w:right="500" w:hanging="159"/>
        <w:spacing w:after="0" w:line="253" w:lineRule="auto"/>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Compensation &amp;</w:t>
      </w:r>
      <w:r>
        <w:rPr>
          <w:rFonts w:ascii="Arial" w:cs="Arial" w:eastAsia="Arial" w:hAnsi="Arial"/>
          <w:sz w:val="16"/>
          <w:szCs w:val="16"/>
          <w:color w:val="auto"/>
        </w:rPr>
        <w:t xml:space="preserve"> </w:t>
      </w:r>
      <w:r>
        <w:rPr>
          <w:rFonts w:ascii="Arial" w:cs="Arial" w:eastAsia="Arial" w:hAnsi="Arial"/>
          <w:sz w:val="17"/>
          <w:szCs w:val="17"/>
          <w:color w:val="auto"/>
        </w:rPr>
        <w:t>Human Resources</w:t>
      </w:r>
    </w:p>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Nominating &amp; Governance</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Arial" w:cs="Arial" w:eastAsia="Arial" w:hAnsi="Arial"/>
          <w:sz w:val="18"/>
          <w:szCs w:val="18"/>
          <w:b w:val="1"/>
          <w:bCs w:val="1"/>
          <w:color w:val="C00000"/>
        </w:rPr>
        <w:t>Other Public Company Boards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20" w:type="dxa"/>
            <w:vAlign w:val="bottom"/>
            <w:tcBorders>
              <w:top w:val="single" w:sz="8" w:color="C00000"/>
            </w:tcBorders>
          </w:tcPr>
          <w:p>
            <w:pPr>
              <w:jc w:val="center"/>
              <w:spacing w:after="0" w:line="205" w:lineRule="exact"/>
              <w:rPr>
                <w:sz w:val="20"/>
                <w:szCs w:val="20"/>
                <w:color w:val="auto"/>
              </w:rPr>
            </w:pPr>
            <w:r>
              <w:rPr>
                <w:rFonts w:ascii="Arial" w:cs="Arial" w:eastAsia="Arial" w:hAnsi="Arial"/>
                <w:sz w:val="18"/>
                <w:szCs w:val="18"/>
                <w:b w:val="1"/>
                <w:bCs w:val="1"/>
                <w:color w:val="auto"/>
                <w:w w:val="98"/>
              </w:rPr>
              <w:t>Current</w:t>
            </w:r>
          </w:p>
        </w:tc>
        <w:tc>
          <w:tcPr>
            <w:tcW w:w="4300" w:type="dxa"/>
            <w:vAlign w:val="bottom"/>
            <w:tcBorders>
              <w:top w:val="single" w:sz="8" w:color="C00000"/>
            </w:tcBorders>
          </w:tcPr>
          <w:p>
            <w:pPr>
              <w:jc w:val="center"/>
              <w:ind w:right="11"/>
              <w:spacing w:after="0" w:line="205" w:lineRule="exact"/>
              <w:rPr>
                <w:sz w:val="20"/>
                <w:szCs w:val="20"/>
                <w:color w:val="auto"/>
              </w:rPr>
            </w:pPr>
            <w:r>
              <w:rPr>
                <w:rFonts w:ascii="Arial" w:cs="Arial" w:eastAsia="Arial" w:hAnsi="Arial"/>
                <w:sz w:val="18"/>
                <w:szCs w:val="18"/>
                <w:b w:val="1"/>
                <w:bCs w:val="1"/>
                <w:color w:val="auto"/>
                <w:w w:val="97"/>
              </w:rPr>
              <w:t>Past 5 Years</w:t>
            </w:r>
          </w:p>
        </w:tc>
      </w:tr>
      <w:tr>
        <w:trPr>
          <w:trHeight w:val="212"/>
        </w:trPr>
        <w:tc>
          <w:tcPr>
            <w:tcW w:w="4520" w:type="dxa"/>
            <w:vAlign w:val="bottom"/>
          </w:tcPr>
          <w:p>
            <w:pPr>
              <w:jc w:val="center"/>
              <w:ind w:right="11"/>
              <w:spacing w:after="0"/>
              <w:rPr>
                <w:sz w:val="20"/>
                <w:szCs w:val="20"/>
                <w:color w:val="auto"/>
              </w:rPr>
            </w:pPr>
            <w:r>
              <w:rPr>
                <w:rFonts w:ascii="Arial" w:cs="Arial" w:eastAsia="Arial" w:hAnsi="Arial"/>
                <w:sz w:val="18"/>
                <w:szCs w:val="18"/>
                <w:color w:val="auto"/>
                <w:w w:val="98"/>
              </w:rPr>
              <w:t>General Mills, Inc.</w:t>
            </w:r>
          </w:p>
        </w:tc>
        <w:tc>
          <w:tcPr>
            <w:tcW w:w="4300" w:type="dxa"/>
            <w:vAlign w:val="bottom"/>
          </w:tcPr>
          <w:p>
            <w:pPr>
              <w:jc w:val="center"/>
              <w:ind w:right="11"/>
              <w:spacing w:after="0"/>
              <w:rPr>
                <w:sz w:val="20"/>
                <w:szCs w:val="20"/>
                <w:color w:val="auto"/>
              </w:rPr>
            </w:pPr>
            <w:r>
              <w:rPr>
                <w:rFonts w:ascii="Arial" w:cs="Arial" w:eastAsia="Arial" w:hAnsi="Arial"/>
                <w:sz w:val="18"/>
                <w:szCs w:val="18"/>
                <w:color w:val="auto"/>
              </w:rPr>
              <w:t>None</w:t>
            </w:r>
          </w:p>
        </w:tc>
      </w:tr>
    </w:tbl>
    <w:p>
      <w:pPr>
        <w:spacing w:after="0" w:line="200" w:lineRule="exact"/>
        <w:rPr>
          <w:sz w:val="20"/>
          <w:szCs w:val="20"/>
          <w:color w:val="auto"/>
        </w:rPr>
      </w:pPr>
    </w:p>
    <w:p>
      <w:pPr>
        <w:spacing w:after="0" w:line="20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55975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97525" cy="8255"/>
                    </a:xfrm>
                    <a:prstGeom prst="rect">
                      <a:avLst/>
                    </a:prstGeom>
                    <a:noFill/>
                  </pic:spPr>
                </pic:pic>
              </a:graphicData>
            </a:graphic>
          </wp:anchor>
        </w:drawing>
      </w:r>
    </w:p>
    <w:p>
      <w:pPr>
        <w:spacing w:after="0" w:line="181" w:lineRule="exact"/>
        <w:rPr>
          <w:sz w:val="20"/>
          <w:szCs w:val="20"/>
          <w:color w:val="auto"/>
        </w:rPr>
      </w:pPr>
    </w:p>
    <w:p>
      <w:pPr>
        <w:ind w:left="80" w:right="280"/>
        <w:spacing w:after="0" w:line="231" w:lineRule="auto"/>
        <w:rPr>
          <w:sz w:val="20"/>
          <w:szCs w:val="20"/>
          <w:color w:val="auto"/>
        </w:rPr>
      </w:pPr>
      <w:r>
        <w:rPr>
          <w:rFonts w:ascii="Arial" w:cs="Arial" w:eastAsia="Arial" w:hAnsi="Arial"/>
          <w:sz w:val="18"/>
          <w:szCs w:val="18"/>
          <w:color w:val="auto"/>
        </w:rPr>
        <w:t>Joyce A. Mullen is the President and Chief Executive Officer of Insight Enterprises, Inc., Tempe, Arizona (an information technology company), a role she has held since January 1, 2022. Previously, she served as President of North American Businesses of Insight Enterprises, Inc., a role she held from October 2020 to December 2021. Prior to that, she held the following positions at Dell Technologies (a digital technology solutions company):</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President, Global Channel, OEM and IoT (November 2017-August 2020)</w:t>
      </w:r>
    </w:p>
    <w:p>
      <w:pPr>
        <w:spacing w:after="0" w:line="17" w:lineRule="exact"/>
        <w:rPr>
          <w:sz w:val="20"/>
          <w:szCs w:val="20"/>
          <w:color w:val="auto"/>
        </w:rPr>
      </w:pPr>
    </w:p>
    <w:p>
      <w:pPr>
        <w:ind w:left="240" w:right="440" w:hanging="159"/>
        <w:spacing w:after="0" w:line="253" w:lineRule="auto"/>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Senior Vice President and General Manager, Global OEM and IoT Solutions (February 2015 – November</w:t>
      </w:r>
      <w:r>
        <w:rPr>
          <w:rFonts w:ascii="Arial" w:cs="Arial" w:eastAsia="Arial" w:hAnsi="Arial"/>
          <w:sz w:val="16"/>
          <w:szCs w:val="16"/>
          <w:color w:val="auto"/>
        </w:rPr>
        <w:t xml:space="preserve"> </w:t>
      </w:r>
      <w:r>
        <w:rPr>
          <w:rFonts w:ascii="Arial" w:cs="Arial" w:eastAsia="Arial" w:hAnsi="Arial"/>
          <w:sz w:val="17"/>
          <w:szCs w:val="17"/>
          <w:color w:val="auto"/>
        </w:rPr>
        <w:t>2017)</w:t>
      </w:r>
    </w:p>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Vice President and General Manager, Global OEM Solutions (February 2012 – February 2015)</w:t>
      </w:r>
    </w:p>
    <w:p>
      <w:pPr>
        <w:spacing w:after="0" w:line="17" w:lineRule="exact"/>
        <w:rPr>
          <w:sz w:val="20"/>
          <w:szCs w:val="20"/>
          <w:color w:val="auto"/>
        </w:rPr>
      </w:pPr>
    </w:p>
    <w:p>
      <w:pPr>
        <w:ind w:left="80" w:right="680" w:hanging="2"/>
        <w:spacing w:after="0" w:line="238" w:lineRule="auto"/>
        <w:rPr>
          <w:sz w:val="20"/>
          <w:szCs w:val="20"/>
          <w:color w:val="auto"/>
        </w:rPr>
      </w:pPr>
      <w:r>
        <w:rPr>
          <w:rFonts w:ascii="Arial" w:cs="Arial" w:eastAsia="Arial" w:hAnsi="Arial"/>
          <w:sz w:val="18"/>
          <w:szCs w:val="18"/>
          <w:color w:val="auto"/>
        </w:rPr>
        <w:t>Ms. Mullen also spent 10 years in various leadership positions at Cummins Engine Company, including distribution, manufacturing and international business development.</w:t>
      </w:r>
    </w:p>
    <w:p>
      <w:pPr>
        <w:spacing w:after="0" w:line="8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187325</wp:posOffset>
            </wp:positionV>
            <wp:extent cx="55975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97525" cy="8255"/>
                    </a:xfrm>
                    <a:prstGeom prst="rect">
                      <a:avLst/>
                    </a:prstGeom>
                    <a:noFill/>
                  </pic:spPr>
                </pic:pic>
              </a:graphicData>
            </a:graphic>
          </wp:anchor>
        </w:drawing>
      </w:r>
    </w:p>
    <w:p>
      <w:pPr>
        <w:spacing w:after="0" w:line="340" w:lineRule="exact"/>
        <w:rPr>
          <w:sz w:val="20"/>
          <w:szCs w:val="20"/>
          <w:color w:val="auto"/>
        </w:rPr>
      </w:pPr>
    </w:p>
    <w:p>
      <w:pPr>
        <w:ind w:left="80" w:right="120"/>
        <w:spacing w:after="0" w:line="234" w:lineRule="auto"/>
        <w:rPr>
          <w:sz w:val="20"/>
          <w:szCs w:val="20"/>
          <w:color w:val="auto"/>
        </w:rPr>
      </w:pPr>
      <w:r>
        <w:rPr>
          <w:rFonts w:ascii="Arial" w:cs="Arial" w:eastAsia="Arial" w:hAnsi="Arial"/>
          <w:sz w:val="18"/>
          <w:szCs w:val="18"/>
          <w:color w:val="auto"/>
        </w:rPr>
        <w:t>Ms. Mullen brings to our Board significant executive leadership skills, technology and smart-connected products expertise, strategic and innovative thinking and strong international business experience. She also contributes substantial knowledge of worldwide manufacturing, distribution channels, cybersecurity, digital product development and supply chain strategies, including improving efficiencies in manufacturing operations using Six Sigma, Kaizen and Lean techniques.</w:t>
      </w:r>
    </w:p>
    <w:p>
      <w:pPr>
        <w:spacing w:after="0" w:line="1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C00000"/>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55975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97525" cy="8255"/>
                    </a:xfrm>
                    <a:prstGeom prst="rect">
                      <a:avLst/>
                    </a:prstGeom>
                    <a:noFill/>
                  </pic:spPr>
                </pic:pic>
              </a:graphicData>
            </a:graphic>
          </wp:anchor>
        </w:drawing>
      </w:r>
    </w:p>
    <w:p>
      <w:pPr>
        <w:spacing w:after="0" w:line="39" w:lineRule="exact"/>
        <w:rPr>
          <w:sz w:val="20"/>
          <w:szCs w:val="20"/>
          <w:color w:val="auto"/>
        </w:rPr>
      </w:pPr>
    </w:p>
    <w:p>
      <w:pPr>
        <w:ind w:left="1900"/>
        <w:spacing w:after="0"/>
        <w:tabs>
          <w:tab w:leader="none" w:pos="6080" w:val="left"/>
        </w:tabs>
        <w:rPr>
          <w:sz w:val="20"/>
          <w:szCs w:val="20"/>
          <w:color w:val="auto"/>
        </w:rPr>
      </w:pPr>
      <w:r>
        <w:rPr>
          <w:rFonts w:ascii="Arial" w:cs="Arial" w:eastAsia="Arial" w:hAnsi="Arial"/>
          <w:sz w:val="18"/>
          <w:szCs w:val="18"/>
          <w:b w:val="1"/>
          <w:bCs w:val="1"/>
          <w:color w:val="auto"/>
        </w:rPr>
        <w:t>Current</w:t>
      </w:r>
      <w:r>
        <w:rPr>
          <w:sz w:val="20"/>
          <w:szCs w:val="20"/>
          <w:color w:val="auto"/>
        </w:rPr>
        <w:tab/>
      </w:r>
      <w:r>
        <w:rPr>
          <w:rFonts w:ascii="Arial" w:cs="Arial" w:eastAsia="Arial" w:hAnsi="Arial"/>
          <w:sz w:val="18"/>
          <w:szCs w:val="18"/>
          <w:b w:val="1"/>
          <w:bCs w:val="1"/>
          <w:color w:val="auto"/>
        </w:rPr>
        <w:t>Past 5 Years</w:t>
      </w:r>
    </w:p>
    <w:p>
      <w:pPr>
        <w:spacing w:after="0" w:line="14" w:lineRule="exact"/>
        <w:rPr>
          <w:sz w:val="20"/>
          <w:szCs w:val="20"/>
          <w:color w:val="auto"/>
        </w:rPr>
      </w:pPr>
    </w:p>
    <w:p>
      <w:pPr>
        <w:ind w:left="1280"/>
        <w:spacing w:after="0"/>
        <w:tabs>
          <w:tab w:leader="none" w:pos="6380" w:val="left"/>
        </w:tabs>
        <w:rPr>
          <w:sz w:val="20"/>
          <w:szCs w:val="20"/>
          <w:color w:val="auto"/>
        </w:rPr>
      </w:pPr>
      <w:r>
        <w:rPr>
          <w:rFonts w:ascii="Arial" w:cs="Arial" w:eastAsia="Arial" w:hAnsi="Arial"/>
          <w:sz w:val="18"/>
          <w:szCs w:val="18"/>
          <w:color w:val="auto"/>
        </w:rPr>
        <w:t>Insight Enterprises, Inc.</w:t>
      </w:r>
      <w:r>
        <w:rPr>
          <w:sz w:val="20"/>
          <w:szCs w:val="20"/>
          <w:color w:val="auto"/>
        </w:rPr>
        <w:tab/>
      </w:r>
      <w:r>
        <w:rPr>
          <w:rFonts w:ascii="Arial" w:cs="Arial" w:eastAsia="Arial" w:hAnsi="Arial"/>
          <w:sz w:val="18"/>
          <w:szCs w:val="18"/>
          <w:color w:val="auto"/>
        </w:rPr>
        <w:t>None</w:t>
      </w:r>
    </w:p>
    <w:p>
      <w:pPr>
        <w:spacing w:after="0" w:line="200" w:lineRule="exact"/>
        <w:rPr>
          <w:sz w:val="20"/>
          <w:szCs w:val="20"/>
          <w:color w:val="auto"/>
        </w:rPr>
      </w:pPr>
    </w:p>
    <w:p>
      <w:pPr>
        <w:sectPr>
          <w:pgSz w:w="11900" w:h="16838" w:orient="portrait"/>
          <w:cols w:equalWidth="0" w:num="2">
            <w:col w:w="2220" w:space="200"/>
            <w:col w:w="8820"/>
          </w:cols>
          <w:pgMar w:left="320" w:top="1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57785</wp:posOffset>
            </wp:positionV>
            <wp:extent cx="717677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1013460" cy="12160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13460" cy="121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C00000"/>
        </w:rPr>
        <w:t>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93980</wp:posOffset>
            </wp:positionV>
            <wp:extent cx="14693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spacing w:after="0" w:line="141" w:lineRule="exact"/>
        <w:rPr>
          <w:sz w:val="20"/>
          <w:szCs w:val="20"/>
          <w:color w:val="auto"/>
        </w:rPr>
      </w:pPr>
    </w:p>
    <w:p>
      <w:pPr>
        <w:ind w:left="80"/>
        <w:spacing w:after="0"/>
        <w:rPr>
          <w:sz w:val="20"/>
          <w:szCs w:val="20"/>
          <w:color w:val="auto"/>
        </w:rPr>
      </w:pPr>
      <w:r>
        <w:rPr>
          <w:rFonts w:ascii="Arial" w:cs="Arial" w:eastAsia="Arial" w:hAnsi="Arial"/>
          <w:sz w:val="18"/>
          <w:szCs w:val="18"/>
          <w:color w:val="auto"/>
        </w:rPr>
        <w:t>Age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88900</wp:posOffset>
            </wp:positionV>
            <wp:extent cx="14693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spacing w:after="0" w:line="132" w:lineRule="exact"/>
        <w:rPr>
          <w:sz w:val="20"/>
          <w:szCs w:val="20"/>
          <w:color w:val="auto"/>
        </w:rPr>
      </w:pPr>
    </w:p>
    <w:p>
      <w:pPr>
        <w:ind w:left="80"/>
        <w:spacing w:after="0"/>
        <w:rPr>
          <w:sz w:val="20"/>
          <w:szCs w:val="20"/>
          <w:color w:val="auto"/>
        </w:rPr>
      </w:pPr>
      <w:r>
        <w:rPr>
          <w:rFonts w:ascii="Arial" w:cs="Arial" w:eastAsia="Arial" w:hAnsi="Arial"/>
          <w:sz w:val="18"/>
          <w:szCs w:val="18"/>
          <w:color w:val="auto"/>
        </w:rPr>
        <w:t>Director since 2016</w:t>
      </w:r>
    </w:p>
    <w:p>
      <w:pPr>
        <w:spacing w:after="0" w:line="39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-124460</wp:posOffset>
            </wp:positionV>
            <wp:extent cx="14693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958215</wp:posOffset>
            </wp:positionV>
            <wp:extent cx="1004570" cy="12160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04570" cy="121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C00000"/>
        </w:rPr>
        <w:t>James C. O’Rourke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14693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spacing w:after="0" w:line="8" w:lineRule="exact"/>
        <w:rPr>
          <w:sz w:val="20"/>
          <w:szCs w:val="20"/>
          <w:color w:val="auto"/>
        </w:rPr>
      </w:pPr>
    </w:p>
    <w:p>
      <w:pPr>
        <w:ind w:left="80"/>
        <w:spacing w:after="0"/>
        <w:rPr>
          <w:sz w:val="20"/>
          <w:szCs w:val="20"/>
          <w:color w:val="auto"/>
        </w:rPr>
      </w:pPr>
      <w:r>
        <w:rPr>
          <w:rFonts w:ascii="Arial" w:cs="Arial" w:eastAsia="Arial" w:hAnsi="Arial"/>
          <w:sz w:val="18"/>
          <w:szCs w:val="18"/>
          <w:color w:val="auto"/>
        </w:rPr>
        <w:t>Age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14693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color w:val="auto"/>
        </w:rPr>
        <w:t>Director since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14693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color w:val="auto"/>
        </w:rPr>
        <w:t>Independent</w:t>
      </w:r>
    </w:p>
    <w:p>
      <w:pPr>
        <w:spacing w:after="0" w:line="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14693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spacing w:after="0" w:line="13" w:lineRule="exact"/>
        <w:rPr>
          <w:sz w:val="20"/>
          <w:szCs w:val="20"/>
          <w:color w:val="auto"/>
        </w:rPr>
      </w:pPr>
    </w:p>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Compensation &amp;</w:t>
      </w:r>
    </w:p>
    <w:p>
      <w:pPr>
        <w:spacing w:after="0" w:line="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Human Resources (Chair)</w:t>
      </w:r>
    </w:p>
    <w:p>
      <w:pPr>
        <w:spacing w:after="0" w:line="4" w:lineRule="exact"/>
        <w:rPr>
          <w:sz w:val="20"/>
          <w:szCs w:val="20"/>
          <w:color w:val="auto"/>
        </w:rPr>
      </w:pPr>
    </w:p>
    <w:p>
      <w:pPr>
        <w:jc w:val="right"/>
        <w:ind w:right="110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Nominating &amp;</w:t>
      </w:r>
    </w:p>
    <w:p>
      <w:pPr>
        <w:spacing w:after="0" w:line="17" w:lineRule="exact"/>
        <w:rPr>
          <w:sz w:val="20"/>
          <w:szCs w:val="20"/>
          <w:color w:val="auto"/>
        </w:rPr>
      </w:pPr>
    </w:p>
    <w:p>
      <w:pPr>
        <w:jc w:val="right"/>
        <w:ind w:right="1080"/>
        <w:spacing w:after="0"/>
        <w:rPr>
          <w:sz w:val="20"/>
          <w:szCs w:val="20"/>
          <w:color w:val="auto"/>
        </w:rPr>
      </w:pPr>
      <w:r>
        <w:rPr>
          <w:rFonts w:ascii="Arial" w:cs="Arial" w:eastAsia="Arial" w:hAnsi="Arial"/>
          <w:sz w:val="18"/>
          <w:szCs w:val="18"/>
          <w:color w:val="auto"/>
        </w:rPr>
        <w:t>Governance</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55975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597525" cy="8255"/>
                    </a:xfrm>
                    <a:prstGeom prst="rect">
                      <a:avLst/>
                    </a:prstGeom>
                    <a:noFill/>
                  </pic:spPr>
                </pic:pic>
              </a:graphicData>
            </a:graphic>
          </wp:anchor>
        </w:drawing>
      </w:r>
    </w:p>
    <w:p>
      <w:pPr>
        <w:spacing w:after="0" w:line="173" w:lineRule="exact"/>
        <w:rPr>
          <w:sz w:val="20"/>
          <w:szCs w:val="20"/>
          <w:color w:val="auto"/>
        </w:rPr>
      </w:pPr>
    </w:p>
    <w:p>
      <w:pPr>
        <w:ind w:left="80"/>
        <w:spacing w:after="0"/>
        <w:rPr>
          <w:sz w:val="20"/>
          <w:szCs w:val="20"/>
          <w:color w:val="auto"/>
        </w:rPr>
      </w:pPr>
      <w:r>
        <w:rPr>
          <w:rFonts w:ascii="Arial" w:cs="Arial" w:eastAsia="Arial" w:hAnsi="Arial"/>
          <w:sz w:val="18"/>
          <w:szCs w:val="18"/>
          <w:color w:val="auto"/>
        </w:rPr>
        <w:t>Richard M. Olson is our Chairman of the Board, President and Chief Executive Officer. He holds or held the</w:t>
      </w:r>
    </w:p>
    <w:p>
      <w:pPr>
        <w:ind w:left="80"/>
        <w:spacing w:after="0" w:line="231" w:lineRule="auto"/>
        <w:rPr>
          <w:sz w:val="20"/>
          <w:szCs w:val="20"/>
          <w:color w:val="auto"/>
        </w:rPr>
      </w:pPr>
      <w:r>
        <w:rPr>
          <w:rFonts w:ascii="Arial" w:cs="Arial" w:eastAsia="Arial" w:hAnsi="Arial"/>
          <w:sz w:val="18"/>
          <w:szCs w:val="18"/>
          <w:color w:val="auto"/>
        </w:rPr>
        <w:t>following positions, all at The Toro Company:</w:t>
      </w:r>
    </w:p>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Chairman (since November 2017)</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Chief Executive Officer (since November 2016)</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President (since September 2015)</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Chief Operating Officer (September 2015 – October 2016)</w:t>
      </w:r>
    </w:p>
    <w:p>
      <w:pPr>
        <w:spacing w:after="0" w:line="17" w:lineRule="exact"/>
        <w:rPr>
          <w:sz w:val="20"/>
          <w:szCs w:val="20"/>
          <w:color w:val="auto"/>
        </w:rPr>
      </w:pPr>
    </w:p>
    <w:p>
      <w:pPr>
        <w:ind w:left="240" w:right="320" w:hanging="159"/>
        <w:spacing w:after="0" w:line="253" w:lineRule="auto"/>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Group Vice President, International Business, Micro Irrigation Business and Distributor Development (June</w:t>
      </w:r>
      <w:r>
        <w:rPr>
          <w:rFonts w:ascii="Arial" w:cs="Arial" w:eastAsia="Arial" w:hAnsi="Arial"/>
          <w:sz w:val="16"/>
          <w:szCs w:val="16"/>
          <w:color w:val="auto"/>
        </w:rPr>
        <w:t xml:space="preserve"> </w:t>
      </w:r>
      <w:r>
        <w:rPr>
          <w:rFonts w:ascii="Arial" w:cs="Arial" w:eastAsia="Arial" w:hAnsi="Arial"/>
          <w:sz w:val="17"/>
          <w:szCs w:val="17"/>
          <w:color w:val="auto"/>
        </w:rPr>
        <w:t>2014 – September 2015)</w:t>
      </w:r>
    </w:p>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Vice President, International Business (March 2013 – June 2014)</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Vice President, Exmark (March 2012 – March 2013)</w:t>
      </w:r>
    </w:p>
    <w:p>
      <w:pPr>
        <w:spacing w:after="0" w:line="11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55975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597525" cy="8255"/>
                    </a:xfrm>
                    <a:prstGeom prst="rect">
                      <a:avLst/>
                    </a:prstGeom>
                    <a:noFill/>
                  </pic:spPr>
                </pic:pic>
              </a:graphicData>
            </a:graphic>
          </wp:anchor>
        </w:drawing>
      </w:r>
    </w:p>
    <w:p>
      <w:pPr>
        <w:spacing w:after="0" w:line="61" w:lineRule="exact"/>
        <w:rPr>
          <w:sz w:val="20"/>
          <w:szCs w:val="20"/>
          <w:color w:val="auto"/>
        </w:rPr>
      </w:pPr>
    </w:p>
    <w:p>
      <w:pPr>
        <w:ind w:left="80" w:right="20"/>
        <w:spacing w:after="0" w:line="232" w:lineRule="auto"/>
        <w:rPr>
          <w:sz w:val="20"/>
          <w:szCs w:val="20"/>
          <w:color w:val="auto"/>
        </w:rPr>
      </w:pPr>
      <w:r>
        <w:rPr>
          <w:rFonts w:ascii="Arial" w:cs="Arial" w:eastAsia="Arial" w:hAnsi="Arial"/>
          <w:sz w:val="18"/>
          <w:szCs w:val="18"/>
          <w:color w:val="auto"/>
        </w:rPr>
        <w:t>In his more than 35 years with our Company, Mr. Olson has developed and brings to our Board rich knowledge of the Company, including, in particular, our global businesses and operations, manufacturing processes, supply chain, distribution and channel development, and product development strategies. In addition, the broad experience he has gained through his past leadership of our various businesses and manufacturing operations provides him with a unique perspective regarding our growth initiatives and strategic direction. He contributes a deep commitment to quality, technological advancements, innovation, sustainability, diversity, ethical values and business conduct, and focus on customer service. As a result of his dual role as Chairman and CEO, Mr. Olson provides unique insight into our Company’s future strategies, opportunities and challenges and serves as a unifying element between our Board and Management.</w:t>
      </w:r>
    </w:p>
    <w:p>
      <w:pPr>
        <w:spacing w:after="0" w:line="2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C00000"/>
        </w:rPr>
        <w:t>Other Public Company Boards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60" w:type="dxa"/>
            <w:vAlign w:val="bottom"/>
            <w:tcBorders>
              <w:top w:val="single" w:sz="8" w:color="C00000"/>
            </w:tcBorders>
          </w:tcPr>
          <w:p>
            <w:pPr>
              <w:jc w:val="center"/>
              <w:ind w:right="131"/>
              <w:spacing w:after="0" w:line="205" w:lineRule="exact"/>
              <w:rPr>
                <w:sz w:val="20"/>
                <w:szCs w:val="20"/>
                <w:color w:val="auto"/>
              </w:rPr>
            </w:pPr>
            <w:r>
              <w:rPr>
                <w:rFonts w:ascii="Arial" w:cs="Arial" w:eastAsia="Arial" w:hAnsi="Arial"/>
                <w:sz w:val="18"/>
                <w:szCs w:val="18"/>
                <w:b w:val="1"/>
                <w:bCs w:val="1"/>
                <w:color w:val="auto"/>
                <w:w w:val="98"/>
              </w:rPr>
              <w:t>Current</w:t>
            </w:r>
          </w:p>
        </w:tc>
        <w:tc>
          <w:tcPr>
            <w:tcW w:w="4160" w:type="dxa"/>
            <w:vAlign w:val="bottom"/>
            <w:tcBorders>
              <w:top w:val="single" w:sz="8" w:color="C00000"/>
            </w:tcBorders>
          </w:tcPr>
          <w:p>
            <w:pPr>
              <w:jc w:val="center"/>
              <w:ind w:right="151"/>
              <w:spacing w:after="0" w:line="205" w:lineRule="exact"/>
              <w:rPr>
                <w:sz w:val="20"/>
                <w:szCs w:val="20"/>
                <w:color w:val="auto"/>
              </w:rPr>
            </w:pPr>
            <w:r>
              <w:rPr>
                <w:rFonts w:ascii="Arial" w:cs="Arial" w:eastAsia="Arial" w:hAnsi="Arial"/>
                <w:sz w:val="18"/>
                <w:szCs w:val="18"/>
                <w:b w:val="1"/>
                <w:bCs w:val="1"/>
                <w:color w:val="auto"/>
                <w:w w:val="97"/>
              </w:rPr>
              <w:t>Past 5 Years</w:t>
            </w:r>
          </w:p>
        </w:tc>
      </w:tr>
      <w:tr>
        <w:trPr>
          <w:trHeight w:val="212"/>
        </w:trPr>
        <w:tc>
          <w:tcPr>
            <w:tcW w:w="4660" w:type="dxa"/>
            <w:vAlign w:val="bottom"/>
          </w:tcPr>
          <w:p>
            <w:pPr>
              <w:jc w:val="center"/>
              <w:ind w:right="151"/>
              <w:spacing w:after="0"/>
              <w:rPr>
                <w:sz w:val="20"/>
                <w:szCs w:val="20"/>
                <w:color w:val="auto"/>
              </w:rPr>
            </w:pPr>
            <w:r>
              <w:rPr>
                <w:rFonts w:ascii="Arial" w:cs="Arial" w:eastAsia="Arial" w:hAnsi="Arial"/>
                <w:sz w:val="18"/>
                <w:szCs w:val="18"/>
                <w:color w:val="auto"/>
                <w:w w:val="97"/>
              </w:rPr>
              <w:t>Donaldson Company, Inc.</w:t>
            </w:r>
          </w:p>
        </w:tc>
        <w:tc>
          <w:tcPr>
            <w:tcW w:w="4160" w:type="dxa"/>
            <w:vAlign w:val="bottom"/>
          </w:tcPr>
          <w:p>
            <w:pPr>
              <w:jc w:val="center"/>
              <w:ind w:right="151"/>
              <w:spacing w:after="0"/>
              <w:rPr>
                <w:sz w:val="20"/>
                <w:szCs w:val="20"/>
                <w:color w:val="auto"/>
              </w:rPr>
            </w:pPr>
            <w:r>
              <w:rPr>
                <w:rFonts w:ascii="Arial" w:cs="Arial" w:eastAsia="Arial" w:hAnsi="Arial"/>
                <w:sz w:val="18"/>
                <w:szCs w:val="18"/>
                <w:color w:val="auto"/>
              </w:rPr>
              <w:t>None</w:t>
            </w:r>
          </w:p>
        </w:tc>
      </w:tr>
    </w:tbl>
    <w:p>
      <w:pPr>
        <w:spacing w:after="0" w:line="200" w:lineRule="exact"/>
        <w:rPr>
          <w:sz w:val="20"/>
          <w:szCs w:val="20"/>
          <w:color w:val="auto"/>
        </w:rPr>
      </w:pPr>
    </w:p>
    <w:p>
      <w:pPr>
        <w:spacing w:after="0" w:line="21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55975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597525" cy="8255"/>
                    </a:xfrm>
                    <a:prstGeom prst="rect">
                      <a:avLst/>
                    </a:prstGeom>
                    <a:noFill/>
                  </pic:spPr>
                </pic:pic>
              </a:graphicData>
            </a:graphic>
          </wp:anchor>
        </w:drawing>
      </w:r>
    </w:p>
    <w:p>
      <w:pPr>
        <w:spacing w:after="0" w:line="61" w:lineRule="exact"/>
        <w:rPr>
          <w:sz w:val="20"/>
          <w:szCs w:val="20"/>
          <w:color w:val="auto"/>
        </w:rPr>
      </w:pPr>
    </w:p>
    <w:p>
      <w:pPr>
        <w:ind w:left="80" w:right="300"/>
        <w:spacing w:after="0" w:line="235" w:lineRule="auto"/>
        <w:rPr>
          <w:sz w:val="20"/>
          <w:szCs w:val="20"/>
          <w:color w:val="auto"/>
        </w:rPr>
      </w:pPr>
      <w:r>
        <w:rPr>
          <w:rFonts w:ascii="Arial" w:cs="Arial" w:eastAsia="Arial" w:hAnsi="Arial"/>
          <w:sz w:val="18"/>
          <w:szCs w:val="18"/>
          <w:color w:val="auto"/>
        </w:rPr>
        <w:t xml:space="preserve">James C. O’Rourke is the President and Chief Executive Officer of The Mosaic Company, Tampa, Florida (a global producer and marketer of combined concentrated phosphate and potash crop nutrients for the global agriculture industry). He holds or held the following positions, all at The Mosaic Company: </w:t>
      </w:r>
      <w:r>
        <w:rPr>
          <w:rFonts w:ascii="Arial" w:cs="Arial" w:eastAsia="Arial" w:hAnsi="Arial"/>
          <w:sz w:val="15"/>
          <w:szCs w:val="15"/>
          <w:color w:val="auto"/>
        </w:rPr>
        <w:t>•</w:t>
      </w:r>
      <w:r>
        <w:rPr>
          <w:rFonts w:ascii="Arial" w:cs="Arial" w:eastAsia="Arial" w:hAnsi="Arial"/>
          <w:sz w:val="17"/>
          <w:szCs w:val="17"/>
          <w:color w:val="auto"/>
        </w:rPr>
        <w:t>President and Chief Executive Officer (since August 2015)</w:t>
      </w:r>
    </w:p>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Executive Vice President—Operations and Chief Operating Officer (August 2012 – August 2015)</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Executive Vice President—Operations (January 2009 – August 2012)</w:t>
      </w:r>
    </w:p>
    <w:p>
      <w:pPr>
        <w:spacing w:after="0" w:line="4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55975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597525" cy="8255"/>
                    </a:xfrm>
                    <a:prstGeom prst="rect">
                      <a:avLst/>
                    </a:prstGeom>
                    <a:noFill/>
                  </pic:spPr>
                </pic:pic>
              </a:graphicData>
            </a:graphic>
          </wp:anchor>
        </w:drawing>
      </w:r>
    </w:p>
    <w:p>
      <w:pPr>
        <w:spacing w:after="0" w:line="207" w:lineRule="exact"/>
        <w:rPr>
          <w:sz w:val="20"/>
          <w:szCs w:val="20"/>
          <w:color w:val="auto"/>
        </w:rPr>
      </w:pPr>
    </w:p>
    <w:p>
      <w:pPr>
        <w:ind w:left="80" w:right="220"/>
        <w:spacing w:after="0" w:line="234" w:lineRule="auto"/>
        <w:rPr>
          <w:sz w:val="20"/>
          <w:szCs w:val="20"/>
          <w:color w:val="auto"/>
        </w:rPr>
      </w:pPr>
      <w:r>
        <w:rPr>
          <w:rFonts w:ascii="Arial" w:cs="Arial" w:eastAsia="Arial" w:hAnsi="Arial"/>
          <w:sz w:val="18"/>
          <w:szCs w:val="18"/>
          <w:color w:val="auto"/>
        </w:rPr>
        <w:t>Mr. O’Rourke brings to our Board significant leadership skills, strategic and innovative thinking and strong international business expertise. He also contributes substantial knowledge of worldwide manufacturing, distribution and supply chain strategies and environmental, health and safety matters. In addition, as a public company director and executive, Mr. O’Rourke contributes a solid understanding of executive compensation and corporate governance matters.</w:t>
      </w:r>
    </w:p>
    <w:p>
      <w:pPr>
        <w:spacing w:after="0" w:line="17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C00000"/>
        </w:rPr>
        <w:t>Other Public Company Boards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120" w:type="dxa"/>
            <w:vAlign w:val="bottom"/>
            <w:tcBorders>
              <w:top w:val="single" w:sz="8" w:color="C00000"/>
            </w:tcBorders>
          </w:tcPr>
          <w:p>
            <w:pPr>
              <w:ind w:left="1940"/>
              <w:spacing w:after="0"/>
              <w:rPr>
                <w:sz w:val="20"/>
                <w:szCs w:val="20"/>
                <w:color w:val="auto"/>
              </w:rPr>
            </w:pPr>
            <w:r>
              <w:rPr>
                <w:rFonts w:ascii="Arial" w:cs="Arial" w:eastAsia="Arial" w:hAnsi="Arial"/>
                <w:sz w:val="18"/>
                <w:szCs w:val="18"/>
                <w:b w:val="1"/>
                <w:bCs w:val="1"/>
                <w:color w:val="auto"/>
              </w:rPr>
              <w:t>Current</w:t>
            </w:r>
          </w:p>
        </w:tc>
        <w:tc>
          <w:tcPr>
            <w:tcW w:w="5700" w:type="dxa"/>
            <w:vAlign w:val="bottom"/>
            <w:tcBorders>
              <w:top w:val="single" w:sz="8" w:color="C00000"/>
            </w:tcBorders>
          </w:tcPr>
          <w:p>
            <w:pPr>
              <w:jc w:val="right"/>
              <w:ind w:right="1551"/>
              <w:spacing w:after="0"/>
              <w:rPr>
                <w:sz w:val="20"/>
                <w:szCs w:val="20"/>
                <w:color w:val="auto"/>
              </w:rPr>
            </w:pPr>
            <w:r>
              <w:rPr>
                <w:rFonts w:ascii="Arial" w:cs="Arial" w:eastAsia="Arial" w:hAnsi="Arial"/>
                <w:sz w:val="18"/>
                <w:szCs w:val="18"/>
                <w:b w:val="1"/>
                <w:bCs w:val="1"/>
                <w:color w:val="auto"/>
              </w:rPr>
              <w:t>Past 5 Years</w:t>
            </w:r>
          </w:p>
        </w:tc>
      </w:tr>
      <w:tr>
        <w:trPr>
          <w:trHeight w:val="212"/>
        </w:trPr>
        <w:tc>
          <w:tcPr>
            <w:tcW w:w="3120" w:type="dxa"/>
            <w:vAlign w:val="bottom"/>
          </w:tcPr>
          <w:p>
            <w:pPr>
              <w:ind w:left="1360"/>
              <w:spacing w:after="0"/>
              <w:rPr>
                <w:sz w:val="20"/>
                <w:szCs w:val="20"/>
                <w:color w:val="auto"/>
              </w:rPr>
            </w:pPr>
            <w:r>
              <w:rPr>
                <w:rFonts w:ascii="Arial" w:cs="Arial" w:eastAsia="Arial" w:hAnsi="Arial"/>
                <w:sz w:val="18"/>
                <w:szCs w:val="18"/>
                <w:color w:val="auto"/>
                <w:w w:val="99"/>
              </w:rPr>
              <w:t>The Mosaic Company</w:t>
            </w:r>
          </w:p>
        </w:tc>
        <w:tc>
          <w:tcPr>
            <w:tcW w:w="5700" w:type="dxa"/>
            <w:vAlign w:val="bottom"/>
          </w:tcPr>
          <w:p>
            <w:pPr>
              <w:jc w:val="right"/>
              <w:ind w:right="1891"/>
              <w:spacing w:after="0"/>
              <w:rPr>
                <w:sz w:val="20"/>
                <w:szCs w:val="20"/>
                <w:color w:val="auto"/>
              </w:rPr>
            </w:pPr>
            <w:r>
              <w:rPr>
                <w:rFonts w:ascii="Arial" w:cs="Arial" w:eastAsia="Arial" w:hAnsi="Arial"/>
                <w:sz w:val="18"/>
                <w:szCs w:val="18"/>
                <w:color w:val="auto"/>
              </w:rPr>
              <w:t>None</w:t>
            </w:r>
          </w:p>
        </w:tc>
      </w:tr>
      <w:tr>
        <w:trPr>
          <w:trHeight w:val="638"/>
        </w:trPr>
        <w:tc>
          <w:tcPr>
            <w:tcW w:w="3120" w:type="dxa"/>
            <w:vAlign w:val="bottom"/>
          </w:tcPr>
          <w:p>
            <w:pPr>
              <w:spacing w:after="0"/>
              <w:rPr>
                <w:sz w:val="24"/>
                <w:szCs w:val="24"/>
                <w:color w:val="auto"/>
              </w:rPr>
            </w:pPr>
          </w:p>
        </w:tc>
        <w:tc>
          <w:tcPr>
            <w:tcW w:w="5700" w:type="dxa"/>
            <w:vAlign w:val="bottom"/>
          </w:tcPr>
          <w:p>
            <w:pPr>
              <w:jc w:val="right"/>
              <w:ind w:right="5471"/>
              <w:spacing w:after="0"/>
              <w:rPr>
                <w:sz w:val="20"/>
                <w:szCs w:val="20"/>
                <w:color w:val="auto"/>
              </w:rPr>
            </w:pPr>
            <w:r>
              <w:rPr>
                <w:rFonts w:ascii="Arial" w:cs="Arial" w:eastAsia="Arial" w:hAnsi="Arial"/>
                <w:sz w:val="18"/>
                <w:szCs w:val="18"/>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-1544955</wp:posOffset>
            </wp:positionH>
            <wp:positionV relativeFrom="paragraph">
              <wp:posOffset>46990</wp:posOffset>
            </wp:positionV>
            <wp:extent cx="717677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2">
            <w:col w:w="2300" w:space="120"/>
            <w:col w:w="8820"/>
          </w:cols>
          <w:pgMar w:left="320" w:top="140"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C00000"/>
        </w:rPr>
        <w:t>Continuing Members of the Board – Current Term Ending at the 2023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152400</wp:posOffset>
            </wp:positionV>
            <wp:extent cx="1013460" cy="12160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13460" cy="121602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C00000"/>
        </w:rPr>
        <w:t>Jeffrey M. Ettinger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14693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spacing w:after="0" w:line="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Age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14693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color w:val="auto"/>
        </w:rPr>
        <w:t>Director since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14693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color w:val="auto"/>
        </w:rPr>
        <w:t>Independent</w:t>
      </w:r>
    </w:p>
    <w:p>
      <w:pPr>
        <w:spacing w:after="0" w:line="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14693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ind w:left="240" w:hanging="159"/>
        <w:spacing w:after="0" w:line="253" w:lineRule="auto"/>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Nominating &amp; Governance</w:t>
      </w:r>
      <w:r>
        <w:rPr>
          <w:rFonts w:ascii="Arial" w:cs="Arial" w:eastAsia="Arial" w:hAnsi="Arial"/>
          <w:sz w:val="16"/>
          <w:szCs w:val="16"/>
          <w:color w:val="auto"/>
        </w:rPr>
        <w:t xml:space="preserve"> </w:t>
      </w:r>
      <w:r>
        <w:rPr>
          <w:rFonts w:ascii="Arial" w:cs="Arial" w:eastAsia="Arial" w:hAnsi="Arial"/>
          <w:sz w:val="17"/>
          <w:szCs w:val="17"/>
          <w:color w:val="auto"/>
        </w:rPr>
        <w:t>(Chair)</w:t>
      </w:r>
    </w:p>
    <w:p>
      <w:pPr>
        <w:ind w:left="240" w:right="500" w:hanging="159"/>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Compensation &amp;</w:t>
      </w:r>
      <w:r>
        <w:rPr>
          <w:rFonts w:ascii="Arial" w:cs="Arial" w:eastAsia="Arial" w:hAnsi="Arial"/>
          <w:sz w:val="16"/>
          <w:szCs w:val="16"/>
          <w:color w:val="auto"/>
        </w:rPr>
        <w:t xml:space="preserve"> </w:t>
      </w:r>
      <w:r>
        <w:rPr>
          <w:rFonts w:ascii="Arial" w:cs="Arial" w:eastAsia="Arial" w:hAnsi="Arial"/>
          <w:sz w:val="17"/>
          <w:szCs w:val="17"/>
          <w:color w:val="auto"/>
        </w:rPr>
        <w:t>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723265</wp:posOffset>
            </wp:positionV>
            <wp:extent cx="1004570" cy="12160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004570" cy="121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C00000"/>
        </w:rPr>
        <w:t>Katherine J. Harless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14693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spacing w:after="0" w:line="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Age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14693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color w:val="auto"/>
        </w:rPr>
        <w:t>Director since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14693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color w:val="auto"/>
        </w:rPr>
        <w:t>Independent</w:t>
      </w:r>
    </w:p>
    <w:p>
      <w:pPr>
        <w:spacing w:after="0" w:line="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14693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Audit</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Finance</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9525</wp:posOffset>
            </wp:positionV>
            <wp:extent cx="55975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597525" cy="8255"/>
                    </a:xfrm>
                    <a:prstGeom prst="rect">
                      <a:avLst/>
                    </a:prstGeom>
                    <a:noFill/>
                  </pic:spPr>
                </pic:pic>
              </a:graphicData>
            </a:graphic>
          </wp:anchor>
        </w:drawing>
      </w:r>
    </w:p>
    <w:p>
      <w:pPr>
        <w:spacing w:after="0" w:line="6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Jeffrey M. Ettinger retired from Hormel Foods Corporation, Austin, Minnesota (a multinational manufacturer and marketer of consumer-branded food and meat products). He held the following positions, all at Hormel Foods: </w:t>
      </w:r>
      <w:r>
        <w:rPr>
          <w:rFonts w:ascii="Arial" w:cs="Arial" w:eastAsia="Arial" w:hAnsi="Arial"/>
          <w:sz w:val="15"/>
          <w:szCs w:val="15"/>
          <w:color w:val="auto"/>
        </w:rPr>
        <w:t>•</w:t>
      </w:r>
      <w:r>
        <w:rPr>
          <w:rFonts w:ascii="Arial" w:cs="Arial" w:eastAsia="Arial" w:hAnsi="Arial"/>
          <w:sz w:val="17"/>
          <w:szCs w:val="17"/>
          <w:color w:val="auto"/>
        </w:rPr>
        <w:t>Chairman of the Board (October 2016 – November 2017)</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Chairman of the Board and Chief Executive Officer (November 2006 – October 2016)</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President (July 2004 – October 2015)</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127635</wp:posOffset>
            </wp:positionV>
            <wp:extent cx="55975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597525" cy="8255"/>
                    </a:xfrm>
                    <a:prstGeom prst="rect">
                      <a:avLst/>
                    </a:prstGeom>
                    <a:noFill/>
                  </pic:spPr>
                </pic:pic>
              </a:graphicData>
            </a:graphic>
          </wp:anchor>
        </w:drawing>
      </w:r>
    </w:p>
    <w:p>
      <w:pPr>
        <w:spacing w:after="0" w:line="247" w:lineRule="exact"/>
        <w:rPr>
          <w:sz w:val="20"/>
          <w:szCs w:val="20"/>
          <w:color w:val="auto"/>
        </w:rPr>
      </w:pPr>
    </w:p>
    <w:p>
      <w:pPr>
        <w:ind w:left="40" w:right="300"/>
        <w:spacing w:after="0" w:line="233" w:lineRule="auto"/>
        <w:rPr>
          <w:sz w:val="20"/>
          <w:szCs w:val="20"/>
          <w:color w:val="auto"/>
        </w:rPr>
      </w:pPr>
      <w:r>
        <w:rPr>
          <w:rFonts w:ascii="Arial" w:cs="Arial" w:eastAsia="Arial" w:hAnsi="Arial"/>
          <w:sz w:val="18"/>
          <w:szCs w:val="18"/>
          <w:color w:val="auto"/>
        </w:rPr>
        <w:t>Mr. Ettinger brings to our Board strong business acumen, significant executive leadership attributes and relevant experience of driving growth through innovation and strategic acquisitions. Mr. Ettinger provides relevant insight and guidance with respect to numerous issues important to our Company, including, in particular, our strategy of driving growth in our business through the development of innovative, customer-valued products and expansion of our global presence through targeted acquisitions, and sustainability. Additionally, as an experienced public company director and former executive, he contributes knowledge of public company requirements and issues, including those related to corporate governance and executive compensation matters.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18415</wp:posOffset>
            </wp:positionV>
            <wp:extent cx="55975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597525" cy="8255"/>
                    </a:xfrm>
                    <a:prstGeom prst="rect">
                      <a:avLst/>
                    </a:prstGeom>
                    <a:noFill/>
                  </pic:spPr>
                </pic:pic>
              </a:graphicData>
            </a:graphic>
          </wp:anchor>
        </w:drawing>
      </w:r>
    </w:p>
    <w:p>
      <w:pPr>
        <w:spacing w:after="0" w:line="52" w:lineRule="exact"/>
        <w:rPr>
          <w:sz w:val="20"/>
          <w:szCs w:val="20"/>
          <w:color w:val="auto"/>
        </w:rPr>
      </w:pPr>
    </w:p>
    <w:p>
      <w:pPr>
        <w:ind w:left="1820"/>
        <w:spacing w:after="0"/>
        <w:tabs>
          <w:tab w:leader="none" w:pos="6000" w:val="left"/>
        </w:tabs>
        <w:rPr>
          <w:sz w:val="20"/>
          <w:szCs w:val="20"/>
          <w:color w:val="auto"/>
        </w:rPr>
      </w:pPr>
      <w:r>
        <w:rPr>
          <w:rFonts w:ascii="Arial" w:cs="Arial" w:eastAsia="Arial" w:hAnsi="Arial"/>
          <w:sz w:val="18"/>
          <w:szCs w:val="18"/>
          <w:b w:val="1"/>
          <w:bCs w:val="1"/>
          <w:color w:val="auto"/>
        </w:rPr>
        <w:t>Current</w:t>
      </w:r>
      <w:r>
        <w:rPr>
          <w:sz w:val="20"/>
          <w:szCs w:val="20"/>
          <w:color w:val="auto"/>
        </w:rPr>
        <w:tab/>
      </w:r>
      <w:r>
        <w:rPr>
          <w:rFonts w:ascii="Arial" w:cs="Arial" w:eastAsia="Arial" w:hAnsi="Arial"/>
          <w:sz w:val="18"/>
          <w:szCs w:val="18"/>
          <w:b w:val="1"/>
          <w:bCs w:val="1"/>
          <w:color w:val="auto"/>
        </w:rPr>
        <w:t>Past 5 Years</w:t>
      </w:r>
    </w:p>
    <w:p>
      <w:pPr>
        <w:spacing w:after="0" w:line="14" w:lineRule="exact"/>
        <w:rPr>
          <w:sz w:val="20"/>
          <w:szCs w:val="20"/>
          <w:color w:val="auto"/>
        </w:rPr>
      </w:pPr>
    </w:p>
    <w:p>
      <w:pPr>
        <w:ind w:left="1080"/>
        <w:spacing w:after="0"/>
        <w:tabs>
          <w:tab w:leader="none" w:pos="5480" w:val="left"/>
        </w:tabs>
        <w:rPr>
          <w:sz w:val="20"/>
          <w:szCs w:val="20"/>
          <w:color w:val="auto"/>
        </w:rPr>
      </w:pPr>
      <w:r>
        <w:rPr>
          <w:rFonts w:ascii="Arial" w:cs="Arial" w:eastAsia="Arial" w:hAnsi="Arial"/>
          <w:sz w:val="18"/>
          <w:szCs w:val="18"/>
          <w:color w:val="auto"/>
        </w:rPr>
        <w:t>Ecolab Inc. (Lead Director)</w:t>
      </w:r>
      <w:r>
        <w:rPr>
          <w:sz w:val="20"/>
          <w:szCs w:val="20"/>
          <w:color w:val="auto"/>
        </w:rPr>
        <w:tab/>
      </w:r>
      <w:r>
        <w:rPr>
          <w:rFonts w:ascii="Arial" w:cs="Arial" w:eastAsia="Arial" w:hAnsi="Arial"/>
          <w:sz w:val="17"/>
          <w:szCs w:val="17"/>
          <w:color w:val="auto"/>
        </w:rPr>
        <w:t>Hormel Foods Corporation</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9525</wp:posOffset>
            </wp:positionV>
            <wp:extent cx="55975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597525" cy="8255"/>
                    </a:xfrm>
                    <a:prstGeom prst="rect">
                      <a:avLst/>
                    </a:prstGeom>
                    <a:noFill/>
                  </pic:spPr>
                </pic:pic>
              </a:graphicData>
            </a:graphic>
          </wp:anchor>
        </w:drawing>
      </w:r>
    </w:p>
    <w:p>
      <w:pPr>
        <w:spacing w:after="0" w:line="61" w:lineRule="exact"/>
        <w:rPr>
          <w:sz w:val="20"/>
          <w:szCs w:val="20"/>
          <w:color w:val="auto"/>
        </w:rPr>
      </w:pPr>
    </w:p>
    <w:p>
      <w:pPr>
        <w:ind w:right="460"/>
        <w:spacing w:after="0" w:line="236" w:lineRule="auto"/>
        <w:rPr>
          <w:sz w:val="20"/>
          <w:szCs w:val="20"/>
          <w:color w:val="auto"/>
        </w:rPr>
      </w:pPr>
      <w:r>
        <w:rPr>
          <w:rFonts w:ascii="Arial" w:cs="Arial" w:eastAsia="Arial" w:hAnsi="Arial"/>
          <w:sz w:val="18"/>
          <w:szCs w:val="18"/>
          <w:color w:val="auto"/>
        </w:rPr>
        <w:t xml:space="preserve">Katherine J. Harless retired from Idearc Inc., Dallas/Fort Worth, Texas (a provider of sales, publishing and related services including Verizon Yellow Pages and SuperPages.com). She held the following positions: </w:t>
      </w:r>
      <w:r>
        <w:rPr>
          <w:rFonts w:ascii="Arial" w:cs="Arial" w:eastAsia="Arial" w:hAnsi="Arial"/>
          <w:sz w:val="15"/>
          <w:szCs w:val="15"/>
          <w:color w:val="auto"/>
        </w:rPr>
        <w:t>•</w:t>
      </w:r>
      <w:r>
        <w:rPr>
          <w:rFonts w:ascii="Arial" w:cs="Arial" w:eastAsia="Arial" w:hAnsi="Arial"/>
          <w:sz w:val="17"/>
          <w:szCs w:val="17"/>
          <w:color w:val="auto"/>
        </w:rPr>
        <w:t>Director, Idearc (November 2006 – May 2008)</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President and Chief Executive Officer, Idearc (November 2006 – February 2008)</w:t>
      </w:r>
    </w:p>
    <w:p>
      <w:pPr>
        <w:spacing w:after="0" w:line="17" w:lineRule="exact"/>
        <w:rPr>
          <w:sz w:val="20"/>
          <w:szCs w:val="20"/>
          <w:color w:val="auto"/>
        </w:rPr>
      </w:pPr>
    </w:p>
    <w:p>
      <w:pPr>
        <w:ind w:left="160" w:right="60" w:hanging="159"/>
        <w:spacing w:after="0" w:line="253" w:lineRule="auto"/>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President, Verizon Information Services Inc. (spun off by Verizon Communications, Inc. to become Idearc Inc.,</w:t>
      </w:r>
      <w:r>
        <w:rPr>
          <w:rFonts w:ascii="Arial" w:cs="Arial" w:eastAsia="Arial" w:hAnsi="Arial"/>
          <w:sz w:val="16"/>
          <w:szCs w:val="16"/>
          <w:color w:val="auto"/>
        </w:rPr>
        <w:t xml:space="preserve"> </w:t>
      </w:r>
      <w:r>
        <w:rPr>
          <w:rFonts w:ascii="Arial" w:cs="Arial" w:eastAsia="Arial" w:hAnsi="Arial"/>
          <w:sz w:val="17"/>
          <w:szCs w:val="17"/>
          <w:color w:val="auto"/>
        </w:rPr>
        <w:t>June 2000 – November 2006)</w:t>
      </w:r>
    </w:p>
    <w:p>
      <w:pPr>
        <w:spacing w:after="0"/>
        <w:rPr>
          <w:sz w:val="20"/>
          <w:szCs w:val="20"/>
          <w:color w:val="auto"/>
        </w:rPr>
      </w:pPr>
      <w:r>
        <w:rPr>
          <w:rFonts w:ascii="Arial" w:cs="Arial" w:eastAsia="Arial" w:hAnsi="Arial"/>
          <w:sz w:val="18"/>
          <w:szCs w:val="18"/>
          <w:color w:val="auto"/>
        </w:rPr>
        <w:t>Ms. Harless is an NACD Board Leadership Fellow.</w:t>
      </w:r>
    </w:p>
    <w:p>
      <w:pPr>
        <w:spacing w:after="0" w:line="2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18415</wp:posOffset>
            </wp:positionV>
            <wp:extent cx="55975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597525" cy="8255"/>
                    </a:xfrm>
                    <a:prstGeom prst="rect">
                      <a:avLst/>
                    </a:prstGeom>
                    <a:noFill/>
                  </pic:spPr>
                </pic:pic>
              </a:graphicData>
            </a:graphic>
          </wp:anchor>
        </w:drawing>
      </w:r>
    </w:p>
    <w:p>
      <w:pPr>
        <w:spacing w:after="0" w:line="7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Ms. Harless brings to our Board executive leadership experience, management skills and knowledge of financial, executive compensation, corporate governance and other issues applicable to public companies. She provides a seasoned business perspective and valuable business, leadership and management insights with respect to our strategic direction.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9525</wp:posOffset>
            </wp:positionV>
            <wp:extent cx="55975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597525" cy="8255"/>
                    </a:xfrm>
                    <a:prstGeom prst="rect">
                      <a:avLst/>
                    </a:prstGeom>
                    <a:noFill/>
                  </pic:spPr>
                </pic:pic>
              </a:graphicData>
            </a:graphic>
          </wp:anchor>
        </w:drawing>
      </w:r>
    </w:p>
    <w:p>
      <w:pPr>
        <w:spacing w:after="0" w:line="39" w:lineRule="exact"/>
        <w:rPr>
          <w:sz w:val="20"/>
          <w:szCs w:val="20"/>
          <w:color w:val="auto"/>
        </w:rPr>
      </w:pPr>
    </w:p>
    <w:p>
      <w:pPr>
        <w:ind w:left="1820"/>
        <w:spacing w:after="0"/>
        <w:tabs>
          <w:tab w:leader="none" w:pos="6000" w:val="left"/>
        </w:tabs>
        <w:rPr>
          <w:sz w:val="20"/>
          <w:szCs w:val="20"/>
          <w:color w:val="auto"/>
        </w:rPr>
      </w:pPr>
      <w:r>
        <w:rPr>
          <w:rFonts w:ascii="Arial" w:cs="Arial" w:eastAsia="Arial" w:hAnsi="Arial"/>
          <w:sz w:val="18"/>
          <w:szCs w:val="18"/>
          <w:b w:val="1"/>
          <w:bCs w:val="1"/>
          <w:color w:val="auto"/>
        </w:rPr>
        <w:t>Current</w:t>
      </w:r>
      <w:r>
        <w:rPr>
          <w:sz w:val="20"/>
          <w:szCs w:val="20"/>
          <w:color w:val="auto"/>
        </w:rPr>
        <w:tab/>
      </w:r>
      <w:r>
        <w:rPr>
          <w:rFonts w:ascii="Arial" w:cs="Arial" w:eastAsia="Arial" w:hAnsi="Arial"/>
          <w:sz w:val="18"/>
          <w:szCs w:val="18"/>
          <w:b w:val="1"/>
          <w:bCs w:val="1"/>
          <w:color w:val="auto"/>
        </w:rPr>
        <w:t>Past 5 Years</w:t>
      </w:r>
    </w:p>
    <w:p>
      <w:pPr>
        <w:spacing w:after="0" w:line="14" w:lineRule="exact"/>
        <w:rPr>
          <w:sz w:val="20"/>
          <w:szCs w:val="20"/>
          <w:color w:val="auto"/>
        </w:rPr>
      </w:pPr>
    </w:p>
    <w:p>
      <w:pPr>
        <w:ind w:left="1920"/>
        <w:spacing w:after="0"/>
        <w:tabs>
          <w:tab w:leader="none" w:pos="6300" w:val="left"/>
        </w:tabs>
        <w:rPr>
          <w:sz w:val="20"/>
          <w:szCs w:val="20"/>
          <w:color w:val="auto"/>
        </w:rPr>
      </w:pPr>
      <w:r>
        <w:rPr>
          <w:rFonts w:ascii="Arial" w:cs="Arial" w:eastAsia="Arial" w:hAnsi="Arial"/>
          <w:sz w:val="18"/>
          <w:szCs w:val="18"/>
          <w:color w:val="auto"/>
        </w:rPr>
        <w:t>None</w:t>
      </w:r>
      <w:r>
        <w:rPr>
          <w:sz w:val="20"/>
          <w:szCs w:val="20"/>
          <w:color w:val="auto"/>
        </w:rPr>
        <w:tab/>
      </w:r>
      <w:r>
        <w:rPr>
          <w:rFonts w:ascii="Arial" w:cs="Arial" w:eastAsia="Arial" w:hAnsi="Arial"/>
          <w:sz w:val="18"/>
          <w:szCs w:val="18"/>
          <w:color w:val="auto"/>
        </w:rPr>
        <w:t>None</w:t>
      </w:r>
    </w:p>
    <w:p>
      <w:pPr>
        <w:spacing w:after="0" w:line="200" w:lineRule="exact"/>
        <w:rPr>
          <w:sz w:val="20"/>
          <w:szCs w:val="20"/>
          <w:color w:val="auto"/>
        </w:rPr>
      </w:pPr>
    </w:p>
    <w:p>
      <w:pPr>
        <w:sectPr>
          <w:pgSz w:w="11900" w:h="16838" w:orient="portrait"/>
          <w:cols w:equalWidth="0" w:num="2">
            <w:col w:w="2220" w:space="280"/>
            <w:col w:w="8720"/>
          </w:cols>
          <w:pgMar w:left="320" w:top="1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57785</wp:posOffset>
            </wp:positionV>
            <wp:extent cx="717677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1004570" cy="12071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04570" cy="120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C00000"/>
        </w:rPr>
        <w:t>D. Christian Koch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147764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477645" cy="8255"/>
                    </a:xfrm>
                    <a:prstGeom prst="rect">
                      <a:avLst/>
                    </a:prstGeom>
                    <a:noFill/>
                  </pic:spPr>
                </pic:pic>
              </a:graphicData>
            </a:graphic>
          </wp:anchor>
        </w:drawing>
      </w:r>
    </w:p>
    <w:p>
      <w:pPr>
        <w:spacing w:after="0" w:line="8" w:lineRule="exact"/>
        <w:rPr>
          <w:sz w:val="20"/>
          <w:szCs w:val="20"/>
          <w:color w:val="auto"/>
        </w:rPr>
      </w:pPr>
    </w:p>
    <w:p>
      <w:pPr>
        <w:ind w:left="80"/>
        <w:spacing w:after="0"/>
        <w:rPr>
          <w:sz w:val="20"/>
          <w:szCs w:val="20"/>
          <w:color w:val="auto"/>
        </w:rPr>
      </w:pPr>
      <w:r>
        <w:rPr>
          <w:rFonts w:ascii="Arial" w:cs="Arial" w:eastAsia="Arial" w:hAnsi="Arial"/>
          <w:sz w:val="18"/>
          <w:szCs w:val="18"/>
          <w:color w:val="auto"/>
        </w:rPr>
        <w:t>Age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14776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477645" cy="82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color w:val="auto"/>
        </w:rPr>
        <w:t>Director since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147764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477645" cy="82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color w:val="auto"/>
        </w:rPr>
        <w:t>Independent</w:t>
      </w:r>
    </w:p>
    <w:p>
      <w:pPr>
        <w:spacing w:after="0" w:line="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147764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477645" cy="8255"/>
                    </a:xfrm>
                    <a:prstGeom prst="rect">
                      <a:avLst/>
                    </a:prstGeom>
                    <a:noFill/>
                  </pic:spPr>
                </pic:pic>
              </a:graphicData>
            </a:graphic>
          </wp:anchor>
        </w:drawing>
      </w:r>
    </w:p>
    <w:p>
      <w:pPr>
        <w:ind w:left="240" w:hanging="159"/>
        <w:spacing w:after="0" w:line="253" w:lineRule="auto"/>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Compensation &amp;</w:t>
      </w:r>
      <w:r>
        <w:rPr>
          <w:rFonts w:ascii="Arial" w:cs="Arial" w:eastAsia="Arial" w:hAnsi="Arial"/>
          <w:sz w:val="16"/>
          <w:szCs w:val="16"/>
          <w:color w:val="auto"/>
        </w:rPr>
        <w:t xml:space="preserve"> </w:t>
      </w:r>
      <w:r>
        <w:rPr>
          <w:rFonts w:ascii="Arial" w:cs="Arial" w:eastAsia="Arial" w:hAnsi="Arial"/>
          <w:sz w:val="17"/>
          <w:szCs w:val="17"/>
          <w:color w:val="auto"/>
        </w:rPr>
        <w:t>Human Resources</w:t>
      </w:r>
    </w:p>
    <w:p>
      <w:pPr>
        <w:jc w:val="right"/>
        <w:ind w:right="52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Nominating &amp;</w:t>
      </w:r>
    </w:p>
    <w:p>
      <w:pPr>
        <w:spacing w:after="0" w:line="17" w:lineRule="exact"/>
        <w:rPr>
          <w:sz w:val="20"/>
          <w:szCs w:val="20"/>
          <w:color w:val="auto"/>
        </w:rPr>
      </w:pPr>
    </w:p>
    <w:p>
      <w:pPr>
        <w:jc w:val="right"/>
        <w:ind w:right="500"/>
        <w:spacing w:after="0"/>
        <w:rPr>
          <w:sz w:val="20"/>
          <w:szCs w:val="20"/>
          <w:color w:val="auto"/>
        </w:rPr>
      </w:pPr>
      <w:r>
        <w:rPr>
          <w:rFonts w:ascii="Arial" w:cs="Arial" w:eastAsia="Arial" w:hAnsi="Arial"/>
          <w:sz w:val="18"/>
          <w:szCs w:val="18"/>
          <w:color w:val="auto"/>
        </w:rPr>
        <w:t>Governance</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55975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597525" cy="8255"/>
                    </a:xfrm>
                    <a:prstGeom prst="rect">
                      <a:avLst/>
                    </a:prstGeom>
                    <a:noFill/>
                  </pic:spPr>
                </pic:pic>
              </a:graphicData>
            </a:graphic>
          </wp:anchor>
        </w:drawing>
      </w:r>
    </w:p>
    <w:p>
      <w:pPr>
        <w:spacing w:after="0" w:line="61" w:lineRule="exact"/>
        <w:rPr>
          <w:sz w:val="20"/>
          <w:szCs w:val="20"/>
          <w:color w:val="auto"/>
        </w:rPr>
      </w:pPr>
    </w:p>
    <w:p>
      <w:pPr>
        <w:ind w:left="80" w:right="160"/>
        <w:spacing w:after="0"/>
        <w:rPr>
          <w:sz w:val="20"/>
          <w:szCs w:val="20"/>
          <w:color w:val="auto"/>
        </w:rPr>
      </w:pPr>
      <w:r>
        <w:rPr>
          <w:rFonts w:ascii="Arial" w:cs="Arial" w:eastAsia="Arial" w:hAnsi="Arial"/>
          <w:sz w:val="18"/>
          <w:szCs w:val="18"/>
          <w:color w:val="auto"/>
        </w:rPr>
        <w:t xml:space="preserve">D. Christian Koch is the Chairman, President and Chief Executive Officer of Carlisle Companies Incorporated, Scottsdale, Arizona (a diversified manufacturing company that produces and distributes a broad range of products). He holds or held the following positions, all at Carlisle: </w:t>
      </w:r>
      <w:r>
        <w:rPr>
          <w:rFonts w:ascii="Arial" w:cs="Arial" w:eastAsia="Arial" w:hAnsi="Arial"/>
          <w:sz w:val="15"/>
          <w:szCs w:val="15"/>
          <w:color w:val="auto"/>
        </w:rPr>
        <w:t>•</w:t>
      </w:r>
      <w:r>
        <w:rPr>
          <w:rFonts w:ascii="Arial" w:cs="Arial" w:eastAsia="Arial" w:hAnsi="Arial"/>
          <w:sz w:val="17"/>
          <w:szCs w:val="17"/>
          <w:color w:val="auto"/>
        </w:rPr>
        <w:t>Chairman (since May 2020)</w:t>
      </w:r>
    </w:p>
    <w:p>
      <w:pPr>
        <w:spacing w:after="0" w:line="190" w:lineRule="exact"/>
        <w:rPr>
          <w:sz w:val="20"/>
          <w:szCs w:val="20"/>
          <w:color w:val="auto"/>
        </w:rPr>
      </w:pPr>
    </w:p>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President and Chief Executive Officer (since January 2016)</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President and Chief Operating Officer (May 2014 – January 2016)</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Group President, Carlisle Diversified Products (June 2012 – May 2014)</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President, Carlisle Brake &amp; Friction (January 2009 – June 2012)</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President, Carlisle Asia-Pacific (February 2008 – January 2009)</w:t>
      </w:r>
    </w:p>
    <w:p>
      <w:pPr>
        <w:spacing w:after="0" w:line="4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55975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597525" cy="8255"/>
                    </a:xfrm>
                    <a:prstGeom prst="rect">
                      <a:avLst/>
                    </a:prstGeom>
                    <a:noFill/>
                  </pic:spPr>
                </pic:pic>
              </a:graphicData>
            </a:graphic>
          </wp:anchor>
        </w:drawing>
      </w:r>
    </w:p>
    <w:p>
      <w:pPr>
        <w:spacing w:after="0" w:line="61" w:lineRule="exact"/>
        <w:rPr>
          <w:sz w:val="20"/>
          <w:szCs w:val="20"/>
          <w:color w:val="auto"/>
        </w:rPr>
      </w:pPr>
    </w:p>
    <w:p>
      <w:pPr>
        <w:ind w:left="80" w:right="180"/>
        <w:spacing w:after="0" w:line="234" w:lineRule="auto"/>
        <w:rPr>
          <w:sz w:val="20"/>
          <w:szCs w:val="20"/>
          <w:color w:val="auto"/>
        </w:rPr>
      </w:pPr>
      <w:r>
        <w:rPr>
          <w:rFonts w:ascii="Arial" w:cs="Arial" w:eastAsia="Arial" w:hAnsi="Arial"/>
          <w:sz w:val="18"/>
          <w:szCs w:val="18"/>
          <w:color w:val="auto"/>
        </w:rPr>
        <w:t>Mr. Koch brings to our Board his experience as a seasoned executive with strong business acumen and significant experience managing distribution, supply chain, manufacturing and sales operations around the world as well as with mergers and acquisitions. In addition, as a public company director and executive, Mr. Koch contributes a solid understanding of financial oversight, strategic planning, executive compensation and corporate governance.</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C00000"/>
        </w:rPr>
        <w:t>Other Public Company Boards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20" w:type="dxa"/>
            <w:vAlign w:val="bottom"/>
            <w:tcBorders>
              <w:top w:val="single" w:sz="8" w:color="C00000"/>
            </w:tcBorders>
          </w:tcPr>
          <w:p>
            <w:pPr>
              <w:jc w:val="center"/>
              <w:ind w:right="91"/>
              <w:spacing w:after="0" w:line="205" w:lineRule="exact"/>
              <w:rPr>
                <w:sz w:val="20"/>
                <w:szCs w:val="20"/>
                <w:color w:val="auto"/>
              </w:rPr>
            </w:pPr>
            <w:r>
              <w:rPr>
                <w:rFonts w:ascii="Arial" w:cs="Arial" w:eastAsia="Arial" w:hAnsi="Arial"/>
                <w:sz w:val="18"/>
                <w:szCs w:val="18"/>
                <w:b w:val="1"/>
                <w:bCs w:val="1"/>
                <w:color w:val="auto"/>
                <w:w w:val="98"/>
              </w:rPr>
              <w:t>Current</w:t>
            </w:r>
          </w:p>
        </w:tc>
        <w:tc>
          <w:tcPr>
            <w:tcW w:w="4200" w:type="dxa"/>
            <w:vAlign w:val="bottom"/>
            <w:tcBorders>
              <w:top w:val="single" w:sz="8" w:color="C00000"/>
            </w:tcBorders>
          </w:tcPr>
          <w:p>
            <w:pPr>
              <w:jc w:val="center"/>
              <w:ind w:right="111"/>
              <w:spacing w:after="0" w:line="205" w:lineRule="exact"/>
              <w:rPr>
                <w:sz w:val="20"/>
                <w:szCs w:val="20"/>
                <w:color w:val="auto"/>
              </w:rPr>
            </w:pPr>
            <w:r>
              <w:rPr>
                <w:rFonts w:ascii="Arial" w:cs="Arial" w:eastAsia="Arial" w:hAnsi="Arial"/>
                <w:sz w:val="18"/>
                <w:szCs w:val="18"/>
                <w:b w:val="1"/>
                <w:bCs w:val="1"/>
                <w:color w:val="auto"/>
                <w:w w:val="97"/>
              </w:rPr>
              <w:t>Past 5 Years</w:t>
            </w:r>
          </w:p>
        </w:tc>
      </w:tr>
      <w:tr>
        <w:trPr>
          <w:trHeight w:val="212"/>
        </w:trPr>
        <w:tc>
          <w:tcPr>
            <w:tcW w:w="4620" w:type="dxa"/>
            <w:vAlign w:val="bottom"/>
          </w:tcPr>
          <w:p>
            <w:pPr>
              <w:jc w:val="center"/>
              <w:ind w:right="111"/>
              <w:spacing w:after="0"/>
              <w:rPr>
                <w:sz w:val="20"/>
                <w:szCs w:val="20"/>
                <w:color w:val="auto"/>
              </w:rPr>
            </w:pPr>
            <w:r>
              <w:rPr>
                <w:rFonts w:ascii="Arial" w:cs="Arial" w:eastAsia="Arial" w:hAnsi="Arial"/>
                <w:sz w:val="18"/>
                <w:szCs w:val="18"/>
                <w:color w:val="auto"/>
                <w:w w:val="97"/>
              </w:rPr>
              <w:t>Carlisle Companies Inc.</w:t>
            </w:r>
          </w:p>
        </w:tc>
        <w:tc>
          <w:tcPr>
            <w:tcW w:w="4200" w:type="dxa"/>
            <w:vAlign w:val="bottom"/>
          </w:tcPr>
          <w:p>
            <w:pPr>
              <w:jc w:val="center"/>
              <w:ind w:right="111"/>
              <w:spacing w:after="0"/>
              <w:rPr>
                <w:sz w:val="20"/>
                <w:szCs w:val="20"/>
                <w:color w:val="auto"/>
              </w:rPr>
            </w:pPr>
            <w:r>
              <w:rPr>
                <w:rFonts w:ascii="Arial" w:cs="Arial" w:eastAsia="Arial" w:hAnsi="Arial"/>
                <w:sz w:val="18"/>
                <w:szCs w:val="18"/>
                <w:color w:val="auto"/>
              </w:rPr>
              <w:t>None</w:t>
            </w:r>
          </w:p>
        </w:tc>
      </w:tr>
    </w:tbl>
    <w:p>
      <w:pPr>
        <w:spacing w:after="0" w:line="200" w:lineRule="exact"/>
        <w:rPr>
          <w:sz w:val="20"/>
          <w:szCs w:val="20"/>
          <w:color w:val="auto"/>
        </w:rPr>
      </w:pPr>
    </w:p>
    <w:p>
      <w:pPr>
        <w:sectPr>
          <w:pgSz w:w="11900" w:h="16838" w:orient="portrait"/>
          <w:cols w:equalWidth="0" w:num="2">
            <w:col w:w="1720" w:space="700"/>
            <w:col w:w="8820"/>
          </w:cols>
          <w:pgMar w:left="320" w:top="140" w:right="339" w:bottom="1440" w:gutter="0" w:footer="0" w:header="0"/>
        </w:sect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C00000"/>
        </w:rPr>
        <w:t>Continuing Members of the Board – Current Term Ending at the 2024 Annual Meeting</w:t>
      </w:r>
    </w:p>
    <w:p>
      <w:pPr>
        <w:sectPr>
          <w:pgSz w:w="11900" w:h="16838" w:orient="portrait"/>
          <w:cols w:equalWidth="0" w:num="1">
            <w:col w:w="11240"/>
          </w:cols>
          <w:pgMar w:left="320" w:top="1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C00000"/>
        </w:rPr>
        <w:t>Janet K.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14693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46939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-1399540</wp:posOffset>
            </wp:positionV>
            <wp:extent cx="1013460" cy="12160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013460" cy="1216025"/>
                    </a:xfrm>
                    <a:prstGeom prst="rect">
                      <a:avLst/>
                    </a:prstGeom>
                    <a:noFill/>
                  </pic:spPr>
                </pic:pic>
              </a:graphicData>
            </a:graphic>
          </wp:anchor>
        </w:drawing>
      </w:r>
    </w:p>
    <w:p>
      <w:pPr>
        <w:spacing w:after="0" w:line="114" w:lineRule="exact"/>
        <w:rPr>
          <w:sz w:val="20"/>
          <w:szCs w:val="20"/>
          <w:color w:val="auto"/>
        </w:rPr>
      </w:pPr>
    </w:p>
    <w:p>
      <w:pPr>
        <w:ind w:left="80"/>
        <w:spacing w:after="0"/>
        <w:rPr>
          <w:sz w:val="20"/>
          <w:szCs w:val="20"/>
          <w:color w:val="auto"/>
        </w:rPr>
      </w:pPr>
      <w:r>
        <w:rPr>
          <w:rFonts w:ascii="Arial" w:cs="Arial" w:eastAsia="Arial" w:hAnsi="Arial"/>
          <w:sz w:val="18"/>
          <w:szCs w:val="18"/>
          <w:color w:val="auto"/>
        </w:rPr>
        <w:t>Age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14693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spacing w:after="0" w:line="12" w:lineRule="exact"/>
        <w:rPr>
          <w:sz w:val="20"/>
          <w:szCs w:val="20"/>
          <w:color w:val="auto"/>
        </w:rPr>
      </w:pPr>
    </w:p>
    <w:p>
      <w:pPr>
        <w:ind w:left="80"/>
        <w:spacing w:after="0"/>
        <w:rPr>
          <w:sz w:val="20"/>
          <w:szCs w:val="20"/>
          <w:color w:val="auto"/>
        </w:rPr>
      </w:pPr>
      <w:r>
        <w:rPr>
          <w:rFonts w:ascii="Arial" w:cs="Arial" w:eastAsia="Arial" w:hAnsi="Arial"/>
          <w:sz w:val="17"/>
          <w:szCs w:val="17"/>
          <w:color w:val="auto"/>
        </w:rPr>
        <w:t>Director since 1994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14693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spacing w:after="0" w:line="24" w:lineRule="exact"/>
        <w:rPr>
          <w:sz w:val="20"/>
          <w:szCs w:val="20"/>
          <w:color w:val="auto"/>
        </w:rPr>
      </w:pPr>
    </w:p>
    <w:p>
      <w:pPr>
        <w:ind w:left="80"/>
        <w:spacing w:after="0"/>
        <w:rPr>
          <w:sz w:val="20"/>
          <w:szCs w:val="20"/>
          <w:color w:val="auto"/>
        </w:rPr>
      </w:pPr>
      <w:r>
        <w:rPr>
          <w:rFonts w:ascii="Arial" w:cs="Arial" w:eastAsia="Arial" w:hAnsi="Arial"/>
          <w:sz w:val="18"/>
          <w:szCs w:val="18"/>
          <w:color w:val="auto"/>
        </w:rPr>
        <w:t>Independent</w:t>
      </w:r>
    </w:p>
    <w:p>
      <w:pPr>
        <w:spacing w:after="0" w:line="1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-124460</wp:posOffset>
            </wp:positionV>
            <wp:extent cx="14693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spacing w:after="0" w:line="21" w:lineRule="exact"/>
        <w:rPr>
          <w:sz w:val="20"/>
          <w:szCs w:val="20"/>
          <w:color w:val="auto"/>
        </w:rPr>
      </w:pPr>
    </w:p>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Audit (Chair)</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Finance</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56064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06415" cy="8255"/>
                    </a:xfrm>
                    <a:prstGeom prst="rect">
                      <a:avLst/>
                    </a:prstGeom>
                    <a:noFill/>
                  </pic:spPr>
                </pic:pic>
              </a:graphicData>
            </a:graphic>
          </wp:anchor>
        </w:drawing>
      </w:r>
    </w:p>
    <w:p>
      <w:pPr>
        <w:spacing w:after="0" w:line="61" w:lineRule="exact"/>
        <w:rPr>
          <w:sz w:val="20"/>
          <w:szCs w:val="20"/>
          <w:color w:val="auto"/>
        </w:rPr>
      </w:pPr>
    </w:p>
    <w:p>
      <w:pPr>
        <w:ind w:left="80"/>
        <w:spacing w:after="0" w:line="231" w:lineRule="auto"/>
        <w:rPr>
          <w:sz w:val="20"/>
          <w:szCs w:val="20"/>
          <w:color w:val="auto"/>
        </w:rPr>
      </w:pPr>
      <w:r>
        <w:rPr>
          <w:rFonts w:ascii="Arial" w:cs="Arial" w:eastAsia="Arial" w:hAnsi="Arial"/>
          <w:sz w:val="18"/>
          <w:szCs w:val="18"/>
          <w:color w:val="auto"/>
        </w:rPr>
        <w:t>Janet K. Cooper retired from Qwest Communications International Inc., Denver, Colorado (a U.S. telecommunications company that merged with and now does business as CenturyLink). She held the following positions:</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Senior Vice President and Treasurer, Qwest (September 2002 – June 2008)</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Chief Financial Officer and Senior Vice President, McDATA Corporation (January 2001 – June 2002)</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Senior Vice President, Finance, Qwest (July 2000 – January 2001)</w:t>
      </w:r>
    </w:p>
    <w:p>
      <w:pPr>
        <w:spacing w:after="0" w:line="17" w:lineRule="exact"/>
        <w:rPr>
          <w:sz w:val="20"/>
          <w:szCs w:val="20"/>
          <w:color w:val="auto"/>
        </w:rPr>
      </w:pPr>
    </w:p>
    <w:p>
      <w:pPr>
        <w:ind w:left="240" w:right="560" w:hanging="158"/>
        <w:spacing w:after="0" w:line="253" w:lineRule="auto"/>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Prior positions at U.S. West Inc. include Vice President, Finance and Controller, and Vice President and</w:t>
      </w:r>
      <w:r>
        <w:rPr>
          <w:rFonts w:ascii="Arial" w:cs="Arial" w:eastAsia="Arial" w:hAnsi="Arial"/>
          <w:sz w:val="16"/>
          <w:szCs w:val="16"/>
          <w:color w:val="auto"/>
        </w:rPr>
        <w:t xml:space="preserve"> </w:t>
      </w:r>
      <w:r>
        <w:rPr>
          <w:rFonts w:ascii="Arial" w:cs="Arial" w:eastAsia="Arial" w:hAnsi="Arial"/>
          <w:sz w:val="17"/>
          <w:szCs w:val="17"/>
          <w:color w:val="auto"/>
        </w:rPr>
        <w:t>Treasurer</w:t>
      </w:r>
    </w:p>
    <w:p>
      <w:pPr>
        <w:ind w:left="80"/>
        <w:spacing w:after="0"/>
        <w:rPr>
          <w:sz w:val="20"/>
          <w:szCs w:val="20"/>
          <w:color w:val="auto"/>
        </w:rPr>
      </w:pPr>
      <w:r>
        <w:rPr>
          <w:rFonts w:ascii="Arial" w:cs="Arial" w:eastAsia="Arial" w:hAnsi="Arial"/>
          <w:sz w:val="18"/>
          <w:szCs w:val="18"/>
          <w:color w:val="auto"/>
        </w:rPr>
        <w:t>Ms. Cooper is an NACD Board Leadership Fellow.</w:t>
      </w:r>
    </w:p>
    <w:p>
      <w:pPr>
        <w:spacing w:after="0" w:line="3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56064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06415" cy="8255"/>
                    </a:xfrm>
                    <a:prstGeom prst="rect">
                      <a:avLst/>
                    </a:prstGeom>
                    <a:noFill/>
                  </pic:spPr>
                </pic:pic>
              </a:graphicData>
            </a:graphic>
          </wp:anchor>
        </w:drawing>
      </w:r>
    </w:p>
    <w:p>
      <w:pPr>
        <w:spacing w:after="0" w:line="247" w:lineRule="exact"/>
        <w:rPr>
          <w:sz w:val="20"/>
          <w:szCs w:val="20"/>
          <w:color w:val="auto"/>
        </w:rPr>
      </w:pPr>
    </w:p>
    <w:p>
      <w:pPr>
        <w:ind w:left="80" w:right="40"/>
        <w:spacing w:after="0" w:line="249" w:lineRule="auto"/>
        <w:rPr>
          <w:sz w:val="20"/>
          <w:szCs w:val="20"/>
          <w:color w:val="auto"/>
        </w:rPr>
      </w:pPr>
      <w:r>
        <w:rPr>
          <w:rFonts w:ascii="Arial" w:cs="Arial" w:eastAsia="Arial" w:hAnsi="Arial"/>
          <w:sz w:val="17"/>
          <w:szCs w:val="17"/>
          <w:color w:val="auto"/>
        </w:rPr>
        <w:t>Ms. Cooper brings to our Board substantial financial and accounting knowledge and expertise. Ms. Cooper’s experience as a public company director and audit committee member, financial expertise and acumen in capital markets, audit, tax, accounting, treasury and risk-management, including related to information systems and cybersecurity, and her commitment to diversity, equity and inclusion assists our Board in providing oversight to Management on these matters. Ms. Cooper’s senior leadership experience also enables her to provide strategic input to our Board, in addition to her financial expertise, discipline and oversight.</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56064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06415" cy="8255"/>
                    </a:xfrm>
                    <a:prstGeom prst="rect">
                      <a:avLst/>
                    </a:prstGeom>
                    <a:noFill/>
                  </pic:spPr>
                </pic:pic>
              </a:graphicData>
            </a:graphic>
          </wp:anchor>
        </w:drawing>
      </w:r>
    </w:p>
    <w:p>
      <w:pPr>
        <w:spacing w:after="0" w:line="52" w:lineRule="exact"/>
        <w:rPr>
          <w:sz w:val="20"/>
          <w:szCs w:val="20"/>
          <w:color w:val="auto"/>
        </w:rPr>
      </w:pPr>
    </w:p>
    <w:p>
      <w:pPr>
        <w:ind w:left="1900"/>
        <w:spacing w:after="0"/>
        <w:tabs>
          <w:tab w:leader="none" w:pos="6080" w:val="left"/>
        </w:tabs>
        <w:rPr>
          <w:sz w:val="20"/>
          <w:szCs w:val="20"/>
          <w:color w:val="auto"/>
        </w:rPr>
      </w:pPr>
      <w:r>
        <w:rPr>
          <w:rFonts w:ascii="Arial" w:cs="Arial" w:eastAsia="Arial" w:hAnsi="Arial"/>
          <w:sz w:val="18"/>
          <w:szCs w:val="18"/>
          <w:b w:val="1"/>
          <w:bCs w:val="1"/>
          <w:color w:val="auto"/>
        </w:rPr>
        <w:t>Current</w:t>
      </w:r>
      <w:r>
        <w:rPr>
          <w:sz w:val="20"/>
          <w:szCs w:val="20"/>
          <w:color w:val="auto"/>
        </w:rPr>
        <w:tab/>
      </w:r>
      <w:r>
        <w:rPr>
          <w:rFonts w:ascii="Arial" w:cs="Arial" w:eastAsia="Arial" w:hAnsi="Arial"/>
          <w:sz w:val="18"/>
          <w:szCs w:val="18"/>
          <w:b w:val="1"/>
          <w:bCs w:val="1"/>
          <w:color w:val="auto"/>
        </w:rPr>
        <w:t>Past 5 Years</w:t>
      </w:r>
    </w:p>
    <w:p>
      <w:pPr>
        <w:spacing w:after="0" w:line="7" w:lineRule="exact"/>
        <w:rPr>
          <w:sz w:val="20"/>
          <w:szCs w:val="20"/>
          <w:color w:val="auto"/>
        </w:rPr>
      </w:pPr>
    </w:p>
    <w:p>
      <w:pPr>
        <w:ind w:left="1240"/>
        <w:spacing w:after="0"/>
        <w:tabs>
          <w:tab w:leader="none" w:pos="6060" w:val="left"/>
        </w:tabs>
        <w:rPr>
          <w:sz w:val="20"/>
          <w:szCs w:val="20"/>
          <w:color w:val="auto"/>
        </w:rPr>
      </w:pPr>
      <w:r>
        <w:rPr>
          <w:rFonts w:ascii="Arial" w:cs="Arial" w:eastAsia="Arial" w:hAnsi="Arial"/>
          <w:sz w:val="18"/>
          <w:szCs w:val="18"/>
          <w:color w:val="auto"/>
        </w:rPr>
        <w:t>Lennox International Inc.</w:t>
      </w:r>
      <w:r>
        <w:rPr>
          <w:sz w:val="20"/>
          <w:szCs w:val="20"/>
          <w:color w:val="auto"/>
        </w:rPr>
        <w:tab/>
      </w:r>
      <w:r>
        <w:rPr>
          <w:rFonts w:ascii="Arial" w:cs="Arial" w:eastAsia="Arial" w:hAnsi="Arial"/>
          <w:sz w:val="17"/>
          <w:szCs w:val="17"/>
          <w:color w:val="auto"/>
        </w:rPr>
        <w:t>Resonant Inc.</w:t>
      </w:r>
    </w:p>
    <w:p>
      <w:pPr>
        <w:ind w:left="5680"/>
        <w:spacing w:after="0"/>
        <w:rPr>
          <w:sz w:val="20"/>
          <w:szCs w:val="20"/>
          <w:color w:val="auto"/>
        </w:rPr>
      </w:pPr>
      <w:r>
        <w:rPr>
          <w:rFonts w:ascii="Arial" w:cs="Arial" w:eastAsia="Arial" w:hAnsi="Arial"/>
          <w:sz w:val="18"/>
          <w:szCs w:val="18"/>
          <w:color w:val="auto"/>
        </w:rPr>
        <w:t>CPI Aerostructures, Inc.</w:t>
      </w:r>
    </w:p>
    <w:p>
      <w:pPr>
        <w:spacing w:after="0" w:line="200" w:lineRule="exact"/>
        <w:rPr>
          <w:sz w:val="20"/>
          <w:szCs w:val="20"/>
          <w:color w:val="auto"/>
        </w:rPr>
      </w:pPr>
    </w:p>
    <w:p>
      <w:pPr>
        <w:sectPr>
          <w:pgSz w:w="11900" w:h="16838" w:orient="portrait"/>
          <w:cols w:equalWidth="0" w:num="2">
            <w:col w:w="1720" w:space="720"/>
            <w:col w:w="8800"/>
          </w:cols>
          <w:pgMar w:left="320" w:top="140" w:right="3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57785</wp:posOffset>
            </wp:positionV>
            <wp:extent cx="717677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1013460" cy="12160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13460" cy="121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Gary L.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43180</wp:posOffset>
            </wp:positionV>
            <wp:extent cx="14693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spacing w:after="0" w:line="61" w:lineRule="exact"/>
        <w:rPr>
          <w:sz w:val="20"/>
          <w:szCs w:val="20"/>
          <w:color w:val="auto"/>
        </w:rPr>
      </w:pPr>
    </w:p>
    <w:p>
      <w:pPr>
        <w:ind w:left="80"/>
        <w:spacing w:after="0"/>
        <w:rPr>
          <w:sz w:val="20"/>
          <w:szCs w:val="20"/>
          <w:color w:val="auto"/>
        </w:rPr>
      </w:pPr>
      <w:r>
        <w:rPr>
          <w:rFonts w:ascii="Arial" w:cs="Arial" w:eastAsia="Arial" w:hAnsi="Arial"/>
          <w:sz w:val="18"/>
          <w:szCs w:val="18"/>
          <w:color w:val="auto"/>
        </w:rPr>
        <w:t>Age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14693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color w:val="auto"/>
        </w:rPr>
        <w:t>Director since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14693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spacing w:after="0" w:line="12" w:lineRule="exact"/>
        <w:rPr>
          <w:sz w:val="20"/>
          <w:szCs w:val="20"/>
          <w:color w:val="auto"/>
        </w:rPr>
      </w:pPr>
    </w:p>
    <w:p>
      <w:pPr>
        <w:ind w:left="80"/>
        <w:spacing w:after="0"/>
        <w:rPr>
          <w:sz w:val="20"/>
          <w:szCs w:val="20"/>
          <w:color w:val="auto"/>
        </w:rPr>
      </w:pPr>
      <w:r>
        <w:rPr>
          <w:rFonts w:ascii="Arial" w:cs="Arial" w:eastAsia="Arial" w:hAnsi="Arial"/>
          <w:sz w:val="17"/>
          <w:szCs w:val="17"/>
          <w:color w:val="auto"/>
        </w:rPr>
        <w:t>Lead Independent Director</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-124460</wp:posOffset>
            </wp:positionV>
            <wp:extent cx="14693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spacing w:after="0" w:line="34" w:lineRule="exact"/>
        <w:rPr>
          <w:sz w:val="20"/>
          <w:szCs w:val="20"/>
          <w:color w:val="auto"/>
        </w:rPr>
      </w:pPr>
    </w:p>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Finance (Chair)</w:t>
      </w:r>
    </w:p>
    <w:p>
      <w:pPr>
        <w:spacing w:after="0" w:line="31" w:lineRule="exact"/>
        <w:rPr>
          <w:sz w:val="20"/>
          <w:szCs w:val="20"/>
          <w:color w:val="auto"/>
        </w:rPr>
      </w:pPr>
    </w:p>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923290</wp:posOffset>
            </wp:positionV>
            <wp:extent cx="1013460" cy="12160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013460" cy="121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C00000"/>
        </w:rPr>
        <w:t>Michael G. Vale,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34925</wp:posOffset>
            </wp:positionV>
            <wp:extent cx="14693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spacing w:after="0" w:line="48" w:lineRule="exact"/>
        <w:rPr>
          <w:sz w:val="20"/>
          <w:szCs w:val="20"/>
          <w:color w:val="auto"/>
        </w:rPr>
      </w:pPr>
    </w:p>
    <w:p>
      <w:pPr>
        <w:ind w:left="80"/>
        <w:spacing w:after="0"/>
        <w:rPr>
          <w:sz w:val="20"/>
          <w:szCs w:val="20"/>
          <w:color w:val="auto"/>
        </w:rPr>
      </w:pPr>
      <w:r>
        <w:rPr>
          <w:rFonts w:ascii="Arial" w:cs="Arial" w:eastAsia="Arial" w:hAnsi="Arial"/>
          <w:sz w:val="18"/>
          <w:szCs w:val="18"/>
          <w:color w:val="auto"/>
        </w:rPr>
        <w:t>Age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14693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spacing w:after="0" w:line="26" w:lineRule="exact"/>
        <w:rPr>
          <w:sz w:val="20"/>
          <w:szCs w:val="20"/>
          <w:color w:val="auto"/>
        </w:rPr>
      </w:pPr>
    </w:p>
    <w:p>
      <w:pPr>
        <w:ind w:left="80"/>
        <w:spacing w:after="0"/>
        <w:rPr>
          <w:sz w:val="20"/>
          <w:szCs w:val="20"/>
          <w:color w:val="auto"/>
        </w:rPr>
      </w:pPr>
      <w:r>
        <w:rPr>
          <w:rFonts w:ascii="Arial" w:cs="Arial" w:eastAsia="Arial" w:hAnsi="Arial"/>
          <w:sz w:val="18"/>
          <w:szCs w:val="18"/>
          <w:color w:val="auto"/>
        </w:rPr>
        <w:t>Director since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14693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spacing w:after="0" w:line="39" w:lineRule="exact"/>
        <w:rPr>
          <w:sz w:val="20"/>
          <w:szCs w:val="20"/>
          <w:color w:val="auto"/>
        </w:rPr>
      </w:pPr>
    </w:p>
    <w:p>
      <w:pPr>
        <w:ind w:left="80"/>
        <w:spacing w:after="0"/>
        <w:rPr>
          <w:sz w:val="20"/>
          <w:szCs w:val="20"/>
          <w:color w:val="auto"/>
        </w:rPr>
      </w:pPr>
      <w:r>
        <w:rPr>
          <w:rFonts w:ascii="Arial" w:cs="Arial" w:eastAsia="Arial" w:hAnsi="Arial"/>
          <w:sz w:val="18"/>
          <w:szCs w:val="18"/>
          <w:color w:val="auto"/>
        </w:rPr>
        <w:t>Independent</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-124460</wp:posOffset>
            </wp:positionV>
            <wp:extent cx="14693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spacing w:after="0" w:line="21" w:lineRule="exact"/>
        <w:rPr>
          <w:sz w:val="20"/>
          <w:szCs w:val="20"/>
          <w:color w:val="auto"/>
        </w:rPr>
      </w:pPr>
    </w:p>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Audit</w:t>
      </w:r>
    </w:p>
    <w:p>
      <w:pPr>
        <w:spacing w:after="0" w:line="57" w:lineRule="exact"/>
        <w:rPr>
          <w:sz w:val="20"/>
          <w:szCs w:val="20"/>
          <w:color w:val="auto"/>
        </w:rPr>
      </w:pPr>
    </w:p>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Finance</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9525</wp:posOffset>
            </wp:positionV>
            <wp:extent cx="55975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597525" cy="8255"/>
                    </a:xfrm>
                    <a:prstGeom prst="rect">
                      <a:avLst/>
                    </a:prstGeom>
                    <a:noFill/>
                  </pic:spPr>
                </pic:pic>
              </a:graphicData>
            </a:graphic>
          </wp:anchor>
        </w:drawing>
      </w:r>
    </w:p>
    <w:p>
      <w:pPr>
        <w:spacing w:after="0" w:line="61"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Gary L. Ellis retired from Medtronic plc, Dublin, Ireland (a global medical technology company). He held the following positions:</w:t>
      </w:r>
    </w:p>
    <w:p>
      <w:pPr>
        <w:ind w:left="160" w:right="240" w:hanging="159"/>
        <w:spacing w:after="0" w:line="253" w:lineRule="auto"/>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Executive Vice President, Global Operations, Information Technology and Facilities &amp; Real Estate, Medtronic plc</w:t>
      </w:r>
      <w:r>
        <w:rPr>
          <w:rFonts w:ascii="Arial" w:cs="Arial" w:eastAsia="Arial" w:hAnsi="Arial"/>
          <w:sz w:val="16"/>
          <w:szCs w:val="16"/>
          <w:color w:val="auto"/>
        </w:rPr>
        <w:t xml:space="preserve"> </w:t>
      </w:r>
      <w:r>
        <w:rPr>
          <w:rFonts w:ascii="Arial" w:cs="Arial" w:eastAsia="Arial" w:hAnsi="Arial"/>
          <w:sz w:val="17"/>
          <w:szCs w:val="17"/>
          <w:color w:val="auto"/>
        </w:rPr>
        <w:t>(June 2016 – December 2016)</w:t>
      </w:r>
    </w:p>
    <w:p>
      <w:pPr>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Executive Vice President and Chief Financial Officer, Medtronic, Inc. (April 2014 – June 2016)</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Senior Vice President and Chief Financial Officer, Medtronic, Inc. (May 2005 – April 2014)</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Vice President, Corporate Controller and Treasurer, Medtronic, Inc. (October 1999 – May 2005)</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9525</wp:posOffset>
            </wp:positionV>
            <wp:extent cx="55975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597525" cy="8255"/>
                    </a:xfrm>
                    <a:prstGeom prst="rect">
                      <a:avLst/>
                    </a:prstGeom>
                    <a:noFill/>
                  </pic:spPr>
                </pic:pic>
              </a:graphicData>
            </a:graphic>
          </wp:anchor>
        </w:drawing>
      </w:r>
    </w:p>
    <w:p>
      <w:pPr>
        <w:spacing w:after="0" w:line="61"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Mr. Ellis brings extensive financial leadership experience and expertise to the lead independent director role and generally to our Board to provide oversight regarding capital structure, financial condition and policies, long-range financial objectives, tax strategies, financing requirements and arrangements, capital budgets and expenditures, risk-management, insurance coverage and strategic planning matters. As a former executive of a public company and an experienced public company director, Mr. Ellis contributes enhanced knowledge of public company requirements and issues. Additionally, Mr. Ellis contributes his experience managing worldwide financial operations and analyzing financial implications of merger and acquisition transactions, as well as aligning business strategies and financial decisions.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18415</wp:posOffset>
            </wp:positionV>
            <wp:extent cx="55975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597525" cy="8255"/>
                    </a:xfrm>
                    <a:prstGeom prst="rect">
                      <a:avLst/>
                    </a:prstGeom>
                    <a:noFill/>
                  </pic:spPr>
                </pic:pic>
              </a:graphicData>
            </a:graphic>
          </wp:anchor>
        </w:drawing>
      </w:r>
    </w:p>
    <w:p>
      <w:pPr>
        <w:spacing w:after="0" w:line="52" w:lineRule="exact"/>
        <w:rPr>
          <w:sz w:val="20"/>
          <w:szCs w:val="20"/>
          <w:color w:val="auto"/>
        </w:rPr>
      </w:pPr>
    </w:p>
    <w:p>
      <w:pPr>
        <w:ind w:left="1820"/>
        <w:spacing w:after="0"/>
        <w:tabs>
          <w:tab w:leader="none" w:pos="6000" w:val="left"/>
        </w:tabs>
        <w:rPr>
          <w:sz w:val="20"/>
          <w:szCs w:val="20"/>
          <w:color w:val="auto"/>
        </w:rPr>
      </w:pPr>
      <w:r>
        <w:rPr>
          <w:rFonts w:ascii="Arial" w:cs="Arial" w:eastAsia="Arial" w:hAnsi="Arial"/>
          <w:sz w:val="18"/>
          <w:szCs w:val="18"/>
          <w:b w:val="1"/>
          <w:bCs w:val="1"/>
          <w:color w:val="auto"/>
        </w:rPr>
        <w:t>Current</w:t>
      </w:r>
      <w:r>
        <w:rPr>
          <w:sz w:val="20"/>
          <w:szCs w:val="20"/>
          <w:color w:val="auto"/>
        </w:rPr>
        <w:tab/>
      </w:r>
      <w:r>
        <w:rPr>
          <w:rFonts w:ascii="Arial" w:cs="Arial" w:eastAsia="Arial" w:hAnsi="Arial"/>
          <w:sz w:val="18"/>
          <w:szCs w:val="18"/>
          <w:b w:val="1"/>
          <w:bCs w:val="1"/>
          <w:color w:val="auto"/>
        </w:rPr>
        <w:t>Past 5 Years</w:t>
      </w:r>
    </w:p>
    <w:p>
      <w:pPr>
        <w:spacing w:after="0" w:line="14" w:lineRule="exact"/>
        <w:rPr>
          <w:sz w:val="20"/>
          <w:szCs w:val="20"/>
          <w:color w:val="auto"/>
        </w:rPr>
      </w:pPr>
    </w:p>
    <w:p>
      <w:pPr>
        <w:ind w:left="980"/>
        <w:spacing w:after="0"/>
        <w:tabs>
          <w:tab w:leader="none" w:pos="5620" w:val="left"/>
        </w:tabs>
        <w:rPr>
          <w:sz w:val="20"/>
          <w:szCs w:val="20"/>
          <w:color w:val="auto"/>
        </w:rPr>
      </w:pPr>
      <w:r>
        <w:rPr>
          <w:rFonts w:ascii="Arial" w:cs="Arial" w:eastAsia="Arial" w:hAnsi="Arial"/>
          <w:sz w:val="18"/>
          <w:szCs w:val="18"/>
          <w:color w:val="auto"/>
        </w:rPr>
        <w:t>Inspire Medical Systems, Inc.</w:t>
      </w:r>
      <w:r>
        <w:rPr>
          <w:sz w:val="20"/>
          <w:szCs w:val="20"/>
          <w:color w:val="auto"/>
        </w:rPr>
        <w:tab/>
      </w:r>
      <w:r>
        <w:rPr>
          <w:rFonts w:ascii="Arial" w:cs="Arial" w:eastAsia="Arial" w:hAnsi="Arial"/>
          <w:sz w:val="17"/>
          <w:szCs w:val="17"/>
          <w:color w:val="auto"/>
        </w:rPr>
        <w:t>Hill-Rom Holdings, Inc.</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9525</wp:posOffset>
            </wp:positionV>
            <wp:extent cx="55975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597525" cy="8255"/>
                    </a:xfrm>
                    <a:prstGeom prst="rect">
                      <a:avLst/>
                    </a:prstGeom>
                    <a:noFill/>
                  </pic:spPr>
                </pic:pic>
              </a:graphicData>
            </a:graphic>
          </wp:anchor>
        </w:drawing>
      </w:r>
    </w:p>
    <w:p>
      <w:pPr>
        <w:spacing w:after="0" w:line="61"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 xml:space="preserve">Michael G. Vale, Ph.D., is Group President, Safety &amp; Industrial of 3M Company, St. Paul, Minnesota (a global diversified technology company). He holds or held the following positions, all at 3M: </w:t>
      </w:r>
      <w:r>
        <w:rPr>
          <w:rFonts w:ascii="Arial" w:cs="Arial" w:eastAsia="Arial" w:hAnsi="Arial"/>
          <w:sz w:val="15"/>
          <w:szCs w:val="15"/>
          <w:color w:val="auto"/>
        </w:rPr>
        <w:t>•</w:t>
      </w:r>
      <w:r>
        <w:rPr>
          <w:rFonts w:ascii="Arial" w:cs="Arial" w:eastAsia="Arial" w:hAnsi="Arial"/>
          <w:sz w:val="17"/>
          <w:szCs w:val="17"/>
          <w:color w:val="auto"/>
        </w:rPr>
        <w:t>Executive Vice President, Safety &amp; Industrial Business Group (since May 2019)</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Executive Vice President, Health Care Business Group (July 2016 – April 2019)</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Executive Vice President, Consumer Business Group (August 2011 – July 2016)</w:t>
      </w:r>
    </w:p>
    <w:p>
      <w:pPr>
        <w:spacing w:after="0" w:line="17" w:lineRule="exact"/>
        <w:rPr>
          <w:sz w:val="20"/>
          <w:szCs w:val="20"/>
          <w:color w:val="auto"/>
        </w:rPr>
      </w:pPr>
    </w:p>
    <w:p>
      <w:pPr>
        <w:ind w:left="160" w:right="200" w:hanging="159"/>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Prior positions include product development engineer; manufacturing director; managing director, 3M Spain;</w:t>
      </w:r>
      <w:r>
        <w:rPr>
          <w:rFonts w:ascii="Arial" w:cs="Arial" w:eastAsia="Arial" w:hAnsi="Arial"/>
          <w:sz w:val="16"/>
          <w:szCs w:val="16"/>
          <w:color w:val="auto"/>
        </w:rPr>
        <w:t xml:space="preserve"> </w:t>
      </w:r>
      <w:r>
        <w:rPr>
          <w:rFonts w:ascii="Arial" w:cs="Arial" w:eastAsia="Arial" w:hAnsi="Arial"/>
          <w:sz w:val="17"/>
          <w:szCs w:val="17"/>
          <w:color w:val="auto"/>
        </w:rPr>
        <w:t>and managing director, 3M Brazil</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9525</wp:posOffset>
            </wp:positionV>
            <wp:extent cx="55975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597525" cy="8255"/>
                    </a:xfrm>
                    <a:prstGeom prst="rect">
                      <a:avLst/>
                    </a:prstGeom>
                    <a:noFill/>
                  </pic:spPr>
                </pic:pic>
              </a:graphicData>
            </a:graphic>
          </wp:anchor>
        </w:drawing>
      </w:r>
    </w:p>
    <w:p>
      <w:pPr>
        <w:spacing w:after="0" w:line="61"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color w:val="auto"/>
        </w:rPr>
        <w:t>Dr. Vale brings to our Board extensive global business experience and expertise in research and development, technology and manufacturing. Dr. Vale also contributes substantial knowledge of consumer marketing, distribution channels, supply chain, mergers and acquisitions and managing customer relationships, all of which provide valuable management insight with respect to our strategic planning and assist our Board in providing oversight to our businesses. Born and raised in South Texas and of Mexican-American descent, Dr. Vale champions diversity, equity and inclusion initiatives as the Executive Sponsor of 3M’s Latino Resource Network and as a member of our Board.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9525</wp:posOffset>
            </wp:positionV>
            <wp:extent cx="55975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597525" cy="8255"/>
                    </a:xfrm>
                    <a:prstGeom prst="rect">
                      <a:avLst/>
                    </a:prstGeom>
                    <a:noFill/>
                  </pic:spPr>
                </pic:pic>
              </a:graphicData>
            </a:graphic>
          </wp:anchor>
        </w:drawing>
      </w:r>
    </w:p>
    <w:p>
      <w:pPr>
        <w:spacing w:after="0" w:line="39" w:lineRule="exact"/>
        <w:rPr>
          <w:sz w:val="20"/>
          <w:szCs w:val="20"/>
          <w:color w:val="auto"/>
        </w:rPr>
      </w:pPr>
    </w:p>
    <w:p>
      <w:pPr>
        <w:ind w:left="1820"/>
        <w:spacing w:after="0"/>
        <w:tabs>
          <w:tab w:leader="none" w:pos="6000" w:val="left"/>
        </w:tabs>
        <w:rPr>
          <w:sz w:val="20"/>
          <w:szCs w:val="20"/>
          <w:color w:val="auto"/>
        </w:rPr>
      </w:pPr>
      <w:r>
        <w:rPr>
          <w:rFonts w:ascii="Arial" w:cs="Arial" w:eastAsia="Arial" w:hAnsi="Arial"/>
          <w:sz w:val="18"/>
          <w:szCs w:val="18"/>
          <w:b w:val="1"/>
          <w:bCs w:val="1"/>
          <w:color w:val="auto"/>
        </w:rPr>
        <w:t>Current</w:t>
      </w:r>
      <w:r>
        <w:rPr>
          <w:sz w:val="20"/>
          <w:szCs w:val="20"/>
          <w:color w:val="auto"/>
        </w:rPr>
        <w:tab/>
      </w:r>
      <w:r>
        <w:rPr>
          <w:rFonts w:ascii="Arial" w:cs="Arial" w:eastAsia="Arial" w:hAnsi="Arial"/>
          <w:sz w:val="18"/>
          <w:szCs w:val="18"/>
          <w:b w:val="1"/>
          <w:bCs w:val="1"/>
          <w:color w:val="auto"/>
        </w:rPr>
        <w:t>Past 5 Years</w:t>
      </w:r>
    </w:p>
    <w:p>
      <w:pPr>
        <w:spacing w:after="0" w:line="14" w:lineRule="exact"/>
        <w:rPr>
          <w:sz w:val="20"/>
          <w:szCs w:val="20"/>
          <w:color w:val="auto"/>
        </w:rPr>
      </w:pPr>
    </w:p>
    <w:p>
      <w:pPr>
        <w:ind w:left="1920"/>
        <w:spacing w:after="0"/>
        <w:tabs>
          <w:tab w:leader="none" w:pos="6300" w:val="left"/>
        </w:tabs>
        <w:rPr>
          <w:sz w:val="20"/>
          <w:szCs w:val="20"/>
          <w:color w:val="auto"/>
        </w:rPr>
      </w:pPr>
      <w:r>
        <w:rPr>
          <w:rFonts w:ascii="Arial" w:cs="Arial" w:eastAsia="Arial" w:hAnsi="Arial"/>
          <w:sz w:val="18"/>
          <w:szCs w:val="18"/>
          <w:color w:val="auto"/>
        </w:rPr>
        <w:t>None</w:t>
      </w:r>
      <w:r>
        <w:rPr>
          <w:sz w:val="20"/>
          <w:szCs w:val="20"/>
          <w:color w:val="auto"/>
        </w:rPr>
        <w:tab/>
      </w: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-1595755</wp:posOffset>
            </wp:positionH>
            <wp:positionV relativeFrom="paragraph">
              <wp:posOffset>50800</wp:posOffset>
            </wp:positionV>
            <wp:extent cx="717677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2">
            <w:col w:w="2180" w:space="320"/>
            <w:col w:w="8700"/>
          </w:cols>
          <w:pgMar w:left="320" w:top="140" w:right="3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134225" cy="2025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4225" cy="202565"/>
                    </a:xfrm>
                    <a:prstGeom prst="rect">
                      <a:avLst/>
                    </a:prstGeom>
                    <a:noFill/>
                  </pic:spPr>
                </pic:pic>
              </a:graphicData>
            </a:graphic>
          </wp:anchor>
        </w:drawing>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FFFF"/>
        </w:rPr>
        <w:t>CORPORATE GOVERNANCE</w:t>
      </w: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Corporate Governance Guidelines</w:t>
      </w:r>
    </w:p>
    <w:p>
      <w:pPr>
        <w:spacing w:after="0" w:line="127" w:lineRule="exact"/>
        <w:rPr>
          <w:sz w:val="20"/>
          <w:szCs w:val="20"/>
          <w:color w:val="auto"/>
        </w:rPr>
      </w:pPr>
    </w:p>
    <w:p>
      <w:pPr>
        <w:ind w:firstLine="401"/>
        <w:spacing w:after="0" w:line="234" w:lineRule="auto"/>
        <w:rPr>
          <w:sz w:val="20"/>
          <w:szCs w:val="20"/>
          <w:color w:val="auto"/>
        </w:rPr>
      </w:pPr>
      <w:r>
        <w:rPr>
          <w:rFonts w:ascii="Arial" w:cs="Arial" w:eastAsia="Arial" w:hAnsi="Arial"/>
          <w:sz w:val="18"/>
          <w:szCs w:val="18"/>
          <w:color w:val="auto"/>
        </w:rPr>
        <w:t>The Board has adopted Corporate Governance Guidelines, which describe our corporate governance practices and policies and provide a framework for our Board governance. The topics addressed in our Corporate Governance Guidelines include: director qualifications and responsibilities; Board committees; director board limits; director access to officers and employees; director compensation; director independence; related party transactions; director orientation and continuing education; CEO evaluation and management succession; and Board annual self-evaluation. Our Corporate Governance Guidelines provide, among other things, that:</w:t>
      </w:r>
    </w:p>
    <w:p>
      <w:pPr>
        <w:spacing w:after="0" w:line="201" w:lineRule="exact"/>
        <w:rPr>
          <w:sz w:val="20"/>
          <w:szCs w:val="20"/>
          <w:color w:val="auto"/>
        </w:rPr>
      </w:pPr>
    </w:p>
    <w:p>
      <w:pPr>
        <w:ind w:left="800" w:right="320" w:hanging="395"/>
        <w:spacing w:after="0" w:line="238" w:lineRule="auto"/>
        <w:tabs>
          <w:tab w:leader="none" w:pos="800" w:val="left"/>
        </w:tabs>
        <w:numPr>
          <w:ilvl w:val="0"/>
          <w:numId w:val="12"/>
        </w:numPr>
        <w:rPr>
          <w:rFonts w:ascii="Arial" w:cs="Arial" w:eastAsia="Arial" w:hAnsi="Arial"/>
          <w:sz w:val="16"/>
          <w:szCs w:val="16"/>
          <w:color w:val="auto"/>
        </w:rPr>
      </w:pPr>
      <w:r>
        <w:rPr>
          <w:rFonts w:ascii="Arial" w:cs="Arial" w:eastAsia="Arial" w:hAnsi="Arial"/>
          <w:sz w:val="18"/>
          <w:szCs w:val="18"/>
          <w:color w:val="auto"/>
        </w:rPr>
        <w:t>The Board will have a majority of directors who meet the criteria for independence required by law, the SEC and the NYSE listing standards;</w:t>
      </w:r>
    </w:p>
    <w:p>
      <w:pPr>
        <w:spacing w:after="0" w:line="94" w:lineRule="exact"/>
        <w:rPr>
          <w:rFonts w:ascii="Arial" w:cs="Arial" w:eastAsia="Arial" w:hAnsi="Arial"/>
          <w:sz w:val="16"/>
          <w:szCs w:val="16"/>
          <w:color w:val="auto"/>
        </w:rPr>
      </w:pPr>
    </w:p>
    <w:p>
      <w:pPr>
        <w:jc w:val="both"/>
        <w:ind w:left="800" w:right="120" w:hanging="395"/>
        <w:spacing w:after="0" w:line="236" w:lineRule="auto"/>
        <w:tabs>
          <w:tab w:leader="none" w:pos="800" w:val="left"/>
        </w:tabs>
        <w:numPr>
          <w:ilvl w:val="0"/>
          <w:numId w:val="12"/>
        </w:numPr>
        <w:rPr>
          <w:rFonts w:ascii="Arial" w:cs="Arial" w:eastAsia="Arial" w:hAnsi="Arial"/>
          <w:sz w:val="16"/>
          <w:szCs w:val="16"/>
          <w:color w:val="auto"/>
        </w:rPr>
      </w:pPr>
      <w:r>
        <w:rPr>
          <w:rFonts w:ascii="Arial" w:cs="Arial" w:eastAsia="Arial" w:hAnsi="Arial"/>
          <w:sz w:val="18"/>
          <w:szCs w:val="18"/>
          <w:color w:val="auto"/>
        </w:rPr>
        <w:t>No director that is either a CEO or other executive officer of another public company shall sit on the board of directors of more than two publicly held companies and no other director shall sit on the board of more than four publicly held companies, each without the approval of the Nominating &amp; Governance Committee;</w:t>
      </w:r>
    </w:p>
    <w:p>
      <w:pPr>
        <w:spacing w:after="0" w:line="94" w:lineRule="exact"/>
        <w:rPr>
          <w:rFonts w:ascii="Arial" w:cs="Arial" w:eastAsia="Arial" w:hAnsi="Arial"/>
          <w:sz w:val="16"/>
          <w:szCs w:val="16"/>
          <w:color w:val="auto"/>
        </w:rPr>
      </w:pPr>
    </w:p>
    <w:p>
      <w:pPr>
        <w:ind w:left="800" w:right="220" w:hanging="395"/>
        <w:spacing w:after="0" w:line="265" w:lineRule="auto"/>
        <w:tabs>
          <w:tab w:leader="none" w:pos="800" w:val="left"/>
        </w:tabs>
        <w:numPr>
          <w:ilvl w:val="0"/>
          <w:numId w:val="12"/>
        </w:numPr>
        <w:rPr>
          <w:rFonts w:ascii="Arial" w:cs="Arial" w:eastAsia="Arial" w:hAnsi="Arial"/>
          <w:sz w:val="15"/>
          <w:szCs w:val="15"/>
          <w:color w:val="auto"/>
        </w:rPr>
      </w:pPr>
      <w:r>
        <w:rPr>
          <w:rFonts w:ascii="Arial" w:cs="Arial" w:eastAsia="Arial" w:hAnsi="Arial"/>
          <w:sz w:val="17"/>
          <w:szCs w:val="17"/>
          <w:color w:val="auto"/>
        </w:rPr>
        <w:t>No director who is an active, full-time employee of our Company shall serve as a director of more than one other publicly held company and there shall be no interlocking board memberships without the approval of the Nominating &amp; Governance Committee;</w:t>
      </w:r>
    </w:p>
    <w:p>
      <w:pPr>
        <w:spacing w:after="0" w:line="73" w:lineRule="exact"/>
        <w:rPr>
          <w:rFonts w:ascii="Arial" w:cs="Arial" w:eastAsia="Arial" w:hAnsi="Arial"/>
          <w:sz w:val="15"/>
          <w:szCs w:val="15"/>
          <w:color w:val="auto"/>
        </w:rPr>
      </w:pPr>
    </w:p>
    <w:p>
      <w:pPr>
        <w:ind w:left="800" w:right="220" w:hanging="395"/>
        <w:spacing w:after="0" w:line="238" w:lineRule="auto"/>
        <w:tabs>
          <w:tab w:leader="none" w:pos="800" w:val="left"/>
        </w:tabs>
        <w:numPr>
          <w:ilvl w:val="0"/>
          <w:numId w:val="12"/>
        </w:numPr>
        <w:rPr>
          <w:rFonts w:ascii="Arial" w:cs="Arial" w:eastAsia="Arial" w:hAnsi="Arial"/>
          <w:sz w:val="16"/>
          <w:szCs w:val="16"/>
          <w:color w:val="auto"/>
        </w:rPr>
      </w:pPr>
      <w:r>
        <w:rPr>
          <w:rFonts w:ascii="Arial" w:cs="Arial" w:eastAsia="Arial" w:hAnsi="Arial"/>
          <w:sz w:val="18"/>
          <w:szCs w:val="18"/>
          <w:color w:val="auto"/>
        </w:rPr>
        <w:t>While the Board does not believe it should establish age limits, any director who has attained the age of 70 should volunteer not to stand for re-election;</w:t>
      </w:r>
    </w:p>
    <w:p>
      <w:pPr>
        <w:spacing w:after="0" w:line="94" w:lineRule="exact"/>
        <w:rPr>
          <w:rFonts w:ascii="Arial" w:cs="Arial" w:eastAsia="Arial" w:hAnsi="Arial"/>
          <w:sz w:val="16"/>
          <w:szCs w:val="16"/>
          <w:color w:val="auto"/>
        </w:rPr>
      </w:pPr>
    </w:p>
    <w:p>
      <w:pPr>
        <w:ind w:left="800" w:right="100" w:hanging="395"/>
        <w:spacing w:after="0" w:line="236" w:lineRule="auto"/>
        <w:tabs>
          <w:tab w:leader="none" w:pos="800" w:val="left"/>
        </w:tabs>
        <w:numPr>
          <w:ilvl w:val="0"/>
          <w:numId w:val="12"/>
        </w:numPr>
        <w:rPr>
          <w:rFonts w:ascii="Arial" w:cs="Arial" w:eastAsia="Arial" w:hAnsi="Arial"/>
          <w:sz w:val="16"/>
          <w:szCs w:val="16"/>
          <w:color w:val="auto"/>
        </w:rPr>
      </w:pPr>
      <w:r>
        <w:rPr>
          <w:rFonts w:ascii="Arial" w:cs="Arial" w:eastAsia="Arial" w:hAnsi="Arial"/>
          <w:sz w:val="18"/>
          <w:szCs w:val="18"/>
          <w:color w:val="auto"/>
        </w:rPr>
        <w:t>The CEO will annually review with the Board top management succession plans, including development plans for succession candidates, and will periodically review with the Board an emergency leadership preparedness plan applicable in the event the CEO unexpectedly becomes incapacitated or otherwise is unable to serve; and</w:t>
      </w:r>
    </w:p>
    <w:p>
      <w:pPr>
        <w:spacing w:after="0" w:line="94" w:lineRule="exact"/>
        <w:rPr>
          <w:rFonts w:ascii="Arial" w:cs="Arial" w:eastAsia="Arial" w:hAnsi="Arial"/>
          <w:sz w:val="16"/>
          <w:szCs w:val="16"/>
          <w:color w:val="auto"/>
        </w:rPr>
      </w:pPr>
    </w:p>
    <w:p>
      <w:pPr>
        <w:ind w:left="800" w:hanging="395"/>
        <w:spacing w:after="0"/>
        <w:tabs>
          <w:tab w:leader="none" w:pos="800" w:val="left"/>
        </w:tabs>
        <w:numPr>
          <w:ilvl w:val="0"/>
          <w:numId w:val="12"/>
        </w:numPr>
        <w:rPr>
          <w:rFonts w:ascii="Arial" w:cs="Arial" w:eastAsia="Arial" w:hAnsi="Arial"/>
          <w:sz w:val="16"/>
          <w:szCs w:val="16"/>
          <w:color w:val="auto"/>
        </w:rPr>
      </w:pPr>
      <w:r>
        <w:rPr>
          <w:rFonts w:ascii="Arial" w:cs="Arial" w:eastAsia="Arial" w:hAnsi="Arial"/>
          <w:sz w:val="18"/>
          <w:szCs w:val="18"/>
          <w:color w:val="auto"/>
        </w:rPr>
        <w:t>The Board will conduct an annual self-evaluation to determine whether it and its committees are functioning effectively.</w:t>
      </w:r>
    </w:p>
    <w:p>
      <w:pPr>
        <w:spacing w:after="0" w:line="99" w:lineRule="exact"/>
        <w:rPr>
          <w:sz w:val="20"/>
          <w:szCs w:val="20"/>
          <w:color w:val="auto"/>
        </w:rPr>
      </w:pPr>
    </w:p>
    <w:p>
      <w:pPr>
        <w:ind w:right="360" w:firstLine="401"/>
        <w:spacing w:after="0" w:line="236" w:lineRule="auto"/>
        <w:rPr>
          <w:sz w:val="20"/>
          <w:szCs w:val="20"/>
          <w:color w:val="auto"/>
        </w:rPr>
      </w:pPr>
      <w:r>
        <w:rPr>
          <w:rFonts w:ascii="Arial" w:cs="Arial" w:eastAsia="Arial" w:hAnsi="Arial"/>
          <w:sz w:val="18"/>
          <w:szCs w:val="18"/>
          <w:color w:val="auto"/>
        </w:rPr>
        <w:t>From time to time the Board, upon recommendation of the Nominating &amp; Governance Committee, reviews and updates our Corporate Governance Guidelines as it deems necessary and appropriate. Our Corporate Governance Guidelines can be found on our website at www.thetorocompany.com/corporategovernance.</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Board Leadership Structure</w:t>
      </w:r>
    </w:p>
    <w:p>
      <w:pPr>
        <w:spacing w:after="0" w:line="127" w:lineRule="exact"/>
        <w:rPr>
          <w:sz w:val="20"/>
          <w:szCs w:val="20"/>
          <w:color w:val="auto"/>
        </w:rPr>
      </w:pPr>
    </w:p>
    <w:p>
      <w:pPr>
        <w:ind w:right="20" w:firstLine="401"/>
        <w:spacing w:after="0" w:line="232" w:lineRule="auto"/>
        <w:rPr>
          <w:sz w:val="20"/>
          <w:szCs w:val="20"/>
          <w:color w:val="auto"/>
        </w:rPr>
      </w:pPr>
      <w:r>
        <w:rPr>
          <w:rFonts w:ascii="Arial" w:cs="Arial" w:eastAsia="Arial" w:hAnsi="Arial"/>
          <w:sz w:val="18"/>
          <w:szCs w:val="18"/>
          <w:color w:val="auto"/>
        </w:rPr>
        <w:t>Our Corporate Governance Guidelines provide that (i) our Board has no policy with respect to the separation of the offices of the Chairman and the CEO; (ii) our Board believes that this issue is part of the succession planning process and will be reviewed as the Nominating &amp; Governance Committee deems it appropriate; and (iii) (a) if the offices of Chairman and CEO are held by the same person, or (b) the Chairman does not meet the criteria for “independence” as established by applicable law, the rules and regulations of the SEC or the NYSE listing standards, then the Board, upon recommendation of the Nominating &amp; Governance Committee, shall appoint a Lead Independent Director, who shall have such duties as are described in the Corporate Governance Guidelines or otherwise determined by the Board. The Board believes it is appropriate not to have a policy requiring the separation of the offices of the Chairman and the CEO so that the Board may make this determination based on what it believes is best under the current circumstances. However, the Board endorses the concept of an independent, non-employee director being in a position of leadership, and, thus, our Corporate Governance Guidelines require a Lead Independent Director when the Chairman is not independent.</w:t>
      </w:r>
    </w:p>
    <w:p>
      <w:pPr>
        <w:spacing w:after="0" w:line="100" w:lineRule="exact"/>
        <w:rPr>
          <w:sz w:val="20"/>
          <w:szCs w:val="20"/>
          <w:color w:val="auto"/>
        </w:rPr>
      </w:pPr>
    </w:p>
    <w:p>
      <w:pPr>
        <w:ind w:right="60" w:firstLine="401"/>
        <w:spacing w:after="0" w:line="244" w:lineRule="auto"/>
        <w:rPr>
          <w:sz w:val="20"/>
          <w:szCs w:val="20"/>
          <w:color w:val="auto"/>
        </w:rPr>
      </w:pPr>
      <w:r>
        <w:rPr>
          <w:rFonts w:ascii="Arial" w:cs="Arial" w:eastAsia="Arial" w:hAnsi="Arial"/>
          <w:sz w:val="17"/>
          <w:szCs w:val="17"/>
          <w:color w:val="auto"/>
        </w:rPr>
        <w:t>Our Board is currently chaired by Richard M. Olson, our Chairman and CEO. Our Lead Independent Director, selected by the Board, is Gary L. Ellis. Our Nominating &amp; Governance Committee and Board believe that our current Board leadership structure ensures a strong and independent Board of Directors, provides effective governance, creates appropriate oversight for the long-term benefit of our shareholders and is appropriate for several reasons, including: (i) Mr. Olson’s extensive knowledge of our Company, our business, operations and industry, obtained through his more than 35 years of service to our Company, which benefit Board leadership and the Board’s decision-making process through his active role as Chairman; (ii) unification of Board leadership and strategic direction as implemented by our Management; and</w:t>
      </w:r>
    </w:p>
    <w:p>
      <w:pPr>
        <w:spacing w:after="0" w:line="4" w:lineRule="exact"/>
        <w:rPr>
          <w:sz w:val="20"/>
          <w:szCs w:val="20"/>
          <w:color w:val="auto"/>
        </w:rPr>
      </w:pPr>
    </w:p>
    <w:p>
      <w:pPr>
        <w:ind w:right="80" w:firstLine="6"/>
        <w:spacing w:after="0" w:line="238" w:lineRule="auto"/>
        <w:tabs>
          <w:tab w:leader="none" w:pos="28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appropriate balance of risks relating to concentration of authority through the oversight of our independent and engaged Lead Independent Director and Board.</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98" w:lineRule="exact"/>
        <w:rPr>
          <w:sz w:val="20"/>
          <w:szCs w:val="20"/>
          <w:color w:val="auto"/>
        </w:rPr>
      </w:pPr>
    </w:p>
    <w:p>
      <w:pPr>
        <w:ind w:right="80" w:firstLine="401"/>
        <w:spacing w:after="0" w:line="233" w:lineRule="auto"/>
        <w:rPr>
          <w:sz w:val="20"/>
          <w:szCs w:val="20"/>
          <w:color w:val="auto"/>
        </w:rPr>
      </w:pPr>
      <w:r>
        <w:rPr>
          <w:rFonts w:ascii="Arial" w:cs="Arial" w:eastAsia="Arial" w:hAnsi="Arial"/>
          <w:sz w:val="18"/>
          <w:szCs w:val="18"/>
          <w:color w:val="auto"/>
        </w:rPr>
        <w:t>As our Lead Independent Director, Mr. Ellis (i) assists Mr. Olson in establishing the agendas for Board meetings and the schedule of agenda subjects to be discussed during the year, to the extent such subjects can be foreseen; (ii) presides at regularly scheduled executive sessions of the non-employee directors without Management present; (iii) together with the Chair of the Compensation &amp; Human Resources Committee, communicates to Mr. Olson the results of his annual performance review and compensation; and (iv) together with the Chair of the Nominating &amp; Governance Committee, leads the Board’s annual self-evaluation. With more than 15 years of continuous service on our Board, Mr. Ellis has developed considerable knowledge of our Company, our business and our industry. Mr. Ellis also has significant public company experience. In addition to serving as our Lead Independent Director, Mr. Ellis serves as the Chair of our Finance Committee.</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Director Independence</w:t>
      </w:r>
    </w:p>
    <w:p>
      <w:pPr>
        <w:spacing w:after="0" w:line="127" w:lineRule="exact"/>
        <w:rPr>
          <w:sz w:val="20"/>
          <w:szCs w:val="20"/>
          <w:color w:val="auto"/>
        </w:rPr>
      </w:pPr>
    </w:p>
    <w:p>
      <w:pPr>
        <w:ind w:right="20" w:firstLine="401"/>
        <w:spacing w:after="0" w:line="232" w:lineRule="auto"/>
        <w:rPr>
          <w:sz w:val="20"/>
          <w:szCs w:val="20"/>
          <w:color w:val="auto"/>
        </w:rPr>
      </w:pPr>
      <w:r>
        <w:rPr>
          <w:rFonts w:ascii="Arial" w:cs="Arial" w:eastAsia="Arial" w:hAnsi="Arial"/>
          <w:sz w:val="18"/>
          <w:szCs w:val="18"/>
          <w:color w:val="auto"/>
        </w:rPr>
        <w:t>The Board, following consideration of all relevant facts and circumstances and upon recommendation of the Nominating &amp; Governance Committee, has affirmatively determined that each director who served as a member of our Board during fiscal 2021 (Janet K. Cooper, Gary L. Ellis, Jeffrey M. Ettinger, Katherine J. Harless, Jeffrey L. Harmening, D. Christian Koch, Joyce A. Mullen, James C. O’Rourke, Gregg W. Steinhafel and Michael G. Vale) other than Richard M. Olson, our Chairman and CEO, is independent, as are our two new director nominees, Eric P. Hansotia and Jill M. Pemberton. These determinations were made because each such person has no material relationship with our Company, our Management, our independent registered public accounting firm, or external auditor, our independent external compensation consultant or our external compensation legal advisers and otherwise meets the independence requirements as established by applicable law, the rules and regulations of the SEC and the NYSE listing standards. The Board based its independence determinations, in part, upon a review by the Nominating &amp; Governance Committee and the Board of certain transactions between us and the employers of certain of our directors, each of which was deemed to be pre-approved under our Corporate Governance Guidelines in that each such transaction was made in the ordinary course of business, at arm’s length, at prices and on terms customarily available to unrelated third party vendors or customers generally, in amounts that are not material to us or such unaffiliated corporation and in which the director had no direct or indirect personal interest, nor received any personal benefit.</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Director Attendance; Executive Sessions</w:t>
      </w:r>
    </w:p>
    <w:p>
      <w:pPr>
        <w:spacing w:after="0" w:line="127" w:lineRule="exact"/>
        <w:rPr>
          <w:sz w:val="20"/>
          <w:szCs w:val="20"/>
          <w:color w:val="auto"/>
        </w:rPr>
      </w:pPr>
    </w:p>
    <w:p>
      <w:pPr>
        <w:ind w:right="100" w:firstLine="401"/>
        <w:spacing w:after="0" w:line="234" w:lineRule="auto"/>
        <w:rPr>
          <w:sz w:val="20"/>
          <w:szCs w:val="20"/>
          <w:color w:val="auto"/>
        </w:rPr>
      </w:pPr>
      <w:r>
        <w:rPr>
          <w:rFonts w:ascii="Arial" w:cs="Arial" w:eastAsia="Arial" w:hAnsi="Arial"/>
          <w:sz w:val="18"/>
          <w:szCs w:val="18"/>
          <w:color w:val="auto"/>
        </w:rPr>
        <w:t>The Board held seven meetings during fiscal 2021. Each incumbent director attended at least 75% of the aggregate total number of meetings held by the Board and all committees on which he or she served. Our Corporate Governance Guidelines provide that the non-employee directors will meet in regularly scheduled executive sessions without Management. At each regular Board meeting held during fiscal 2021 our non-employee directors met in executive session without Management present and such meetings were presided over by our Lead Independent Director.</w:t>
      </w:r>
    </w:p>
    <w:p>
      <w:pPr>
        <w:spacing w:after="0" w:line="95" w:lineRule="exact"/>
        <w:rPr>
          <w:sz w:val="20"/>
          <w:szCs w:val="20"/>
          <w:color w:val="auto"/>
        </w:rPr>
      </w:pPr>
    </w:p>
    <w:p>
      <w:pPr>
        <w:ind w:right="500" w:firstLine="401"/>
        <w:spacing w:after="0" w:line="265" w:lineRule="auto"/>
        <w:rPr>
          <w:sz w:val="20"/>
          <w:szCs w:val="20"/>
          <w:color w:val="auto"/>
        </w:rPr>
      </w:pPr>
      <w:r>
        <w:rPr>
          <w:rFonts w:ascii="Arial" w:cs="Arial" w:eastAsia="Arial" w:hAnsi="Arial"/>
          <w:sz w:val="17"/>
          <w:szCs w:val="17"/>
          <w:color w:val="auto"/>
        </w:rPr>
        <w:t>We expect all of our directors and our director nominees to attend our annual meeting of shareholders. All of the nine non-employee directors serving at the time of our 2021 Annual Meeting of Shareholders held on March 16, 2021, participated in the meeting virtually.</w:t>
      </w:r>
    </w:p>
    <w:p>
      <w:pPr>
        <w:spacing w:after="0" w:line="100"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Board Committees</w:t>
      </w:r>
    </w:p>
    <w:p>
      <w:pPr>
        <w:spacing w:after="0" w:line="127" w:lineRule="exact"/>
        <w:rPr>
          <w:sz w:val="20"/>
          <w:szCs w:val="20"/>
          <w:color w:val="auto"/>
        </w:rPr>
      </w:pPr>
    </w:p>
    <w:p>
      <w:pPr>
        <w:ind w:firstLine="401"/>
        <w:spacing w:after="0" w:line="232" w:lineRule="auto"/>
        <w:rPr>
          <w:sz w:val="20"/>
          <w:szCs w:val="20"/>
          <w:color w:val="auto"/>
        </w:rPr>
      </w:pPr>
      <w:r>
        <w:rPr>
          <w:rFonts w:ascii="Arial" w:cs="Arial" w:eastAsia="Arial" w:hAnsi="Arial"/>
          <w:sz w:val="18"/>
          <w:szCs w:val="18"/>
          <w:color w:val="auto"/>
        </w:rPr>
        <w:t>The Board has four committees, the Audit Committee, Compensation &amp; Human Resources Committee, Nominating &amp; Governance Committee and Finance Committee. Each committee has a charter that is posted on our website at www.thetorocompany.com/corporategovernance. The charter of each committee describes the principal functions of the committee. As provided in their respective charters, each of the Compensation &amp; Human Resources Committee, Nominating &amp; Governance Committee and Finance Committee may form and delegate authority to subcommittees when appropriate. Additionally, the Compensation &amp; Human Resources Committee may delegate to one or more executive officers of the Company the authority to approve equity compensation awards under established equity compensation plans of the Company to employees other than the executive officers of the Company. On an annual basis the Audit Committee, Nominating &amp; Governance Committee and Compensation &amp; Human Resources Committee review the adequacy of their charter and their performance. The Finance Committee periodically reviews its charter and performance, with such review historically conducted on an annual basis. The Chair of each Board committee provides a summary of the matters discussed in their committee meeting to the full Board.</w:t>
      </w:r>
    </w:p>
    <w:p>
      <w:pPr>
        <w:spacing w:after="0" w:line="99" w:lineRule="exact"/>
        <w:rPr>
          <w:sz w:val="20"/>
          <w:szCs w:val="20"/>
          <w:color w:val="auto"/>
        </w:rPr>
      </w:pPr>
    </w:p>
    <w:p>
      <w:pPr>
        <w:ind w:right="620" w:firstLine="401"/>
        <w:spacing w:after="0" w:line="238" w:lineRule="auto"/>
        <w:rPr>
          <w:sz w:val="20"/>
          <w:szCs w:val="20"/>
          <w:color w:val="auto"/>
        </w:rPr>
      </w:pPr>
      <w:r>
        <w:rPr>
          <w:rFonts w:ascii="Arial" w:cs="Arial" w:eastAsia="Arial" w:hAnsi="Arial"/>
          <w:sz w:val="18"/>
          <w:szCs w:val="18"/>
          <w:color w:val="auto"/>
        </w:rPr>
        <w:t>The Board has determined that each of the members of the Audit Committee, Compensation &amp; Human Resources Committee and Nominating &amp; Governance Committee meets the independence and other</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98"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requirements established by applicable law, the rules and regulations of the SEC and the NYSE listing standards and the Internal Revenue Code of 1986, as amended, or Code, as applicable.</w:t>
      </w:r>
    </w:p>
    <w:p>
      <w:pPr>
        <w:spacing w:after="0" w:line="95" w:lineRule="exact"/>
        <w:rPr>
          <w:sz w:val="20"/>
          <w:szCs w:val="20"/>
          <w:color w:val="auto"/>
        </w:rPr>
      </w:pPr>
    </w:p>
    <w:p>
      <w:pPr>
        <w:ind w:right="80" w:firstLine="401"/>
        <w:spacing w:after="0" w:line="235" w:lineRule="auto"/>
        <w:rPr>
          <w:sz w:val="20"/>
          <w:szCs w:val="20"/>
          <w:color w:val="auto"/>
        </w:rPr>
      </w:pPr>
      <w:r>
        <w:rPr>
          <w:rFonts w:ascii="Arial" w:cs="Arial" w:eastAsia="Arial" w:hAnsi="Arial"/>
          <w:sz w:val="18"/>
          <w:szCs w:val="18"/>
          <w:color w:val="auto"/>
        </w:rPr>
        <w:t>The current membership of each committee, the number of times each committee met, including by executive session, during fiscal 2021 and key functions of each committee are noted in the following table. Mr. Olson is not a member of any Board committee. In fiscal 2021 Mr. Olson attended, and currently may attend, various committee meetings, or portions of such meetings as appropriate, as a member of Management at the invitation of such Board committees.</w:t>
      </w:r>
    </w:p>
    <w:p>
      <w:pPr>
        <w:sectPr>
          <w:pgSz w:w="11900" w:h="16838" w:orient="portrait"/>
          <w:cols w:equalWidth="0" w:num="1">
            <w:col w:w="11200"/>
          </w:cols>
          <w:pgMar w:left="320" w:top="1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FFFFFF"/>
        </w:rPr>
        <w:t>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-977265</wp:posOffset>
            </wp:positionV>
            <wp:extent cx="1173480" cy="19926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173480" cy="199263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7"/>
          <w:szCs w:val="17"/>
          <w:b w:val="1"/>
          <w:bCs w:val="1"/>
          <w:color w:val="FFFFFF"/>
        </w:rPr>
        <w:t>Committee</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b w:val="1"/>
          <w:bCs w:val="1"/>
          <w:color w:val="C00000"/>
        </w:rPr>
        <w:t>Key Committee Functions</w:t>
      </w:r>
    </w:p>
    <w:p>
      <w:pPr>
        <w:spacing w:after="0" w:line="49" w:lineRule="exact"/>
        <w:rPr>
          <w:sz w:val="20"/>
          <w:szCs w:val="20"/>
          <w:color w:val="auto"/>
        </w:rPr>
      </w:pPr>
    </w:p>
    <w:p>
      <w:pPr>
        <w:ind w:left="140" w:hanging="134"/>
        <w:spacing w:after="0" w:line="231" w:lineRule="auto"/>
        <w:tabs>
          <w:tab w:leader="none" w:pos="117" w:val="left"/>
        </w:tabs>
        <w:numPr>
          <w:ilvl w:val="0"/>
          <w:numId w:val="14"/>
        </w:numPr>
        <w:rPr>
          <w:rFonts w:ascii="Arial" w:cs="Arial" w:eastAsia="Arial" w:hAnsi="Arial"/>
          <w:sz w:val="16"/>
          <w:szCs w:val="16"/>
          <w:color w:val="auto"/>
        </w:rPr>
      </w:pPr>
      <w:r>
        <w:rPr>
          <w:rFonts w:ascii="Arial" w:cs="Arial" w:eastAsia="Arial" w:hAnsi="Arial"/>
          <w:sz w:val="16"/>
          <w:szCs w:val="16"/>
          <w:color w:val="auto"/>
        </w:rPr>
        <w:t>Oversees the accounting and financial reporting processes, audits of consolidated financial statements and internal controls over financial reporting</w:t>
      </w:r>
    </w:p>
    <w:p>
      <w:pPr>
        <w:spacing w:after="0" w:line="9" w:lineRule="exact"/>
        <w:rPr>
          <w:rFonts w:ascii="Arial" w:cs="Arial" w:eastAsia="Arial" w:hAnsi="Arial"/>
          <w:sz w:val="16"/>
          <w:szCs w:val="16"/>
          <w:color w:val="auto"/>
        </w:rPr>
      </w:pPr>
    </w:p>
    <w:p>
      <w:pPr>
        <w:ind w:left="140" w:right="400" w:hanging="134"/>
        <w:spacing w:after="0" w:line="233" w:lineRule="auto"/>
        <w:tabs>
          <w:tab w:leader="none" w:pos="117" w:val="left"/>
        </w:tabs>
        <w:numPr>
          <w:ilvl w:val="0"/>
          <w:numId w:val="14"/>
        </w:numPr>
        <w:rPr>
          <w:rFonts w:ascii="Arial" w:cs="Arial" w:eastAsia="Arial" w:hAnsi="Arial"/>
          <w:sz w:val="16"/>
          <w:szCs w:val="16"/>
          <w:color w:val="auto"/>
        </w:rPr>
      </w:pPr>
      <w:r>
        <w:rPr>
          <w:rFonts w:ascii="Arial" w:cs="Arial" w:eastAsia="Arial" w:hAnsi="Arial"/>
          <w:sz w:val="16"/>
          <w:szCs w:val="16"/>
          <w:color w:val="auto"/>
        </w:rPr>
        <w:t>Selects, compensates, evaluates and reviews critical audit matters with independent external auditor</w:t>
      </w:r>
    </w:p>
    <w:p>
      <w:pPr>
        <w:spacing w:after="0" w:line="9" w:lineRule="exact"/>
        <w:rPr>
          <w:rFonts w:ascii="Arial" w:cs="Arial" w:eastAsia="Arial" w:hAnsi="Arial"/>
          <w:sz w:val="16"/>
          <w:szCs w:val="16"/>
          <w:color w:val="auto"/>
        </w:rPr>
      </w:pPr>
    </w:p>
    <w:p>
      <w:pPr>
        <w:ind w:left="140" w:right="220" w:hanging="134"/>
        <w:spacing w:after="0" w:line="231" w:lineRule="auto"/>
        <w:tabs>
          <w:tab w:leader="none" w:pos="117"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Reviews with Management and external auditor Annual Reports on Form 10-K, Quarterly Reports on Form 10-Q and earnings releases</w:t>
      </w:r>
    </w:p>
    <w:p>
      <w:pPr>
        <w:spacing w:after="0" w:line="22" w:lineRule="exact"/>
        <w:rPr>
          <w:rFonts w:ascii="Arial" w:cs="Arial" w:eastAsia="Arial" w:hAnsi="Arial"/>
          <w:sz w:val="16"/>
          <w:szCs w:val="16"/>
          <w:color w:val="auto"/>
        </w:rPr>
      </w:pPr>
    </w:p>
    <w:p>
      <w:pPr>
        <w:ind w:left="140" w:hanging="134"/>
        <w:spacing w:after="0" w:line="249" w:lineRule="auto"/>
        <w:tabs>
          <w:tab w:leader="none" w:pos="117" w:val="left"/>
        </w:tabs>
        <w:numPr>
          <w:ilvl w:val="0"/>
          <w:numId w:val="14"/>
        </w:numPr>
        <w:rPr>
          <w:rFonts w:ascii="Arial" w:cs="Arial" w:eastAsia="Arial" w:hAnsi="Arial"/>
          <w:sz w:val="15"/>
          <w:szCs w:val="15"/>
          <w:color w:val="auto"/>
        </w:rPr>
      </w:pPr>
      <w:r>
        <w:rPr>
          <w:rFonts w:ascii="Arial" w:cs="Arial" w:eastAsia="Arial" w:hAnsi="Arial"/>
          <w:sz w:val="15"/>
          <w:szCs w:val="15"/>
          <w:color w:val="auto"/>
        </w:rPr>
        <w:t>Reviews internal audit’s annual audit plans, performance, audit recommendations and applicable responses from Management</w:t>
      </w:r>
    </w:p>
    <w:p>
      <w:pPr>
        <w:spacing w:after="0" w:line="8" w:lineRule="exact"/>
        <w:rPr>
          <w:rFonts w:ascii="Arial" w:cs="Arial" w:eastAsia="Arial" w:hAnsi="Arial"/>
          <w:sz w:val="15"/>
          <w:szCs w:val="15"/>
          <w:color w:val="auto"/>
        </w:rPr>
      </w:pPr>
    </w:p>
    <w:p>
      <w:pPr>
        <w:ind w:left="140" w:right="20" w:hanging="134"/>
        <w:spacing w:after="0" w:line="238" w:lineRule="auto"/>
        <w:tabs>
          <w:tab w:leader="none" w:pos="117"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Reviews Information Services strategy and security activities</w:t>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ind w:left="122" w:hanging="122"/>
        <w:spacing w:after="0" w:line="230" w:lineRule="auto"/>
        <w:tabs>
          <w:tab w:leader="none" w:pos="99"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Reviews general policies and procedures with respect to accounting and financial matters, internal controls and disclosure controls and procedures, and sustainability metrics and disclosures</w:t>
      </w:r>
    </w:p>
    <w:p>
      <w:pPr>
        <w:spacing w:after="0" w:line="9" w:lineRule="exact"/>
        <w:rPr>
          <w:rFonts w:ascii="Arial" w:cs="Arial" w:eastAsia="Arial" w:hAnsi="Arial"/>
          <w:sz w:val="16"/>
          <w:szCs w:val="16"/>
          <w:color w:val="auto"/>
        </w:rPr>
      </w:pPr>
    </w:p>
    <w:p>
      <w:pPr>
        <w:ind w:left="122" w:hanging="122"/>
        <w:spacing w:after="0" w:line="245" w:lineRule="auto"/>
        <w:tabs>
          <w:tab w:leader="none" w:pos="99"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Reviews Code of Conduct and Code of Ethics for CEO and Senior Financial Personnel, and policies and procedures for the receipt, retention and treatment of complaints from employees on accounting, internal accounting controls or auditing matters</w:t>
      </w:r>
    </w:p>
    <w:p>
      <w:pPr>
        <w:spacing w:after="0" w:line="7" w:lineRule="exact"/>
        <w:rPr>
          <w:rFonts w:ascii="Arial" w:cs="Arial" w:eastAsia="Arial" w:hAnsi="Arial"/>
          <w:sz w:val="15"/>
          <w:szCs w:val="15"/>
          <w:color w:val="auto"/>
        </w:rPr>
      </w:pPr>
    </w:p>
    <w:p>
      <w:pPr>
        <w:ind w:left="122" w:right="300" w:hanging="122"/>
        <w:spacing w:after="0" w:line="238" w:lineRule="auto"/>
        <w:tabs>
          <w:tab w:leader="none" w:pos="99"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Provides oversight for the Enterprise Risk Management, or ERM,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-2211705</wp:posOffset>
            </wp:positionH>
            <wp:positionV relativeFrom="paragraph">
              <wp:posOffset>375285</wp:posOffset>
            </wp:positionV>
            <wp:extent cx="596074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9607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Arial" w:cs="Arial" w:eastAsia="Arial" w:hAnsi="Arial"/>
          <w:sz w:val="16"/>
          <w:szCs w:val="16"/>
          <w:b w:val="1"/>
          <w:bCs w:val="1"/>
          <w:color w:val="C00000"/>
        </w:rPr>
        <w:t>Committee Members</w:t>
      </w:r>
      <w:r>
        <w:rPr>
          <w:rFonts w:ascii="Arial" w:cs="Arial" w:eastAsia="Arial" w:hAnsi="Arial"/>
          <w:sz w:val="27"/>
          <w:szCs w:val="27"/>
          <w:b w:val="1"/>
          <w:bCs w:val="1"/>
          <w:color w:val="C00000"/>
          <w:vertAlign w:val="superscript"/>
        </w:rPr>
        <w:t>(1)</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Ms. Cooper (Chair)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Mr. Ellis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Ms. Harless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Mr. Harmening</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Dr. Vale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C00000"/>
        </w:rPr>
        <w:t>During Fiscal 2021</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Number of Meetings: 10</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Number of Executive Sessions:</w:t>
      </w:r>
    </w:p>
    <w:p>
      <w:pPr>
        <w:spacing w:after="0" w:line="14" w:lineRule="exact"/>
        <w:rPr>
          <w:sz w:val="20"/>
          <w:szCs w:val="20"/>
          <w:color w:val="auto"/>
        </w:rPr>
      </w:pPr>
    </w:p>
    <w:p>
      <w:pPr>
        <w:ind w:right="700"/>
        <w:spacing w:after="0" w:line="246" w:lineRule="auto"/>
        <w:rPr>
          <w:sz w:val="20"/>
          <w:szCs w:val="20"/>
          <w:color w:val="auto"/>
        </w:rPr>
      </w:pPr>
      <w:r>
        <w:rPr>
          <w:rFonts w:ascii="Arial" w:cs="Arial" w:eastAsia="Arial" w:hAnsi="Arial"/>
          <w:sz w:val="16"/>
          <w:szCs w:val="16"/>
          <w:color w:val="auto"/>
        </w:rPr>
        <w:t>with Committee – 7 with Management – 7 with internal auditor – 3 with external auditor – 6</w:t>
      </w:r>
    </w:p>
    <w:p>
      <w:pPr>
        <w:spacing w:after="0" w:line="415" w:lineRule="exact"/>
        <w:rPr>
          <w:sz w:val="20"/>
          <w:szCs w:val="20"/>
          <w:color w:val="auto"/>
        </w:rPr>
      </w:pPr>
    </w:p>
    <w:p>
      <w:pPr>
        <w:sectPr>
          <w:pgSz w:w="11900" w:h="16838" w:orient="portrait"/>
          <w:cols w:equalWidth="0" w:num="4">
            <w:col w:w="1380" w:space="520"/>
            <w:col w:w="3160" w:space="278"/>
            <w:col w:w="3342" w:space="120"/>
            <w:col w:w="2400"/>
          </w:cols>
          <w:pgMar w:left="320" w:top="140" w:right="379" w:bottom="1440" w:gutter="0" w:footer="0" w:header="0"/>
          <w:type w:val="continuous"/>
        </w:sectPr>
      </w:pPr>
    </w:p>
    <w:p>
      <w:pPr>
        <w:ind w:left="320" w:hanging="318"/>
        <w:spacing w:after="0" w:line="272" w:lineRule="auto"/>
        <w:rPr>
          <w:sz w:val="20"/>
          <w:szCs w:val="20"/>
          <w:color w:val="auto"/>
        </w:rPr>
      </w:pPr>
      <w:r>
        <w:rPr>
          <w:rFonts w:ascii="Arial" w:cs="Arial" w:eastAsia="Arial" w:hAnsi="Arial"/>
          <w:sz w:val="14"/>
          <w:szCs w:val="14"/>
          <w:color w:val="auto"/>
        </w:rPr>
        <w:t>(1)</w:t>
      </w:r>
      <w:r>
        <w:rPr>
          <w:rFonts w:ascii="Arial" w:cs="Arial" w:eastAsia="Arial" w:hAnsi="Arial"/>
          <w:sz w:val="15"/>
          <w:szCs w:val="15"/>
          <w:color w:val="auto"/>
        </w:rPr>
        <w:t>The Board has determined that all members of the Audit Committee are financially literate and that each of Janet K. Cooper and Gary L. Ellis meets the</w:t>
      </w:r>
      <w:r>
        <w:rPr>
          <w:rFonts w:ascii="Arial" w:cs="Arial" w:eastAsia="Arial" w:hAnsi="Arial"/>
          <w:sz w:val="14"/>
          <w:szCs w:val="14"/>
          <w:color w:val="auto"/>
        </w:rPr>
        <w:t xml:space="preserve"> </w:t>
      </w:r>
      <w:r>
        <w:rPr>
          <w:rFonts w:ascii="Arial" w:cs="Arial" w:eastAsia="Arial" w:hAnsi="Arial"/>
          <w:sz w:val="15"/>
          <w:szCs w:val="15"/>
          <w:color w:val="auto"/>
        </w:rPr>
        <w:t>definition of “audit committee financial expert.” Other members of the Audit Committee who currently are serving or have served as chief executive officers or chief financial officers of other public companies also may be considered financial experts, but the Board has not so designated them.</w:t>
      </w:r>
    </w:p>
    <w:p>
      <w:pPr>
        <w:sectPr>
          <w:pgSz w:w="11900" w:h="16838" w:orient="portrait"/>
          <w:cols w:equalWidth="0" w:num="1">
            <w:col w:w="11200"/>
          </w:cols>
          <w:pgMar w:left="320" w:top="1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FFFFFF"/>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-681990</wp:posOffset>
            </wp:positionV>
            <wp:extent cx="1173480" cy="15367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173480" cy="1536700"/>
                    </a:xfrm>
                    <a:prstGeom prst="rect">
                      <a:avLst/>
                    </a:prstGeom>
                    <a:noFill/>
                  </pic:spPr>
                </pic:pic>
              </a:graphicData>
            </a:graphic>
          </wp:anchor>
        </w:drawing>
      </w:r>
    </w:p>
    <w:p>
      <w:pPr>
        <w:ind w:left="480" w:hanging="416"/>
        <w:spacing w:after="0" w:line="265" w:lineRule="auto"/>
        <w:tabs>
          <w:tab w:leader="none" w:pos="249" w:val="left"/>
        </w:tabs>
        <w:numPr>
          <w:ilvl w:val="0"/>
          <w:numId w:val="16"/>
        </w:numPr>
        <w:rPr>
          <w:rFonts w:ascii="Arial" w:cs="Arial" w:eastAsia="Arial" w:hAnsi="Arial"/>
          <w:sz w:val="17"/>
          <w:szCs w:val="17"/>
          <w:b w:val="1"/>
          <w:bCs w:val="1"/>
          <w:color w:val="FFFFFF"/>
        </w:rPr>
      </w:pPr>
      <w:r>
        <w:rPr>
          <w:rFonts w:ascii="Arial" w:cs="Arial" w:eastAsia="Arial" w:hAnsi="Arial"/>
          <w:sz w:val="17"/>
          <w:szCs w:val="17"/>
          <w:b w:val="1"/>
          <w:bCs w:val="1"/>
          <w:color w:val="FFFFFF"/>
        </w:rPr>
        <w:t>Human Resources Committee</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color w:val="C00000"/>
        </w:rPr>
        <w:t>Key Committee Functions</w:t>
      </w:r>
    </w:p>
    <w:p>
      <w:pPr>
        <w:spacing w:after="0" w:line="49" w:lineRule="exact"/>
        <w:rPr>
          <w:sz w:val="20"/>
          <w:szCs w:val="20"/>
          <w:color w:val="auto"/>
        </w:rPr>
      </w:pPr>
    </w:p>
    <w:p>
      <w:pPr>
        <w:ind w:left="140" w:right="200" w:hanging="134"/>
        <w:spacing w:after="0" w:line="247" w:lineRule="auto"/>
        <w:tabs>
          <w:tab w:leader="none" w:pos="117" w:val="left"/>
        </w:tabs>
        <w:numPr>
          <w:ilvl w:val="0"/>
          <w:numId w:val="17"/>
        </w:numPr>
        <w:rPr>
          <w:rFonts w:ascii="Arial" w:cs="Arial" w:eastAsia="Arial" w:hAnsi="Arial"/>
          <w:sz w:val="15"/>
          <w:szCs w:val="15"/>
          <w:color w:val="auto"/>
        </w:rPr>
      </w:pPr>
      <w:r>
        <w:rPr>
          <w:rFonts w:ascii="Arial" w:cs="Arial" w:eastAsia="Arial" w:hAnsi="Arial"/>
          <w:sz w:val="15"/>
          <w:szCs w:val="15"/>
          <w:color w:val="auto"/>
        </w:rPr>
        <w:t>Approves the annual base salaries, annual and long-term incentive opportunities and other compensation arrangements for the CEO and other executive officers</w:t>
      </w:r>
    </w:p>
    <w:p>
      <w:pPr>
        <w:spacing w:after="0" w:line="7" w:lineRule="exact"/>
        <w:rPr>
          <w:rFonts w:ascii="Arial" w:cs="Arial" w:eastAsia="Arial" w:hAnsi="Arial"/>
          <w:sz w:val="15"/>
          <w:szCs w:val="15"/>
          <w:color w:val="auto"/>
        </w:rPr>
      </w:pPr>
    </w:p>
    <w:p>
      <w:pPr>
        <w:ind w:left="140" w:hanging="134"/>
        <w:spacing w:after="0" w:line="231" w:lineRule="auto"/>
        <w:tabs>
          <w:tab w:leader="none" w:pos="117"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Reviews compensation policies and practices as they affect all employees and relate to risk management practices and risk-taking incentives</w:t>
      </w:r>
    </w:p>
    <w:p>
      <w:pPr>
        <w:spacing w:after="0" w:line="9" w:lineRule="exact"/>
        <w:rPr>
          <w:rFonts w:ascii="Arial" w:cs="Arial" w:eastAsia="Arial" w:hAnsi="Arial"/>
          <w:sz w:val="16"/>
          <w:szCs w:val="16"/>
          <w:color w:val="auto"/>
        </w:rPr>
      </w:pPr>
    </w:p>
    <w:p>
      <w:pPr>
        <w:ind w:left="120" w:hanging="114"/>
        <w:spacing w:after="0"/>
        <w:tabs>
          <w:tab w:leader="none" w:pos="1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Evaluates the CEO’s performance</w:t>
      </w:r>
    </w:p>
    <w:p>
      <w:pPr>
        <w:spacing w:after="0" w:line="15" w:lineRule="exact"/>
        <w:rPr>
          <w:rFonts w:ascii="Arial" w:cs="Arial" w:eastAsia="Arial" w:hAnsi="Arial"/>
          <w:sz w:val="16"/>
          <w:szCs w:val="16"/>
          <w:color w:val="auto"/>
        </w:rPr>
      </w:pPr>
    </w:p>
    <w:p>
      <w:pPr>
        <w:ind w:left="140" w:right="420" w:hanging="134"/>
        <w:spacing w:after="0" w:line="233" w:lineRule="auto"/>
        <w:tabs>
          <w:tab w:leader="none" w:pos="112" w:val="left"/>
        </w:tabs>
        <w:numPr>
          <w:ilvl w:val="0"/>
          <w:numId w:val="17"/>
        </w:numPr>
        <w:rPr>
          <w:rFonts w:ascii="Arial" w:cs="Arial" w:eastAsia="Arial" w:hAnsi="Arial"/>
          <w:sz w:val="16"/>
          <w:szCs w:val="16"/>
          <w:color w:val="auto"/>
        </w:rPr>
      </w:pPr>
      <w:r>
        <w:rPr>
          <w:rFonts w:ascii="Arial" w:cs="Arial" w:eastAsia="Arial" w:hAnsi="Arial"/>
          <w:sz w:val="16"/>
          <w:szCs w:val="16"/>
          <w:color w:val="auto"/>
        </w:rPr>
        <w:t>Oversees human capital management activities, including diversity, equity and inclusion initiatives</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ind w:left="122" w:right="20" w:hanging="122"/>
        <w:spacing w:after="0" w:line="238" w:lineRule="auto"/>
        <w:tabs>
          <w:tab w:leader="none" w:pos="99" w:val="left"/>
        </w:tabs>
        <w:numPr>
          <w:ilvl w:val="0"/>
          <w:numId w:val="18"/>
        </w:numPr>
        <w:rPr>
          <w:rFonts w:ascii="Arial" w:cs="Arial" w:eastAsia="Arial" w:hAnsi="Arial"/>
          <w:sz w:val="16"/>
          <w:szCs w:val="16"/>
          <w:color w:val="auto"/>
        </w:rPr>
      </w:pPr>
      <w:r>
        <w:rPr>
          <w:rFonts w:ascii="Arial" w:cs="Arial" w:eastAsia="Arial" w:hAnsi="Arial"/>
          <w:sz w:val="16"/>
          <w:szCs w:val="16"/>
          <w:color w:val="auto"/>
        </w:rPr>
        <w:t>Approves performance goals for performance based awards</w:t>
      </w:r>
    </w:p>
    <w:p>
      <w:pPr>
        <w:spacing w:after="0" w:line="7" w:lineRule="exact"/>
        <w:rPr>
          <w:rFonts w:ascii="Arial" w:cs="Arial" w:eastAsia="Arial" w:hAnsi="Arial"/>
          <w:sz w:val="16"/>
          <w:szCs w:val="16"/>
          <w:color w:val="auto"/>
        </w:rPr>
      </w:pPr>
    </w:p>
    <w:p>
      <w:pPr>
        <w:ind w:left="122" w:hanging="122"/>
        <w:spacing w:after="0" w:line="229" w:lineRule="auto"/>
        <w:tabs>
          <w:tab w:leader="none" w:pos="99"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Reviews with Management the Compensation Discussion and Analysis, the Committee report on executive compensation and any compensation-related proposals, including say-on-pay and frequency of say-on-pay proposals</w:t>
      </w:r>
    </w:p>
    <w:p>
      <w:pPr>
        <w:spacing w:after="0" w:line="10" w:lineRule="exact"/>
        <w:rPr>
          <w:rFonts w:ascii="Arial" w:cs="Arial" w:eastAsia="Arial" w:hAnsi="Arial"/>
          <w:sz w:val="16"/>
          <w:szCs w:val="16"/>
          <w:color w:val="auto"/>
        </w:rPr>
      </w:pPr>
    </w:p>
    <w:p>
      <w:pPr>
        <w:ind w:left="122" w:right="340" w:hanging="122"/>
        <w:spacing w:after="0" w:line="268" w:lineRule="auto"/>
        <w:tabs>
          <w:tab w:leader="none" w:pos="99" w:val="left"/>
        </w:tabs>
        <w:numPr>
          <w:ilvl w:val="0"/>
          <w:numId w:val="18"/>
        </w:numPr>
        <w:rPr>
          <w:rFonts w:ascii="Arial" w:cs="Arial" w:eastAsia="Arial" w:hAnsi="Arial"/>
          <w:sz w:val="15"/>
          <w:szCs w:val="15"/>
          <w:color w:val="auto"/>
        </w:rPr>
      </w:pPr>
      <w:r>
        <w:rPr>
          <w:rFonts w:ascii="Arial" w:cs="Arial" w:eastAsia="Arial" w:hAnsi="Arial"/>
          <w:sz w:val="15"/>
          <w:szCs w:val="15"/>
          <w:color w:val="auto"/>
        </w:rPr>
        <w:t>Reviews non-employee director compensation components and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-2211705</wp:posOffset>
            </wp:positionH>
            <wp:positionV relativeFrom="paragraph">
              <wp:posOffset>218440</wp:posOffset>
            </wp:positionV>
            <wp:extent cx="596074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9607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color w:val="C00000"/>
        </w:rPr>
        <w:t>Committee Members</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Mr. O’Rourke (Chair)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Mr. Ettinger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Mr. Koch</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Ms. Mullen</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C00000"/>
        </w:rPr>
        <w:t>During Fiscal 2021</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Number of Meetings: 3</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Number of Executive Sessions: 3</w:t>
      </w:r>
    </w:p>
    <w:p>
      <w:pPr>
        <w:spacing w:after="0" w:line="739" w:lineRule="exact"/>
        <w:rPr>
          <w:sz w:val="20"/>
          <w:szCs w:val="20"/>
          <w:color w:val="auto"/>
        </w:rPr>
      </w:pPr>
    </w:p>
    <w:p>
      <w:pPr>
        <w:sectPr>
          <w:pgSz w:w="11900" w:h="16838" w:orient="portrait"/>
          <w:cols w:equalWidth="0" w:num="4">
            <w:col w:w="1800" w:space="100"/>
            <w:col w:w="3320" w:space="118"/>
            <w:col w:w="3342" w:space="120"/>
            <w:col w:w="2400"/>
          </w:cols>
          <w:pgMar w:left="320" w:top="140" w:right="379" w:bottom="1440" w:gutter="0" w:footer="0" w:header="0"/>
          <w:type w:val="continuous"/>
        </w:sectPr>
      </w:pPr>
    </w:p>
    <w:p>
      <w:pPr>
        <w:spacing w:after="0" w:line="200" w:lineRule="exact"/>
        <w:rPr>
          <w:sz w:val="20"/>
          <w:szCs w:val="20"/>
          <w:color w:val="auto"/>
        </w:rPr>
      </w:pPr>
    </w:p>
    <w:p>
      <w:pPr>
        <w:spacing w:after="0" w:line="394"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FFFFFF"/>
        </w:rPr>
        <w:t>Nominating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-497205</wp:posOffset>
            </wp:positionV>
            <wp:extent cx="1173480" cy="11734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173480" cy="117348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b w:val="1"/>
          <w:bCs w:val="1"/>
          <w:color w:val="FFFFFF"/>
        </w:rPr>
        <w:t>Governance</w:t>
      </w:r>
    </w:p>
    <w:p>
      <w:pPr>
        <w:ind w:left="480"/>
        <w:spacing w:after="0"/>
        <w:rPr>
          <w:sz w:val="20"/>
          <w:szCs w:val="20"/>
          <w:color w:val="auto"/>
        </w:rPr>
      </w:pPr>
      <w:r>
        <w:rPr>
          <w:rFonts w:ascii="Arial" w:cs="Arial" w:eastAsia="Arial" w:hAnsi="Arial"/>
          <w:sz w:val="18"/>
          <w:szCs w:val="18"/>
          <w:b w:val="1"/>
          <w:bCs w:val="1"/>
          <w:color w:val="FFFFFF"/>
        </w:rPr>
        <w:t>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C00000"/>
        </w:rPr>
        <w:t>Key Committee Functions</w:t>
      </w:r>
    </w:p>
    <w:p>
      <w:pPr>
        <w:spacing w:after="0" w:line="49" w:lineRule="exact"/>
        <w:rPr>
          <w:sz w:val="20"/>
          <w:szCs w:val="20"/>
          <w:color w:val="auto"/>
        </w:rPr>
      </w:pPr>
    </w:p>
    <w:p>
      <w:pPr>
        <w:ind w:left="140" w:right="140" w:hanging="134"/>
        <w:spacing w:after="0" w:line="233" w:lineRule="auto"/>
        <w:tabs>
          <w:tab w:leader="none" w:pos="117"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Reviews and recommends to the Board the size and composition of the Board and its committees</w:t>
      </w:r>
    </w:p>
    <w:p>
      <w:pPr>
        <w:spacing w:after="0" w:line="9" w:lineRule="exact"/>
        <w:rPr>
          <w:rFonts w:ascii="Arial" w:cs="Arial" w:eastAsia="Arial" w:hAnsi="Arial"/>
          <w:sz w:val="16"/>
          <w:szCs w:val="16"/>
          <w:color w:val="auto"/>
        </w:rPr>
      </w:pPr>
    </w:p>
    <w:p>
      <w:pPr>
        <w:ind w:left="140" w:right="360" w:hanging="134"/>
        <w:spacing w:after="0" w:line="238" w:lineRule="auto"/>
        <w:tabs>
          <w:tab w:leader="none" w:pos="117" w:val="left"/>
        </w:tabs>
        <w:numPr>
          <w:ilvl w:val="0"/>
          <w:numId w:val="19"/>
        </w:numPr>
        <w:rPr>
          <w:rFonts w:ascii="Arial" w:cs="Arial" w:eastAsia="Arial" w:hAnsi="Arial"/>
          <w:sz w:val="16"/>
          <w:szCs w:val="16"/>
          <w:color w:val="auto"/>
        </w:rPr>
      </w:pPr>
      <w:r>
        <w:rPr>
          <w:rFonts w:ascii="Arial" w:cs="Arial" w:eastAsia="Arial" w:hAnsi="Arial"/>
          <w:sz w:val="16"/>
          <w:szCs w:val="16"/>
          <w:color w:val="auto"/>
        </w:rPr>
        <w:t>Identifies individuals qualified to become Board members</w:t>
      </w:r>
    </w:p>
    <w:p>
      <w:pPr>
        <w:spacing w:after="0" w:line="7" w:lineRule="exact"/>
        <w:rPr>
          <w:rFonts w:ascii="Arial" w:cs="Arial" w:eastAsia="Arial" w:hAnsi="Arial"/>
          <w:sz w:val="16"/>
          <w:szCs w:val="16"/>
          <w:color w:val="auto"/>
        </w:rPr>
      </w:pPr>
    </w:p>
    <w:p>
      <w:pPr>
        <w:ind w:left="140" w:hanging="134"/>
        <w:spacing w:after="0" w:line="238" w:lineRule="auto"/>
        <w:tabs>
          <w:tab w:leader="none" w:pos="117"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Recommends to the Board director nominees for election at the annual meeting</w:t>
      </w:r>
    </w:p>
    <w:p>
      <w:pPr>
        <w:spacing w:after="0" w:line="20" w:lineRule="exact"/>
        <w:rPr>
          <w:rFonts w:ascii="Arial" w:cs="Arial" w:eastAsia="Arial" w:hAnsi="Arial"/>
          <w:sz w:val="16"/>
          <w:szCs w:val="16"/>
          <w:color w:val="auto"/>
        </w:rPr>
      </w:pPr>
    </w:p>
    <w:p>
      <w:pPr>
        <w:ind w:left="120" w:hanging="114"/>
        <w:spacing w:after="0"/>
        <w:tabs>
          <w:tab w:leader="none" w:pos="1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Oversees the annual evaluation of the Board</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left="122" w:right="20" w:hanging="122"/>
        <w:spacing w:after="0" w:line="231" w:lineRule="auto"/>
        <w:tabs>
          <w:tab w:leader="none" w:pos="99"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Reviews and recommends to the Board any proposed amendments or changes to Restated Certificate of Incorporation or Amended and Restated Bylaws</w:t>
      </w:r>
    </w:p>
    <w:p>
      <w:pPr>
        <w:spacing w:after="0" w:line="9" w:lineRule="exact"/>
        <w:rPr>
          <w:rFonts w:ascii="Arial" w:cs="Arial" w:eastAsia="Arial" w:hAnsi="Arial"/>
          <w:sz w:val="16"/>
          <w:szCs w:val="16"/>
          <w:color w:val="auto"/>
        </w:rPr>
      </w:pPr>
    </w:p>
    <w:p>
      <w:pPr>
        <w:jc w:val="both"/>
        <w:ind w:left="122" w:hanging="122"/>
        <w:spacing w:after="0" w:line="254" w:lineRule="auto"/>
        <w:tabs>
          <w:tab w:leader="none" w:pos="99"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Reviews Corporate Governance Guidelines and recommends to the Board any changes</w:t>
      </w:r>
    </w:p>
    <w:p>
      <w:pPr>
        <w:spacing w:after="0" w:line="7" w:lineRule="exact"/>
        <w:rPr>
          <w:rFonts w:ascii="Arial" w:cs="Arial" w:eastAsia="Arial" w:hAnsi="Arial"/>
          <w:sz w:val="15"/>
          <w:szCs w:val="15"/>
          <w:color w:val="auto"/>
        </w:rPr>
      </w:pPr>
    </w:p>
    <w:p>
      <w:pPr>
        <w:ind w:left="102" w:hanging="102"/>
        <w:spacing w:after="0"/>
        <w:tabs>
          <w:tab w:leader="none" w:pos="102" w:val="left"/>
        </w:tabs>
        <w:numPr>
          <w:ilvl w:val="0"/>
          <w:numId w:val="20"/>
        </w:numPr>
        <w:rPr>
          <w:rFonts w:ascii="Arial" w:cs="Arial" w:eastAsia="Arial" w:hAnsi="Arial"/>
          <w:sz w:val="16"/>
          <w:szCs w:val="16"/>
          <w:color w:val="auto"/>
        </w:rPr>
      </w:pPr>
      <w:r>
        <w:rPr>
          <w:rFonts w:ascii="Arial" w:cs="Arial" w:eastAsia="Arial" w:hAnsi="Arial"/>
          <w:sz w:val="16"/>
          <w:szCs w:val="16"/>
          <w:color w:val="auto"/>
        </w:rPr>
        <w:t>Monitors corporate governance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-2211705</wp:posOffset>
            </wp:positionH>
            <wp:positionV relativeFrom="paragraph">
              <wp:posOffset>202565</wp:posOffset>
            </wp:positionV>
            <wp:extent cx="596074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9607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C00000"/>
        </w:rPr>
        <w:t>Committee Members</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Mr. Ettinger (Chair)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Mr. Koch</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Ms. Mullen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Mr. O’Rourke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C00000"/>
        </w:rPr>
        <w:t>During Fiscal 2021</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Number of Meetings: 2</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Number of Executive Sessions: 2</w:t>
      </w:r>
    </w:p>
    <w:p>
      <w:pPr>
        <w:spacing w:after="0" w:line="200" w:lineRule="exact"/>
        <w:rPr>
          <w:sz w:val="20"/>
          <w:szCs w:val="20"/>
          <w:color w:val="auto"/>
        </w:rPr>
      </w:pPr>
    </w:p>
    <w:p>
      <w:pPr>
        <w:sectPr>
          <w:pgSz w:w="11900" w:h="16838" w:orient="portrait"/>
          <w:cols w:equalWidth="0" w:num="4">
            <w:col w:w="1500" w:space="400"/>
            <w:col w:w="3320" w:space="118"/>
            <w:col w:w="3222" w:space="240"/>
            <w:col w:w="2400"/>
          </w:cols>
          <w:pgMar w:left="320" w:top="140" w:right="379" w:bottom="1440" w:gutter="0" w:footer="0" w:header="0"/>
          <w:type w:val="continuous"/>
        </w:sectPr>
      </w:pP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57785</wp:posOffset>
            </wp:positionV>
            <wp:extent cx="717677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28" w:name="page29"/>
    <w:bookmarkEnd w:id="2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1173480" cy="1426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173480" cy="1426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FFFFFF"/>
        </w:rPr>
        <w:t>Finance</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FFFFFF"/>
        </w:rPr>
        <w:t>Committee</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b w:val="1"/>
          <w:bCs w:val="1"/>
          <w:color w:val="C00000"/>
        </w:rPr>
        <w:t>Key Committee Functions</w:t>
      </w:r>
    </w:p>
    <w:p>
      <w:pPr>
        <w:spacing w:after="0" w:line="49" w:lineRule="exact"/>
        <w:rPr>
          <w:sz w:val="20"/>
          <w:szCs w:val="20"/>
          <w:color w:val="auto"/>
        </w:rPr>
      </w:pPr>
    </w:p>
    <w:p>
      <w:pPr>
        <w:ind w:left="140" w:right="20" w:hanging="134"/>
        <w:spacing w:after="0" w:line="229" w:lineRule="auto"/>
        <w:tabs>
          <w:tab w:leader="none" w:pos="117"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Reviews, and recommends to the Board as required, capital structure and related financial policies and long-range objectives, capital expenditures, tax strategies and restructuring projects, financing arrangements and cash or any special dividends</w:t>
      </w:r>
    </w:p>
    <w:p>
      <w:pPr>
        <w:spacing w:after="0" w:line="7" w:lineRule="exact"/>
        <w:rPr>
          <w:rFonts w:ascii="Arial" w:cs="Arial" w:eastAsia="Arial" w:hAnsi="Arial"/>
          <w:sz w:val="16"/>
          <w:szCs w:val="16"/>
          <w:color w:val="auto"/>
        </w:rPr>
      </w:pPr>
    </w:p>
    <w:p>
      <w:pPr>
        <w:ind w:left="140" w:hanging="134"/>
        <w:spacing w:after="0" w:line="233" w:lineRule="auto"/>
        <w:tabs>
          <w:tab w:leader="none" w:pos="117"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Reviews and recommends to the Board the authorization for the issuance or repurchase of equity or long-term 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left="122" w:right="380" w:hanging="122"/>
        <w:spacing w:after="0" w:line="249" w:lineRule="auto"/>
        <w:tabs>
          <w:tab w:leader="none" w:pos="99" w:val="left"/>
        </w:tabs>
        <w:numPr>
          <w:ilvl w:val="0"/>
          <w:numId w:val="22"/>
        </w:numPr>
        <w:rPr>
          <w:rFonts w:ascii="Arial" w:cs="Arial" w:eastAsia="Arial" w:hAnsi="Arial"/>
          <w:sz w:val="15"/>
          <w:szCs w:val="15"/>
          <w:color w:val="auto"/>
        </w:rPr>
      </w:pPr>
      <w:r>
        <w:rPr>
          <w:rFonts w:ascii="Arial" w:cs="Arial" w:eastAsia="Arial" w:hAnsi="Arial"/>
          <w:sz w:val="15"/>
          <w:szCs w:val="15"/>
          <w:color w:val="auto"/>
        </w:rPr>
        <w:t>Reviews use of derivative, hedging and similar instruments to manage financial, currency and interest rate exposure</w:t>
      </w:r>
    </w:p>
    <w:p>
      <w:pPr>
        <w:spacing w:after="0" w:line="8" w:lineRule="exact"/>
        <w:rPr>
          <w:rFonts w:ascii="Arial" w:cs="Arial" w:eastAsia="Arial" w:hAnsi="Arial"/>
          <w:sz w:val="15"/>
          <w:szCs w:val="15"/>
          <w:color w:val="auto"/>
        </w:rPr>
      </w:pPr>
    </w:p>
    <w:p>
      <w:pPr>
        <w:ind w:left="122" w:hanging="122"/>
        <w:spacing w:after="0" w:line="230" w:lineRule="auto"/>
        <w:tabs>
          <w:tab w:leader="none" w:pos="99" w:val="left"/>
        </w:tabs>
        <w:numPr>
          <w:ilvl w:val="0"/>
          <w:numId w:val="22"/>
        </w:numPr>
        <w:rPr>
          <w:rFonts w:ascii="Arial" w:cs="Arial" w:eastAsia="Arial" w:hAnsi="Arial"/>
          <w:sz w:val="16"/>
          <w:szCs w:val="16"/>
          <w:color w:val="auto"/>
        </w:rPr>
      </w:pPr>
      <w:r>
        <w:rPr>
          <w:rFonts w:ascii="Arial" w:cs="Arial" w:eastAsia="Arial" w:hAnsi="Arial"/>
          <w:sz w:val="16"/>
          <w:szCs w:val="16"/>
          <w:color w:val="auto"/>
        </w:rPr>
        <w:t>Evaluates, and recommends to the Board as required, financing implications of certain proposed merger, acquisition, divestiture, joint venture and other business combination transactions or investments</w:t>
      </w:r>
    </w:p>
    <w:p>
      <w:pPr>
        <w:spacing w:after="0" w:line="9" w:lineRule="exact"/>
        <w:rPr>
          <w:rFonts w:ascii="Arial" w:cs="Arial" w:eastAsia="Arial" w:hAnsi="Arial"/>
          <w:sz w:val="16"/>
          <w:szCs w:val="16"/>
          <w:color w:val="auto"/>
        </w:rPr>
      </w:pPr>
    </w:p>
    <w:p>
      <w:pPr>
        <w:ind w:left="122" w:right="340" w:hanging="122"/>
        <w:spacing w:after="0" w:line="233" w:lineRule="auto"/>
        <w:tabs>
          <w:tab w:leader="none" w:pos="99" w:val="left"/>
        </w:tabs>
        <w:numPr>
          <w:ilvl w:val="0"/>
          <w:numId w:val="22"/>
        </w:numPr>
        <w:rPr>
          <w:rFonts w:ascii="Arial" w:cs="Arial" w:eastAsia="Arial" w:hAnsi="Arial"/>
          <w:sz w:val="16"/>
          <w:szCs w:val="16"/>
          <w:color w:val="auto"/>
        </w:rPr>
      </w:pPr>
      <w:r>
        <w:rPr>
          <w:rFonts w:ascii="Arial" w:cs="Arial" w:eastAsia="Arial" w:hAnsi="Arial"/>
          <w:sz w:val="16"/>
          <w:szCs w:val="16"/>
          <w:color w:val="auto"/>
        </w:rPr>
        <w:t>Oversees investor relations program, including sustainability engagement and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-2211705</wp:posOffset>
            </wp:positionH>
            <wp:positionV relativeFrom="paragraph">
              <wp:posOffset>13335</wp:posOffset>
            </wp:positionV>
            <wp:extent cx="596074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9607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b w:val="1"/>
          <w:bCs w:val="1"/>
          <w:color w:val="C00000"/>
        </w:rPr>
        <w:t>Committee Members</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Mr. Ellis (Chair)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Ms. Cooper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Ms. Harless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Mr. Harmening</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Dr. Vale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C00000"/>
        </w:rPr>
        <w:t>During Fiscal 2021</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Number of Meetings: 3</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Number of Executive Sessions: 2</w:t>
      </w:r>
    </w:p>
    <w:p>
      <w:pPr>
        <w:spacing w:after="0" w:line="358" w:lineRule="exact"/>
        <w:rPr>
          <w:sz w:val="20"/>
          <w:szCs w:val="20"/>
          <w:color w:val="auto"/>
        </w:rPr>
      </w:pPr>
    </w:p>
    <w:p>
      <w:pPr>
        <w:sectPr>
          <w:pgSz w:w="11900" w:h="16838" w:orient="portrait"/>
          <w:cols w:equalWidth="0" w:num="4">
            <w:col w:w="1380" w:space="520"/>
            <w:col w:w="3240" w:space="198"/>
            <w:col w:w="3302" w:space="160"/>
            <w:col w:w="2400"/>
          </w:cols>
          <w:pgMar w:left="320" w:top="140" w:right="379" w:bottom="1440" w:gutter="0" w:footer="0" w:header="0"/>
        </w:sectPr>
      </w:pPr>
    </w:p>
    <w:p>
      <w:pPr>
        <w:spacing w:after="0"/>
        <w:rPr>
          <w:sz w:val="20"/>
          <w:szCs w:val="20"/>
          <w:color w:val="auto"/>
        </w:rPr>
      </w:pPr>
      <w:r>
        <w:rPr>
          <w:rFonts w:ascii="Arial" w:cs="Arial" w:eastAsia="Arial" w:hAnsi="Arial"/>
          <w:sz w:val="19"/>
          <w:szCs w:val="19"/>
          <w:b w:val="1"/>
          <w:bCs w:val="1"/>
          <w:color w:val="C00000"/>
        </w:rPr>
        <w:t>Board’s Role in Risk Oversight</w:t>
      </w:r>
    </w:p>
    <w:p>
      <w:pPr>
        <w:spacing w:after="0" w:line="127" w:lineRule="exact"/>
        <w:rPr>
          <w:sz w:val="20"/>
          <w:szCs w:val="20"/>
          <w:color w:val="auto"/>
        </w:rPr>
      </w:pPr>
    </w:p>
    <w:p>
      <w:pPr>
        <w:ind w:right="440" w:firstLine="401"/>
        <w:spacing w:after="0" w:line="238" w:lineRule="auto"/>
        <w:rPr>
          <w:sz w:val="20"/>
          <w:szCs w:val="20"/>
          <w:color w:val="auto"/>
        </w:rPr>
      </w:pPr>
      <w:r>
        <w:rPr>
          <w:rFonts w:ascii="Arial" w:cs="Arial" w:eastAsia="Arial" w:hAnsi="Arial"/>
          <w:sz w:val="18"/>
          <w:szCs w:val="18"/>
          <w:color w:val="auto"/>
        </w:rPr>
        <w:t>Management is primarily responsible for the identification, assessment and management of the key risks faced by our Company. We engage in an ERM process, which is coordinated primarily through our internal audit function, and involves:</w:t>
      </w:r>
    </w:p>
    <w:p>
      <w:pPr>
        <w:spacing w:after="0" w:line="42" w:lineRule="exact"/>
        <w:rPr>
          <w:sz w:val="20"/>
          <w:szCs w:val="20"/>
          <w:color w:val="auto"/>
        </w:rPr>
      </w:pPr>
    </w:p>
    <w:p>
      <w:pPr>
        <w:ind w:left="800" w:right="40" w:hanging="395"/>
        <w:spacing w:after="0" w:line="236" w:lineRule="auto"/>
        <w:tabs>
          <w:tab w:leader="none" w:pos="800" w:val="left"/>
        </w:tabs>
        <w:numPr>
          <w:ilvl w:val="0"/>
          <w:numId w:val="23"/>
        </w:numPr>
        <w:rPr>
          <w:rFonts w:ascii="Arial" w:cs="Arial" w:eastAsia="Arial" w:hAnsi="Arial"/>
          <w:sz w:val="16"/>
          <w:szCs w:val="16"/>
          <w:color w:val="auto"/>
        </w:rPr>
      </w:pPr>
      <w:r>
        <w:rPr>
          <w:rFonts w:ascii="Arial" w:cs="Arial" w:eastAsia="Arial" w:hAnsi="Arial"/>
          <w:sz w:val="18"/>
          <w:szCs w:val="18"/>
          <w:color w:val="auto"/>
        </w:rPr>
        <w:t>identification by the executive team and other senior leaders of our company functions and business divisions of the risks relevant to our enterprise-wide strategic priorities of accelerating profitable growth, driving productivity and operational excellence and empowering people;</w:t>
      </w:r>
    </w:p>
    <w:p>
      <w:pPr>
        <w:spacing w:after="0" w:line="40" w:lineRule="exact"/>
        <w:rPr>
          <w:rFonts w:ascii="Arial" w:cs="Arial" w:eastAsia="Arial" w:hAnsi="Arial"/>
          <w:sz w:val="16"/>
          <w:szCs w:val="16"/>
          <w:color w:val="auto"/>
        </w:rPr>
      </w:pPr>
    </w:p>
    <w:p>
      <w:pPr>
        <w:ind w:left="800" w:hanging="395"/>
        <w:spacing w:after="0"/>
        <w:tabs>
          <w:tab w:leader="none" w:pos="800" w:val="left"/>
        </w:tabs>
        <w:numPr>
          <w:ilvl w:val="0"/>
          <w:numId w:val="23"/>
        </w:numPr>
        <w:rPr>
          <w:rFonts w:ascii="Arial" w:cs="Arial" w:eastAsia="Arial" w:hAnsi="Arial"/>
          <w:sz w:val="16"/>
          <w:szCs w:val="16"/>
          <w:color w:val="auto"/>
        </w:rPr>
      </w:pPr>
      <w:r>
        <w:rPr>
          <w:rFonts w:ascii="Arial" w:cs="Arial" w:eastAsia="Arial" w:hAnsi="Arial"/>
          <w:sz w:val="18"/>
          <w:szCs w:val="18"/>
          <w:color w:val="auto"/>
        </w:rPr>
        <w:t>to the extent prudent and feasible, development of strategies and plans to monitor, mitigate and control such risks; and</w:t>
      </w:r>
    </w:p>
    <w:p>
      <w:pPr>
        <w:spacing w:after="0" w:line="45" w:lineRule="exact"/>
        <w:rPr>
          <w:rFonts w:ascii="Arial" w:cs="Arial" w:eastAsia="Arial" w:hAnsi="Arial"/>
          <w:sz w:val="16"/>
          <w:szCs w:val="16"/>
          <w:color w:val="auto"/>
        </w:rPr>
      </w:pPr>
    </w:p>
    <w:p>
      <w:pPr>
        <w:ind w:left="800" w:right="700" w:hanging="395"/>
        <w:spacing w:after="0" w:line="238" w:lineRule="auto"/>
        <w:tabs>
          <w:tab w:leader="none" w:pos="800" w:val="left"/>
        </w:tabs>
        <w:numPr>
          <w:ilvl w:val="0"/>
          <w:numId w:val="23"/>
        </w:numPr>
        <w:rPr>
          <w:rFonts w:ascii="Arial" w:cs="Arial" w:eastAsia="Arial" w:hAnsi="Arial"/>
          <w:sz w:val="16"/>
          <w:szCs w:val="16"/>
          <w:color w:val="auto"/>
        </w:rPr>
      </w:pPr>
      <w:r>
        <w:rPr>
          <w:rFonts w:ascii="Arial" w:cs="Arial" w:eastAsia="Arial" w:hAnsi="Arial"/>
          <w:sz w:val="18"/>
          <w:szCs w:val="18"/>
          <w:color w:val="auto"/>
        </w:rPr>
        <w:t>reports of the identified risks as part of the applicable strategy review or separately as a particular risk review, as considered necessary, to the Board and/or relevant committee, as applicable.</w:t>
      </w:r>
    </w:p>
    <w:p>
      <w:pPr>
        <w:spacing w:after="0" w:line="95" w:lineRule="exact"/>
        <w:rPr>
          <w:sz w:val="20"/>
          <w:szCs w:val="20"/>
          <w:color w:val="auto"/>
        </w:rPr>
      </w:pPr>
    </w:p>
    <w:p>
      <w:pPr>
        <w:ind w:firstLine="401"/>
        <w:spacing w:after="0" w:line="250" w:lineRule="auto"/>
        <w:rPr>
          <w:sz w:val="20"/>
          <w:szCs w:val="20"/>
          <w:color w:val="auto"/>
        </w:rPr>
      </w:pPr>
      <w:r>
        <w:rPr>
          <w:rFonts w:ascii="Arial" w:cs="Arial" w:eastAsia="Arial" w:hAnsi="Arial"/>
          <w:sz w:val="17"/>
          <w:szCs w:val="17"/>
          <w:color w:val="auto"/>
        </w:rPr>
        <w:t>The Board’s oversight of these risks primarily occurs in connection with the exercise of its responsibility to oversee our business, including through the review of our long-term strategic plans, annual operating plans, financial results, merger and acquisition related activities, material legal proceedings, and executive succession plans. In addition, during fiscal 2021, the Board and its committees reviewed and approved the allocation of responsibilities among the various Board committees to further facilitate its oversight of our sustainability efforts, initiatives and progress, with the Board having oversight for the overall sustainability strategy and its alignment with our business strategy.</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Board relies on its committees to assist with risk oversight within their respective areas of responsibility and expertise as follows:</w:t>
      </w:r>
    </w:p>
    <w:p>
      <w:pPr>
        <w:spacing w:after="0" w:line="99" w:lineRule="exact"/>
        <w:rPr>
          <w:sz w:val="20"/>
          <w:szCs w:val="20"/>
          <w:color w:val="auto"/>
        </w:rPr>
      </w:pPr>
    </w:p>
    <w:p>
      <w:pPr>
        <w:ind w:left="800" w:hanging="395"/>
        <w:spacing w:after="0" w:line="232" w:lineRule="auto"/>
        <w:tabs>
          <w:tab w:leader="none" w:pos="800" w:val="left"/>
        </w:tabs>
        <w:numPr>
          <w:ilvl w:val="0"/>
          <w:numId w:val="24"/>
        </w:numPr>
        <w:rPr>
          <w:rFonts w:ascii="Arial" w:cs="Arial" w:eastAsia="Arial" w:hAnsi="Arial"/>
          <w:sz w:val="16"/>
          <w:szCs w:val="16"/>
          <w:color w:val="auto"/>
        </w:rPr>
      </w:pPr>
      <w:r>
        <w:rPr>
          <w:rFonts w:ascii="Arial" w:cs="Arial" w:eastAsia="Arial" w:hAnsi="Arial"/>
          <w:sz w:val="18"/>
          <w:szCs w:val="18"/>
          <w:color w:val="auto"/>
        </w:rPr>
        <w:t>The Audit Committee assists through its oversight of the quality and integrity of our financial reports; compliance with applicable legal and regulatory requirements; qualifications, performance and independence of our external auditor; performance of our internal audit function; accounting and reporting processes, including those in connection with business combination purchase accounting and accounting and financial reporting integration activities; strategy, performance and experience of our information technology and security function and practices, including those related to cybersecurity; performance of our health and safety program; our Code of Conduct and ethics program; our general policies and procedures regarding accounting and financial matters and internal controls; and disclosure controls and assurance of the accuracy of sustainability metrics and disclosures. The Audit Committee is also responsible for providing oversight of our ERM process by discussing our procedures with respect to risk assessment and risk management, including our major financial and business risk exposures and the steps Management has taken to monitor, mitigate and control such exposures.</w:t>
      </w:r>
    </w:p>
    <w:p>
      <w:pPr>
        <w:spacing w:after="0" w:line="99" w:lineRule="exact"/>
        <w:rPr>
          <w:rFonts w:ascii="Arial" w:cs="Arial" w:eastAsia="Arial" w:hAnsi="Arial"/>
          <w:sz w:val="16"/>
          <w:szCs w:val="16"/>
          <w:color w:val="auto"/>
        </w:rPr>
      </w:pPr>
    </w:p>
    <w:p>
      <w:pPr>
        <w:ind w:left="800" w:right="40" w:hanging="395"/>
        <w:spacing w:after="0" w:line="233" w:lineRule="auto"/>
        <w:tabs>
          <w:tab w:leader="none" w:pos="800" w:val="left"/>
        </w:tabs>
        <w:numPr>
          <w:ilvl w:val="0"/>
          <w:numId w:val="24"/>
        </w:numPr>
        <w:rPr>
          <w:rFonts w:ascii="Arial" w:cs="Arial" w:eastAsia="Arial" w:hAnsi="Arial"/>
          <w:sz w:val="16"/>
          <w:szCs w:val="16"/>
          <w:color w:val="auto"/>
        </w:rPr>
      </w:pPr>
      <w:r>
        <w:rPr>
          <w:rFonts w:ascii="Arial" w:cs="Arial" w:eastAsia="Arial" w:hAnsi="Arial"/>
          <w:sz w:val="18"/>
          <w:szCs w:val="18"/>
          <w:color w:val="auto"/>
        </w:rPr>
        <w:t>The Compensation &amp; Human Resources Committee assists through its oversight of our compensation and human capital management programs and policies, including executive compensation, organizational, diversity, equity and inclusion, and corporate culture plans and strategies. In general, the Compensation &amp; Human Resources Committee will have oversight for social factors included as part of our sustainability platform. A discussion of the Compensation &amp; Human Resources Committee’s assessment of compensation policies and practices as they relate to our Company’s risk management is found under “Assessment of Risk Related to Compensation Program.”</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98" w:lineRule="exact"/>
        <w:rPr>
          <w:sz w:val="20"/>
          <w:szCs w:val="20"/>
          <w:color w:val="auto"/>
        </w:rPr>
      </w:pPr>
    </w:p>
    <w:p>
      <w:pPr>
        <w:ind w:left="800" w:right="40" w:hanging="395"/>
        <w:spacing w:after="0" w:line="233" w:lineRule="auto"/>
        <w:tabs>
          <w:tab w:leader="none" w:pos="800" w:val="left"/>
        </w:tabs>
        <w:numPr>
          <w:ilvl w:val="0"/>
          <w:numId w:val="25"/>
        </w:numPr>
        <w:rPr>
          <w:rFonts w:ascii="Arial" w:cs="Arial" w:eastAsia="Arial" w:hAnsi="Arial"/>
          <w:sz w:val="16"/>
          <w:szCs w:val="16"/>
          <w:color w:val="auto"/>
        </w:rPr>
      </w:pPr>
      <w:r>
        <w:rPr>
          <w:rFonts w:ascii="Arial" w:cs="Arial" w:eastAsia="Arial" w:hAnsi="Arial"/>
          <w:sz w:val="18"/>
          <w:szCs w:val="18"/>
          <w:color w:val="auto"/>
        </w:rPr>
        <w:t>The Finance Committee assists through its oversight of our capital structure and related policies; long- range objectives; tax strategies and restructuring projects; financing requirements and arrangements, including any pricing or other performance metrics tied to our sustainability performance; equity and debt issuances and repurchases; use of derivative, hedging and similar instruments; annual capital budget and capital expenditures; D&amp;O and liability insurance coverage; the delegated responsibilities of our Management Investment Committee relating to our ERISA-regulated employee benefit plans; through its evaluation of, among other things, the financial impact of certain proposed business combination transactions; and shareholder engagement activities and disclosures, including with regard to environmental, social and governance, or ESG, and our sustainability platform.</w:t>
      </w:r>
    </w:p>
    <w:p>
      <w:pPr>
        <w:spacing w:after="0" w:line="95" w:lineRule="exact"/>
        <w:rPr>
          <w:rFonts w:ascii="Arial" w:cs="Arial" w:eastAsia="Arial" w:hAnsi="Arial"/>
          <w:sz w:val="16"/>
          <w:szCs w:val="16"/>
          <w:color w:val="auto"/>
        </w:rPr>
      </w:pPr>
    </w:p>
    <w:p>
      <w:pPr>
        <w:ind w:left="800" w:hanging="395"/>
        <w:spacing w:after="0" w:line="251" w:lineRule="auto"/>
        <w:tabs>
          <w:tab w:leader="none" w:pos="800" w:val="left"/>
        </w:tabs>
        <w:numPr>
          <w:ilvl w:val="0"/>
          <w:numId w:val="25"/>
        </w:numPr>
        <w:rPr>
          <w:rFonts w:ascii="Arial" w:cs="Arial" w:eastAsia="Arial" w:hAnsi="Arial"/>
          <w:sz w:val="15"/>
          <w:szCs w:val="15"/>
          <w:color w:val="auto"/>
        </w:rPr>
      </w:pPr>
      <w:r>
        <w:rPr>
          <w:rFonts w:ascii="Arial" w:cs="Arial" w:eastAsia="Arial" w:hAnsi="Arial"/>
          <w:sz w:val="17"/>
          <w:szCs w:val="17"/>
          <w:color w:val="auto"/>
        </w:rPr>
        <w:t>The Nominating &amp; Governance Committee assists through its oversight of our overall corporate governance structure and policies, including director nominations, director retirements, director independence and qualifications, Board leadership structure, Board committee structure, ESG considerations not included as part of the sustainability oversight allocated to the Board or other committees of the Board, which, in particular, includes review of certain ESG ratings, and monitoring of corporate governance trends.</w:t>
      </w:r>
    </w:p>
    <w:p>
      <w:pPr>
        <w:spacing w:after="0" w:line="86" w:lineRule="exact"/>
        <w:rPr>
          <w:sz w:val="20"/>
          <w:szCs w:val="20"/>
          <w:color w:val="auto"/>
        </w:rPr>
      </w:pPr>
    </w:p>
    <w:p>
      <w:pPr>
        <w:ind w:right="20" w:firstLine="401"/>
        <w:spacing w:after="0" w:line="255" w:lineRule="auto"/>
        <w:rPr>
          <w:sz w:val="20"/>
          <w:szCs w:val="20"/>
          <w:color w:val="auto"/>
        </w:rPr>
      </w:pPr>
      <w:r>
        <w:rPr>
          <w:rFonts w:ascii="Arial" w:cs="Arial" w:eastAsia="Arial" w:hAnsi="Arial"/>
          <w:sz w:val="17"/>
          <w:szCs w:val="17"/>
          <w:color w:val="auto"/>
        </w:rPr>
        <w:t>The Board believes that its oversight of risk is enhanced by its current leadership structure, as previously discussed, because our Chairman and CEO, who is ultimately responsible for the Company’s risk responsibility, also chairs regular Board meetings and, with his in-depth knowledge and understanding of our Company, is well positioned to bring key business issues and risks to the attention of the full Board.</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Executive Compensation Process</w:t>
      </w:r>
    </w:p>
    <w:p>
      <w:pPr>
        <w:spacing w:after="0" w:line="127" w:lineRule="exact"/>
        <w:rPr>
          <w:sz w:val="20"/>
          <w:szCs w:val="20"/>
          <w:color w:val="auto"/>
        </w:rPr>
      </w:pPr>
    </w:p>
    <w:p>
      <w:pPr>
        <w:ind w:right="100" w:firstLine="401"/>
        <w:spacing w:after="0" w:line="238" w:lineRule="auto"/>
        <w:rPr>
          <w:sz w:val="20"/>
          <w:szCs w:val="20"/>
          <w:color w:val="auto"/>
        </w:rPr>
      </w:pPr>
      <w:r>
        <w:rPr>
          <w:rFonts w:ascii="Arial" w:cs="Arial" w:eastAsia="Arial" w:hAnsi="Arial"/>
          <w:sz w:val="18"/>
          <w:szCs w:val="18"/>
          <w:color w:val="auto"/>
        </w:rPr>
        <w:t>At the beginning of each fiscal year, the Compensation &amp; Human Resources Committee reviews and approves compensation for each of our executive officers which generally includes:</w:t>
      </w:r>
    </w:p>
    <w:p>
      <w:pPr>
        <w:spacing w:after="0" w:line="42" w:lineRule="exact"/>
        <w:rPr>
          <w:sz w:val="20"/>
          <w:szCs w:val="20"/>
          <w:color w:val="auto"/>
        </w:rPr>
      </w:pPr>
    </w:p>
    <w:p>
      <w:pPr>
        <w:ind w:left="800" w:hanging="395"/>
        <w:spacing w:after="0"/>
        <w:tabs>
          <w:tab w:leader="none" w:pos="800" w:val="left"/>
        </w:tabs>
        <w:numPr>
          <w:ilvl w:val="0"/>
          <w:numId w:val="26"/>
        </w:numPr>
        <w:rPr>
          <w:rFonts w:ascii="Arial" w:cs="Arial" w:eastAsia="Arial" w:hAnsi="Arial"/>
          <w:sz w:val="16"/>
          <w:szCs w:val="16"/>
          <w:color w:val="auto"/>
        </w:rPr>
      </w:pPr>
      <w:r>
        <w:rPr>
          <w:rFonts w:ascii="Arial" w:cs="Arial" w:eastAsia="Arial" w:hAnsi="Arial"/>
          <w:sz w:val="18"/>
          <w:szCs w:val="18"/>
          <w:color w:val="auto"/>
        </w:rPr>
        <w:t>changes, if any, to base salary; and</w:t>
      </w:r>
    </w:p>
    <w:p>
      <w:pPr>
        <w:spacing w:after="0" w:line="45" w:lineRule="exact"/>
        <w:rPr>
          <w:rFonts w:ascii="Arial" w:cs="Arial" w:eastAsia="Arial" w:hAnsi="Arial"/>
          <w:sz w:val="16"/>
          <w:szCs w:val="16"/>
          <w:color w:val="auto"/>
        </w:rPr>
      </w:pPr>
    </w:p>
    <w:p>
      <w:pPr>
        <w:ind w:left="800" w:hanging="395"/>
        <w:spacing w:after="0"/>
        <w:tabs>
          <w:tab w:leader="none" w:pos="800" w:val="left"/>
        </w:tabs>
        <w:numPr>
          <w:ilvl w:val="0"/>
          <w:numId w:val="26"/>
        </w:numPr>
        <w:rPr>
          <w:rFonts w:ascii="Arial" w:cs="Arial" w:eastAsia="Arial" w:hAnsi="Arial"/>
          <w:sz w:val="16"/>
          <w:szCs w:val="16"/>
          <w:color w:val="auto"/>
        </w:rPr>
      </w:pPr>
      <w:r>
        <w:rPr>
          <w:rFonts w:ascii="Arial" w:cs="Arial" w:eastAsia="Arial" w:hAnsi="Arial"/>
          <w:sz w:val="18"/>
          <w:szCs w:val="18"/>
          <w:color w:val="auto"/>
        </w:rPr>
        <w:t>incentive awards, including:</w:t>
      </w:r>
    </w:p>
    <w:p>
      <w:pPr>
        <w:spacing w:after="0" w:line="45" w:lineRule="exact"/>
        <w:rPr>
          <w:rFonts w:ascii="Arial" w:cs="Arial" w:eastAsia="Arial" w:hAnsi="Arial"/>
          <w:sz w:val="16"/>
          <w:szCs w:val="16"/>
          <w:color w:val="auto"/>
        </w:rPr>
      </w:pPr>
    </w:p>
    <w:p>
      <w:pPr>
        <w:ind w:left="1200" w:right="260" w:hanging="396"/>
        <w:spacing w:after="0" w:line="236" w:lineRule="auto"/>
        <w:tabs>
          <w:tab w:leader="none" w:pos="12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annual cash incentive awards for the current fiscal year, including (i) participation targets expressed as a percentage of base salary, target payout amounts and maximum cash payout amounts; and (ii) performance measures, weightings, goals and adjustment events; and</w:t>
      </w:r>
    </w:p>
    <w:p>
      <w:pPr>
        <w:spacing w:after="0" w:line="40" w:lineRule="exact"/>
        <w:rPr>
          <w:rFonts w:ascii="Arial" w:cs="Arial" w:eastAsia="Arial" w:hAnsi="Arial"/>
          <w:sz w:val="18"/>
          <w:szCs w:val="18"/>
          <w:color w:val="auto"/>
        </w:rPr>
      </w:pPr>
    </w:p>
    <w:p>
      <w:pPr>
        <w:jc w:val="both"/>
        <w:ind w:left="1200" w:right="20" w:hanging="396"/>
        <w:spacing w:after="0" w:line="236" w:lineRule="auto"/>
        <w:tabs>
          <w:tab w:leader="none" w:pos="12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long-term incentive awards, including (i) stock option awards; and (ii) three-year performance share awards, including (a) target share payout amounts and maximum share payout amounts, and (b) performance measures, weightings, goals and adjustment events.</w:t>
      </w:r>
    </w:p>
    <w:p>
      <w:pPr>
        <w:spacing w:after="0" w:line="9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connection with this review and approval, the Compensation &amp; Human Resources Committee evaluates information regarding:</w:t>
      </w:r>
    </w:p>
    <w:p>
      <w:pPr>
        <w:spacing w:after="0" w:line="46" w:lineRule="exact"/>
        <w:rPr>
          <w:sz w:val="20"/>
          <w:szCs w:val="20"/>
          <w:color w:val="auto"/>
        </w:rPr>
      </w:pPr>
    </w:p>
    <w:p>
      <w:pPr>
        <w:ind w:left="800" w:right="180" w:hanging="395"/>
        <w:spacing w:after="0" w:line="238" w:lineRule="auto"/>
        <w:tabs>
          <w:tab w:leader="none" w:pos="800" w:val="left"/>
        </w:tabs>
        <w:numPr>
          <w:ilvl w:val="0"/>
          <w:numId w:val="27"/>
        </w:numPr>
        <w:rPr>
          <w:rFonts w:ascii="Arial" w:cs="Arial" w:eastAsia="Arial" w:hAnsi="Arial"/>
          <w:sz w:val="16"/>
          <w:szCs w:val="16"/>
          <w:color w:val="auto"/>
        </w:rPr>
      </w:pPr>
      <w:r>
        <w:rPr>
          <w:rFonts w:ascii="Arial" w:cs="Arial" w:eastAsia="Arial" w:hAnsi="Arial"/>
          <w:sz w:val="18"/>
          <w:szCs w:val="18"/>
          <w:color w:val="auto"/>
        </w:rPr>
        <w:t>market base salary, total cash compensation and total direct compensation data and analysis prepared by its independent external compensation consultant;</w:t>
      </w:r>
    </w:p>
    <w:p>
      <w:pPr>
        <w:spacing w:after="0" w:line="41" w:lineRule="exact"/>
        <w:rPr>
          <w:rFonts w:ascii="Arial" w:cs="Arial" w:eastAsia="Arial" w:hAnsi="Arial"/>
          <w:sz w:val="16"/>
          <w:szCs w:val="16"/>
          <w:color w:val="auto"/>
        </w:rPr>
      </w:pPr>
    </w:p>
    <w:p>
      <w:pPr>
        <w:ind w:left="800" w:hanging="395"/>
        <w:spacing w:after="0"/>
        <w:tabs>
          <w:tab w:leader="none" w:pos="800" w:val="left"/>
        </w:tabs>
        <w:numPr>
          <w:ilvl w:val="0"/>
          <w:numId w:val="27"/>
        </w:numPr>
        <w:rPr>
          <w:rFonts w:ascii="Arial" w:cs="Arial" w:eastAsia="Arial" w:hAnsi="Arial"/>
          <w:sz w:val="16"/>
          <w:szCs w:val="16"/>
          <w:color w:val="auto"/>
        </w:rPr>
      </w:pPr>
      <w:r>
        <w:rPr>
          <w:rFonts w:ascii="Arial" w:cs="Arial" w:eastAsia="Arial" w:hAnsi="Arial"/>
          <w:sz w:val="18"/>
          <w:szCs w:val="18"/>
          <w:color w:val="auto"/>
        </w:rPr>
        <w:t>total cash compensation to be paid for the fiscal year if annual cash incentive awards are achieved and paid at target;</w:t>
      </w:r>
    </w:p>
    <w:p>
      <w:pPr>
        <w:spacing w:after="0" w:line="45" w:lineRule="exact"/>
        <w:rPr>
          <w:rFonts w:ascii="Arial" w:cs="Arial" w:eastAsia="Arial" w:hAnsi="Arial"/>
          <w:sz w:val="16"/>
          <w:szCs w:val="16"/>
          <w:color w:val="auto"/>
        </w:rPr>
      </w:pPr>
    </w:p>
    <w:p>
      <w:pPr>
        <w:ind w:left="800" w:hanging="395"/>
        <w:spacing w:after="0"/>
        <w:tabs>
          <w:tab w:leader="none" w:pos="800" w:val="left"/>
        </w:tabs>
        <w:numPr>
          <w:ilvl w:val="0"/>
          <w:numId w:val="27"/>
        </w:numPr>
        <w:rPr>
          <w:rFonts w:ascii="Arial" w:cs="Arial" w:eastAsia="Arial" w:hAnsi="Arial"/>
          <w:sz w:val="16"/>
          <w:szCs w:val="16"/>
          <w:color w:val="auto"/>
        </w:rPr>
      </w:pPr>
      <w:r>
        <w:rPr>
          <w:rFonts w:ascii="Arial" w:cs="Arial" w:eastAsia="Arial" w:hAnsi="Arial"/>
          <w:sz w:val="18"/>
          <w:szCs w:val="18"/>
          <w:color w:val="auto"/>
        </w:rPr>
        <w:t>prior fiscal year target equity values; and</w:t>
      </w:r>
    </w:p>
    <w:p>
      <w:pPr>
        <w:spacing w:after="0" w:line="45" w:lineRule="exact"/>
        <w:rPr>
          <w:rFonts w:ascii="Arial" w:cs="Arial" w:eastAsia="Arial" w:hAnsi="Arial"/>
          <w:sz w:val="16"/>
          <w:szCs w:val="16"/>
          <w:color w:val="auto"/>
        </w:rPr>
      </w:pPr>
    </w:p>
    <w:p>
      <w:pPr>
        <w:ind w:left="800" w:hanging="395"/>
        <w:spacing w:after="0"/>
        <w:tabs>
          <w:tab w:leader="none" w:pos="800" w:val="left"/>
        </w:tabs>
        <w:numPr>
          <w:ilvl w:val="0"/>
          <w:numId w:val="27"/>
        </w:numPr>
        <w:rPr>
          <w:rFonts w:ascii="Arial" w:cs="Arial" w:eastAsia="Arial" w:hAnsi="Arial"/>
          <w:sz w:val="16"/>
          <w:szCs w:val="16"/>
          <w:color w:val="auto"/>
        </w:rPr>
      </w:pPr>
      <w:r>
        <w:rPr>
          <w:rFonts w:ascii="Arial" w:cs="Arial" w:eastAsia="Arial" w:hAnsi="Arial"/>
          <w:sz w:val="18"/>
          <w:szCs w:val="18"/>
          <w:color w:val="auto"/>
        </w:rPr>
        <w:t>total direct compensation for the fiscal year, assuming equity awards at target.</w:t>
      </w:r>
    </w:p>
    <w:p>
      <w:pPr>
        <w:spacing w:after="0" w:line="99" w:lineRule="exact"/>
        <w:rPr>
          <w:sz w:val="20"/>
          <w:szCs w:val="20"/>
          <w:color w:val="auto"/>
        </w:rPr>
      </w:pPr>
    </w:p>
    <w:p>
      <w:pPr>
        <w:ind w:right="100"/>
        <w:spacing w:after="0" w:line="233" w:lineRule="auto"/>
        <w:rPr>
          <w:sz w:val="20"/>
          <w:szCs w:val="20"/>
          <w:color w:val="auto"/>
        </w:rPr>
      </w:pPr>
      <w:r>
        <w:rPr>
          <w:rFonts w:ascii="Arial" w:cs="Arial" w:eastAsia="Arial" w:hAnsi="Arial"/>
          <w:sz w:val="18"/>
          <w:szCs w:val="18"/>
          <w:color w:val="auto"/>
        </w:rPr>
        <w:t>Additionally, the Committee obtains executive compensation recommendations from our Chairman and CEO, Vice President, Human Resources, and General Counsel, and Managing Director, Total Rewards and Employee Services that reflect individual performance; future potential; corporate and/or division performance, as applicable; tenure in the position; comparison to market; level of professional experience; duties and responsibilities; internal pay equity comparisons; and outside market factors, including general economic conditions. In addition, as needed during the fiscal year, the Committee reviews significant events that have occurred at our Company, including merger and acquisition activity, and assesses whether such events necessitate a change in compensation for our executive officers.</w:t>
      </w:r>
    </w:p>
    <w:p>
      <w:pPr>
        <w:spacing w:after="0" w:line="97" w:lineRule="exact"/>
        <w:rPr>
          <w:sz w:val="20"/>
          <w:szCs w:val="20"/>
          <w:color w:val="auto"/>
        </w:rPr>
      </w:pPr>
    </w:p>
    <w:p>
      <w:pPr>
        <w:ind w:right="60" w:firstLine="401"/>
        <w:spacing w:after="0" w:line="234" w:lineRule="auto"/>
        <w:rPr>
          <w:sz w:val="20"/>
          <w:szCs w:val="20"/>
          <w:color w:val="auto"/>
        </w:rPr>
      </w:pPr>
      <w:r>
        <w:rPr>
          <w:rFonts w:ascii="Arial" w:cs="Arial" w:eastAsia="Arial" w:hAnsi="Arial"/>
          <w:sz w:val="18"/>
          <w:szCs w:val="18"/>
          <w:color w:val="auto"/>
        </w:rPr>
        <w:t>Neither the Chairman and CEO nor the Vice President, Human Resources and General Counsel provide input or recommendations with respect to his or her own compensation. The Chair of the Committee is also responsible for coordinating a performance evaluation for the Chairman and CEO based on feedback from all non-employee directors in connection with the ratification of the Chairman and CEO’s compensation by the Board. Information on the compensation of our named executive officers is found under “Executive Compensation.” Also, at the</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98" w:lineRule="exact"/>
        <w:rPr>
          <w:sz w:val="20"/>
          <w:szCs w:val="20"/>
          <w:color w:val="auto"/>
        </w:rPr>
      </w:pPr>
    </w:p>
    <w:p>
      <w:pPr>
        <w:ind w:right="540"/>
        <w:spacing w:after="0" w:line="238" w:lineRule="auto"/>
        <w:rPr>
          <w:sz w:val="20"/>
          <w:szCs w:val="20"/>
          <w:color w:val="auto"/>
        </w:rPr>
      </w:pPr>
      <w:r>
        <w:rPr>
          <w:rFonts w:ascii="Arial" w:cs="Arial" w:eastAsia="Arial" w:hAnsi="Arial"/>
          <w:sz w:val="18"/>
          <w:szCs w:val="18"/>
          <w:color w:val="auto"/>
        </w:rPr>
        <w:t>beginning of each fiscal year, the Committee certifies the achievement of the applicable performance goals previously established by the Committee for the annual cash incentive awards and performance share awards and approves resulting payouts, if any.</w:t>
      </w:r>
    </w:p>
    <w:p>
      <w:pPr>
        <w:spacing w:after="0" w:line="95" w:lineRule="exact"/>
        <w:rPr>
          <w:sz w:val="20"/>
          <w:szCs w:val="20"/>
          <w:color w:val="auto"/>
        </w:rPr>
      </w:pPr>
    </w:p>
    <w:p>
      <w:pPr>
        <w:ind w:firstLine="401"/>
        <w:spacing w:after="0" w:line="246" w:lineRule="auto"/>
        <w:rPr>
          <w:sz w:val="20"/>
          <w:szCs w:val="20"/>
          <w:color w:val="auto"/>
        </w:rPr>
      </w:pPr>
      <w:r>
        <w:rPr>
          <w:rFonts w:ascii="Arial" w:cs="Arial" w:eastAsia="Arial" w:hAnsi="Arial"/>
          <w:sz w:val="17"/>
          <w:szCs w:val="17"/>
          <w:color w:val="auto"/>
        </w:rPr>
        <w:t>The Compensation &amp; Human Resources Committee retained Willis Towers Watson to assist in the evaluation and review of our executive compensation program during fiscal 2021. Additional information regarding the role of Willis Towers Watson during fiscal 2021 is found under “Compensation Discussion and Analysis—Role of the Independent External Compensation Consultant.” From time to time, the Committee also has engaged Willis Towers Watson to perform other compensation consulting services, which in fiscal 2021 included a review of non-employee director compensation, an assessment of risk as it relates to our incentive plans, compensation consulting services relating to incentive plan performance measures and marketplace practices, and consulting services relating to The Toro Company 2022 Equity and Incentive Plan, including reviewing and preparing plan documents and performing data review and modeling. For the services performed for us in fiscal 2021, the Committee assessed the independence of Willis Towers Watson pursuant to SEC and NYSE rules and concluded that the work of Willis Towers Watson did not raise any conflicts of interest. Representatives from Willis Towers Watson attended all of the Committee meetings in fiscal 2021, including executive sessions without Management present, to act as a resource to the Committee in carrying out its responsibilities. The Committee, through its Chair, can request an independent meeting with representatives from our independent external compensation consultant at any time. The Committee also has the authority to obtain advice and assistance from external legal, accounting or other advisers.</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Director Nomination and Refreshment Process</w:t>
      </w:r>
    </w:p>
    <w:p>
      <w:pPr>
        <w:spacing w:after="0" w:line="127" w:lineRule="exact"/>
        <w:rPr>
          <w:sz w:val="20"/>
          <w:szCs w:val="20"/>
          <w:color w:val="auto"/>
        </w:rPr>
      </w:pPr>
    </w:p>
    <w:p>
      <w:pPr>
        <w:ind w:firstLine="401"/>
        <w:spacing w:after="0" w:line="234" w:lineRule="auto"/>
        <w:rPr>
          <w:sz w:val="20"/>
          <w:szCs w:val="20"/>
          <w:color w:val="auto"/>
        </w:rPr>
      </w:pPr>
      <w:r>
        <w:rPr>
          <w:rFonts w:ascii="Arial" w:cs="Arial" w:eastAsia="Arial" w:hAnsi="Arial"/>
          <w:sz w:val="18"/>
          <w:szCs w:val="18"/>
          <w:color w:val="auto"/>
        </w:rPr>
        <w:t>In identifying new nominees for election to the Board when vacancies occur, the Nominating &amp; Governance Committee may solicit recommendations for nominees from other members of our Board or Senior Management. In addition, the Committee may (i) consider candidates put forth by external search or placement firms, (ii) formally engage such firms to assist it in identifying and evaluating qualified nominees, and/or (iii) consider certain individuals who contacted the Chairman of the Board, the Lead Independent Director and/or the Board of Directors and expressed an interest in serving on the Board.</w:t>
      </w:r>
    </w:p>
    <w:p>
      <w:pPr>
        <w:spacing w:after="0" w:line="95" w:lineRule="exact"/>
        <w:rPr>
          <w:sz w:val="20"/>
          <w:szCs w:val="20"/>
          <w:color w:val="auto"/>
        </w:rPr>
      </w:pPr>
    </w:p>
    <w:p>
      <w:pPr>
        <w:ind w:firstLine="401"/>
        <w:spacing w:after="0" w:line="232" w:lineRule="auto"/>
        <w:rPr>
          <w:sz w:val="20"/>
          <w:szCs w:val="20"/>
          <w:color w:val="auto"/>
        </w:rPr>
      </w:pPr>
      <w:r>
        <w:rPr>
          <w:rFonts w:ascii="Arial" w:cs="Arial" w:eastAsia="Arial" w:hAnsi="Arial"/>
          <w:sz w:val="18"/>
          <w:szCs w:val="18"/>
          <w:color w:val="auto"/>
        </w:rPr>
        <w:t>When reviewing the requisite skills and characteristics of potential new director nominees, the Nominating &amp; Governance Committee, pursuant to our Corporate Governance Guidelines, will consider a variety of criteria, including an individual’s independence, diversity, age, skills, and current and past business, professional and industry experience, each in the context of the needs of the Board as a whole. Although the Committee does not have a formal policy regarding consideration of diversity in identifying director nominees, the Committee will evaluate a nominee based on his or her background, skills, business and professional experiences, industry affiliations, viewpoints, and geographical representation, as well as more traditional diversity factors. As a result, the composition of the current Board reflects diversity in business and professional experiences, age, gender, race/ethnicity, background and skills. In addition, the Committee and the Board are committed to having a Board that is diverse from a gender, race and/or ethnicity perspective and will look to add individuals to our Board that have such diversity attributes, along with requisite experience, to further bolster the diversity of our Board as opportunities arise.</w:t>
      </w:r>
    </w:p>
    <w:p>
      <w:pPr>
        <w:spacing w:after="0" w:line="101" w:lineRule="exact"/>
        <w:rPr>
          <w:sz w:val="20"/>
          <w:szCs w:val="20"/>
          <w:color w:val="auto"/>
        </w:rPr>
      </w:pPr>
    </w:p>
    <w:p>
      <w:pPr>
        <w:jc w:val="both"/>
        <w:ind w:right="240" w:firstLine="401"/>
        <w:spacing w:after="0" w:line="235" w:lineRule="auto"/>
        <w:rPr>
          <w:sz w:val="20"/>
          <w:szCs w:val="20"/>
          <w:color w:val="auto"/>
        </w:rPr>
      </w:pPr>
      <w:r>
        <w:rPr>
          <w:rFonts w:ascii="Arial" w:cs="Arial" w:eastAsia="Arial" w:hAnsi="Arial"/>
          <w:sz w:val="18"/>
          <w:szCs w:val="18"/>
          <w:color w:val="auto"/>
        </w:rPr>
        <w:t>Once a proposed candidate is identified, the Nominating &amp; Governance Committee may solicit the views of Senior Management, Board members and any other individuals it believes may have insight into a particular candidate. The Committee may designate one or more of its members and/or other Board members to interview any proposed candidate. The Committee then will recommend a director nominee to the Board based on its evaluation of such criteria.</w:t>
      </w:r>
    </w:p>
    <w:p>
      <w:pPr>
        <w:spacing w:after="0" w:line="93" w:lineRule="exact"/>
        <w:rPr>
          <w:sz w:val="20"/>
          <w:szCs w:val="20"/>
          <w:color w:val="auto"/>
        </w:rPr>
      </w:pPr>
    </w:p>
    <w:p>
      <w:pPr>
        <w:ind w:firstLine="401"/>
        <w:spacing w:after="0" w:line="232" w:lineRule="auto"/>
        <w:rPr>
          <w:sz w:val="20"/>
          <w:szCs w:val="20"/>
          <w:color w:val="auto"/>
        </w:rPr>
      </w:pPr>
      <w:r>
        <w:rPr>
          <w:rFonts w:ascii="Arial" w:cs="Arial" w:eastAsia="Arial" w:hAnsi="Arial"/>
          <w:sz w:val="18"/>
          <w:szCs w:val="18"/>
          <w:color w:val="auto"/>
        </w:rPr>
        <w:t>Gregg W. Steinhafel retired from our Board in March 2021. In addition, pursuant to our retirement age policy, Ms. Harless will retire from our Board in March 2023. As such, a process began in fiscal 2021 to identify potential new Board members to fill the vacancy created by Mr. Steinhafel’s retirement and in anticipation of the upcoming vacancy that will be created by the retirement of Ms. Harless. This identification process included engaging James Drury Partners as our external search firm to identify qualified candidates. James Drury Partners identified a slate of qualified candidates and presented their recommendations, which included Mr. Hansotia and Ms. Pemberton, to our Chairman and CEO, Lead Director, and Chair of the Nominating &amp; Governance Committee, among other Board members, for consideration. Mr. Hansotia and Ms. Pemberton, in addition to several other candidates, were presented to the Nominating &amp; Governance Committee and Board for discussion, where it was decided to invite each of Mr. Hansotia and Ms. Pemberton to participate in next steps of the recruitment process. As a result, each of Mr. Hansotia and Ms. Pemberton were subsequently interviewed by several members of the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98" w:lineRule="exact"/>
        <w:rPr>
          <w:sz w:val="20"/>
          <w:szCs w:val="20"/>
          <w:color w:val="auto"/>
        </w:rPr>
      </w:pPr>
    </w:p>
    <w:p>
      <w:pPr>
        <w:ind w:right="160"/>
        <w:spacing w:after="0" w:line="233" w:lineRule="auto"/>
        <w:rPr>
          <w:sz w:val="20"/>
          <w:szCs w:val="20"/>
          <w:color w:val="auto"/>
        </w:rPr>
      </w:pPr>
      <w:r>
        <w:rPr>
          <w:rFonts w:ascii="Arial" w:cs="Arial" w:eastAsia="Arial" w:hAnsi="Arial"/>
          <w:sz w:val="18"/>
          <w:szCs w:val="18"/>
          <w:color w:val="auto"/>
        </w:rPr>
        <w:t>Board, including the Lead Director, the Chair of the Nominating &amp; Governance Committee and other members of the Board. Following the interview process, the Nominating &amp; Governance Committee considered feedback from the various interviews and formally recommended to the full Board that each of Mr. Hansotia and Ms. Pemberton be nominated for election by our shareholders at the 2022 Annual Meeting of Shareholders. Our Amended and Restated Bylaws require that our directors be divided into three classes of as nearly equal numbers as possible. Therefore, Mr. Hansotia was placed in the class of directors with terms that expire at the 2023 Annual Meeting of Shareholders, and Ms. Pemberton was placed in the class of directors with terms that expire at the 2024 Annual Meeting of Shareholders (see “Proposal One— Election of Directors”). Each of Mr. Hansotia and Ms. Pemberton will become members of our Board effective immediately upon their election by our shareholders at the annual meeting.</w:t>
      </w:r>
    </w:p>
    <w:p>
      <w:pPr>
        <w:spacing w:after="0" w:line="94" w:lineRule="exact"/>
        <w:rPr>
          <w:sz w:val="20"/>
          <w:szCs w:val="20"/>
          <w:color w:val="auto"/>
        </w:rPr>
      </w:pPr>
    </w:p>
    <w:p>
      <w:pPr>
        <w:ind w:firstLine="401"/>
        <w:spacing w:after="0" w:line="232" w:lineRule="auto"/>
        <w:rPr>
          <w:sz w:val="20"/>
          <w:szCs w:val="20"/>
          <w:color w:val="auto"/>
        </w:rPr>
      </w:pPr>
      <w:r>
        <w:rPr>
          <w:rFonts w:ascii="Arial" w:cs="Arial" w:eastAsia="Arial" w:hAnsi="Arial"/>
          <w:sz w:val="18"/>
          <w:szCs w:val="18"/>
          <w:color w:val="auto"/>
        </w:rPr>
        <w:t>The Nominating &amp; Governance Committee will consider director candidates recommended to it by our shareholders. Those candidates must be qualified and exhibit the experience and expertise required of the Board’s own pool of candidates, as well as have an interest in our business, and the demonstrated ability to attend and prepare for Board, committee and shareholder meetings. Any candidate must state in advance his or her willingness and interest in serving on the Board. Candidates should represent the interests of all shareholders and not those of a special interest group. The Committee will evaluate candidates recommended by shareholders using the same criteria it uses to evaluate candidates recommended by others as described above. A shareholder that desires to nominate a person for election to the Board at a meeting of shareholders must follow the specified advance notice requirements contained in, and provide the specific information required by, our Amended and Restated Bylaws. The current requirements of our Amended and Restated Bylaws are as described under “Shareholder Proposals and Director Nominations for the 2023 Annual Meeting.”</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Related Person Transactions and Policies and Procedures Regarding Related Person Transactions</w:t>
      </w:r>
    </w:p>
    <w:p>
      <w:pPr>
        <w:spacing w:after="0" w:line="127" w:lineRule="exact"/>
        <w:rPr>
          <w:sz w:val="20"/>
          <w:szCs w:val="20"/>
          <w:color w:val="auto"/>
        </w:rPr>
      </w:pPr>
    </w:p>
    <w:p>
      <w:pPr>
        <w:ind w:right="20" w:firstLine="401"/>
        <w:spacing w:after="0" w:line="235" w:lineRule="auto"/>
        <w:rPr>
          <w:sz w:val="20"/>
          <w:szCs w:val="20"/>
          <w:color w:val="auto"/>
        </w:rPr>
      </w:pPr>
      <w:r>
        <w:rPr>
          <w:rFonts w:ascii="Arial" w:cs="Arial" w:eastAsia="Arial" w:hAnsi="Arial"/>
          <w:sz w:val="18"/>
          <w:szCs w:val="18"/>
          <w:color w:val="auto"/>
        </w:rPr>
        <w:t>Our Corporate Governance Guidelines set forth in writing our policies and procedures regarding the review, approval and ratification of related person transactions. All reportable related person transactions must be reviewed, approved or ratified by the Nominating &amp; Governance Committee. In determining whether to approve or ratify such transactions, the Committee will take into account, among other factors and information it deems appropriate:</w:t>
      </w:r>
    </w:p>
    <w:p>
      <w:pPr>
        <w:spacing w:after="0" w:line="40" w:lineRule="exact"/>
        <w:rPr>
          <w:sz w:val="20"/>
          <w:szCs w:val="20"/>
          <w:color w:val="auto"/>
        </w:rPr>
      </w:pPr>
    </w:p>
    <w:p>
      <w:pPr>
        <w:ind w:left="800" w:hanging="395"/>
        <w:spacing w:after="0"/>
        <w:tabs>
          <w:tab w:leader="none" w:pos="800" w:val="left"/>
        </w:tabs>
        <w:numPr>
          <w:ilvl w:val="0"/>
          <w:numId w:val="28"/>
        </w:numPr>
        <w:rPr>
          <w:rFonts w:ascii="Arial" w:cs="Arial" w:eastAsia="Arial" w:hAnsi="Arial"/>
          <w:sz w:val="16"/>
          <w:szCs w:val="16"/>
          <w:color w:val="auto"/>
        </w:rPr>
      </w:pPr>
      <w:r>
        <w:rPr>
          <w:rFonts w:ascii="Arial" w:cs="Arial" w:eastAsia="Arial" w:hAnsi="Arial"/>
          <w:sz w:val="18"/>
          <w:szCs w:val="18"/>
          <w:color w:val="auto"/>
        </w:rPr>
        <w:t>the related person’s relationship to our Company and interest in the transaction;</w:t>
      </w:r>
    </w:p>
    <w:p>
      <w:pPr>
        <w:spacing w:after="0" w:line="45" w:lineRule="exact"/>
        <w:rPr>
          <w:rFonts w:ascii="Arial" w:cs="Arial" w:eastAsia="Arial" w:hAnsi="Arial"/>
          <w:sz w:val="16"/>
          <w:szCs w:val="16"/>
          <w:color w:val="auto"/>
        </w:rPr>
      </w:pPr>
    </w:p>
    <w:p>
      <w:pPr>
        <w:ind w:left="800" w:hanging="395"/>
        <w:spacing w:after="0"/>
        <w:tabs>
          <w:tab w:leader="none" w:pos="800" w:val="left"/>
        </w:tabs>
        <w:numPr>
          <w:ilvl w:val="0"/>
          <w:numId w:val="28"/>
        </w:numPr>
        <w:rPr>
          <w:rFonts w:ascii="Arial" w:cs="Arial" w:eastAsia="Arial" w:hAnsi="Arial"/>
          <w:sz w:val="16"/>
          <w:szCs w:val="16"/>
          <w:color w:val="auto"/>
        </w:rPr>
      </w:pPr>
      <w:r>
        <w:rPr>
          <w:rFonts w:ascii="Arial" w:cs="Arial" w:eastAsia="Arial" w:hAnsi="Arial"/>
          <w:sz w:val="18"/>
          <w:szCs w:val="18"/>
          <w:color w:val="auto"/>
        </w:rPr>
        <w:t>the material facts of the transaction;</w:t>
      </w:r>
    </w:p>
    <w:p>
      <w:pPr>
        <w:spacing w:after="0" w:line="45" w:lineRule="exact"/>
        <w:rPr>
          <w:rFonts w:ascii="Arial" w:cs="Arial" w:eastAsia="Arial" w:hAnsi="Arial"/>
          <w:sz w:val="16"/>
          <w:szCs w:val="16"/>
          <w:color w:val="auto"/>
        </w:rPr>
      </w:pPr>
    </w:p>
    <w:p>
      <w:pPr>
        <w:ind w:left="800" w:hanging="395"/>
        <w:spacing w:after="0"/>
        <w:tabs>
          <w:tab w:leader="none" w:pos="800" w:val="left"/>
        </w:tabs>
        <w:numPr>
          <w:ilvl w:val="0"/>
          <w:numId w:val="28"/>
        </w:numPr>
        <w:rPr>
          <w:rFonts w:ascii="Arial" w:cs="Arial" w:eastAsia="Arial" w:hAnsi="Arial"/>
          <w:sz w:val="16"/>
          <w:szCs w:val="16"/>
          <w:color w:val="auto"/>
        </w:rPr>
      </w:pPr>
      <w:r>
        <w:rPr>
          <w:rFonts w:ascii="Arial" w:cs="Arial" w:eastAsia="Arial" w:hAnsi="Arial"/>
          <w:sz w:val="18"/>
          <w:szCs w:val="18"/>
          <w:color w:val="auto"/>
        </w:rPr>
        <w:t>the benefits to our Company of the transaction; and</w:t>
      </w:r>
    </w:p>
    <w:p>
      <w:pPr>
        <w:spacing w:after="0" w:line="45" w:lineRule="exact"/>
        <w:rPr>
          <w:rFonts w:ascii="Arial" w:cs="Arial" w:eastAsia="Arial" w:hAnsi="Arial"/>
          <w:sz w:val="16"/>
          <w:szCs w:val="16"/>
          <w:color w:val="auto"/>
        </w:rPr>
      </w:pPr>
    </w:p>
    <w:p>
      <w:pPr>
        <w:ind w:left="800" w:right="120" w:hanging="395"/>
        <w:spacing w:after="0" w:line="236" w:lineRule="auto"/>
        <w:tabs>
          <w:tab w:leader="none" w:pos="800" w:val="left"/>
        </w:tabs>
        <w:numPr>
          <w:ilvl w:val="0"/>
          <w:numId w:val="28"/>
        </w:numPr>
        <w:rPr>
          <w:rFonts w:ascii="Arial" w:cs="Arial" w:eastAsia="Arial" w:hAnsi="Arial"/>
          <w:sz w:val="16"/>
          <w:szCs w:val="16"/>
          <w:color w:val="auto"/>
        </w:rPr>
      </w:pPr>
      <w:r>
        <w:rPr>
          <w:rFonts w:ascii="Arial" w:cs="Arial" w:eastAsia="Arial" w:hAnsi="Arial"/>
          <w:sz w:val="18"/>
          <w:szCs w:val="18"/>
          <w:color w:val="auto"/>
        </w:rPr>
        <w:t>an assessment of whether the transaction is (to the extent applicable) in the ordinary course of business, at arm’s length, at prices and on terms customarily available to unrelated third party vendors or customers generally, and whether the related person had any direct or indirect personal interest in, or received any personal benefit from, such transaction.</w:t>
      </w:r>
    </w:p>
    <w:p>
      <w:pPr>
        <w:spacing w:after="0" w:line="94" w:lineRule="exact"/>
        <w:rPr>
          <w:sz w:val="20"/>
          <w:szCs w:val="20"/>
          <w:color w:val="auto"/>
        </w:rPr>
      </w:pPr>
    </w:p>
    <w:p>
      <w:pPr>
        <w:ind w:firstLine="401"/>
        <w:spacing w:after="0" w:line="234" w:lineRule="auto"/>
        <w:rPr>
          <w:sz w:val="20"/>
          <w:szCs w:val="20"/>
          <w:color w:val="auto"/>
        </w:rPr>
      </w:pPr>
      <w:r>
        <w:rPr>
          <w:rFonts w:ascii="Arial" w:cs="Arial" w:eastAsia="Arial" w:hAnsi="Arial"/>
          <w:sz w:val="18"/>
          <w:szCs w:val="18"/>
          <w:color w:val="auto"/>
        </w:rPr>
        <w:t>Transactions in the ordinary course of business, between us and an unaffiliated corporation of which one of our non-employee directors or director nominees serves as an officer, that are at arm’s length, at prices and on terms customarily available to unrelated third party vendors or customers generally, in which the non-employee director or director nominee had no direct or indirect personal interest, nor received any personal benefit, and in amounts that are not material to our business or the business of such unaffiliated corporation, are deemed conclusively pre-approved.</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Board of Directors Business Ethics Policy Statement</w:t>
      </w:r>
    </w:p>
    <w:p>
      <w:pPr>
        <w:spacing w:after="0" w:line="127" w:lineRule="exact"/>
        <w:rPr>
          <w:sz w:val="20"/>
          <w:szCs w:val="20"/>
          <w:color w:val="auto"/>
        </w:rPr>
      </w:pPr>
    </w:p>
    <w:p>
      <w:pPr>
        <w:jc w:val="both"/>
        <w:ind w:right="40" w:firstLine="401"/>
        <w:spacing w:after="0" w:line="236" w:lineRule="auto"/>
        <w:rPr>
          <w:sz w:val="20"/>
          <w:szCs w:val="20"/>
          <w:color w:val="auto"/>
        </w:rPr>
      </w:pPr>
      <w:r>
        <w:rPr>
          <w:rFonts w:ascii="Arial" w:cs="Arial" w:eastAsia="Arial" w:hAnsi="Arial"/>
          <w:sz w:val="18"/>
          <w:szCs w:val="18"/>
          <w:color w:val="auto"/>
        </w:rPr>
        <w:t>It is our policy to maintain the highest level of moral, ethical and legal standards in the conduct of our business. Pursuant to our Corporate Governance Guidelines, the Board has adopted, and each director annually signs, a Board of Directors Business Ethics Policy Statement. The policy can be found on our website at www.thetorocompany.com/ethics.</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Code of Conduct and Code of Ethics for our CEO and Senior Financial Personnel</w:t>
      </w:r>
    </w:p>
    <w:p>
      <w:pPr>
        <w:spacing w:after="0" w:line="127" w:lineRule="exact"/>
        <w:rPr>
          <w:sz w:val="20"/>
          <w:szCs w:val="20"/>
          <w:color w:val="auto"/>
        </w:rPr>
      </w:pPr>
    </w:p>
    <w:p>
      <w:pPr>
        <w:ind w:firstLine="401"/>
        <w:spacing w:after="0" w:line="233" w:lineRule="auto"/>
        <w:rPr>
          <w:sz w:val="20"/>
          <w:szCs w:val="20"/>
          <w:color w:val="auto"/>
        </w:rPr>
      </w:pPr>
      <w:r>
        <w:rPr>
          <w:rFonts w:ascii="Arial" w:cs="Arial" w:eastAsia="Arial" w:hAnsi="Arial"/>
          <w:sz w:val="18"/>
          <w:szCs w:val="18"/>
          <w:color w:val="auto"/>
        </w:rPr>
        <w:t>All of our directors and employees are required to comply with our Code of Conduct to help ensure that our business is conducted in accordance with the highest level of moral, ethical and legal standards. We also have a Code of Ethics for our CEO and Senior Financial Personnel applicable to our CEO (our principal executive officer), our Vice President, Chief Financial Officer (our principal financial and accounting officer), and certain senior accounting and/or treasury personnel who are also bound by the provisions set forth in the Code of Conduct relating to ethical conduct, conflicts of interest and compliance with the law. Our Code of Conduct and Code of Ethics for our CEO and Senior Financial Personnel can be found on our website at www.thetorocompany.com/ethics. If necessary, we intend to satisfy the disclosure requirements of Item 5.05 of the Current Report on Form 8-K regarding amendments to or waivers from any provision of our Code of Ethics for our CEO and Senior Financial Personnel by posting such information on our website at www.thetorocompany.com/ethics.</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Communications with Directors</w:t>
      </w:r>
    </w:p>
    <w:p>
      <w:pPr>
        <w:spacing w:after="0" w:line="127" w:lineRule="exact"/>
        <w:rPr>
          <w:sz w:val="20"/>
          <w:szCs w:val="20"/>
          <w:color w:val="auto"/>
        </w:rPr>
      </w:pPr>
    </w:p>
    <w:p>
      <w:pPr>
        <w:ind w:right="20" w:firstLine="401"/>
        <w:spacing w:after="0" w:line="233" w:lineRule="auto"/>
        <w:rPr>
          <w:sz w:val="20"/>
          <w:szCs w:val="20"/>
          <w:color w:val="auto"/>
        </w:rPr>
      </w:pPr>
      <w:r>
        <w:rPr>
          <w:rFonts w:ascii="Arial" w:cs="Arial" w:eastAsia="Arial" w:hAnsi="Arial"/>
          <w:sz w:val="18"/>
          <w:szCs w:val="18"/>
          <w:color w:val="auto"/>
        </w:rPr>
        <w:t>Shareholders and other interested parties may communicate directly with our Board of Directors, our Board committees, our non-employee directors as a group, our Lead Independent Director, or any other specified individual director in writing by (i) sending a letter addressed to The Toro Company Board of Directors, c/o General Counsel, 8111 Lyndale Avenue South, Bloomington, Minnesota, 55420-1196, or (ii) sending an email to boardofdirectors@toro.com. Substantive communications, such as corporate governance matters or potential issues relating to accounting, internal controls or other auditing matters, are forwarded by our General Counsel to the relevant director(s) as appropriate. Communications not requiring the substantive attention of our Board, such as employment inquiries, sales solicitations, donation requests, questions about our products, and other such matters, are appropriately handled by Management.</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Complaint Procedures</w:t>
      </w:r>
    </w:p>
    <w:p>
      <w:pPr>
        <w:spacing w:after="0" w:line="127" w:lineRule="exact"/>
        <w:rPr>
          <w:sz w:val="20"/>
          <w:szCs w:val="20"/>
          <w:color w:val="auto"/>
        </w:rPr>
      </w:pPr>
    </w:p>
    <w:p>
      <w:pPr>
        <w:ind w:right="40" w:firstLine="401"/>
        <w:spacing w:after="0" w:line="244" w:lineRule="auto"/>
        <w:rPr>
          <w:sz w:val="20"/>
          <w:szCs w:val="20"/>
          <w:color w:val="auto"/>
        </w:rPr>
      </w:pPr>
      <w:r>
        <w:rPr>
          <w:rFonts w:ascii="Arial" w:cs="Arial" w:eastAsia="Arial" w:hAnsi="Arial"/>
          <w:sz w:val="17"/>
          <w:szCs w:val="17"/>
          <w:color w:val="auto"/>
        </w:rPr>
        <w:t>We maintain procedures to receive, retain and treat complaints regarding accounting, internal accounting controls or auditing matters and to allow for the confidential and anonymous submission by employees of concerns regarding questionable accounting or auditing matters. A</w:t>
      </w:r>
    </w:p>
    <w:p>
      <w:pPr>
        <w:spacing w:after="0" w:line="1"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24-hour, toll-free confidential ethics helpline and a confidential web-based reporting tool are available for the submission of concerns regarding these and other matters by any employee. Concerns and questions received through these methods relating to accounting, internal accounting controls or auditing matters are promptly brought to the attention of the Chair of the Audit Committee and are handled in accordance with procedures established by the Audit Committee. Complete information regarding our complaint procedures is contained within our Code of Conduct, which may be accessed on our website as noted above.</w:t>
      </w: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134225" cy="2025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4225" cy="202565"/>
                    </a:xfrm>
                    <a:prstGeom prst="rect">
                      <a:avLst/>
                    </a:prstGeom>
                    <a:noFill/>
                  </pic:spPr>
                </pic:pic>
              </a:graphicData>
            </a:graphic>
          </wp:anchor>
        </w:drawing>
      </w:r>
    </w:p>
    <w:p>
      <w:pPr>
        <w:spacing w:after="0" w:line="229"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FFFFFF"/>
        </w:rPr>
        <w:t>DIRECTOR COMPENSATION</w:t>
      </w: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Director Compensation Program for Fiscal 2021</w:t>
      </w:r>
    </w:p>
    <w:p>
      <w:pPr>
        <w:spacing w:after="0" w:line="105" w:lineRule="exact"/>
        <w:rPr>
          <w:sz w:val="20"/>
          <w:szCs w:val="20"/>
          <w:color w:val="auto"/>
        </w:rPr>
      </w:pPr>
    </w:p>
    <w:p>
      <w:pPr>
        <w:ind w:right="20" w:firstLine="401"/>
        <w:spacing w:after="0" w:line="235"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Our non-employee director compensation program is designed to attract and retain experienced and knowledgeable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and to provide equity-based compensation to align the interests of our directors with those of our shareholders. In fiscal 2021, our non-employee director compensation was comprised of equity compensation, in the form of annual stock and stock option awards, and cash compensation, in the form of annual retainers that are paid quarterly. Each of the components of our Board compensation is described in more detail below. The Board compensation program structure, together with the feature of The Toro Company Amended and Restated 2010 Equity and Incentive Plan, as amended and restated, or the 2010 Plan, that enables our directors to elect to receive a portion or all of their cash compensation in the form of our common stock, causes a substantial portion of our non-employee director compensation to be linked to our common stock performance. As a current employee director, Mr. Olson does not receive any additional compensation for his service as a director.</w:t>
      </w:r>
    </w:p>
    <w:p>
      <w:pPr>
        <w:spacing w:after="0" w:line="77" w:lineRule="exact"/>
        <w:rPr>
          <w:sz w:val="20"/>
          <w:szCs w:val="20"/>
          <w:color w:val="auto"/>
        </w:rPr>
      </w:pPr>
    </w:p>
    <w:p>
      <w:pPr>
        <w:ind w:firstLine="401"/>
        <w:spacing w:after="0" w:line="241" w:lineRule="auto"/>
        <w:rPr>
          <w:sz w:val="20"/>
          <w:szCs w:val="20"/>
          <w:color w:val="auto"/>
        </w:rPr>
      </w:pPr>
      <w:r>
        <w:rPr>
          <w:rFonts w:ascii="Arial" w:cs="Arial" w:eastAsia="Arial" w:hAnsi="Arial"/>
          <w:sz w:val="18"/>
          <w:szCs w:val="18"/>
          <w:b w:val="1"/>
          <w:bCs w:val="1"/>
          <w:color w:val="auto"/>
        </w:rPr>
        <w:t xml:space="preserve">Process for Consideration and Determination of Director Compensation. </w:t>
      </w:r>
      <w:r>
        <w:rPr>
          <w:rFonts w:ascii="Arial" w:cs="Arial" w:eastAsia="Arial" w:hAnsi="Arial"/>
          <w:sz w:val="18"/>
          <w:szCs w:val="18"/>
          <w:color w:val="auto"/>
        </w:rPr>
        <w:t>The Board has delegated to the Compensation &amp; Human</w:t>
      </w:r>
      <w:r>
        <w:rPr>
          <w:rFonts w:ascii="Arial" w:cs="Arial" w:eastAsia="Arial" w:hAnsi="Arial"/>
          <w:sz w:val="18"/>
          <w:szCs w:val="18"/>
          <w:b w:val="1"/>
          <w:bCs w:val="1"/>
          <w:color w:val="auto"/>
        </w:rPr>
        <w:t xml:space="preserve"> </w:t>
      </w:r>
      <w:r>
        <w:rPr>
          <w:rFonts w:ascii="Arial" w:cs="Arial" w:eastAsia="Arial" w:hAnsi="Arial"/>
          <w:sz w:val="18"/>
          <w:szCs w:val="18"/>
          <w:color w:val="auto"/>
        </w:rPr>
        <w:t>Resources Committee the responsibility, among other things, to review and recommend to the Board any proposed changes in non-employee director compensation. In connection with such review, the Compensation &amp; Human Resources engages an independent external compensation consultant to provide analysis regarding non-employee director compensation.</w:t>
      </w:r>
    </w:p>
    <w:p>
      <w:pPr>
        <w:spacing w:after="0" w:line="95" w:lineRule="exact"/>
        <w:rPr>
          <w:sz w:val="20"/>
          <w:szCs w:val="20"/>
          <w:color w:val="auto"/>
        </w:rPr>
      </w:pPr>
    </w:p>
    <w:p>
      <w:pPr>
        <w:ind w:right="240" w:firstLine="401"/>
        <w:spacing w:after="0" w:line="233" w:lineRule="auto"/>
        <w:rPr>
          <w:sz w:val="20"/>
          <w:szCs w:val="20"/>
          <w:color w:val="auto"/>
        </w:rPr>
      </w:pPr>
      <w:r>
        <w:rPr>
          <w:rFonts w:ascii="Arial" w:cs="Arial" w:eastAsia="Arial" w:hAnsi="Arial"/>
          <w:sz w:val="18"/>
          <w:szCs w:val="18"/>
          <w:color w:val="auto"/>
        </w:rPr>
        <w:t>The Compensation &amp; Human Resources Committee periodically engages Willis Towers Watson to review our non-employee director compensation, as was done prior to the Company’s fiscal 2021 year. The Willis Towers Watson review consisted of, among other things, analysis of board and committee compensation trends, a competitive assessment based on a selected group of manufacturing companies operating in the United States that are similar in size to us from a revenue and market capitalization perspective, and a separate analysis of lead director compensation. Overall, the review by Willis Towers Watson showed that our non-employee director compensation program aligned with market trends from a design perspective and was near the peer group midpoint from a compensation level standpoint. The Compensation &amp; Human Resources Committee considered this data and recommended no changes to our non-employee director compensation program for fiscal 2021 from fiscal 2020.</w:t>
      </w:r>
    </w:p>
    <w:p>
      <w:pPr>
        <w:spacing w:after="0" w:line="72" w:lineRule="exact"/>
        <w:rPr>
          <w:sz w:val="20"/>
          <w:szCs w:val="20"/>
          <w:color w:val="auto"/>
        </w:rPr>
      </w:pPr>
    </w:p>
    <w:p>
      <w:pPr>
        <w:ind w:right="440" w:firstLine="401"/>
        <w:spacing w:after="0" w:line="263" w:lineRule="auto"/>
        <w:rPr>
          <w:sz w:val="20"/>
          <w:szCs w:val="20"/>
          <w:color w:val="auto"/>
        </w:rPr>
      </w:pPr>
      <w:r>
        <w:rPr>
          <w:rFonts w:ascii="Arial" w:cs="Arial" w:eastAsia="Arial" w:hAnsi="Arial"/>
          <w:sz w:val="18"/>
          <w:szCs w:val="18"/>
          <w:b w:val="1"/>
          <w:bCs w:val="1"/>
          <w:color w:val="auto"/>
        </w:rPr>
        <w:t xml:space="preserve">Elements of Our Non-Employee Director Compensation Program. </w:t>
      </w:r>
      <w:r>
        <w:rPr>
          <w:rFonts w:ascii="Arial" w:cs="Arial" w:eastAsia="Arial" w:hAnsi="Arial"/>
          <w:sz w:val="18"/>
          <w:szCs w:val="18"/>
          <w:color w:val="auto"/>
        </w:rPr>
        <w:t>The following table sets forth our fiscal 2021 non-employee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compensation program.</w:t>
      </w:r>
    </w:p>
    <w:p>
      <w:pPr>
        <w:spacing w:after="0" w:line="73"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00" w:type="dxa"/>
            <w:vAlign w:val="bottom"/>
            <w:shd w:val="clear" w:color="auto" w:fill="C00000"/>
          </w:tcPr>
          <w:p>
            <w:pPr>
              <w:spacing w:after="0"/>
              <w:rPr>
                <w:sz w:val="14"/>
                <w:szCs w:val="14"/>
                <w:color w:val="auto"/>
              </w:rPr>
            </w:pPr>
          </w:p>
        </w:tc>
        <w:tc>
          <w:tcPr>
            <w:tcW w:w="2280" w:type="dxa"/>
            <w:vAlign w:val="bottom"/>
            <w:shd w:val="clear" w:color="auto" w:fill="C00000"/>
          </w:tcPr>
          <w:p>
            <w:pPr>
              <w:jc w:val="right"/>
              <w:ind w:right="181"/>
              <w:spacing w:after="0"/>
              <w:rPr>
                <w:sz w:val="20"/>
                <w:szCs w:val="20"/>
                <w:color w:val="auto"/>
              </w:rPr>
            </w:pPr>
            <w:r>
              <w:rPr>
                <w:rFonts w:ascii="Arial" w:cs="Arial" w:eastAsia="Arial" w:hAnsi="Arial"/>
                <w:sz w:val="14"/>
                <w:szCs w:val="14"/>
                <w:b w:val="1"/>
                <w:bCs w:val="1"/>
                <w:color w:val="FFFFFF"/>
              </w:rPr>
              <w:t>Fiscal 2021</w:t>
            </w:r>
          </w:p>
        </w:tc>
      </w:tr>
      <w:tr>
        <w:trPr>
          <w:trHeight w:val="173"/>
        </w:trPr>
        <w:tc>
          <w:tcPr>
            <w:tcW w:w="20" w:type="dxa"/>
            <w:vAlign w:val="bottom"/>
          </w:tcPr>
          <w:p>
            <w:pPr>
              <w:spacing w:after="0"/>
              <w:rPr>
                <w:sz w:val="15"/>
                <w:szCs w:val="15"/>
                <w:color w:val="auto"/>
              </w:rPr>
            </w:pPr>
          </w:p>
        </w:tc>
        <w:tc>
          <w:tcPr>
            <w:tcW w:w="670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Non-Employee Director Compensation</w:t>
            </w:r>
          </w:p>
        </w:tc>
        <w:tc>
          <w:tcPr>
            <w:tcW w:w="2280" w:type="dxa"/>
            <w:vAlign w:val="bottom"/>
            <w:shd w:val="clear" w:color="auto" w:fill="C00000"/>
          </w:tcPr>
          <w:p>
            <w:pPr>
              <w:jc w:val="right"/>
              <w:ind w:right="481"/>
              <w:spacing w:after="0"/>
              <w:rPr>
                <w:sz w:val="20"/>
                <w:szCs w:val="20"/>
                <w:color w:val="auto"/>
              </w:rPr>
            </w:pPr>
            <w:r>
              <w:rPr>
                <w:rFonts w:ascii="Arial" w:cs="Arial" w:eastAsia="Arial" w:hAnsi="Arial"/>
                <w:sz w:val="14"/>
                <w:szCs w:val="14"/>
                <w:b w:val="1"/>
                <w:bCs w:val="1"/>
                <w:color w:val="FFFFFF"/>
              </w:rPr>
              <w:t>($)</w:t>
            </w:r>
          </w:p>
        </w:tc>
      </w:tr>
      <w:tr>
        <w:trPr>
          <w:trHeight w:val="230"/>
        </w:trPr>
        <w:tc>
          <w:tcPr>
            <w:tcW w:w="6720" w:type="dxa"/>
            <w:vAlign w:val="bottom"/>
            <w:gridSpan w:val="2"/>
          </w:tcPr>
          <w:p>
            <w:pPr>
              <w:spacing w:after="0"/>
              <w:rPr>
                <w:sz w:val="20"/>
                <w:szCs w:val="20"/>
                <w:color w:val="auto"/>
              </w:rPr>
            </w:pPr>
            <w:r>
              <w:rPr>
                <w:rFonts w:ascii="Arial" w:cs="Arial" w:eastAsia="Arial" w:hAnsi="Arial"/>
                <w:sz w:val="16"/>
                <w:szCs w:val="16"/>
                <w:color w:val="auto"/>
              </w:rPr>
              <w:t>Annual Stock Award Value</w:t>
            </w:r>
          </w:p>
        </w:tc>
        <w:tc>
          <w:tcPr>
            <w:tcW w:w="2280" w:type="dxa"/>
            <w:vAlign w:val="bottom"/>
          </w:tcPr>
          <w:p>
            <w:pPr>
              <w:jc w:val="right"/>
              <w:ind w:right="21"/>
              <w:spacing w:after="0"/>
              <w:rPr>
                <w:sz w:val="20"/>
                <w:szCs w:val="20"/>
                <w:color w:val="auto"/>
              </w:rPr>
            </w:pPr>
            <w:r>
              <w:rPr>
                <w:rFonts w:ascii="Arial" w:cs="Arial" w:eastAsia="Arial" w:hAnsi="Arial"/>
                <w:sz w:val="16"/>
                <w:szCs w:val="16"/>
                <w:color w:val="auto"/>
              </w:rPr>
              <w:t>65,000</w:t>
            </w:r>
          </w:p>
        </w:tc>
      </w:tr>
      <w:tr>
        <w:trPr>
          <w:trHeight w:val="249"/>
        </w:trPr>
        <w:tc>
          <w:tcPr>
            <w:tcW w:w="20" w:type="dxa"/>
            <w:vAlign w:val="bottom"/>
          </w:tcPr>
          <w:p>
            <w:pPr>
              <w:spacing w:after="0"/>
              <w:rPr>
                <w:sz w:val="21"/>
                <w:szCs w:val="21"/>
                <w:color w:val="auto"/>
              </w:rPr>
            </w:pPr>
          </w:p>
        </w:tc>
        <w:tc>
          <w:tcPr>
            <w:tcW w:w="6700" w:type="dxa"/>
            <w:vAlign w:val="bottom"/>
            <w:shd w:val="clear" w:color="auto" w:fill="D9D9D9"/>
          </w:tcPr>
          <w:p>
            <w:pPr>
              <w:spacing w:after="0"/>
              <w:rPr>
                <w:sz w:val="20"/>
                <w:szCs w:val="20"/>
                <w:color w:val="auto"/>
              </w:rPr>
            </w:pPr>
            <w:r>
              <w:rPr>
                <w:rFonts w:ascii="Arial" w:cs="Arial" w:eastAsia="Arial" w:hAnsi="Arial"/>
                <w:sz w:val="16"/>
                <w:szCs w:val="16"/>
                <w:color w:val="auto"/>
              </w:rPr>
              <w:t>Annual Stock Option Award Value</w:t>
            </w:r>
          </w:p>
        </w:tc>
        <w:tc>
          <w:tcPr>
            <w:tcW w:w="2280" w:type="dxa"/>
            <w:vAlign w:val="bottom"/>
            <w:shd w:val="clear" w:color="auto" w:fill="D9D9D9"/>
          </w:tcPr>
          <w:p>
            <w:pPr>
              <w:jc w:val="right"/>
              <w:ind w:right="21"/>
              <w:spacing w:after="0"/>
              <w:rPr>
                <w:sz w:val="20"/>
                <w:szCs w:val="20"/>
                <w:color w:val="auto"/>
              </w:rPr>
            </w:pPr>
            <w:r>
              <w:rPr>
                <w:rFonts w:ascii="Arial" w:cs="Arial" w:eastAsia="Arial" w:hAnsi="Arial"/>
                <w:sz w:val="16"/>
                <w:szCs w:val="16"/>
                <w:color w:val="auto"/>
              </w:rPr>
              <w:t>55,000</w:t>
            </w:r>
          </w:p>
        </w:tc>
      </w:tr>
      <w:tr>
        <w:trPr>
          <w:trHeight w:val="230"/>
        </w:trPr>
        <w:tc>
          <w:tcPr>
            <w:tcW w:w="6720" w:type="dxa"/>
            <w:vAlign w:val="bottom"/>
            <w:gridSpan w:val="2"/>
          </w:tcPr>
          <w:p>
            <w:pPr>
              <w:spacing w:after="0"/>
              <w:rPr>
                <w:sz w:val="20"/>
                <w:szCs w:val="20"/>
                <w:color w:val="auto"/>
              </w:rPr>
            </w:pPr>
            <w:r>
              <w:rPr>
                <w:rFonts w:ascii="Arial" w:cs="Arial" w:eastAsia="Arial" w:hAnsi="Arial"/>
                <w:sz w:val="16"/>
                <w:szCs w:val="16"/>
                <w:color w:val="auto"/>
              </w:rPr>
              <w:t>Annual Board and Committee Member Retainers</w:t>
            </w:r>
          </w:p>
        </w:tc>
        <w:tc>
          <w:tcPr>
            <w:tcW w:w="228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700" w:type="dxa"/>
            <w:vAlign w:val="bottom"/>
            <w:shd w:val="clear" w:color="auto" w:fill="D9D9D9"/>
          </w:tcPr>
          <w:p>
            <w:pPr>
              <w:ind w:left="240"/>
              <w:spacing w:after="0"/>
              <w:rPr>
                <w:sz w:val="20"/>
                <w:szCs w:val="20"/>
                <w:color w:val="auto"/>
              </w:rPr>
            </w:pPr>
            <w:r>
              <w:rPr>
                <w:rFonts w:ascii="Arial" w:cs="Arial" w:eastAsia="Arial" w:hAnsi="Arial"/>
                <w:sz w:val="16"/>
                <w:szCs w:val="16"/>
                <w:color w:val="auto"/>
              </w:rPr>
              <w:t>Board</w:t>
            </w:r>
          </w:p>
        </w:tc>
        <w:tc>
          <w:tcPr>
            <w:tcW w:w="2280" w:type="dxa"/>
            <w:vAlign w:val="bottom"/>
            <w:shd w:val="clear" w:color="auto" w:fill="D9D9D9"/>
          </w:tcPr>
          <w:p>
            <w:pPr>
              <w:jc w:val="right"/>
              <w:ind w:right="21"/>
              <w:spacing w:after="0"/>
              <w:rPr>
                <w:sz w:val="20"/>
                <w:szCs w:val="20"/>
                <w:color w:val="auto"/>
              </w:rPr>
            </w:pPr>
            <w:r>
              <w:rPr>
                <w:rFonts w:ascii="Arial" w:cs="Arial" w:eastAsia="Arial" w:hAnsi="Arial"/>
                <w:sz w:val="16"/>
                <w:szCs w:val="16"/>
                <w:color w:val="auto"/>
              </w:rPr>
              <w:t>85,000</w:t>
            </w:r>
          </w:p>
        </w:tc>
      </w:tr>
      <w:tr>
        <w:trPr>
          <w:trHeight w:val="230"/>
        </w:trPr>
        <w:tc>
          <w:tcPr>
            <w:tcW w:w="20" w:type="dxa"/>
            <w:vAlign w:val="bottom"/>
          </w:tcPr>
          <w:p>
            <w:pPr>
              <w:spacing w:after="0"/>
              <w:rPr>
                <w:sz w:val="20"/>
                <w:szCs w:val="20"/>
                <w:color w:val="auto"/>
              </w:rPr>
            </w:pPr>
          </w:p>
        </w:tc>
        <w:tc>
          <w:tcPr>
            <w:tcW w:w="6700" w:type="dxa"/>
            <w:vAlign w:val="bottom"/>
          </w:tcPr>
          <w:p>
            <w:pPr>
              <w:ind w:left="240"/>
              <w:spacing w:after="0"/>
              <w:rPr>
                <w:sz w:val="20"/>
                <w:szCs w:val="20"/>
                <w:color w:val="auto"/>
              </w:rPr>
            </w:pPr>
            <w:r>
              <w:rPr>
                <w:rFonts w:ascii="Arial" w:cs="Arial" w:eastAsia="Arial" w:hAnsi="Arial"/>
                <w:sz w:val="16"/>
                <w:szCs w:val="16"/>
                <w:color w:val="auto"/>
              </w:rPr>
              <w:t>Audit Committee Member</w:t>
            </w:r>
          </w:p>
        </w:tc>
        <w:tc>
          <w:tcPr>
            <w:tcW w:w="2280" w:type="dxa"/>
            <w:vAlign w:val="bottom"/>
          </w:tcPr>
          <w:p>
            <w:pPr>
              <w:jc w:val="right"/>
              <w:ind w:right="21"/>
              <w:spacing w:after="0"/>
              <w:rPr>
                <w:sz w:val="20"/>
                <w:szCs w:val="20"/>
                <w:color w:val="auto"/>
              </w:rPr>
            </w:pPr>
            <w:r>
              <w:rPr>
                <w:rFonts w:ascii="Arial" w:cs="Arial" w:eastAsia="Arial" w:hAnsi="Arial"/>
                <w:sz w:val="16"/>
                <w:szCs w:val="16"/>
                <w:color w:val="auto"/>
              </w:rPr>
              <w:t>12,500</w:t>
            </w:r>
          </w:p>
        </w:tc>
      </w:tr>
      <w:tr>
        <w:trPr>
          <w:trHeight w:val="249"/>
        </w:trPr>
        <w:tc>
          <w:tcPr>
            <w:tcW w:w="20" w:type="dxa"/>
            <w:vAlign w:val="bottom"/>
          </w:tcPr>
          <w:p>
            <w:pPr>
              <w:spacing w:after="0"/>
              <w:rPr>
                <w:sz w:val="21"/>
                <w:szCs w:val="21"/>
                <w:color w:val="auto"/>
              </w:rPr>
            </w:pPr>
          </w:p>
        </w:tc>
        <w:tc>
          <w:tcPr>
            <w:tcW w:w="6700" w:type="dxa"/>
            <w:vAlign w:val="bottom"/>
            <w:shd w:val="clear" w:color="auto" w:fill="D9D9D9"/>
          </w:tcPr>
          <w:p>
            <w:pPr>
              <w:ind w:left="240"/>
              <w:spacing w:after="0"/>
              <w:rPr>
                <w:sz w:val="20"/>
                <w:szCs w:val="20"/>
                <w:color w:val="auto"/>
              </w:rPr>
            </w:pPr>
            <w:r>
              <w:rPr>
                <w:rFonts w:ascii="Arial" w:cs="Arial" w:eastAsia="Arial" w:hAnsi="Arial"/>
                <w:sz w:val="16"/>
                <w:szCs w:val="16"/>
                <w:color w:val="auto"/>
              </w:rPr>
              <w:t>Compensation &amp; Human Resources Committee Member</w:t>
            </w:r>
          </w:p>
        </w:tc>
        <w:tc>
          <w:tcPr>
            <w:tcW w:w="2280" w:type="dxa"/>
            <w:vAlign w:val="bottom"/>
            <w:shd w:val="clear" w:color="auto" w:fill="D9D9D9"/>
          </w:tcPr>
          <w:p>
            <w:pPr>
              <w:jc w:val="right"/>
              <w:ind w:right="21"/>
              <w:spacing w:after="0"/>
              <w:rPr>
                <w:sz w:val="20"/>
                <w:szCs w:val="20"/>
                <w:color w:val="auto"/>
              </w:rPr>
            </w:pPr>
            <w:r>
              <w:rPr>
                <w:rFonts w:ascii="Arial" w:cs="Arial" w:eastAsia="Arial" w:hAnsi="Arial"/>
                <w:sz w:val="16"/>
                <w:szCs w:val="16"/>
                <w:color w:val="auto"/>
              </w:rPr>
              <w:t>7,000</w:t>
            </w:r>
          </w:p>
        </w:tc>
      </w:tr>
      <w:tr>
        <w:trPr>
          <w:trHeight w:val="230"/>
        </w:trPr>
        <w:tc>
          <w:tcPr>
            <w:tcW w:w="20" w:type="dxa"/>
            <w:vAlign w:val="bottom"/>
          </w:tcPr>
          <w:p>
            <w:pPr>
              <w:spacing w:after="0"/>
              <w:rPr>
                <w:sz w:val="20"/>
                <w:szCs w:val="20"/>
                <w:color w:val="auto"/>
              </w:rPr>
            </w:pPr>
          </w:p>
        </w:tc>
        <w:tc>
          <w:tcPr>
            <w:tcW w:w="6700" w:type="dxa"/>
            <w:vAlign w:val="bottom"/>
          </w:tcPr>
          <w:p>
            <w:pPr>
              <w:ind w:left="240"/>
              <w:spacing w:after="0"/>
              <w:rPr>
                <w:sz w:val="20"/>
                <w:szCs w:val="20"/>
                <w:color w:val="auto"/>
              </w:rPr>
            </w:pPr>
            <w:r>
              <w:rPr>
                <w:rFonts w:ascii="Arial" w:cs="Arial" w:eastAsia="Arial" w:hAnsi="Arial"/>
                <w:sz w:val="16"/>
                <w:szCs w:val="16"/>
                <w:color w:val="auto"/>
              </w:rPr>
              <w:t>Nominating &amp; Governance Committee Member</w:t>
            </w:r>
          </w:p>
        </w:tc>
        <w:tc>
          <w:tcPr>
            <w:tcW w:w="2280" w:type="dxa"/>
            <w:vAlign w:val="bottom"/>
          </w:tcPr>
          <w:p>
            <w:pPr>
              <w:jc w:val="right"/>
              <w:ind w:right="21"/>
              <w:spacing w:after="0"/>
              <w:rPr>
                <w:sz w:val="20"/>
                <w:szCs w:val="20"/>
                <w:color w:val="auto"/>
              </w:rPr>
            </w:pPr>
            <w:r>
              <w:rPr>
                <w:rFonts w:ascii="Arial" w:cs="Arial" w:eastAsia="Arial" w:hAnsi="Arial"/>
                <w:sz w:val="16"/>
                <w:szCs w:val="16"/>
                <w:color w:val="auto"/>
              </w:rPr>
              <w:t>6,000</w:t>
            </w:r>
          </w:p>
        </w:tc>
      </w:tr>
      <w:tr>
        <w:trPr>
          <w:trHeight w:val="249"/>
        </w:trPr>
        <w:tc>
          <w:tcPr>
            <w:tcW w:w="20" w:type="dxa"/>
            <w:vAlign w:val="bottom"/>
          </w:tcPr>
          <w:p>
            <w:pPr>
              <w:spacing w:after="0"/>
              <w:rPr>
                <w:sz w:val="21"/>
                <w:szCs w:val="21"/>
                <w:color w:val="auto"/>
              </w:rPr>
            </w:pPr>
          </w:p>
        </w:tc>
        <w:tc>
          <w:tcPr>
            <w:tcW w:w="6700" w:type="dxa"/>
            <w:vAlign w:val="bottom"/>
            <w:shd w:val="clear" w:color="auto" w:fill="D9D9D9"/>
          </w:tcPr>
          <w:p>
            <w:pPr>
              <w:ind w:left="240"/>
              <w:spacing w:after="0"/>
              <w:rPr>
                <w:sz w:val="20"/>
                <w:szCs w:val="20"/>
                <w:color w:val="auto"/>
              </w:rPr>
            </w:pPr>
            <w:r>
              <w:rPr>
                <w:rFonts w:ascii="Arial" w:cs="Arial" w:eastAsia="Arial" w:hAnsi="Arial"/>
                <w:sz w:val="16"/>
                <w:szCs w:val="16"/>
                <w:color w:val="auto"/>
              </w:rPr>
              <w:t>Finance Committee Member</w:t>
            </w:r>
          </w:p>
        </w:tc>
        <w:tc>
          <w:tcPr>
            <w:tcW w:w="2280" w:type="dxa"/>
            <w:vAlign w:val="bottom"/>
            <w:shd w:val="clear" w:color="auto" w:fill="D9D9D9"/>
          </w:tcPr>
          <w:p>
            <w:pPr>
              <w:jc w:val="right"/>
              <w:ind w:right="21"/>
              <w:spacing w:after="0"/>
              <w:rPr>
                <w:sz w:val="20"/>
                <w:szCs w:val="20"/>
                <w:color w:val="auto"/>
              </w:rPr>
            </w:pPr>
            <w:r>
              <w:rPr>
                <w:rFonts w:ascii="Arial" w:cs="Arial" w:eastAsia="Arial" w:hAnsi="Arial"/>
                <w:sz w:val="16"/>
                <w:szCs w:val="16"/>
                <w:color w:val="auto"/>
              </w:rPr>
              <w:t>6,000</w:t>
            </w:r>
          </w:p>
        </w:tc>
      </w:tr>
      <w:tr>
        <w:trPr>
          <w:trHeight w:val="230"/>
        </w:trPr>
        <w:tc>
          <w:tcPr>
            <w:tcW w:w="6720" w:type="dxa"/>
            <w:vAlign w:val="bottom"/>
            <w:gridSpan w:val="2"/>
          </w:tcPr>
          <w:p>
            <w:pPr>
              <w:spacing w:after="0"/>
              <w:rPr>
                <w:sz w:val="20"/>
                <w:szCs w:val="20"/>
                <w:color w:val="auto"/>
              </w:rPr>
            </w:pPr>
            <w:r>
              <w:rPr>
                <w:rFonts w:ascii="Arial" w:cs="Arial" w:eastAsia="Arial" w:hAnsi="Arial"/>
                <w:sz w:val="16"/>
                <w:szCs w:val="16"/>
                <w:color w:val="auto"/>
              </w:rPr>
              <w:t>Annual Lead Independent Director and Committee Chair Additional Retainers</w:t>
            </w:r>
          </w:p>
        </w:tc>
        <w:tc>
          <w:tcPr>
            <w:tcW w:w="228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700" w:type="dxa"/>
            <w:vAlign w:val="bottom"/>
            <w:shd w:val="clear" w:color="auto" w:fill="D9D9D9"/>
          </w:tcPr>
          <w:p>
            <w:pPr>
              <w:ind w:left="240"/>
              <w:spacing w:after="0"/>
              <w:rPr>
                <w:sz w:val="20"/>
                <w:szCs w:val="20"/>
                <w:color w:val="auto"/>
              </w:rPr>
            </w:pPr>
            <w:r>
              <w:rPr>
                <w:rFonts w:ascii="Arial" w:cs="Arial" w:eastAsia="Arial" w:hAnsi="Arial"/>
                <w:sz w:val="16"/>
                <w:szCs w:val="16"/>
                <w:color w:val="auto"/>
              </w:rPr>
              <w:t>Lead Independent Director</w:t>
            </w:r>
          </w:p>
        </w:tc>
        <w:tc>
          <w:tcPr>
            <w:tcW w:w="2280" w:type="dxa"/>
            <w:vAlign w:val="bottom"/>
            <w:shd w:val="clear" w:color="auto" w:fill="D9D9D9"/>
          </w:tcPr>
          <w:p>
            <w:pPr>
              <w:jc w:val="right"/>
              <w:ind w:right="21"/>
              <w:spacing w:after="0"/>
              <w:rPr>
                <w:sz w:val="20"/>
                <w:szCs w:val="20"/>
                <w:color w:val="auto"/>
              </w:rPr>
            </w:pPr>
            <w:r>
              <w:rPr>
                <w:rFonts w:ascii="Arial" w:cs="Arial" w:eastAsia="Arial" w:hAnsi="Arial"/>
                <w:sz w:val="16"/>
                <w:szCs w:val="16"/>
                <w:color w:val="auto"/>
              </w:rPr>
              <w:t>25,000</w:t>
            </w:r>
          </w:p>
        </w:tc>
      </w:tr>
      <w:tr>
        <w:trPr>
          <w:trHeight w:val="230"/>
        </w:trPr>
        <w:tc>
          <w:tcPr>
            <w:tcW w:w="20" w:type="dxa"/>
            <w:vAlign w:val="bottom"/>
          </w:tcPr>
          <w:p>
            <w:pPr>
              <w:spacing w:after="0"/>
              <w:rPr>
                <w:sz w:val="20"/>
                <w:szCs w:val="20"/>
                <w:color w:val="auto"/>
              </w:rPr>
            </w:pPr>
          </w:p>
        </w:tc>
        <w:tc>
          <w:tcPr>
            <w:tcW w:w="6700" w:type="dxa"/>
            <w:vAlign w:val="bottom"/>
          </w:tcPr>
          <w:p>
            <w:pPr>
              <w:ind w:left="240"/>
              <w:spacing w:after="0"/>
              <w:rPr>
                <w:sz w:val="20"/>
                <w:szCs w:val="20"/>
                <w:color w:val="auto"/>
              </w:rPr>
            </w:pPr>
            <w:r>
              <w:rPr>
                <w:rFonts w:ascii="Arial" w:cs="Arial" w:eastAsia="Arial" w:hAnsi="Arial"/>
                <w:sz w:val="16"/>
                <w:szCs w:val="16"/>
                <w:color w:val="auto"/>
              </w:rPr>
              <w:t>Audit Committee Chair</w:t>
            </w:r>
          </w:p>
        </w:tc>
        <w:tc>
          <w:tcPr>
            <w:tcW w:w="2280" w:type="dxa"/>
            <w:vAlign w:val="bottom"/>
          </w:tcPr>
          <w:p>
            <w:pPr>
              <w:jc w:val="right"/>
              <w:ind w:right="21"/>
              <w:spacing w:after="0"/>
              <w:rPr>
                <w:sz w:val="20"/>
                <w:szCs w:val="20"/>
                <w:color w:val="auto"/>
              </w:rPr>
            </w:pPr>
            <w:r>
              <w:rPr>
                <w:rFonts w:ascii="Arial" w:cs="Arial" w:eastAsia="Arial" w:hAnsi="Arial"/>
                <w:sz w:val="16"/>
                <w:szCs w:val="16"/>
                <w:color w:val="auto"/>
              </w:rPr>
              <w:t>20,000</w:t>
            </w:r>
          </w:p>
        </w:tc>
      </w:tr>
      <w:tr>
        <w:trPr>
          <w:trHeight w:val="249"/>
        </w:trPr>
        <w:tc>
          <w:tcPr>
            <w:tcW w:w="20" w:type="dxa"/>
            <w:vAlign w:val="bottom"/>
          </w:tcPr>
          <w:p>
            <w:pPr>
              <w:spacing w:after="0"/>
              <w:rPr>
                <w:sz w:val="21"/>
                <w:szCs w:val="21"/>
                <w:color w:val="auto"/>
              </w:rPr>
            </w:pPr>
          </w:p>
        </w:tc>
        <w:tc>
          <w:tcPr>
            <w:tcW w:w="6700" w:type="dxa"/>
            <w:vAlign w:val="bottom"/>
            <w:shd w:val="clear" w:color="auto" w:fill="D9D9D9"/>
          </w:tcPr>
          <w:p>
            <w:pPr>
              <w:ind w:left="240"/>
              <w:spacing w:after="0"/>
              <w:rPr>
                <w:sz w:val="20"/>
                <w:szCs w:val="20"/>
                <w:color w:val="auto"/>
              </w:rPr>
            </w:pPr>
            <w:r>
              <w:rPr>
                <w:rFonts w:ascii="Arial" w:cs="Arial" w:eastAsia="Arial" w:hAnsi="Arial"/>
                <w:sz w:val="16"/>
                <w:szCs w:val="16"/>
                <w:color w:val="auto"/>
              </w:rPr>
              <w:t>Compensation &amp; Human Resources Committee Chair</w:t>
            </w:r>
          </w:p>
        </w:tc>
        <w:tc>
          <w:tcPr>
            <w:tcW w:w="2280" w:type="dxa"/>
            <w:vAlign w:val="bottom"/>
            <w:shd w:val="clear" w:color="auto" w:fill="D9D9D9"/>
          </w:tcPr>
          <w:p>
            <w:pPr>
              <w:jc w:val="right"/>
              <w:ind w:right="21"/>
              <w:spacing w:after="0"/>
              <w:rPr>
                <w:sz w:val="20"/>
                <w:szCs w:val="20"/>
                <w:color w:val="auto"/>
              </w:rPr>
            </w:pPr>
            <w:r>
              <w:rPr>
                <w:rFonts w:ascii="Arial" w:cs="Arial" w:eastAsia="Arial" w:hAnsi="Arial"/>
                <w:sz w:val="16"/>
                <w:szCs w:val="16"/>
                <w:color w:val="auto"/>
              </w:rPr>
              <w:t>12,000</w:t>
            </w:r>
          </w:p>
        </w:tc>
      </w:tr>
      <w:tr>
        <w:trPr>
          <w:trHeight w:val="230"/>
        </w:trPr>
        <w:tc>
          <w:tcPr>
            <w:tcW w:w="20" w:type="dxa"/>
            <w:vAlign w:val="bottom"/>
          </w:tcPr>
          <w:p>
            <w:pPr>
              <w:spacing w:after="0"/>
              <w:rPr>
                <w:sz w:val="20"/>
                <w:szCs w:val="20"/>
                <w:color w:val="auto"/>
              </w:rPr>
            </w:pPr>
          </w:p>
        </w:tc>
        <w:tc>
          <w:tcPr>
            <w:tcW w:w="6700" w:type="dxa"/>
            <w:vAlign w:val="bottom"/>
          </w:tcPr>
          <w:p>
            <w:pPr>
              <w:ind w:left="240"/>
              <w:spacing w:after="0"/>
              <w:rPr>
                <w:sz w:val="20"/>
                <w:szCs w:val="20"/>
                <w:color w:val="auto"/>
              </w:rPr>
            </w:pPr>
            <w:r>
              <w:rPr>
                <w:rFonts w:ascii="Arial" w:cs="Arial" w:eastAsia="Arial" w:hAnsi="Arial"/>
                <w:sz w:val="16"/>
                <w:szCs w:val="16"/>
                <w:color w:val="auto"/>
              </w:rPr>
              <w:t>Nominating &amp; Governance Committee Chair</w:t>
            </w:r>
          </w:p>
        </w:tc>
        <w:tc>
          <w:tcPr>
            <w:tcW w:w="2280" w:type="dxa"/>
            <w:vAlign w:val="bottom"/>
          </w:tcPr>
          <w:p>
            <w:pPr>
              <w:jc w:val="right"/>
              <w:ind w:right="21"/>
              <w:spacing w:after="0"/>
              <w:rPr>
                <w:sz w:val="20"/>
                <w:szCs w:val="20"/>
                <w:color w:val="auto"/>
              </w:rPr>
            </w:pPr>
            <w:r>
              <w:rPr>
                <w:rFonts w:ascii="Arial" w:cs="Arial" w:eastAsia="Arial" w:hAnsi="Arial"/>
                <w:sz w:val="16"/>
                <w:szCs w:val="16"/>
                <w:color w:val="auto"/>
              </w:rPr>
              <w:t>7,500</w:t>
            </w:r>
          </w:p>
        </w:tc>
      </w:tr>
      <w:tr>
        <w:trPr>
          <w:trHeight w:val="249"/>
        </w:trPr>
        <w:tc>
          <w:tcPr>
            <w:tcW w:w="20" w:type="dxa"/>
            <w:vAlign w:val="bottom"/>
          </w:tcPr>
          <w:p>
            <w:pPr>
              <w:spacing w:after="0"/>
              <w:rPr>
                <w:sz w:val="21"/>
                <w:szCs w:val="21"/>
                <w:color w:val="auto"/>
              </w:rPr>
            </w:pPr>
          </w:p>
        </w:tc>
        <w:tc>
          <w:tcPr>
            <w:tcW w:w="6700" w:type="dxa"/>
            <w:vAlign w:val="bottom"/>
            <w:shd w:val="clear" w:color="auto" w:fill="D9D9D9"/>
          </w:tcPr>
          <w:p>
            <w:pPr>
              <w:ind w:left="240"/>
              <w:spacing w:after="0"/>
              <w:rPr>
                <w:sz w:val="20"/>
                <w:szCs w:val="20"/>
                <w:color w:val="auto"/>
              </w:rPr>
            </w:pPr>
            <w:r>
              <w:rPr>
                <w:rFonts w:ascii="Arial" w:cs="Arial" w:eastAsia="Arial" w:hAnsi="Arial"/>
                <w:sz w:val="16"/>
                <w:szCs w:val="16"/>
                <w:color w:val="auto"/>
              </w:rPr>
              <w:t>Finance Committee Chair</w:t>
            </w:r>
          </w:p>
        </w:tc>
        <w:tc>
          <w:tcPr>
            <w:tcW w:w="2280" w:type="dxa"/>
            <w:vAlign w:val="bottom"/>
            <w:shd w:val="clear" w:color="auto" w:fill="D9D9D9"/>
          </w:tcPr>
          <w:p>
            <w:pPr>
              <w:jc w:val="right"/>
              <w:ind w:right="21"/>
              <w:spacing w:after="0"/>
              <w:rPr>
                <w:sz w:val="20"/>
                <w:szCs w:val="20"/>
                <w:color w:val="auto"/>
              </w:rPr>
            </w:pPr>
            <w:r>
              <w:rPr>
                <w:rFonts w:ascii="Arial" w:cs="Arial" w:eastAsia="Arial" w:hAnsi="Arial"/>
                <w:sz w:val="16"/>
                <w:szCs w:val="16"/>
                <w:color w:val="auto"/>
              </w:rPr>
              <w:t>7,500</w:t>
            </w: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160"/>
          </w:cols>
          <w:pgMar w:left="320" w:top="140" w:right="41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summarizes the key characteristics of the elements of our non-employee director compensation program:</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560" w:type="dxa"/>
            <w:vAlign w:val="bottom"/>
            <w:tcBorders>
              <w:bottom w:val="single" w:sz="8" w:color="C00000"/>
            </w:tcBorders>
            <w:shd w:val="clear" w:color="auto" w:fill="C00000"/>
          </w:tcPr>
          <w:p>
            <w:pPr>
              <w:spacing w:after="0"/>
              <w:rPr>
                <w:sz w:val="20"/>
                <w:szCs w:val="20"/>
                <w:color w:val="auto"/>
              </w:rPr>
            </w:pPr>
            <w:r>
              <w:rPr>
                <w:rFonts w:ascii="Arial" w:cs="Arial" w:eastAsia="Arial" w:hAnsi="Arial"/>
                <w:sz w:val="14"/>
                <w:szCs w:val="14"/>
                <w:b w:val="1"/>
                <w:bCs w:val="1"/>
                <w:color w:val="FFFFFF"/>
              </w:rPr>
              <w:t>Element</w:t>
            </w:r>
          </w:p>
        </w:tc>
        <w:tc>
          <w:tcPr>
            <w:tcW w:w="9680" w:type="dxa"/>
            <w:vAlign w:val="bottom"/>
            <w:tcBorders>
              <w:bottom w:val="single" w:sz="8" w:color="C00000"/>
            </w:tcBorders>
            <w:shd w:val="clear" w:color="auto" w:fill="C00000"/>
          </w:tcPr>
          <w:p>
            <w:pPr>
              <w:ind w:left="4200"/>
              <w:spacing w:after="0"/>
              <w:rPr>
                <w:sz w:val="20"/>
                <w:szCs w:val="20"/>
                <w:color w:val="auto"/>
              </w:rPr>
            </w:pPr>
            <w:r>
              <w:rPr>
                <w:rFonts w:ascii="Arial" w:cs="Arial" w:eastAsia="Arial" w:hAnsi="Arial"/>
                <w:sz w:val="14"/>
                <w:szCs w:val="14"/>
                <w:b w:val="1"/>
                <w:bCs w:val="1"/>
                <w:color w:val="FFFFFF"/>
              </w:rPr>
              <w:t>Key Characteristics</w:t>
            </w:r>
          </w:p>
        </w:tc>
      </w:tr>
      <w:tr>
        <w:trPr>
          <w:trHeight w:val="201"/>
        </w:trPr>
        <w:tc>
          <w:tcPr>
            <w:tcW w:w="1560" w:type="dxa"/>
            <w:vAlign w:val="bottom"/>
          </w:tcPr>
          <w:p>
            <w:pPr>
              <w:spacing w:after="0"/>
              <w:rPr>
                <w:sz w:val="20"/>
                <w:szCs w:val="20"/>
                <w:color w:val="auto"/>
              </w:rPr>
            </w:pPr>
            <w:r>
              <w:rPr>
                <w:rFonts w:ascii="Arial" w:cs="Arial" w:eastAsia="Arial" w:hAnsi="Arial"/>
                <w:sz w:val="16"/>
                <w:szCs w:val="16"/>
                <w:color w:val="auto"/>
              </w:rPr>
              <w:t>Annual Retainers</w:t>
            </w:r>
          </w:p>
        </w:tc>
        <w:tc>
          <w:tcPr>
            <w:tcW w:w="9680" w:type="dxa"/>
            <w:vAlign w:val="bottom"/>
          </w:tcPr>
          <w:p>
            <w:pPr>
              <w:ind w:left="60"/>
              <w:spacing w:after="0"/>
              <w:rPr>
                <w:sz w:val="20"/>
                <w:szCs w:val="20"/>
                <w:color w:val="auto"/>
              </w:rPr>
            </w:pPr>
            <w:r>
              <w:rPr>
                <w:rFonts w:ascii="Arial" w:cs="Arial" w:eastAsia="Arial" w:hAnsi="Arial"/>
                <w:sz w:val="16"/>
                <w:szCs w:val="16"/>
                <w:color w:val="auto"/>
              </w:rPr>
              <w:t>Each Board and committee member, committee chair and the Lead Independent Director receives annual retainers for their respective</w:t>
            </w:r>
          </w:p>
        </w:tc>
      </w:tr>
      <w:tr>
        <w:trPr>
          <w:trHeight w:val="202"/>
        </w:trPr>
        <w:tc>
          <w:tcPr>
            <w:tcW w:w="1560" w:type="dxa"/>
            <w:vAlign w:val="bottom"/>
          </w:tcPr>
          <w:p>
            <w:pPr>
              <w:spacing w:after="0"/>
              <w:rPr>
                <w:sz w:val="17"/>
                <w:szCs w:val="17"/>
                <w:color w:val="auto"/>
              </w:rPr>
            </w:pPr>
          </w:p>
        </w:tc>
        <w:tc>
          <w:tcPr>
            <w:tcW w:w="9680" w:type="dxa"/>
            <w:vAlign w:val="bottom"/>
          </w:tcPr>
          <w:p>
            <w:pPr>
              <w:ind w:left="60"/>
              <w:spacing w:after="0"/>
              <w:rPr>
                <w:sz w:val="20"/>
                <w:szCs w:val="20"/>
                <w:color w:val="auto"/>
              </w:rPr>
            </w:pPr>
            <w:r>
              <w:rPr>
                <w:rFonts w:ascii="Arial" w:cs="Arial" w:eastAsia="Arial" w:hAnsi="Arial"/>
                <w:sz w:val="16"/>
                <w:szCs w:val="16"/>
                <w:color w:val="auto"/>
              </w:rPr>
              <w:t>service on our Board. These retainers are paid quarterly.</w:t>
            </w:r>
          </w:p>
        </w:tc>
      </w:tr>
      <w:tr>
        <w:trPr>
          <w:trHeight w:val="211"/>
        </w:trPr>
        <w:tc>
          <w:tcPr>
            <w:tcW w:w="1560" w:type="dxa"/>
            <w:vAlign w:val="bottom"/>
            <w:shd w:val="clear" w:color="auto" w:fill="D9D9D9"/>
          </w:tcPr>
          <w:p>
            <w:pPr>
              <w:spacing w:after="0"/>
              <w:rPr>
                <w:sz w:val="20"/>
                <w:szCs w:val="20"/>
                <w:color w:val="auto"/>
              </w:rPr>
            </w:pPr>
            <w:r>
              <w:rPr>
                <w:rFonts w:ascii="Arial" w:cs="Arial" w:eastAsia="Arial" w:hAnsi="Arial"/>
                <w:sz w:val="16"/>
                <w:szCs w:val="16"/>
                <w:color w:val="auto"/>
              </w:rPr>
              <w:t>Stock Awards</w:t>
            </w:r>
          </w:p>
        </w:tc>
        <w:tc>
          <w:tcPr>
            <w:tcW w:w="9680" w:type="dxa"/>
            <w:vAlign w:val="bottom"/>
            <w:shd w:val="clear" w:color="auto" w:fill="D9D9D9"/>
          </w:tcPr>
          <w:p>
            <w:pPr>
              <w:ind w:left="60"/>
              <w:spacing w:after="0"/>
              <w:rPr>
                <w:sz w:val="20"/>
                <w:szCs w:val="20"/>
                <w:color w:val="auto"/>
              </w:rPr>
            </w:pPr>
            <w:r>
              <w:rPr>
                <w:rFonts w:ascii="Arial" w:cs="Arial" w:eastAsia="Arial" w:hAnsi="Arial"/>
                <w:sz w:val="16"/>
                <w:szCs w:val="16"/>
                <w:color w:val="auto"/>
                <w:w w:val="99"/>
              </w:rPr>
              <w:t>On the first business day of our fiscal year shares of our common stock are automatically granted under the 2010 Plan. The stock award</w:t>
            </w:r>
          </w:p>
        </w:tc>
      </w:tr>
      <w:tr>
        <w:trPr>
          <w:trHeight w:val="186"/>
        </w:trPr>
        <w:tc>
          <w:tcPr>
            <w:tcW w:w="1560" w:type="dxa"/>
            <w:vAlign w:val="bottom"/>
            <w:shd w:val="clear" w:color="auto" w:fill="D9D9D9"/>
          </w:tcPr>
          <w:p>
            <w:pPr>
              <w:spacing w:after="0"/>
              <w:rPr>
                <w:sz w:val="16"/>
                <w:szCs w:val="16"/>
                <w:color w:val="auto"/>
              </w:rPr>
            </w:pPr>
          </w:p>
        </w:tc>
        <w:tc>
          <w:tcPr>
            <w:tcW w:w="9680" w:type="dxa"/>
            <w:vAlign w:val="bottom"/>
            <w:shd w:val="clear" w:color="auto" w:fill="D9D9D9"/>
          </w:tcPr>
          <w:p>
            <w:pPr>
              <w:ind w:left="60"/>
              <w:spacing w:after="0"/>
              <w:rPr>
                <w:sz w:val="20"/>
                <w:szCs w:val="20"/>
                <w:color w:val="auto"/>
              </w:rPr>
            </w:pPr>
            <w:r>
              <w:rPr>
                <w:rFonts w:ascii="Arial" w:cs="Arial" w:eastAsia="Arial" w:hAnsi="Arial"/>
                <w:sz w:val="16"/>
                <w:szCs w:val="16"/>
                <w:color w:val="auto"/>
              </w:rPr>
              <w:t>is determined by dividing the stock award value by the average of the closing prices of our common stock during the three months prior</w:t>
            </w:r>
          </w:p>
        </w:tc>
      </w:tr>
      <w:tr>
        <w:trPr>
          <w:trHeight w:val="211"/>
        </w:trPr>
        <w:tc>
          <w:tcPr>
            <w:tcW w:w="1560" w:type="dxa"/>
            <w:vAlign w:val="bottom"/>
            <w:shd w:val="clear" w:color="auto" w:fill="D9D9D9"/>
          </w:tcPr>
          <w:p>
            <w:pPr>
              <w:spacing w:after="0"/>
              <w:rPr>
                <w:sz w:val="18"/>
                <w:szCs w:val="18"/>
                <w:color w:val="auto"/>
              </w:rPr>
            </w:pPr>
          </w:p>
        </w:tc>
        <w:tc>
          <w:tcPr>
            <w:tcW w:w="9680" w:type="dxa"/>
            <w:vAlign w:val="bottom"/>
            <w:shd w:val="clear" w:color="auto" w:fill="D9D9D9"/>
          </w:tcPr>
          <w:p>
            <w:pPr>
              <w:ind w:left="60"/>
              <w:spacing w:after="0"/>
              <w:rPr>
                <w:sz w:val="20"/>
                <w:szCs w:val="20"/>
                <w:color w:val="auto"/>
              </w:rPr>
            </w:pPr>
            <w:r>
              <w:rPr>
                <w:rFonts w:ascii="Arial" w:cs="Arial" w:eastAsia="Arial" w:hAnsi="Arial"/>
                <w:sz w:val="16"/>
                <w:szCs w:val="16"/>
                <w:color w:val="auto"/>
              </w:rPr>
              <w:t>to the grant. The shares are fully vested at the time of grant.</w:t>
            </w:r>
          </w:p>
        </w:tc>
      </w:tr>
      <w:tr>
        <w:trPr>
          <w:trHeight w:val="201"/>
        </w:trPr>
        <w:tc>
          <w:tcPr>
            <w:tcW w:w="1560" w:type="dxa"/>
            <w:vAlign w:val="bottom"/>
          </w:tcPr>
          <w:p>
            <w:pPr>
              <w:spacing w:after="0"/>
              <w:rPr>
                <w:sz w:val="20"/>
                <w:szCs w:val="20"/>
                <w:color w:val="auto"/>
              </w:rPr>
            </w:pPr>
            <w:r>
              <w:rPr>
                <w:rFonts w:ascii="Arial" w:cs="Arial" w:eastAsia="Arial" w:hAnsi="Arial"/>
                <w:sz w:val="16"/>
                <w:szCs w:val="16"/>
                <w:color w:val="auto"/>
              </w:rPr>
              <w:t>Stock Option Awards</w:t>
            </w:r>
          </w:p>
        </w:tc>
        <w:tc>
          <w:tcPr>
            <w:tcW w:w="9680" w:type="dxa"/>
            <w:vAlign w:val="bottom"/>
          </w:tcPr>
          <w:p>
            <w:pPr>
              <w:ind w:left="60"/>
              <w:spacing w:after="0"/>
              <w:rPr>
                <w:sz w:val="20"/>
                <w:szCs w:val="20"/>
                <w:color w:val="auto"/>
              </w:rPr>
            </w:pPr>
            <w:r>
              <w:rPr>
                <w:rFonts w:ascii="Arial" w:cs="Arial" w:eastAsia="Arial" w:hAnsi="Arial"/>
                <w:sz w:val="16"/>
                <w:szCs w:val="16"/>
                <w:color w:val="auto"/>
              </w:rPr>
              <w:t>On the first business day of our fiscal year, a stock option to purchase shares of our common stock is automatically granted under the</w:t>
            </w:r>
          </w:p>
        </w:tc>
      </w:tr>
      <w:tr>
        <w:trPr>
          <w:trHeight w:val="186"/>
        </w:trPr>
        <w:tc>
          <w:tcPr>
            <w:tcW w:w="1560" w:type="dxa"/>
            <w:vAlign w:val="bottom"/>
          </w:tcPr>
          <w:p>
            <w:pPr>
              <w:spacing w:after="0"/>
              <w:rPr>
                <w:sz w:val="16"/>
                <w:szCs w:val="16"/>
                <w:color w:val="auto"/>
              </w:rPr>
            </w:pPr>
          </w:p>
        </w:tc>
        <w:tc>
          <w:tcPr>
            <w:tcW w:w="9680" w:type="dxa"/>
            <w:vAlign w:val="bottom"/>
          </w:tcPr>
          <w:p>
            <w:pPr>
              <w:ind w:left="60"/>
              <w:spacing w:after="0"/>
              <w:rPr>
                <w:sz w:val="20"/>
                <w:szCs w:val="20"/>
                <w:color w:val="auto"/>
              </w:rPr>
            </w:pPr>
            <w:r>
              <w:rPr>
                <w:rFonts w:ascii="Arial" w:cs="Arial" w:eastAsia="Arial" w:hAnsi="Arial"/>
                <w:sz w:val="16"/>
                <w:szCs w:val="16"/>
                <w:color w:val="auto"/>
              </w:rPr>
              <w:t>2010 Plan. The stock option award is determined by dividing the stock option award value by the grant date fair value of a stock option</w:t>
            </w:r>
          </w:p>
        </w:tc>
      </w:tr>
      <w:tr>
        <w:trPr>
          <w:trHeight w:val="202"/>
        </w:trPr>
        <w:tc>
          <w:tcPr>
            <w:tcW w:w="1560" w:type="dxa"/>
            <w:vAlign w:val="bottom"/>
          </w:tcPr>
          <w:p>
            <w:pPr>
              <w:spacing w:after="0"/>
              <w:rPr>
                <w:sz w:val="17"/>
                <w:szCs w:val="17"/>
                <w:color w:val="auto"/>
              </w:rPr>
            </w:pPr>
          </w:p>
        </w:tc>
        <w:tc>
          <w:tcPr>
            <w:tcW w:w="9680" w:type="dxa"/>
            <w:vAlign w:val="bottom"/>
          </w:tcPr>
          <w:p>
            <w:pPr>
              <w:ind w:left="60"/>
              <w:spacing w:after="0"/>
              <w:rPr>
                <w:sz w:val="20"/>
                <w:szCs w:val="20"/>
                <w:color w:val="auto"/>
              </w:rPr>
            </w:pPr>
            <w:r>
              <w:rPr>
                <w:rFonts w:ascii="Arial" w:cs="Arial" w:eastAsia="Arial" w:hAnsi="Arial"/>
                <w:sz w:val="16"/>
                <w:szCs w:val="16"/>
                <w:color w:val="auto"/>
              </w:rPr>
              <w:t>to purchase one share of our common stock. See below for additional information regarding vesting of stock option grants.</w:t>
            </w:r>
          </w:p>
        </w:tc>
      </w:tr>
      <w:tr>
        <w:trPr>
          <w:trHeight w:val="211"/>
        </w:trPr>
        <w:tc>
          <w:tcPr>
            <w:tcW w:w="1560" w:type="dxa"/>
            <w:vAlign w:val="bottom"/>
            <w:shd w:val="clear" w:color="auto" w:fill="D9D9D9"/>
          </w:tcPr>
          <w:p>
            <w:pPr>
              <w:spacing w:after="0"/>
              <w:rPr>
                <w:sz w:val="20"/>
                <w:szCs w:val="20"/>
                <w:color w:val="auto"/>
              </w:rPr>
            </w:pPr>
            <w:r>
              <w:rPr>
                <w:rFonts w:ascii="Arial" w:cs="Arial" w:eastAsia="Arial" w:hAnsi="Arial"/>
                <w:sz w:val="16"/>
                <w:szCs w:val="16"/>
                <w:color w:val="auto"/>
              </w:rPr>
              <w:t>Common Stock</w:t>
            </w:r>
          </w:p>
        </w:tc>
        <w:tc>
          <w:tcPr>
            <w:tcW w:w="9680" w:type="dxa"/>
            <w:vAlign w:val="bottom"/>
            <w:shd w:val="clear" w:color="auto" w:fill="D9D9D9"/>
          </w:tcPr>
          <w:p>
            <w:pPr>
              <w:ind w:left="60"/>
              <w:spacing w:after="0"/>
              <w:rPr>
                <w:sz w:val="20"/>
                <w:szCs w:val="20"/>
                <w:color w:val="auto"/>
              </w:rPr>
            </w:pPr>
            <w:r>
              <w:rPr>
                <w:rFonts w:ascii="Arial" w:cs="Arial" w:eastAsia="Arial" w:hAnsi="Arial"/>
                <w:sz w:val="16"/>
                <w:szCs w:val="16"/>
                <w:color w:val="auto"/>
              </w:rPr>
              <w:t>Our non-employee directors may elect to convert a portion or all of their calendar year annual retainers otherwise payable in cash into</w:t>
            </w:r>
          </w:p>
        </w:tc>
      </w:tr>
      <w:tr>
        <w:trPr>
          <w:trHeight w:val="186"/>
        </w:trPr>
        <w:tc>
          <w:tcPr>
            <w:tcW w:w="1560" w:type="dxa"/>
            <w:vAlign w:val="bottom"/>
            <w:shd w:val="clear" w:color="auto" w:fill="D9D9D9"/>
          </w:tcPr>
          <w:p>
            <w:pPr>
              <w:spacing w:after="0"/>
              <w:rPr>
                <w:sz w:val="20"/>
                <w:szCs w:val="20"/>
                <w:color w:val="auto"/>
              </w:rPr>
            </w:pPr>
            <w:r>
              <w:rPr>
                <w:rFonts w:ascii="Arial" w:cs="Arial" w:eastAsia="Arial" w:hAnsi="Arial"/>
                <w:sz w:val="16"/>
                <w:szCs w:val="16"/>
                <w:color w:val="auto"/>
              </w:rPr>
              <w:t>In Lieu of Annual</w:t>
            </w:r>
          </w:p>
        </w:tc>
        <w:tc>
          <w:tcPr>
            <w:tcW w:w="9680" w:type="dxa"/>
            <w:vAlign w:val="bottom"/>
            <w:shd w:val="clear" w:color="auto" w:fill="D9D9D9"/>
          </w:tcPr>
          <w:p>
            <w:pPr>
              <w:ind w:left="60"/>
              <w:spacing w:after="0"/>
              <w:rPr>
                <w:sz w:val="20"/>
                <w:szCs w:val="20"/>
                <w:color w:val="auto"/>
              </w:rPr>
            </w:pPr>
            <w:r>
              <w:rPr>
                <w:rFonts w:ascii="Arial" w:cs="Arial" w:eastAsia="Arial" w:hAnsi="Arial"/>
                <w:sz w:val="16"/>
                <w:szCs w:val="16"/>
                <w:color w:val="auto"/>
              </w:rPr>
              <w:t>shares of our common stock. Annual retainers earned after the date a director makes a stock-in-lieu of cash election for a calendar year</w:t>
            </w:r>
          </w:p>
        </w:tc>
      </w:tr>
      <w:tr>
        <w:trPr>
          <w:trHeight w:val="186"/>
        </w:trPr>
        <w:tc>
          <w:tcPr>
            <w:tcW w:w="1560" w:type="dxa"/>
            <w:vAlign w:val="bottom"/>
            <w:shd w:val="clear" w:color="auto" w:fill="D9D9D9"/>
          </w:tcPr>
          <w:p>
            <w:pPr>
              <w:spacing w:after="0"/>
              <w:rPr>
                <w:sz w:val="20"/>
                <w:szCs w:val="20"/>
                <w:color w:val="auto"/>
              </w:rPr>
            </w:pPr>
            <w:r>
              <w:rPr>
                <w:rFonts w:ascii="Arial" w:cs="Arial" w:eastAsia="Arial" w:hAnsi="Arial"/>
                <w:sz w:val="16"/>
                <w:szCs w:val="16"/>
                <w:color w:val="auto"/>
              </w:rPr>
              <w:t>Retainers</w:t>
            </w:r>
          </w:p>
        </w:tc>
        <w:tc>
          <w:tcPr>
            <w:tcW w:w="9680" w:type="dxa"/>
            <w:vAlign w:val="bottom"/>
            <w:shd w:val="clear" w:color="auto" w:fill="D9D9D9"/>
          </w:tcPr>
          <w:p>
            <w:pPr>
              <w:ind w:left="60"/>
              <w:spacing w:after="0"/>
              <w:rPr>
                <w:sz w:val="20"/>
                <w:szCs w:val="20"/>
                <w:color w:val="auto"/>
              </w:rPr>
            </w:pPr>
            <w:r>
              <w:rPr>
                <w:rFonts w:ascii="Arial" w:cs="Arial" w:eastAsia="Arial" w:hAnsi="Arial"/>
                <w:sz w:val="16"/>
                <w:szCs w:val="16"/>
                <w:color w:val="auto"/>
              </w:rPr>
              <w:t>are issued in shares of our common stock in December of that year, the number of which is determined by dividing the dollar amount of</w:t>
            </w:r>
          </w:p>
        </w:tc>
      </w:tr>
      <w:tr>
        <w:trPr>
          <w:trHeight w:val="186"/>
        </w:trPr>
        <w:tc>
          <w:tcPr>
            <w:tcW w:w="1560" w:type="dxa"/>
            <w:vAlign w:val="bottom"/>
            <w:shd w:val="clear" w:color="auto" w:fill="D9D9D9"/>
          </w:tcPr>
          <w:p>
            <w:pPr>
              <w:spacing w:after="0"/>
              <w:rPr>
                <w:sz w:val="16"/>
                <w:szCs w:val="16"/>
                <w:color w:val="auto"/>
              </w:rPr>
            </w:pPr>
          </w:p>
        </w:tc>
        <w:tc>
          <w:tcPr>
            <w:tcW w:w="9680" w:type="dxa"/>
            <w:vAlign w:val="bottom"/>
            <w:shd w:val="clear" w:color="auto" w:fill="D9D9D9"/>
          </w:tcPr>
          <w:p>
            <w:pPr>
              <w:ind w:left="60"/>
              <w:spacing w:after="0"/>
              <w:rPr>
                <w:sz w:val="20"/>
                <w:szCs w:val="20"/>
                <w:color w:val="auto"/>
              </w:rPr>
            </w:pPr>
            <w:r>
              <w:rPr>
                <w:rFonts w:ascii="Arial" w:cs="Arial" w:eastAsia="Arial" w:hAnsi="Arial"/>
                <w:sz w:val="16"/>
                <w:szCs w:val="16"/>
                <w:color w:val="auto"/>
                <w:w w:val="99"/>
              </w:rPr>
              <w:t>the annual retainers earned in the calendar year and elected to be converted into shares of our common stock by the closing price of our</w:t>
            </w:r>
          </w:p>
        </w:tc>
      </w:tr>
      <w:tr>
        <w:trPr>
          <w:trHeight w:val="211"/>
        </w:trPr>
        <w:tc>
          <w:tcPr>
            <w:tcW w:w="1560" w:type="dxa"/>
            <w:vAlign w:val="bottom"/>
            <w:shd w:val="clear" w:color="auto" w:fill="D9D9D9"/>
          </w:tcPr>
          <w:p>
            <w:pPr>
              <w:spacing w:after="0"/>
              <w:rPr>
                <w:sz w:val="18"/>
                <w:szCs w:val="18"/>
                <w:color w:val="auto"/>
              </w:rPr>
            </w:pPr>
          </w:p>
        </w:tc>
        <w:tc>
          <w:tcPr>
            <w:tcW w:w="9680" w:type="dxa"/>
            <w:vAlign w:val="bottom"/>
            <w:shd w:val="clear" w:color="auto" w:fill="D9D9D9"/>
          </w:tcPr>
          <w:p>
            <w:pPr>
              <w:ind w:left="60"/>
              <w:spacing w:after="0"/>
              <w:rPr>
                <w:sz w:val="20"/>
                <w:szCs w:val="20"/>
                <w:color w:val="auto"/>
              </w:rPr>
            </w:pPr>
            <w:r>
              <w:rPr>
                <w:rFonts w:ascii="Arial" w:cs="Arial" w:eastAsia="Arial" w:hAnsi="Arial"/>
                <w:sz w:val="16"/>
                <w:szCs w:val="16"/>
                <w:color w:val="auto"/>
              </w:rPr>
              <w:t>common stock on the date that the shares are issued.</w:t>
            </w:r>
          </w:p>
        </w:tc>
      </w:tr>
      <w:tr>
        <w:trPr>
          <w:trHeight w:val="201"/>
        </w:trPr>
        <w:tc>
          <w:tcPr>
            <w:tcW w:w="1560" w:type="dxa"/>
            <w:vAlign w:val="bottom"/>
          </w:tcPr>
          <w:p>
            <w:pPr>
              <w:spacing w:after="0"/>
              <w:rPr>
                <w:sz w:val="20"/>
                <w:szCs w:val="20"/>
                <w:color w:val="auto"/>
              </w:rPr>
            </w:pPr>
            <w:r>
              <w:rPr>
                <w:rFonts w:ascii="Arial" w:cs="Arial" w:eastAsia="Arial" w:hAnsi="Arial"/>
                <w:sz w:val="16"/>
                <w:szCs w:val="16"/>
                <w:color w:val="auto"/>
              </w:rPr>
              <w:t>Deferred</w:t>
            </w:r>
          </w:p>
        </w:tc>
        <w:tc>
          <w:tcPr>
            <w:tcW w:w="9680" w:type="dxa"/>
            <w:vAlign w:val="bottom"/>
          </w:tcPr>
          <w:p>
            <w:pPr>
              <w:ind w:left="60"/>
              <w:spacing w:after="0"/>
              <w:rPr>
                <w:sz w:val="20"/>
                <w:szCs w:val="20"/>
                <w:color w:val="auto"/>
              </w:rPr>
            </w:pPr>
            <w:r>
              <w:rPr>
                <w:rFonts w:ascii="Arial" w:cs="Arial" w:eastAsia="Arial" w:hAnsi="Arial"/>
                <w:sz w:val="16"/>
                <w:szCs w:val="16"/>
                <w:color w:val="auto"/>
                <w:w w:val="99"/>
              </w:rPr>
              <w:t>Non-employee directors may elect to defer receipt of all or a part of his or her stock award and/or cash compensation on a calendar year</w:t>
            </w:r>
          </w:p>
        </w:tc>
      </w:tr>
      <w:tr>
        <w:trPr>
          <w:trHeight w:val="186"/>
        </w:trPr>
        <w:tc>
          <w:tcPr>
            <w:tcW w:w="1560" w:type="dxa"/>
            <w:vAlign w:val="bottom"/>
          </w:tcPr>
          <w:p>
            <w:pPr>
              <w:spacing w:after="0"/>
              <w:rPr>
                <w:sz w:val="20"/>
                <w:szCs w:val="20"/>
                <w:color w:val="auto"/>
              </w:rPr>
            </w:pPr>
            <w:r>
              <w:rPr>
                <w:rFonts w:ascii="Arial" w:cs="Arial" w:eastAsia="Arial" w:hAnsi="Arial"/>
                <w:sz w:val="16"/>
                <w:szCs w:val="16"/>
                <w:color w:val="auto"/>
              </w:rPr>
              <w:t>Compensation Plan</w:t>
            </w:r>
          </w:p>
        </w:tc>
        <w:tc>
          <w:tcPr>
            <w:tcW w:w="9680" w:type="dxa"/>
            <w:vAlign w:val="bottom"/>
          </w:tcPr>
          <w:p>
            <w:pPr>
              <w:ind w:left="60"/>
              <w:spacing w:after="0"/>
              <w:rPr>
                <w:sz w:val="20"/>
                <w:szCs w:val="20"/>
                <w:color w:val="auto"/>
              </w:rPr>
            </w:pPr>
            <w:r>
              <w:rPr>
                <w:rFonts w:ascii="Arial" w:cs="Arial" w:eastAsia="Arial" w:hAnsi="Arial"/>
                <w:sz w:val="16"/>
                <w:szCs w:val="16"/>
                <w:color w:val="auto"/>
              </w:rPr>
              <w:t>basis under The Toro Company Deferred Compensation Plan for Non-Employee Directors, or the Deferred Plan for Directors. Because</w:t>
            </w:r>
          </w:p>
        </w:tc>
      </w:tr>
      <w:tr>
        <w:trPr>
          <w:trHeight w:val="186"/>
        </w:trPr>
        <w:tc>
          <w:tcPr>
            <w:tcW w:w="1560" w:type="dxa"/>
            <w:vAlign w:val="bottom"/>
          </w:tcPr>
          <w:p>
            <w:pPr>
              <w:spacing w:after="0"/>
              <w:rPr>
                <w:sz w:val="16"/>
                <w:szCs w:val="16"/>
                <w:color w:val="auto"/>
              </w:rPr>
            </w:pPr>
          </w:p>
        </w:tc>
        <w:tc>
          <w:tcPr>
            <w:tcW w:w="9680" w:type="dxa"/>
            <w:vAlign w:val="bottom"/>
          </w:tcPr>
          <w:p>
            <w:pPr>
              <w:ind w:left="60"/>
              <w:spacing w:after="0"/>
              <w:rPr>
                <w:sz w:val="20"/>
                <w:szCs w:val="20"/>
                <w:color w:val="auto"/>
              </w:rPr>
            </w:pPr>
            <w:r>
              <w:rPr>
                <w:rFonts w:ascii="Arial" w:cs="Arial" w:eastAsia="Arial" w:hAnsi="Arial"/>
                <w:sz w:val="16"/>
                <w:szCs w:val="16"/>
                <w:color w:val="auto"/>
              </w:rPr>
              <w:t>the value of a director’s deferred compensation account fluctuates, as applicable, based on the market value of our common stock or</w:t>
            </w:r>
          </w:p>
        </w:tc>
      </w:tr>
      <w:tr>
        <w:trPr>
          <w:trHeight w:val="186"/>
        </w:trPr>
        <w:tc>
          <w:tcPr>
            <w:tcW w:w="1560" w:type="dxa"/>
            <w:vAlign w:val="bottom"/>
          </w:tcPr>
          <w:p>
            <w:pPr>
              <w:spacing w:after="0"/>
              <w:rPr>
                <w:sz w:val="16"/>
                <w:szCs w:val="16"/>
                <w:color w:val="auto"/>
              </w:rPr>
            </w:pPr>
          </w:p>
        </w:tc>
        <w:tc>
          <w:tcPr>
            <w:tcW w:w="9680" w:type="dxa"/>
            <w:vAlign w:val="bottom"/>
          </w:tcPr>
          <w:p>
            <w:pPr>
              <w:ind w:left="60"/>
              <w:spacing w:after="0"/>
              <w:rPr>
                <w:sz w:val="20"/>
                <w:szCs w:val="20"/>
                <w:color w:val="auto"/>
              </w:rPr>
            </w:pPr>
            <w:r>
              <w:rPr>
                <w:rFonts w:ascii="Arial" w:cs="Arial" w:eastAsia="Arial" w:hAnsi="Arial"/>
                <w:sz w:val="16"/>
                <w:szCs w:val="16"/>
                <w:color w:val="auto"/>
              </w:rPr>
              <w:t>based on a rate of return on funds that are comparable to funds available in The Toro Company Retirement Plan, or Retirement Plan,</w:t>
            </w:r>
          </w:p>
        </w:tc>
      </w:tr>
      <w:tr>
        <w:trPr>
          <w:trHeight w:val="186"/>
        </w:trPr>
        <w:tc>
          <w:tcPr>
            <w:tcW w:w="1560" w:type="dxa"/>
            <w:vAlign w:val="bottom"/>
          </w:tcPr>
          <w:p>
            <w:pPr>
              <w:spacing w:after="0"/>
              <w:rPr>
                <w:sz w:val="16"/>
                <w:szCs w:val="16"/>
                <w:color w:val="auto"/>
              </w:rPr>
            </w:pPr>
          </w:p>
        </w:tc>
        <w:tc>
          <w:tcPr>
            <w:tcW w:w="9680" w:type="dxa"/>
            <w:vAlign w:val="bottom"/>
          </w:tcPr>
          <w:p>
            <w:pPr>
              <w:ind w:left="60"/>
              <w:spacing w:after="0"/>
              <w:rPr>
                <w:sz w:val="20"/>
                <w:szCs w:val="20"/>
                <w:color w:val="auto"/>
              </w:rPr>
            </w:pPr>
            <w:r>
              <w:rPr>
                <w:rFonts w:ascii="Arial" w:cs="Arial" w:eastAsia="Arial" w:hAnsi="Arial"/>
                <w:sz w:val="16"/>
                <w:szCs w:val="16"/>
                <w:color w:val="auto"/>
              </w:rPr>
              <w:t>earnings on deferred compensation are not preferential. Dividends paid on our common stock are credited to a director’s account as</w:t>
            </w:r>
          </w:p>
        </w:tc>
      </w:tr>
      <w:tr>
        <w:trPr>
          <w:trHeight w:val="186"/>
        </w:trPr>
        <w:tc>
          <w:tcPr>
            <w:tcW w:w="1560" w:type="dxa"/>
            <w:vAlign w:val="bottom"/>
          </w:tcPr>
          <w:p>
            <w:pPr>
              <w:spacing w:after="0"/>
              <w:rPr>
                <w:sz w:val="16"/>
                <w:szCs w:val="16"/>
                <w:color w:val="auto"/>
              </w:rPr>
            </w:pPr>
          </w:p>
        </w:tc>
        <w:tc>
          <w:tcPr>
            <w:tcW w:w="9680" w:type="dxa"/>
            <w:vAlign w:val="bottom"/>
          </w:tcPr>
          <w:p>
            <w:pPr>
              <w:ind w:left="60"/>
              <w:spacing w:after="0"/>
              <w:rPr>
                <w:sz w:val="20"/>
                <w:szCs w:val="20"/>
                <w:color w:val="auto"/>
              </w:rPr>
            </w:pPr>
            <w:r>
              <w:rPr>
                <w:rFonts w:ascii="Arial" w:cs="Arial" w:eastAsia="Arial" w:hAnsi="Arial"/>
                <w:sz w:val="16"/>
                <w:szCs w:val="16"/>
                <w:color w:val="auto"/>
              </w:rPr>
              <w:t>additional common stock units. A director is fully vested in his or her deferred compensation accounts. Distributions under the Deferred</w:t>
            </w:r>
          </w:p>
        </w:tc>
      </w:tr>
      <w:tr>
        <w:trPr>
          <w:trHeight w:val="186"/>
        </w:trPr>
        <w:tc>
          <w:tcPr>
            <w:tcW w:w="1560" w:type="dxa"/>
            <w:vAlign w:val="bottom"/>
          </w:tcPr>
          <w:p>
            <w:pPr>
              <w:spacing w:after="0"/>
              <w:rPr>
                <w:sz w:val="16"/>
                <w:szCs w:val="16"/>
                <w:color w:val="auto"/>
              </w:rPr>
            </w:pPr>
          </w:p>
        </w:tc>
        <w:tc>
          <w:tcPr>
            <w:tcW w:w="9680" w:type="dxa"/>
            <w:vAlign w:val="bottom"/>
          </w:tcPr>
          <w:p>
            <w:pPr>
              <w:ind w:left="60"/>
              <w:spacing w:after="0"/>
              <w:rPr>
                <w:sz w:val="20"/>
                <w:szCs w:val="20"/>
                <w:color w:val="auto"/>
              </w:rPr>
            </w:pPr>
            <w:r>
              <w:rPr>
                <w:rFonts w:ascii="Arial" w:cs="Arial" w:eastAsia="Arial" w:hAnsi="Arial"/>
                <w:sz w:val="16"/>
                <w:szCs w:val="16"/>
                <w:color w:val="auto"/>
              </w:rPr>
              <w:t>Plan for Directors are payable in accordance with the director participant’s prior distribution elections upon the earliest of retirement,</w:t>
            </w:r>
          </w:p>
        </w:tc>
      </w:tr>
      <w:tr>
        <w:trPr>
          <w:trHeight w:val="202"/>
        </w:trPr>
        <w:tc>
          <w:tcPr>
            <w:tcW w:w="1560" w:type="dxa"/>
            <w:vAlign w:val="bottom"/>
          </w:tcPr>
          <w:p>
            <w:pPr>
              <w:spacing w:after="0"/>
              <w:rPr>
                <w:sz w:val="17"/>
                <w:szCs w:val="17"/>
                <w:color w:val="auto"/>
              </w:rPr>
            </w:pPr>
          </w:p>
        </w:tc>
        <w:tc>
          <w:tcPr>
            <w:tcW w:w="9680" w:type="dxa"/>
            <w:vAlign w:val="bottom"/>
          </w:tcPr>
          <w:p>
            <w:pPr>
              <w:ind w:left="60"/>
              <w:spacing w:after="0"/>
              <w:rPr>
                <w:sz w:val="20"/>
                <w:szCs w:val="20"/>
                <w:color w:val="auto"/>
              </w:rPr>
            </w:pPr>
            <w:r>
              <w:rPr>
                <w:rFonts w:ascii="Arial" w:cs="Arial" w:eastAsia="Arial" w:hAnsi="Arial"/>
                <w:sz w:val="16"/>
                <w:szCs w:val="16"/>
                <w:color w:val="auto"/>
              </w:rPr>
              <w:t>prior to retirement if a valid election has been made or in an unforeseeable financial emergency.</w:t>
            </w:r>
          </w:p>
        </w:tc>
      </w:tr>
      <w:tr>
        <w:trPr>
          <w:trHeight w:val="211"/>
        </w:trPr>
        <w:tc>
          <w:tcPr>
            <w:tcW w:w="1560" w:type="dxa"/>
            <w:vAlign w:val="bottom"/>
            <w:shd w:val="clear" w:color="auto" w:fill="D9D9D9"/>
          </w:tcPr>
          <w:p>
            <w:pPr>
              <w:spacing w:after="0"/>
              <w:rPr>
                <w:sz w:val="20"/>
                <w:szCs w:val="20"/>
                <w:color w:val="auto"/>
              </w:rPr>
            </w:pPr>
            <w:r>
              <w:rPr>
                <w:rFonts w:ascii="Arial" w:cs="Arial" w:eastAsia="Arial" w:hAnsi="Arial"/>
                <w:sz w:val="16"/>
                <w:szCs w:val="16"/>
                <w:color w:val="auto"/>
              </w:rPr>
              <w:t>Company Products</w:t>
            </w:r>
          </w:p>
        </w:tc>
        <w:tc>
          <w:tcPr>
            <w:tcW w:w="9680" w:type="dxa"/>
            <w:vAlign w:val="bottom"/>
            <w:shd w:val="clear" w:color="auto" w:fill="D9D9D9"/>
          </w:tcPr>
          <w:p>
            <w:pPr>
              <w:ind w:left="60"/>
              <w:spacing w:after="0"/>
              <w:rPr>
                <w:sz w:val="20"/>
                <w:szCs w:val="20"/>
                <w:color w:val="auto"/>
              </w:rPr>
            </w:pPr>
            <w:r>
              <w:rPr>
                <w:rFonts w:ascii="Arial" w:cs="Arial" w:eastAsia="Arial" w:hAnsi="Arial"/>
                <w:sz w:val="16"/>
                <w:szCs w:val="16"/>
                <w:color w:val="auto"/>
                <w:w w:val="99"/>
              </w:rPr>
              <w:t>Each of our non-employee directors is entitled to receive certain Company products and related parts, service and accessories for his or</w:t>
            </w:r>
          </w:p>
        </w:tc>
      </w:tr>
      <w:tr>
        <w:trPr>
          <w:trHeight w:val="186"/>
        </w:trPr>
        <w:tc>
          <w:tcPr>
            <w:tcW w:w="1560" w:type="dxa"/>
            <w:vAlign w:val="bottom"/>
            <w:shd w:val="clear" w:color="auto" w:fill="D9D9D9"/>
          </w:tcPr>
          <w:p>
            <w:pPr>
              <w:spacing w:after="0"/>
              <w:rPr>
                <w:sz w:val="16"/>
                <w:szCs w:val="16"/>
                <w:color w:val="auto"/>
              </w:rPr>
            </w:pPr>
          </w:p>
        </w:tc>
        <w:tc>
          <w:tcPr>
            <w:tcW w:w="9680" w:type="dxa"/>
            <w:vAlign w:val="bottom"/>
            <w:shd w:val="clear" w:color="auto" w:fill="D9D9D9"/>
          </w:tcPr>
          <w:p>
            <w:pPr>
              <w:ind w:left="60"/>
              <w:spacing w:after="0"/>
              <w:rPr>
                <w:sz w:val="20"/>
                <w:szCs w:val="20"/>
                <w:color w:val="auto"/>
              </w:rPr>
            </w:pPr>
            <w:r>
              <w:rPr>
                <w:rFonts w:ascii="Arial" w:cs="Arial" w:eastAsia="Arial" w:hAnsi="Arial"/>
                <w:sz w:val="16"/>
                <w:szCs w:val="16"/>
                <w:color w:val="auto"/>
              </w:rPr>
              <w:t>her personal use, at no cost; provided, however, that directors are responsible for payment of applicable taxes attributable to the value</w:t>
            </w:r>
          </w:p>
        </w:tc>
      </w:tr>
      <w:tr>
        <w:trPr>
          <w:trHeight w:val="186"/>
        </w:trPr>
        <w:tc>
          <w:tcPr>
            <w:tcW w:w="1560" w:type="dxa"/>
            <w:vAlign w:val="bottom"/>
            <w:shd w:val="clear" w:color="auto" w:fill="D9D9D9"/>
          </w:tcPr>
          <w:p>
            <w:pPr>
              <w:spacing w:after="0"/>
              <w:rPr>
                <w:sz w:val="16"/>
                <w:szCs w:val="16"/>
                <w:color w:val="auto"/>
              </w:rPr>
            </w:pPr>
          </w:p>
        </w:tc>
        <w:tc>
          <w:tcPr>
            <w:tcW w:w="9680" w:type="dxa"/>
            <w:vAlign w:val="bottom"/>
            <w:shd w:val="clear" w:color="auto" w:fill="D9D9D9"/>
          </w:tcPr>
          <w:p>
            <w:pPr>
              <w:ind w:left="60"/>
              <w:spacing w:after="0"/>
              <w:rPr>
                <w:sz w:val="20"/>
                <w:szCs w:val="20"/>
                <w:color w:val="auto"/>
              </w:rPr>
            </w:pPr>
            <w:r>
              <w:rPr>
                <w:rFonts w:ascii="Arial" w:cs="Arial" w:eastAsia="Arial" w:hAnsi="Arial"/>
                <w:sz w:val="16"/>
                <w:szCs w:val="16"/>
                <w:color w:val="auto"/>
              </w:rPr>
              <w:t>of such items. The value of products, parts and accessories is deemed to be our distributor net price or its equivalent, which is also the</w:t>
            </w:r>
          </w:p>
        </w:tc>
      </w:tr>
      <w:tr>
        <w:trPr>
          <w:trHeight w:val="211"/>
        </w:trPr>
        <w:tc>
          <w:tcPr>
            <w:tcW w:w="1560" w:type="dxa"/>
            <w:vAlign w:val="bottom"/>
            <w:shd w:val="clear" w:color="auto" w:fill="D9D9D9"/>
          </w:tcPr>
          <w:p>
            <w:pPr>
              <w:spacing w:after="0"/>
              <w:rPr>
                <w:sz w:val="18"/>
                <w:szCs w:val="18"/>
                <w:color w:val="auto"/>
              </w:rPr>
            </w:pPr>
          </w:p>
        </w:tc>
        <w:tc>
          <w:tcPr>
            <w:tcW w:w="9680" w:type="dxa"/>
            <w:vAlign w:val="bottom"/>
            <w:shd w:val="clear" w:color="auto" w:fill="D9D9D9"/>
          </w:tcPr>
          <w:p>
            <w:pPr>
              <w:ind w:left="60"/>
              <w:spacing w:after="0"/>
              <w:rPr>
                <w:sz w:val="20"/>
                <w:szCs w:val="20"/>
                <w:color w:val="auto"/>
              </w:rPr>
            </w:pPr>
            <w:r>
              <w:rPr>
                <w:rFonts w:ascii="Arial" w:cs="Arial" w:eastAsia="Arial" w:hAnsi="Arial"/>
                <w:sz w:val="16"/>
                <w:szCs w:val="16"/>
                <w:color w:val="auto"/>
              </w:rPr>
              <w:t>price at which such items are generally available to our employees for purchase.</w:t>
            </w:r>
          </w:p>
        </w:tc>
      </w:tr>
      <w:tr>
        <w:trPr>
          <w:trHeight w:val="201"/>
        </w:trPr>
        <w:tc>
          <w:tcPr>
            <w:tcW w:w="1560" w:type="dxa"/>
            <w:vAlign w:val="bottom"/>
          </w:tcPr>
          <w:p>
            <w:pPr>
              <w:spacing w:after="0"/>
              <w:rPr>
                <w:sz w:val="20"/>
                <w:szCs w:val="20"/>
                <w:color w:val="auto"/>
              </w:rPr>
            </w:pPr>
            <w:r>
              <w:rPr>
                <w:rFonts w:ascii="Arial" w:cs="Arial" w:eastAsia="Arial" w:hAnsi="Arial"/>
                <w:sz w:val="16"/>
                <w:szCs w:val="16"/>
                <w:color w:val="auto"/>
              </w:rPr>
              <w:t>Charitable Giving</w:t>
            </w:r>
          </w:p>
        </w:tc>
        <w:tc>
          <w:tcPr>
            <w:tcW w:w="9680" w:type="dxa"/>
            <w:vAlign w:val="bottom"/>
          </w:tcPr>
          <w:p>
            <w:pPr>
              <w:ind w:left="60"/>
              <w:spacing w:after="0"/>
              <w:rPr>
                <w:sz w:val="20"/>
                <w:szCs w:val="20"/>
                <w:color w:val="auto"/>
              </w:rPr>
            </w:pPr>
            <w:r>
              <w:rPr>
                <w:rFonts w:ascii="Arial" w:cs="Arial" w:eastAsia="Arial" w:hAnsi="Arial"/>
                <w:sz w:val="16"/>
                <w:szCs w:val="16"/>
                <w:color w:val="auto"/>
              </w:rPr>
              <w:t>We offer a matching gift program for our non-employee directors, similar to the matching gift program offered to our employees, which</w:t>
            </w:r>
          </w:p>
        </w:tc>
      </w:tr>
      <w:tr>
        <w:trPr>
          <w:trHeight w:val="186"/>
        </w:trPr>
        <w:tc>
          <w:tcPr>
            <w:tcW w:w="1560" w:type="dxa"/>
            <w:vAlign w:val="bottom"/>
          </w:tcPr>
          <w:p>
            <w:pPr>
              <w:spacing w:after="0"/>
              <w:rPr>
                <w:sz w:val="16"/>
                <w:szCs w:val="16"/>
                <w:color w:val="auto"/>
              </w:rPr>
            </w:pPr>
          </w:p>
        </w:tc>
        <w:tc>
          <w:tcPr>
            <w:tcW w:w="9680" w:type="dxa"/>
            <w:vAlign w:val="bottom"/>
          </w:tcPr>
          <w:p>
            <w:pPr>
              <w:ind w:left="60"/>
              <w:spacing w:after="0"/>
              <w:rPr>
                <w:sz w:val="20"/>
                <w:szCs w:val="20"/>
                <w:color w:val="auto"/>
              </w:rPr>
            </w:pPr>
            <w:r>
              <w:rPr>
                <w:rFonts w:ascii="Arial" w:cs="Arial" w:eastAsia="Arial" w:hAnsi="Arial"/>
                <w:sz w:val="16"/>
                <w:szCs w:val="16"/>
                <w:color w:val="auto"/>
              </w:rPr>
              <w:t>provides that a gift or gifts by a director to one or more tax exempt 501(c)(3) charitable organizations located in the United States will be</w:t>
            </w:r>
          </w:p>
        </w:tc>
      </w:tr>
      <w:tr>
        <w:trPr>
          <w:trHeight w:val="202"/>
        </w:trPr>
        <w:tc>
          <w:tcPr>
            <w:tcW w:w="1560" w:type="dxa"/>
            <w:vAlign w:val="bottom"/>
          </w:tcPr>
          <w:p>
            <w:pPr>
              <w:spacing w:after="0"/>
              <w:rPr>
                <w:sz w:val="17"/>
                <w:szCs w:val="17"/>
                <w:color w:val="auto"/>
              </w:rPr>
            </w:pPr>
          </w:p>
        </w:tc>
        <w:tc>
          <w:tcPr>
            <w:tcW w:w="9680" w:type="dxa"/>
            <w:vAlign w:val="bottom"/>
          </w:tcPr>
          <w:p>
            <w:pPr>
              <w:ind w:left="60"/>
              <w:spacing w:after="0"/>
              <w:rPr>
                <w:sz w:val="20"/>
                <w:szCs w:val="20"/>
                <w:color w:val="auto"/>
              </w:rPr>
            </w:pPr>
            <w:r>
              <w:rPr>
                <w:rFonts w:ascii="Arial" w:cs="Arial" w:eastAsia="Arial" w:hAnsi="Arial"/>
                <w:sz w:val="16"/>
                <w:szCs w:val="16"/>
                <w:color w:val="auto"/>
              </w:rPr>
              <w:t>matched by us in an aggregate amount of up to $1,000 per director per year.</w:t>
            </w:r>
          </w:p>
        </w:tc>
      </w:tr>
      <w:tr>
        <w:trPr>
          <w:trHeight w:val="211"/>
        </w:trPr>
        <w:tc>
          <w:tcPr>
            <w:tcW w:w="1560" w:type="dxa"/>
            <w:vAlign w:val="bottom"/>
            <w:shd w:val="clear" w:color="auto" w:fill="D9D9D9"/>
          </w:tcPr>
          <w:p>
            <w:pPr>
              <w:spacing w:after="0"/>
              <w:rPr>
                <w:sz w:val="20"/>
                <w:szCs w:val="20"/>
                <w:color w:val="auto"/>
              </w:rPr>
            </w:pPr>
            <w:r>
              <w:rPr>
                <w:rFonts w:ascii="Arial" w:cs="Arial" w:eastAsia="Arial" w:hAnsi="Arial"/>
                <w:sz w:val="16"/>
                <w:szCs w:val="16"/>
                <w:color w:val="auto"/>
              </w:rPr>
              <w:t>Indemnification and</w:t>
            </w:r>
          </w:p>
        </w:tc>
        <w:tc>
          <w:tcPr>
            <w:tcW w:w="9680" w:type="dxa"/>
            <w:vAlign w:val="bottom"/>
            <w:shd w:val="clear" w:color="auto" w:fill="D9D9D9"/>
          </w:tcPr>
          <w:p>
            <w:pPr>
              <w:ind w:left="60"/>
              <w:spacing w:after="0"/>
              <w:rPr>
                <w:sz w:val="20"/>
                <w:szCs w:val="20"/>
                <w:color w:val="auto"/>
              </w:rPr>
            </w:pPr>
            <w:r>
              <w:rPr>
                <w:rFonts w:ascii="Arial" w:cs="Arial" w:eastAsia="Arial" w:hAnsi="Arial"/>
                <w:sz w:val="16"/>
                <w:szCs w:val="16"/>
                <w:color w:val="auto"/>
              </w:rPr>
              <w:t>Each non-employee director is a party to an indemnification agreement with us pursuant to which we have agreed to provide</w:t>
            </w:r>
          </w:p>
        </w:tc>
      </w:tr>
      <w:tr>
        <w:trPr>
          <w:trHeight w:val="186"/>
        </w:trPr>
        <w:tc>
          <w:tcPr>
            <w:tcW w:w="1560" w:type="dxa"/>
            <w:vAlign w:val="bottom"/>
            <w:shd w:val="clear" w:color="auto" w:fill="D9D9D9"/>
          </w:tcPr>
          <w:p>
            <w:pPr>
              <w:spacing w:after="0"/>
              <w:rPr>
                <w:sz w:val="20"/>
                <w:szCs w:val="20"/>
                <w:color w:val="auto"/>
              </w:rPr>
            </w:pPr>
            <w:r>
              <w:rPr>
                <w:rFonts w:ascii="Arial" w:cs="Arial" w:eastAsia="Arial" w:hAnsi="Arial"/>
                <w:sz w:val="16"/>
                <w:szCs w:val="16"/>
                <w:color w:val="auto"/>
              </w:rPr>
              <w:t>D&amp;O Insurance</w:t>
            </w:r>
          </w:p>
        </w:tc>
        <w:tc>
          <w:tcPr>
            <w:tcW w:w="9680" w:type="dxa"/>
            <w:vAlign w:val="bottom"/>
            <w:shd w:val="clear" w:color="auto" w:fill="D9D9D9"/>
          </w:tcPr>
          <w:p>
            <w:pPr>
              <w:ind w:left="60"/>
              <w:spacing w:after="0"/>
              <w:rPr>
                <w:sz w:val="20"/>
                <w:szCs w:val="20"/>
                <w:color w:val="auto"/>
              </w:rPr>
            </w:pPr>
            <w:r>
              <w:rPr>
                <w:rFonts w:ascii="Arial" w:cs="Arial" w:eastAsia="Arial" w:hAnsi="Arial"/>
                <w:sz w:val="16"/>
                <w:szCs w:val="16"/>
                <w:color w:val="auto"/>
              </w:rPr>
              <w:t>indemnification and advancement of expenses to the fullest extent permitted by Delaware law and our Restated Certificate of</w:t>
            </w:r>
          </w:p>
        </w:tc>
      </w:tr>
      <w:tr>
        <w:trPr>
          <w:trHeight w:val="211"/>
        </w:trPr>
        <w:tc>
          <w:tcPr>
            <w:tcW w:w="1560" w:type="dxa"/>
            <w:vAlign w:val="bottom"/>
            <w:shd w:val="clear" w:color="auto" w:fill="D9D9D9"/>
          </w:tcPr>
          <w:p>
            <w:pPr>
              <w:spacing w:after="0"/>
              <w:rPr>
                <w:sz w:val="18"/>
                <w:szCs w:val="18"/>
                <w:color w:val="auto"/>
              </w:rPr>
            </w:pPr>
          </w:p>
        </w:tc>
        <w:tc>
          <w:tcPr>
            <w:tcW w:w="9680" w:type="dxa"/>
            <w:vAlign w:val="bottom"/>
            <w:shd w:val="clear" w:color="auto" w:fill="D9D9D9"/>
          </w:tcPr>
          <w:p>
            <w:pPr>
              <w:ind w:left="60"/>
              <w:spacing w:after="0"/>
              <w:rPr>
                <w:sz w:val="20"/>
                <w:szCs w:val="20"/>
                <w:color w:val="auto"/>
              </w:rPr>
            </w:pPr>
            <w:r>
              <w:rPr>
                <w:rFonts w:ascii="Arial" w:cs="Arial" w:eastAsia="Arial" w:hAnsi="Arial"/>
                <w:sz w:val="16"/>
                <w:szCs w:val="16"/>
                <w:color w:val="auto"/>
              </w:rPr>
              <w:t>Incorporation and continued coverage under our D&amp;O insurance.</w:t>
            </w:r>
          </w:p>
        </w:tc>
      </w:tr>
    </w:tbl>
    <w:p>
      <w:pPr>
        <w:spacing w:after="0" w:line="84" w:lineRule="exact"/>
        <w:rPr>
          <w:sz w:val="20"/>
          <w:szCs w:val="20"/>
          <w:color w:val="auto"/>
        </w:rPr>
      </w:pPr>
    </w:p>
    <w:p>
      <w:pPr>
        <w:ind w:right="40" w:firstLine="401"/>
        <w:spacing w:after="0" w:line="292" w:lineRule="auto"/>
        <w:rPr>
          <w:sz w:val="20"/>
          <w:szCs w:val="20"/>
          <w:color w:val="auto"/>
        </w:rPr>
      </w:pPr>
      <w:r>
        <w:rPr>
          <w:rFonts w:ascii="Arial" w:cs="Arial" w:eastAsia="Arial" w:hAnsi="Arial"/>
          <w:sz w:val="17"/>
          <w:szCs w:val="17"/>
          <w:b w:val="1"/>
          <w:bCs w:val="1"/>
          <w:i w:val="1"/>
          <w:iCs w:val="1"/>
          <w:color w:val="auto"/>
        </w:rPr>
        <w:t xml:space="preserve">Stock Option Vesting. </w:t>
      </w:r>
      <w:r>
        <w:rPr>
          <w:rFonts w:ascii="Arial" w:cs="Arial" w:eastAsia="Arial" w:hAnsi="Arial"/>
          <w:sz w:val="17"/>
          <w:szCs w:val="17"/>
          <w:color w:val="auto"/>
        </w:rPr>
        <w:t>Except as described below, stock options granted to our non-employee directors vest in three equal installments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each of the first, second and third year anniversaries of the grant date and remain exercisable for a term of ten years after the grant date.</w:t>
      </w:r>
    </w:p>
    <w:p>
      <w:pPr>
        <w:spacing w:after="0" w:line="52" w:lineRule="exact"/>
        <w:rPr>
          <w:sz w:val="20"/>
          <w:szCs w:val="20"/>
          <w:color w:val="auto"/>
        </w:rPr>
      </w:pPr>
    </w:p>
    <w:p>
      <w:pPr>
        <w:ind w:right="200" w:firstLine="401"/>
        <w:spacing w:after="0" w:line="236" w:lineRule="auto"/>
        <w:rPr>
          <w:sz w:val="20"/>
          <w:szCs w:val="20"/>
          <w:color w:val="auto"/>
        </w:rPr>
      </w:pPr>
      <w:r>
        <w:rPr>
          <w:rFonts w:ascii="Arial" w:cs="Arial" w:eastAsia="Arial" w:hAnsi="Arial"/>
          <w:sz w:val="18"/>
          <w:szCs w:val="18"/>
          <w:color w:val="auto"/>
        </w:rPr>
        <w:t>If a director becomes disabled or dies, all outstanding unvested stock options will vest in full on the date the director’s service ceases by reason of such disability or death and all outstanding stock options may be exercised up to the earlier of the date the stock options expire or one year after the date the director’s service ceased by reason of such disability or death.</w:t>
      </w:r>
    </w:p>
    <w:p>
      <w:pPr>
        <w:spacing w:after="0" w:line="94" w:lineRule="exact"/>
        <w:rPr>
          <w:sz w:val="20"/>
          <w:szCs w:val="20"/>
          <w:color w:val="auto"/>
        </w:rPr>
      </w:pPr>
    </w:p>
    <w:p>
      <w:pPr>
        <w:ind w:firstLine="401"/>
        <w:spacing w:after="0" w:line="233" w:lineRule="auto"/>
        <w:rPr>
          <w:sz w:val="20"/>
          <w:szCs w:val="20"/>
          <w:color w:val="auto"/>
        </w:rPr>
      </w:pPr>
      <w:r>
        <w:rPr>
          <w:rFonts w:ascii="Arial" w:cs="Arial" w:eastAsia="Arial" w:hAnsi="Arial"/>
          <w:sz w:val="18"/>
          <w:szCs w:val="18"/>
          <w:color w:val="auto"/>
        </w:rPr>
        <w:t>If a director has served as a member of the Board for ten full fiscal years or longer and terminates his or her service on the Board, other than due to death or disability, his or her outstanding unvested stock options will continue to vest in accordance with their terms and the director may exercise the vested portions of the stock options for up to four years after the director’s date of termination, but not later than the date the stock options expire. If a director has served as a member of the Board for less than ten full fiscal years and terminates his or her service on the Board, other than due to death or disability, his or her outstanding unvested stock options will expire and be canceled and the director may exercise any vested portions of the stock options for up to three months after the director’s date of termination, but not later than the date the stock options expire. The following directors have served as a member of the Board for ten full fiscal years or longer: Janet K. Cooper, Gary L. Ellis, Katherine J. Harless and Jeffrey M. Ettinger.</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98" w:lineRule="exact"/>
        <w:rPr>
          <w:sz w:val="20"/>
          <w:szCs w:val="20"/>
          <w:color w:val="auto"/>
        </w:rPr>
      </w:pPr>
    </w:p>
    <w:p>
      <w:pPr>
        <w:jc w:val="both"/>
        <w:ind w:right="20" w:firstLine="401"/>
        <w:spacing w:after="0" w:line="236" w:lineRule="auto"/>
        <w:rPr>
          <w:sz w:val="20"/>
          <w:szCs w:val="20"/>
          <w:color w:val="auto"/>
        </w:rPr>
      </w:pPr>
      <w:r>
        <w:rPr>
          <w:rFonts w:ascii="Arial" w:cs="Arial" w:eastAsia="Arial" w:hAnsi="Arial"/>
          <w:sz w:val="18"/>
          <w:szCs w:val="18"/>
          <w:color w:val="auto"/>
        </w:rPr>
        <w:t>If there is a change in control of our Company, stock options granted under the 2010 Plan will vest immediately and remain exercisable for the remaining term. The general definition of a change in control under the 2010 Plan is described under “Potential Payments upon Termination or Change in Control—Change in Control.”</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Director Compensation for Fiscal 2021</w:t>
      </w:r>
    </w:p>
    <w:p>
      <w:pPr>
        <w:spacing w:after="0" w:line="127" w:lineRule="exact"/>
        <w:rPr>
          <w:sz w:val="20"/>
          <w:szCs w:val="20"/>
          <w:color w:val="auto"/>
        </w:rPr>
      </w:pPr>
    </w:p>
    <w:p>
      <w:pPr>
        <w:ind w:right="100" w:firstLine="401"/>
        <w:spacing w:after="0" w:line="234" w:lineRule="auto"/>
        <w:rPr>
          <w:sz w:val="20"/>
          <w:szCs w:val="20"/>
          <w:color w:val="auto"/>
        </w:rPr>
      </w:pPr>
      <w:r>
        <w:rPr>
          <w:rFonts w:ascii="Arial" w:cs="Arial" w:eastAsia="Arial" w:hAnsi="Arial"/>
          <w:sz w:val="18"/>
          <w:szCs w:val="18"/>
          <w:color w:val="auto"/>
        </w:rPr>
        <w:t>The following table provides summary information concerning the compensation of each individual non-employee director who served during fiscal 2021. Richard M. Olson, our Chairman and CEO, is not compensated separately for his service as a director. Mr. Olson’s compensation is discussed in the “Executive Compensation” section. Amounts in the table are not reduced to reflect elections, if any, by the non-employee directors to defer receipt of compensation. Deferral elections are described in more detail in the footnotes to the table. Earnings on nonqualified deferred compensation are not on a basis that is considered to be above-market or preferential.</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shd w:val="clear" w:color="auto" w:fill="C00000"/>
          </w:tcPr>
          <w:p>
            <w:pPr>
              <w:spacing w:after="0"/>
              <w:rPr>
                <w:sz w:val="14"/>
                <w:szCs w:val="14"/>
                <w:color w:val="auto"/>
              </w:rPr>
            </w:pPr>
          </w:p>
        </w:tc>
        <w:tc>
          <w:tcPr>
            <w:tcW w:w="2440" w:type="dxa"/>
            <w:vAlign w:val="bottom"/>
            <w:shd w:val="clear" w:color="auto" w:fill="C00000"/>
          </w:tcPr>
          <w:p>
            <w:pPr>
              <w:jc w:val="center"/>
              <w:ind w:left="464"/>
              <w:spacing w:after="0"/>
              <w:rPr>
                <w:sz w:val="20"/>
                <w:szCs w:val="20"/>
                <w:color w:val="auto"/>
              </w:rPr>
            </w:pPr>
            <w:r>
              <w:rPr>
                <w:rFonts w:ascii="Arial" w:cs="Arial" w:eastAsia="Arial" w:hAnsi="Arial"/>
                <w:sz w:val="14"/>
                <w:szCs w:val="14"/>
                <w:b w:val="1"/>
                <w:bCs w:val="1"/>
                <w:color w:val="FFFFFF"/>
              </w:rPr>
              <w:t>Fees Earned or</w:t>
            </w:r>
          </w:p>
        </w:tc>
        <w:tc>
          <w:tcPr>
            <w:tcW w:w="1580" w:type="dxa"/>
            <w:vAlign w:val="bottom"/>
            <w:shd w:val="clear" w:color="auto" w:fill="C00000"/>
          </w:tcPr>
          <w:p>
            <w:pPr>
              <w:spacing w:after="0"/>
              <w:rPr>
                <w:sz w:val="14"/>
                <w:szCs w:val="14"/>
                <w:color w:val="auto"/>
              </w:rPr>
            </w:pPr>
          </w:p>
        </w:tc>
        <w:tc>
          <w:tcPr>
            <w:tcW w:w="1600" w:type="dxa"/>
            <w:vAlign w:val="bottom"/>
            <w:shd w:val="clear" w:color="auto" w:fill="C00000"/>
          </w:tcPr>
          <w:p>
            <w:pPr>
              <w:spacing w:after="0"/>
              <w:rPr>
                <w:sz w:val="14"/>
                <w:szCs w:val="14"/>
                <w:color w:val="auto"/>
              </w:rPr>
            </w:pPr>
          </w:p>
        </w:tc>
        <w:tc>
          <w:tcPr>
            <w:tcW w:w="1760" w:type="dxa"/>
            <w:vAlign w:val="bottom"/>
            <w:shd w:val="clear" w:color="auto" w:fill="C00000"/>
          </w:tcPr>
          <w:p>
            <w:pPr>
              <w:jc w:val="center"/>
              <w:ind w:right="324"/>
              <w:spacing w:after="0"/>
              <w:rPr>
                <w:sz w:val="20"/>
                <w:szCs w:val="20"/>
                <w:color w:val="auto"/>
              </w:rPr>
            </w:pPr>
            <w:r>
              <w:rPr>
                <w:rFonts w:ascii="Arial" w:cs="Arial" w:eastAsia="Arial" w:hAnsi="Arial"/>
                <w:sz w:val="14"/>
                <w:szCs w:val="14"/>
                <w:b w:val="1"/>
                <w:bCs w:val="1"/>
                <w:color w:val="FFFFFF"/>
              </w:rPr>
              <w:t>All Other</w:t>
            </w:r>
          </w:p>
        </w:tc>
        <w:tc>
          <w:tcPr>
            <w:tcW w:w="1260" w:type="dxa"/>
            <w:vAlign w:val="bottom"/>
            <w:shd w:val="clear" w:color="auto" w:fill="C00000"/>
          </w:tcPr>
          <w:p>
            <w:pPr>
              <w:spacing w:after="0"/>
              <w:rPr>
                <w:sz w:val="14"/>
                <w:szCs w:val="14"/>
                <w:color w:val="auto"/>
              </w:rPr>
            </w:pPr>
          </w:p>
        </w:tc>
      </w:tr>
      <w:tr>
        <w:trPr>
          <w:trHeight w:val="156"/>
        </w:trPr>
        <w:tc>
          <w:tcPr>
            <w:tcW w:w="2600" w:type="dxa"/>
            <w:vAlign w:val="bottom"/>
            <w:shd w:val="clear" w:color="auto" w:fill="C00000"/>
          </w:tcPr>
          <w:p>
            <w:pPr>
              <w:spacing w:after="0"/>
              <w:rPr>
                <w:sz w:val="13"/>
                <w:szCs w:val="13"/>
                <w:color w:val="auto"/>
              </w:rPr>
            </w:pPr>
          </w:p>
        </w:tc>
        <w:tc>
          <w:tcPr>
            <w:tcW w:w="2440" w:type="dxa"/>
            <w:vAlign w:val="bottom"/>
            <w:shd w:val="clear" w:color="auto" w:fill="C00000"/>
          </w:tcPr>
          <w:p>
            <w:pPr>
              <w:jc w:val="center"/>
              <w:ind w:left="464"/>
              <w:spacing w:after="0" w:line="156" w:lineRule="exact"/>
              <w:rPr>
                <w:sz w:val="20"/>
                <w:szCs w:val="20"/>
                <w:color w:val="auto"/>
              </w:rPr>
            </w:pPr>
            <w:r>
              <w:rPr>
                <w:rFonts w:ascii="Arial" w:cs="Arial" w:eastAsia="Arial" w:hAnsi="Arial"/>
                <w:sz w:val="14"/>
                <w:szCs w:val="14"/>
                <w:b w:val="1"/>
                <w:bCs w:val="1"/>
                <w:color w:val="FFFFFF"/>
              </w:rPr>
              <w:t>Paid in Cash</w:t>
            </w:r>
          </w:p>
        </w:tc>
        <w:tc>
          <w:tcPr>
            <w:tcW w:w="1580" w:type="dxa"/>
            <w:vAlign w:val="bottom"/>
            <w:shd w:val="clear" w:color="auto" w:fill="C00000"/>
          </w:tcPr>
          <w:p>
            <w:pPr>
              <w:jc w:val="right"/>
              <w:ind w:right="364"/>
              <w:spacing w:after="0" w:line="156" w:lineRule="exact"/>
              <w:rPr>
                <w:sz w:val="20"/>
                <w:szCs w:val="20"/>
                <w:color w:val="auto"/>
              </w:rPr>
            </w:pPr>
            <w:r>
              <w:rPr>
                <w:rFonts w:ascii="Arial" w:cs="Arial" w:eastAsia="Arial" w:hAnsi="Arial"/>
                <w:sz w:val="14"/>
                <w:szCs w:val="14"/>
                <w:b w:val="1"/>
                <w:bCs w:val="1"/>
                <w:color w:val="FFFFFF"/>
              </w:rPr>
              <w:t>Stock Awards</w:t>
            </w:r>
          </w:p>
        </w:tc>
        <w:tc>
          <w:tcPr>
            <w:tcW w:w="1600" w:type="dxa"/>
            <w:vAlign w:val="bottom"/>
            <w:shd w:val="clear" w:color="auto" w:fill="C00000"/>
          </w:tcPr>
          <w:p>
            <w:pPr>
              <w:jc w:val="right"/>
              <w:ind w:right="324"/>
              <w:spacing w:after="0" w:line="156" w:lineRule="exact"/>
              <w:rPr>
                <w:sz w:val="20"/>
                <w:szCs w:val="20"/>
                <w:color w:val="auto"/>
              </w:rPr>
            </w:pPr>
            <w:r>
              <w:rPr>
                <w:rFonts w:ascii="Arial" w:cs="Arial" w:eastAsia="Arial" w:hAnsi="Arial"/>
                <w:sz w:val="14"/>
                <w:szCs w:val="14"/>
                <w:b w:val="1"/>
                <w:bCs w:val="1"/>
                <w:color w:val="FFFFFF"/>
              </w:rPr>
              <w:t>Option Awards</w:t>
            </w:r>
          </w:p>
        </w:tc>
        <w:tc>
          <w:tcPr>
            <w:tcW w:w="1760" w:type="dxa"/>
            <w:vAlign w:val="bottom"/>
            <w:shd w:val="clear" w:color="auto" w:fill="C00000"/>
          </w:tcPr>
          <w:p>
            <w:pPr>
              <w:jc w:val="center"/>
              <w:ind w:right="304"/>
              <w:spacing w:after="0" w:line="156" w:lineRule="exact"/>
              <w:rPr>
                <w:sz w:val="20"/>
                <w:szCs w:val="20"/>
                <w:color w:val="auto"/>
              </w:rPr>
            </w:pPr>
            <w:r>
              <w:rPr>
                <w:rFonts w:ascii="Arial" w:cs="Arial" w:eastAsia="Arial" w:hAnsi="Arial"/>
                <w:sz w:val="14"/>
                <w:szCs w:val="14"/>
                <w:b w:val="1"/>
                <w:bCs w:val="1"/>
                <w:color w:val="FFFFFF"/>
              </w:rPr>
              <w:t>Compensation</w:t>
            </w:r>
          </w:p>
        </w:tc>
        <w:tc>
          <w:tcPr>
            <w:tcW w:w="1260" w:type="dxa"/>
            <w:vAlign w:val="bottom"/>
            <w:shd w:val="clear" w:color="auto" w:fill="C00000"/>
          </w:tcPr>
          <w:p>
            <w:pPr>
              <w:jc w:val="right"/>
              <w:ind w:right="502"/>
              <w:spacing w:after="0" w:line="156" w:lineRule="exact"/>
              <w:rPr>
                <w:sz w:val="20"/>
                <w:szCs w:val="20"/>
                <w:color w:val="auto"/>
              </w:rPr>
            </w:pPr>
            <w:r>
              <w:rPr>
                <w:rFonts w:ascii="Arial" w:cs="Arial" w:eastAsia="Arial" w:hAnsi="Arial"/>
                <w:sz w:val="14"/>
                <w:szCs w:val="14"/>
                <w:b w:val="1"/>
                <w:bCs w:val="1"/>
                <w:color w:val="FFFFFF"/>
              </w:rPr>
              <w:t>Total</w:t>
            </w:r>
          </w:p>
        </w:tc>
      </w:tr>
      <w:tr>
        <w:trPr>
          <w:trHeight w:val="176"/>
        </w:trPr>
        <w:tc>
          <w:tcPr>
            <w:tcW w:w="260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Name</w:t>
            </w:r>
          </w:p>
        </w:tc>
        <w:tc>
          <w:tcPr>
            <w:tcW w:w="2440" w:type="dxa"/>
            <w:vAlign w:val="bottom"/>
            <w:shd w:val="clear" w:color="auto" w:fill="C00000"/>
          </w:tcPr>
          <w:p>
            <w:pPr>
              <w:jc w:val="center"/>
              <w:ind w:left="464"/>
              <w:spacing w:after="0" w:line="176" w:lineRule="exact"/>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10"/>
                <w:szCs w:val="10"/>
                <w:b w:val="1"/>
                <w:bCs w:val="1"/>
                <w:color w:val="FFFFFF"/>
              </w:rPr>
              <w:t>(1)(2)</w:t>
            </w:r>
          </w:p>
        </w:tc>
        <w:tc>
          <w:tcPr>
            <w:tcW w:w="1580" w:type="dxa"/>
            <w:vAlign w:val="bottom"/>
            <w:shd w:val="clear" w:color="auto" w:fill="C00000"/>
          </w:tcPr>
          <w:p>
            <w:pPr>
              <w:jc w:val="right"/>
              <w:ind w:right="664"/>
              <w:spacing w:after="0" w:line="176" w:lineRule="exact"/>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10"/>
                <w:szCs w:val="10"/>
                <w:b w:val="1"/>
                <w:bCs w:val="1"/>
                <w:color w:val="FFFFFF"/>
              </w:rPr>
              <w:t>(3)</w:t>
            </w:r>
          </w:p>
        </w:tc>
        <w:tc>
          <w:tcPr>
            <w:tcW w:w="1600" w:type="dxa"/>
            <w:vAlign w:val="bottom"/>
            <w:shd w:val="clear" w:color="auto" w:fill="C00000"/>
          </w:tcPr>
          <w:p>
            <w:pPr>
              <w:jc w:val="right"/>
              <w:ind w:right="604"/>
              <w:spacing w:after="0" w:line="176" w:lineRule="exact"/>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10"/>
                <w:szCs w:val="10"/>
                <w:b w:val="1"/>
                <w:bCs w:val="1"/>
                <w:color w:val="FFFFFF"/>
              </w:rPr>
              <w:t>(4)(5)</w:t>
            </w:r>
          </w:p>
        </w:tc>
        <w:tc>
          <w:tcPr>
            <w:tcW w:w="1760" w:type="dxa"/>
            <w:vAlign w:val="bottom"/>
            <w:shd w:val="clear" w:color="auto" w:fill="C00000"/>
          </w:tcPr>
          <w:p>
            <w:pPr>
              <w:jc w:val="center"/>
              <w:ind w:right="324"/>
              <w:spacing w:after="0" w:line="176" w:lineRule="exact"/>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10"/>
                <w:szCs w:val="10"/>
                <w:b w:val="1"/>
                <w:bCs w:val="1"/>
                <w:color w:val="FFFFFF"/>
              </w:rPr>
              <w:t>(6)</w:t>
            </w:r>
          </w:p>
        </w:tc>
        <w:tc>
          <w:tcPr>
            <w:tcW w:w="1260" w:type="dxa"/>
            <w:vAlign w:val="bottom"/>
            <w:shd w:val="clear" w:color="auto" w:fill="C00000"/>
          </w:tcPr>
          <w:p>
            <w:pPr>
              <w:jc w:val="right"/>
              <w:ind w:right="562"/>
              <w:spacing w:after="0"/>
              <w:rPr>
                <w:sz w:val="20"/>
                <w:szCs w:val="20"/>
                <w:color w:val="auto"/>
              </w:rPr>
            </w:pPr>
            <w:r>
              <w:rPr>
                <w:rFonts w:ascii="Arial" w:cs="Arial" w:eastAsia="Arial" w:hAnsi="Arial"/>
                <w:sz w:val="14"/>
                <w:szCs w:val="14"/>
                <w:b w:val="1"/>
                <w:bCs w:val="1"/>
                <w:color w:val="FFFFFF"/>
              </w:rPr>
              <w:t>($)</w:t>
            </w:r>
          </w:p>
        </w:tc>
      </w:tr>
      <w:tr>
        <w:trPr>
          <w:trHeight w:val="239"/>
        </w:trPr>
        <w:tc>
          <w:tcPr>
            <w:tcW w:w="2600" w:type="dxa"/>
            <w:vAlign w:val="bottom"/>
            <w:shd w:val="clear" w:color="auto" w:fill="D9D9D9"/>
          </w:tcPr>
          <w:p>
            <w:pPr>
              <w:spacing w:after="0"/>
              <w:rPr>
                <w:sz w:val="20"/>
                <w:szCs w:val="20"/>
                <w:color w:val="auto"/>
              </w:rPr>
            </w:pPr>
            <w:r>
              <w:rPr>
                <w:rFonts w:ascii="Arial" w:cs="Arial" w:eastAsia="Arial" w:hAnsi="Arial"/>
                <w:sz w:val="16"/>
                <w:szCs w:val="16"/>
                <w:color w:val="auto"/>
              </w:rPr>
              <w:t>Janet K. Cooper</w:t>
            </w:r>
          </w:p>
        </w:tc>
        <w:tc>
          <w:tcPr>
            <w:tcW w:w="2440" w:type="dxa"/>
            <w:vAlign w:val="bottom"/>
            <w:shd w:val="clear" w:color="auto" w:fill="D9D9D9"/>
          </w:tcPr>
          <w:p>
            <w:pPr>
              <w:jc w:val="right"/>
              <w:ind w:right="144"/>
              <w:spacing w:after="0"/>
              <w:rPr>
                <w:sz w:val="20"/>
                <w:szCs w:val="20"/>
                <w:color w:val="auto"/>
              </w:rPr>
            </w:pPr>
            <w:r>
              <w:rPr>
                <w:rFonts w:ascii="Arial" w:cs="Arial" w:eastAsia="Arial" w:hAnsi="Arial"/>
                <w:sz w:val="16"/>
                <w:szCs w:val="16"/>
                <w:color w:val="auto"/>
              </w:rPr>
              <w:t>123,500</w:t>
            </w:r>
          </w:p>
        </w:tc>
        <w:tc>
          <w:tcPr>
            <w:tcW w:w="1580" w:type="dxa"/>
            <w:vAlign w:val="bottom"/>
            <w:shd w:val="clear" w:color="auto" w:fill="D9D9D9"/>
          </w:tcPr>
          <w:p>
            <w:pPr>
              <w:jc w:val="right"/>
              <w:ind w:right="104"/>
              <w:spacing w:after="0"/>
              <w:rPr>
                <w:sz w:val="20"/>
                <w:szCs w:val="20"/>
                <w:color w:val="auto"/>
              </w:rPr>
            </w:pPr>
            <w:r>
              <w:rPr>
                <w:rFonts w:ascii="Arial" w:cs="Arial" w:eastAsia="Arial" w:hAnsi="Arial"/>
                <w:sz w:val="16"/>
                <w:szCs w:val="16"/>
                <w:color w:val="auto"/>
              </w:rPr>
              <w:t>67,078</w:t>
            </w:r>
          </w:p>
        </w:tc>
        <w:tc>
          <w:tcPr>
            <w:tcW w:w="1600" w:type="dxa"/>
            <w:vAlign w:val="bottom"/>
            <w:shd w:val="clear" w:color="auto" w:fill="D9D9D9"/>
          </w:tcPr>
          <w:p>
            <w:pPr>
              <w:jc w:val="right"/>
              <w:ind w:right="104"/>
              <w:spacing w:after="0"/>
              <w:rPr>
                <w:sz w:val="20"/>
                <w:szCs w:val="20"/>
                <w:color w:val="auto"/>
              </w:rPr>
            </w:pPr>
            <w:r>
              <w:rPr>
                <w:rFonts w:ascii="Arial" w:cs="Arial" w:eastAsia="Arial" w:hAnsi="Arial"/>
                <w:sz w:val="16"/>
                <w:szCs w:val="16"/>
                <w:color w:val="auto"/>
              </w:rPr>
              <w:t>54,993</w:t>
            </w:r>
          </w:p>
        </w:tc>
        <w:tc>
          <w:tcPr>
            <w:tcW w:w="1760" w:type="dxa"/>
            <w:vAlign w:val="bottom"/>
            <w:shd w:val="clear" w:color="auto" w:fill="D9D9D9"/>
          </w:tcPr>
          <w:p>
            <w:pPr>
              <w:jc w:val="right"/>
              <w:ind w:right="264"/>
              <w:spacing w:after="0"/>
              <w:rPr>
                <w:sz w:val="20"/>
                <w:szCs w:val="20"/>
                <w:color w:val="auto"/>
              </w:rPr>
            </w:pPr>
            <w:r>
              <w:rPr>
                <w:rFonts w:ascii="Arial" w:cs="Arial" w:eastAsia="Arial" w:hAnsi="Arial"/>
                <w:sz w:val="16"/>
                <w:szCs w:val="16"/>
                <w:color w:val="auto"/>
              </w:rPr>
              <w:t>3,586</w:t>
            </w:r>
          </w:p>
        </w:tc>
        <w:tc>
          <w:tcPr>
            <w:tcW w:w="12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249,157</w:t>
            </w:r>
          </w:p>
        </w:tc>
      </w:tr>
      <w:tr>
        <w:trPr>
          <w:trHeight w:val="230"/>
        </w:trPr>
        <w:tc>
          <w:tcPr>
            <w:tcW w:w="2600" w:type="dxa"/>
            <w:vAlign w:val="bottom"/>
          </w:tcPr>
          <w:p>
            <w:pPr>
              <w:spacing w:after="0"/>
              <w:rPr>
                <w:sz w:val="20"/>
                <w:szCs w:val="20"/>
                <w:color w:val="auto"/>
              </w:rPr>
            </w:pPr>
            <w:r>
              <w:rPr>
                <w:rFonts w:ascii="Arial" w:cs="Arial" w:eastAsia="Arial" w:hAnsi="Arial"/>
                <w:sz w:val="16"/>
                <w:szCs w:val="16"/>
                <w:color w:val="auto"/>
              </w:rPr>
              <w:t>Gary L. Ellis</w:t>
            </w:r>
          </w:p>
        </w:tc>
        <w:tc>
          <w:tcPr>
            <w:tcW w:w="2440" w:type="dxa"/>
            <w:vAlign w:val="bottom"/>
          </w:tcPr>
          <w:p>
            <w:pPr>
              <w:jc w:val="right"/>
              <w:ind w:right="144"/>
              <w:spacing w:after="0"/>
              <w:rPr>
                <w:sz w:val="20"/>
                <w:szCs w:val="20"/>
                <w:color w:val="auto"/>
              </w:rPr>
            </w:pPr>
            <w:r>
              <w:rPr>
                <w:rFonts w:ascii="Arial" w:cs="Arial" w:eastAsia="Arial" w:hAnsi="Arial"/>
                <w:sz w:val="16"/>
                <w:szCs w:val="16"/>
                <w:color w:val="auto"/>
              </w:rPr>
              <w:t>136,000</w:t>
            </w:r>
          </w:p>
        </w:tc>
        <w:tc>
          <w:tcPr>
            <w:tcW w:w="1580" w:type="dxa"/>
            <w:vAlign w:val="bottom"/>
          </w:tcPr>
          <w:p>
            <w:pPr>
              <w:jc w:val="right"/>
              <w:ind w:right="104"/>
              <w:spacing w:after="0"/>
              <w:rPr>
                <w:sz w:val="20"/>
                <w:szCs w:val="20"/>
                <w:color w:val="auto"/>
              </w:rPr>
            </w:pPr>
            <w:r>
              <w:rPr>
                <w:rFonts w:ascii="Arial" w:cs="Arial" w:eastAsia="Arial" w:hAnsi="Arial"/>
                <w:sz w:val="16"/>
                <w:szCs w:val="16"/>
                <w:color w:val="auto"/>
              </w:rPr>
              <w:t>67,078</w:t>
            </w:r>
          </w:p>
        </w:tc>
        <w:tc>
          <w:tcPr>
            <w:tcW w:w="1600" w:type="dxa"/>
            <w:vAlign w:val="bottom"/>
          </w:tcPr>
          <w:p>
            <w:pPr>
              <w:jc w:val="right"/>
              <w:ind w:right="104"/>
              <w:spacing w:after="0"/>
              <w:rPr>
                <w:sz w:val="20"/>
                <w:szCs w:val="20"/>
                <w:color w:val="auto"/>
              </w:rPr>
            </w:pPr>
            <w:r>
              <w:rPr>
                <w:rFonts w:ascii="Arial" w:cs="Arial" w:eastAsia="Arial" w:hAnsi="Arial"/>
                <w:sz w:val="16"/>
                <w:szCs w:val="16"/>
                <w:color w:val="auto"/>
              </w:rPr>
              <w:t>54,993</w:t>
            </w:r>
          </w:p>
        </w:tc>
        <w:tc>
          <w:tcPr>
            <w:tcW w:w="1760" w:type="dxa"/>
            <w:vAlign w:val="bottom"/>
          </w:tcPr>
          <w:p>
            <w:pPr>
              <w:jc w:val="right"/>
              <w:ind w:right="264"/>
              <w:spacing w:after="0"/>
              <w:rPr>
                <w:sz w:val="20"/>
                <w:szCs w:val="20"/>
                <w:color w:val="auto"/>
              </w:rPr>
            </w:pPr>
            <w:r>
              <w:rPr>
                <w:rFonts w:ascii="Arial" w:cs="Arial" w:eastAsia="Arial" w:hAnsi="Arial"/>
                <w:sz w:val="16"/>
                <w:szCs w:val="16"/>
                <w:color w:val="auto"/>
              </w:rPr>
              <w:t>0</w:t>
            </w:r>
          </w:p>
        </w:tc>
        <w:tc>
          <w:tcPr>
            <w:tcW w:w="1260" w:type="dxa"/>
            <w:vAlign w:val="bottom"/>
          </w:tcPr>
          <w:p>
            <w:pPr>
              <w:jc w:val="right"/>
              <w:spacing w:after="0"/>
              <w:rPr>
                <w:sz w:val="20"/>
                <w:szCs w:val="20"/>
                <w:color w:val="auto"/>
              </w:rPr>
            </w:pPr>
            <w:r>
              <w:rPr>
                <w:rFonts w:ascii="Arial" w:cs="Arial" w:eastAsia="Arial" w:hAnsi="Arial"/>
                <w:sz w:val="16"/>
                <w:szCs w:val="16"/>
                <w:color w:val="auto"/>
              </w:rPr>
              <w:t>258,071</w:t>
            </w:r>
          </w:p>
        </w:tc>
      </w:tr>
      <w:tr>
        <w:trPr>
          <w:trHeight w:val="249"/>
        </w:trPr>
        <w:tc>
          <w:tcPr>
            <w:tcW w:w="2600" w:type="dxa"/>
            <w:vAlign w:val="bottom"/>
            <w:shd w:val="clear" w:color="auto" w:fill="D9D9D9"/>
          </w:tcPr>
          <w:p>
            <w:pPr>
              <w:spacing w:after="0"/>
              <w:rPr>
                <w:sz w:val="20"/>
                <w:szCs w:val="20"/>
                <w:color w:val="auto"/>
              </w:rPr>
            </w:pPr>
            <w:r>
              <w:rPr>
                <w:rFonts w:ascii="Arial" w:cs="Arial" w:eastAsia="Arial" w:hAnsi="Arial"/>
                <w:sz w:val="16"/>
                <w:szCs w:val="16"/>
                <w:color w:val="auto"/>
              </w:rPr>
              <w:t>Jeffrey M. Ettinger</w:t>
            </w:r>
          </w:p>
        </w:tc>
        <w:tc>
          <w:tcPr>
            <w:tcW w:w="2440" w:type="dxa"/>
            <w:vAlign w:val="bottom"/>
            <w:shd w:val="clear" w:color="auto" w:fill="D9D9D9"/>
          </w:tcPr>
          <w:p>
            <w:pPr>
              <w:jc w:val="right"/>
              <w:ind w:right="144"/>
              <w:spacing w:after="0"/>
              <w:rPr>
                <w:sz w:val="20"/>
                <w:szCs w:val="20"/>
                <w:color w:val="auto"/>
              </w:rPr>
            </w:pPr>
            <w:r>
              <w:rPr>
                <w:rFonts w:ascii="Arial" w:cs="Arial" w:eastAsia="Arial" w:hAnsi="Arial"/>
                <w:sz w:val="16"/>
                <w:szCs w:val="16"/>
                <w:color w:val="auto"/>
              </w:rPr>
              <w:t>105,500</w:t>
            </w:r>
          </w:p>
        </w:tc>
        <w:tc>
          <w:tcPr>
            <w:tcW w:w="1580" w:type="dxa"/>
            <w:vAlign w:val="bottom"/>
            <w:shd w:val="clear" w:color="auto" w:fill="D9D9D9"/>
          </w:tcPr>
          <w:p>
            <w:pPr>
              <w:jc w:val="right"/>
              <w:ind w:right="104"/>
              <w:spacing w:after="0"/>
              <w:rPr>
                <w:sz w:val="20"/>
                <w:szCs w:val="20"/>
                <w:color w:val="auto"/>
              </w:rPr>
            </w:pPr>
            <w:r>
              <w:rPr>
                <w:rFonts w:ascii="Arial" w:cs="Arial" w:eastAsia="Arial" w:hAnsi="Arial"/>
                <w:sz w:val="16"/>
                <w:szCs w:val="16"/>
                <w:color w:val="auto"/>
              </w:rPr>
              <w:t>67,078</w:t>
            </w:r>
          </w:p>
        </w:tc>
        <w:tc>
          <w:tcPr>
            <w:tcW w:w="1600" w:type="dxa"/>
            <w:vAlign w:val="bottom"/>
            <w:shd w:val="clear" w:color="auto" w:fill="D9D9D9"/>
          </w:tcPr>
          <w:p>
            <w:pPr>
              <w:jc w:val="right"/>
              <w:ind w:right="104"/>
              <w:spacing w:after="0"/>
              <w:rPr>
                <w:sz w:val="20"/>
                <w:szCs w:val="20"/>
                <w:color w:val="auto"/>
              </w:rPr>
            </w:pPr>
            <w:r>
              <w:rPr>
                <w:rFonts w:ascii="Arial" w:cs="Arial" w:eastAsia="Arial" w:hAnsi="Arial"/>
                <w:sz w:val="16"/>
                <w:szCs w:val="16"/>
                <w:color w:val="auto"/>
              </w:rPr>
              <w:t>54,993</w:t>
            </w:r>
          </w:p>
        </w:tc>
        <w:tc>
          <w:tcPr>
            <w:tcW w:w="1760" w:type="dxa"/>
            <w:vAlign w:val="bottom"/>
            <w:shd w:val="clear" w:color="auto" w:fill="D9D9D9"/>
          </w:tcPr>
          <w:p>
            <w:pPr>
              <w:jc w:val="right"/>
              <w:ind w:right="264"/>
              <w:spacing w:after="0"/>
              <w:rPr>
                <w:sz w:val="20"/>
                <w:szCs w:val="20"/>
                <w:color w:val="auto"/>
              </w:rPr>
            </w:pPr>
            <w:r>
              <w:rPr>
                <w:rFonts w:ascii="Arial" w:cs="Arial" w:eastAsia="Arial" w:hAnsi="Arial"/>
                <w:sz w:val="16"/>
                <w:szCs w:val="16"/>
                <w:color w:val="auto"/>
              </w:rPr>
              <w:t>0</w:t>
            </w:r>
          </w:p>
        </w:tc>
        <w:tc>
          <w:tcPr>
            <w:tcW w:w="12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227,571</w:t>
            </w:r>
          </w:p>
        </w:tc>
      </w:tr>
      <w:tr>
        <w:trPr>
          <w:trHeight w:val="239"/>
        </w:trPr>
        <w:tc>
          <w:tcPr>
            <w:tcW w:w="2600" w:type="dxa"/>
            <w:vAlign w:val="bottom"/>
          </w:tcPr>
          <w:p>
            <w:pPr>
              <w:spacing w:after="0" w:line="240" w:lineRule="exact"/>
              <w:rPr>
                <w:sz w:val="20"/>
                <w:szCs w:val="20"/>
                <w:color w:val="auto"/>
              </w:rPr>
            </w:pPr>
            <w:r>
              <w:rPr>
                <w:rFonts w:ascii="Arial" w:cs="Arial" w:eastAsia="Arial" w:hAnsi="Arial"/>
                <w:sz w:val="16"/>
                <w:szCs w:val="16"/>
                <w:color w:val="auto"/>
              </w:rPr>
              <w:t>Katherine J. Harless</w:t>
            </w:r>
            <w:r>
              <w:rPr>
                <w:rFonts w:ascii="Arial" w:cs="Arial" w:eastAsia="Arial" w:hAnsi="Arial"/>
                <w:sz w:val="27"/>
                <w:szCs w:val="27"/>
                <w:color w:val="auto"/>
                <w:vertAlign w:val="superscript"/>
              </w:rPr>
              <w:t>(7)</w:t>
            </w:r>
          </w:p>
        </w:tc>
        <w:tc>
          <w:tcPr>
            <w:tcW w:w="2440" w:type="dxa"/>
            <w:vAlign w:val="bottom"/>
          </w:tcPr>
          <w:p>
            <w:pPr>
              <w:jc w:val="right"/>
              <w:ind w:right="144"/>
              <w:spacing w:after="0"/>
              <w:rPr>
                <w:sz w:val="20"/>
                <w:szCs w:val="20"/>
                <w:color w:val="auto"/>
              </w:rPr>
            </w:pPr>
            <w:r>
              <w:rPr>
                <w:rFonts w:ascii="Arial" w:cs="Arial" w:eastAsia="Arial" w:hAnsi="Arial"/>
                <w:sz w:val="16"/>
                <w:szCs w:val="16"/>
                <w:color w:val="auto"/>
              </w:rPr>
              <w:t>103,500</w:t>
            </w:r>
          </w:p>
        </w:tc>
        <w:tc>
          <w:tcPr>
            <w:tcW w:w="1580" w:type="dxa"/>
            <w:vAlign w:val="bottom"/>
          </w:tcPr>
          <w:p>
            <w:pPr>
              <w:jc w:val="right"/>
              <w:ind w:right="104"/>
              <w:spacing w:after="0"/>
              <w:rPr>
                <w:sz w:val="20"/>
                <w:szCs w:val="20"/>
                <w:color w:val="auto"/>
              </w:rPr>
            </w:pPr>
            <w:r>
              <w:rPr>
                <w:rFonts w:ascii="Arial" w:cs="Arial" w:eastAsia="Arial" w:hAnsi="Arial"/>
                <w:sz w:val="16"/>
                <w:szCs w:val="16"/>
                <w:color w:val="auto"/>
              </w:rPr>
              <w:t>67,078</w:t>
            </w:r>
          </w:p>
        </w:tc>
        <w:tc>
          <w:tcPr>
            <w:tcW w:w="1600" w:type="dxa"/>
            <w:vAlign w:val="bottom"/>
          </w:tcPr>
          <w:p>
            <w:pPr>
              <w:jc w:val="right"/>
              <w:ind w:right="104"/>
              <w:spacing w:after="0"/>
              <w:rPr>
                <w:sz w:val="20"/>
                <w:szCs w:val="20"/>
                <w:color w:val="auto"/>
              </w:rPr>
            </w:pPr>
            <w:r>
              <w:rPr>
                <w:rFonts w:ascii="Arial" w:cs="Arial" w:eastAsia="Arial" w:hAnsi="Arial"/>
                <w:sz w:val="16"/>
                <w:szCs w:val="16"/>
                <w:color w:val="auto"/>
              </w:rPr>
              <w:t>54,993</w:t>
            </w:r>
          </w:p>
        </w:tc>
        <w:tc>
          <w:tcPr>
            <w:tcW w:w="1760" w:type="dxa"/>
            <w:vAlign w:val="bottom"/>
          </w:tcPr>
          <w:p>
            <w:pPr>
              <w:jc w:val="right"/>
              <w:ind w:right="264"/>
              <w:spacing w:after="0"/>
              <w:rPr>
                <w:sz w:val="20"/>
                <w:szCs w:val="20"/>
                <w:color w:val="auto"/>
              </w:rPr>
            </w:pPr>
            <w:r>
              <w:rPr>
                <w:rFonts w:ascii="Arial" w:cs="Arial" w:eastAsia="Arial" w:hAnsi="Arial"/>
                <w:sz w:val="16"/>
                <w:szCs w:val="16"/>
                <w:color w:val="auto"/>
              </w:rPr>
              <w:t>322</w:t>
            </w:r>
          </w:p>
        </w:tc>
        <w:tc>
          <w:tcPr>
            <w:tcW w:w="1260" w:type="dxa"/>
            <w:vAlign w:val="bottom"/>
          </w:tcPr>
          <w:p>
            <w:pPr>
              <w:jc w:val="right"/>
              <w:spacing w:after="0"/>
              <w:rPr>
                <w:sz w:val="20"/>
                <w:szCs w:val="20"/>
                <w:color w:val="auto"/>
              </w:rPr>
            </w:pPr>
            <w:r>
              <w:rPr>
                <w:rFonts w:ascii="Arial" w:cs="Arial" w:eastAsia="Arial" w:hAnsi="Arial"/>
                <w:sz w:val="16"/>
                <w:szCs w:val="16"/>
                <w:color w:val="auto"/>
              </w:rPr>
              <w:t>225,893</w:t>
            </w:r>
          </w:p>
        </w:tc>
      </w:tr>
      <w:tr>
        <w:trPr>
          <w:trHeight w:val="239"/>
        </w:trPr>
        <w:tc>
          <w:tcPr>
            <w:tcW w:w="2600" w:type="dxa"/>
            <w:vAlign w:val="bottom"/>
            <w:shd w:val="clear" w:color="auto" w:fill="D9D9D9"/>
          </w:tcPr>
          <w:p>
            <w:pPr>
              <w:spacing w:after="0"/>
              <w:rPr>
                <w:sz w:val="20"/>
                <w:szCs w:val="20"/>
                <w:color w:val="auto"/>
              </w:rPr>
            </w:pPr>
            <w:r>
              <w:rPr>
                <w:rFonts w:ascii="Arial" w:cs="Arial" w:eastAsia="Arial" w:hAnsi="Arial"/>
                <w:sz w:val="16"/>
                <w:szCs w:val="16"/>
                <w:color w:val="auto"/>
              </w:rPr>
              <w:t>Jeffrey L. Harmening</w:t>
            </w:r>
          </w:p>
        </w:tc>
        <w:tc>
          <w:tcPr>
            <w:tcW w:w="2440" w:type="dxa"/>
            <w:vAlign w:val="bottom"/>
            <w:shd w:val="clear" w:color="auto" w:fill="D9D9D9"/>
          </w:tcPr>
          <w:p>
            <w:pPr>
              <w:jc w:val="right"/>
              <w:ind w:right="144"/>
              <w:spacing w:after="0"/>
              <w:rPr>
                <w:sz w:val="20"/>
                <w:szCs w:val="20"/>
                <w:color w:val="auto"/>
              </w:rPr>
            </w:pPr>
            <w:r>
              <w:rPr>
                <w:rFonts w:ascii="Arial" w:cs="Arial" w:eastAsia="Arial" w:hAnsi="Arial"/>
                <w:sz w:val="16"/>
                <w:szCs w:val="16"/>
                <w:color w:val="auto"/>
              </w:rPr>
              <w:t>103,500</w:t>
            </w:r>
          </w:p>
        </w:tc>
        <w:tc>
          <w:tcPr>
            <w:tcW w:w="1580" w:type="dxa"/>
            <w:vAlign w:val="bottom"/>
            <w:shd w:val="clear" w:color="auto" w:fill="D9D9D9"/>
          </w:tcPr>
          <w:p>
            <w:pPr>
              <w:jc w:val="right"/>
              <w:ind w:right="104"/>
              <w:spacing w:after="0"/>
              <w:rPr>
                <w:sz w:val="20"/>
                <w:szCs w:val="20"/>
                <w:color w:val="auto"/>
              </w:rPr>
            </w:pPr>
            <w:r>
              <w:rPr>
                <w:rFonts w:ascii="Arial" w:cs="Arial" w:eastAsia="Arial" w:hAnsi="Arial"/>
                <w:sz w:val="16"/>
                <w:szCs w:val="16"/>
                <w:color w:val="auto"/>
              </w:rPr>
              <w:t>67,078</w:t>
            </w:r>
          </w:p>
        </w:tc>
        <w:tc>
          <w:tcPr>
            <w:tcW w:w="1600" w:type="dxa"/>
            <w:vAlign w:val="bottom"/>
            <w:shd w:val="clear" w:color="auto" w:fill="D9D9D9"/>
          </w:tcPr>
          <w:p>
            <w:pPr>
              <w:jc w:val="right"/>
              <w:ind w:right="104"/>
              <w:spacing w:after="0"/>
              <w:rPr>
                <w:sz w:val="20"/>
                <w:szCs w:val="20"/>
                <w:color w:val="auto"/>
              </w:rPr>
            </w:pPr>
            <w:r>
              <w:rPr>
                <w:rFonts w:ascii="Arial" w:cs="Arial" w:eastAsia="Arial" w:hAnsi="Arial"/>
                <w:sz w:val="16"/>
                <w:szCs w:val="16"/>
                <w:color w:val="auto"/>
              </w:rPr>
              <w:t>54,993</w:t>
            </w:r>
          </w:p>
        </w:tc>
        <w:tc>
          <w:tcPr>
            <w:tcW w:w="1760" w:type="dxa"/>
            <w:vAlign w:val="bottom"/>
            <w:shd w:val="clear" w:color="auto" w:fill="D9D9D9"/>
          </w:tcPr>
          <w:p>
            <w:pPr>
              <w:jc w:val="right"/>
              <w:ind w:right="264"/>
              <w:spacing w:after="0"/>
              <w:rPr>
                <w:sz w:val="20"/>
                <w:szCs w:val="20"/>
                <w:color w:val="auto"/>
              </w:rPr>
            </w:pPr>
            <w:r>
              <w:rPr>
                <w:rFonts w:ascii="Arial" w:cs="Arial" w:eastAsia="Arial" w:hAnsi="Arial"/>
                <w:sz w:val="16"/>
                <w:szCs w:val="16"/>
                <w:color w:val="auto"/>
              </w:rPr>
              <w:t>0</w:t>
            </w:r>
          </w:p>
        </w:tc>
        <w:tc>
          <w:tcPr>
            <w:tcW w:w="12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225,571</w:t>
            </w:r>
          </w:p>
        </w:tc>
      </w:tr>
      <w:tr>
        <w:trPr>
          <w:trHeight w:val="230"/>
        </w:trPr>
        <w:tc>
          <w:tcPr>
            <w:tcW w:w="2600" w:type="dxa"/>
            <w:vAlign w:val="bottom"/>
          </w:tcPr>
          <w:p>
            <w:pPr>
              <w:spacing w:after="0"/>
              <w:rPr>
                <w:sz w:val="20"/>
                <w:szCs w:val="20"/>
                <w:color w:val="auto"/>
              </w:rPr>
            </w:pPr>
            <w:r>
              <w:rPr>
                <w:rFonts w:ascii="Arial" w:cs="Arial" w:eastAsia="Arial" w:hAnsi="Arial"/>
                <w:sz w:val="16"/>
                <w:szCs w:val="16"/>
                <w:color w:val="auto"/>
              </w:rPr>
              <w:t>D. Christian Koch</w:t>
            </w:r>
          </w:p>
        </w:tc>
        <w:tc>
          <w:tcPr>
            <w:tcW w:w="2440" w:type="dxa"/>
            <w:vAlign w:val="bottom"/>
          </w:tcPr>
          <w:p>
            <w:pPr>
              <w:jc w:val="right"/>
              <w:ind w:right="144"/>
              <w:spacing w:after="0"/>
              <w:rPr>
                <w:sz w:val="20"/>
                <w:szCs w:val="20"/>
                <w:color w:val="auto"/>
              </w:rPr>
            </w:pPr>
            <w:r>
              <w:rPr>
                <w:rFonts w:ascii="Arial" w:cs="Arial" w:eastAsia="Arial" w:hAnsi="Arial"/>
                <w:sz w:val="16"/>
                <w:szCs w:val="16"/>
                <w:color w:val="auto"/>
              </w:rPr>
              <w:t>98,000</w:t>
            </w:r>
          </w:p>
        </w:tc>
        <w:tc>
          <w:tcPr>
            <w:tcW w:w="1580" w:type="dxa"/>
            <w:vAlign w:val="bottom"/>
          </w:tcPr>
          <w:p>
            <w:pPr>
              <w:jc w:val="right"/>
              <w:ind w:right="104"/>
              <w:spacing w:after="0"/>
              <w:rPr>
                <w:sz w:val="20"/>
                <w:szCs w:val="20"/>
                <w:color w:val="auto"/>
              </w:rPr>
            </w:pPr>
            <w:r>
              <w:rPr>
                <w:rFonts w:ascii="Arial" w:cs="Arial" w:eastAsia="Arial" w:hAnsi="Arial"/>
                <w:sz w:val="16"/>
                <w:szCs w:val="16"/>
                <w:color w:val="auto"/>
              </w:rPr>
              <w:t>67,078</w:t>
            </w:r>
          </w:p>
        </w:tc>
        <w:tc>
          <w:tcPr>
            <w:tcW w:w="1600" w:type="dxa"/>
            <w:vAlign w:val="bottom"/>
          </w:tcPr>
          <w:p>
            <w:pPr>
              <w:jc w:val="right"/>
              <w:ind w:right="104"/>
              <w:spacing w:after="0"/>
              <w:rPr>
                <w:sz w:val="20"/>
                <w:szCs w:val="20"/>
                <w:color w:val="auto"/>
              </w:rPr>
            </w:pPr>
            <w:r>
              <w:rPr>
                <w:rFonts w:ascii="Arial" w:cs="Arial" w:eastAsia="Arial" w:hAnsi="Arial"/>
                <w:sz w:val="16"/>
                <w:szCs w:val="16"/>
                <w:color w:val="auto"/>
              </w:rPr>
              <w:t>54,993</w:t>
            </w:r>
          </w:p>
        </w:tc>
        <w:tc>
          <w:tcPr>
            <w:tcW w:w="1760" w:type="dxa"/>
            <w:vAlign w:val="bottom"/>
          </w:tcPr>
          <w:p>
            <w:pPr>
              <w:jc w:val="right"/>
              <w:ind w:right="264"/>
              <w:spacing w:after="0"/>
              <w:rPr>
                <w:sz w:val="20"/>
                <w:szCs w:val="20"/>
                <w:color w:val="auto"/>
              </w:rPr>
            </w:pPr>
            <w:r>
              <w:rPr>
                <w:rFonts w:ascii="Arial" w:cs="Arial" w:eastAsia="Arial" w:hAnsi="Arial"/>
                <w:sz w:val="16"/>
                <w:szCs w:val="16"/>
                <w:color w:val="auto"/>
              </w:rPr>
              <w:t>0</w:t>
            </w:r>
          </w:p>
        </w:tc>
        <w:tc>
          <w:tcPr>
            <w:tcW w:w="1260" w:type="dxa"/>
            <w:vAlign w:val="bottom"/>
          </w:tcPr>
          <w:p>
            <w:pPr>
              <w:jc w:val="right"/>
              <w:spacing w:after="0"/>
              <w:rPr>
                <w:sz w:val="20"/>
                <w:szCs w:val="20"/>
                <w:color w:val="auto"/>
              </w:rPr>
            </w:pPr>
            <w:r>
              <w:rPr>
                <w:rFonts w:ascii="Arial" w:cs="Arial" w:eastAsia="Arial" w:hAnsi="Arial"/>
                <w:sz w:val="16"/>
                <w:szCs w:val="16"/>
                <w:color w:val="auto"/>
              </w:rPr>
              <w:t>220,071</w:t>
            </w:r>
          </w:p>
        </w:tc>
      </w:tr>
      <w:tr>
        <w:trPr>
          <w:trHeight w:val="249"/>
        </w:trPr>
        <w:tc>
          <w:tcPr>
            <w:tcW w:w="2600" w:type="dxa"/>
            <w:vAlign w:val="bottom"/>
            <w:shd w:val="clear" w:color="auto" w:fill="D9D9D9"/>
          </w:tcPr>
          <w:p>
            <w:pPr>
              <w:spacing w:after="0" w:line="249" w:lineRule="exact"/>
              <w:rPr>
                <w:sz w:val="20"/>
                <w:szCs w:val="20"/>
                <w:color w:val="auto"/>
              </w:rPr>
            </w:pPr>
            <w:r>
              <w:rPr>
                <w:rFonts w:ascii="Arial" w:cs="Arial" w:eastAsia="Arial" w:hAnsi="Arial"/>
                <w:sz w:val="16"/>
                <w:szCs w:val="16"/>
                <w:color w:val="auto"/>
              </w:rPr>
              <w:t>Joyce A. Mullen</w:t>
            </w:r>
            <w:r>
              <w:rPr>
                <w:rFonts w:ascii="Arial" w:cs="Arial" w:eastAsia="Arial" w:hAnsi="Arial"/>
                <w:sz w:val="27"/>
                <w:szCs w:val="27"/>
                <w:color w:val="auto"/>
                <w:vertAlign w:val="superscript"/>
              </w:rPr>
              <w:t>(7)</w:t>
            </w:r>
          </w:p>
        </w:tc>
        <w:tc>
          <w:tcPr>
            <w:tcW w:w="2440" w:type="dxa"/>
            <w:vAlign w:val="bottom"/>
            <w:shd w:val="clear" w:color="auto" w:fill="D9D9D9"/>
          </w:tcPr>
          <w:p>
            <w:pPr>
              <w:jc w:val="right"/>
              <w:ind w:right="144"/>
              <w:spacing w:after="0"/>
              <w:rPr>
                <w:sz w:val="20"/>
                <w:szCs w:val="20"/>
                <w:color w:val="auto"/>
              </w:rPr>
            </w:pPr>
            <w:r>
              <w:rPr>
                <w:rFonts w:ascii="Arial" w:cs="Arial" w:eastAsia="Arial" w:hAnsi="Arial"/>
                <w:sz w:val="16"/>
                <w:szCs w:val="16"/>
                <w:color w:val="auto"/>
              </w:rPr>
              <w:t>98,000</w:t>
            </w:r>
          </w:p>
        </w:tc>
        <w:tc>
          <w:tcPr>
            <w:tcW w:w="1580" w:type="dxa"/>
            <w:vAlign w:val="bottom"/>
            <w:shd w:val="clear" w:color="auto" w:fill="D9D9D9"/>
          </w:tcPr>
          <w:p>
            <w:pPr>
              <w:jc w:val="right"/>
              <w:ind w:right="104"/>
              <w:spacing w:after="0"/>
              <w:rPr>
                <w:sz w:val="20"/>
                <w:szCs w:val="20"/>
                <w:color w:val="auto"/>
              </w:rPr>
            </w:pPr>
            <w:r>
              <w:rPr>
                <w:rFonts w:ascii="Arial" w:cs="Arial" w:eastAsia="Arial" w:hAnsi="Arial"/>
                <w:sz w:val="16"/>
                <w:szCs w:val="16"/>
                <w:color w:val="auto"/>
              </w:rPr>
              <w:t>67,078</w:t>
            </w:r>
          </w:p>
        </w:tc>
        <w:tc>
          <w:tcPr>
            <w:tcW w:w="1600" w:type="dxa"/>
            <w:vAlign w:val="bottom"/>
            <w:shd w:val="clear" w:color="auto" w:fill="D9D9D9"/>
          </w:tcPr>
          <w:p>
            <w:pPr>
              <w:jc w:val="right"/>
              <w:ind w:right="104"/>
              <w:spacing w:after="0"/>
              <w:rPr>
                <w:sz w:val="20"/>
                <w:szCs w:val="20"/>
                <w:color w:val="auto"/>
              </w:rPr>
            </w:pPr>
            <w:r>
              <w:rPr>
                <w:rFonts w:ascii="Arial" w:cs="Arial" w:eastAsia="Arial" w:hAnsi="Arial"/>
                <w:sz w:val="16"/>
                <w:szCs w:val="16"/>
                <w:color w:val="auto"/>
              </w:rPr>
              <w:t>54,993</w:t>
            </w:r>
          </w:p>
        </w:tc>
        <w:tc>
          <w:tcPr>
            <w:tcW w:w="1760" w:type="dxa"/>
            <w:vAlign w:val="bottom"/>
            <w:shd w:val="clear" w:color="auto" w:fill="D9D9D9"/>
          </w:tcPr>
          <w:p>
            <w:pPr>
              <w:jc w:val="right"/>
              <w:ind w:right="264"/>
              <w:spacing w:after="0"/>
              <w:rPr>
                <w:sz w:val="20"/>
                <w:szCs w:val="20"/>
                <w:color w:val="auto"/>
              </w:rPr>
            </w:pPr>
            <w:r>
              <w:rPr>
                <w:rFonts w:ascii="Arial" w:cs="Arial" w:eastAsia="Arial" w:hAnsi="Arial"/>
                <w:sz w:val="16"/>
                <w:szCs w:val="16"/>
                <w:color w:val="auto"/>
              </w:rPr>
              <w:t>0</w:t>
            </w:r>
          </w:p>
        </w:tc>
        <w:tc>
          <w:tcPr>
            <w:tcW w:w="12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220,071</w:t>
            </w:r>
          </w:p>
        </w:tc>
      </w:tr>
      <w:tr>
        <w:trPr>
          <w:trHeight w:val="230"/>
        </w:trPr>
        <w:tc>
          <w:tcPr>
            <w:tcW w:w="2600" w:type="dxa"/>
            <w:vAlign w:val="bottom"/>
          </w:tcPr>
          <w:p>
            <w:pPr>
              <w:spacing w:after="0"/>
              <w:rPr>
                <w:sz w:val="20"/>
                <w:szCs w:val="20"/>
                <w:color w:val="auto"/>
              </w:rPr>
            </w:pPr>
            <w:r>
              <w:rPr>
                <w:rFonts w:ascii="Arial" w:cs="Arial" w:eastAsia="Arial" w:hAnsi="Arial"/>
                <w:sz w:val="16"/>
                <w:szCs w:val="16"/>
                <w:color w:val="auto"/>
              </w:rPr>
              <w:t>James C. O’Rourke</w:t>
            </w:r>
          </w:p>
        </w:tc>
        <w:tc>
          <w:tcPr>
            <w:tcW w:w="2440" w:type="dxa"/>
            <w:vAlign w:val="bottom"/>
          </w:tcPr>
          <w:p>
            <w:pPr>
              <w:jc w:val="right"/>
              <w:ind w:right="144"/>
              <w:spacing w:after="0"/>
              <w:rPr>
                <w:sz w:val="20"/>
                <w:szCs w:val="20"/>
                <w:color w:val="auto"/>
              </w:rPr>
            </w:pPr>
            <w:r>
              <w:rPr>
                <w:rFonts w:ascii="Arial" w:cs="Arial" w:eastAsia="Arial" w:hAnsi="Arial"/>
                <w:sz w:val="16"/>
                <w:szCs w:val="16"/>
                <w:color w:val="auto"/>
              </w:rPr>
              <w:t>110,000</w:t>
            </w:r>
          </w:p>
        </w:tc>
        <w:tc>
          <w:tcPr>
            <w:tcW w:w="1580" w:type="dxa"/>
            <w:vAlign w:val="bottom"/>
          </w:tcPr>
          <w:p>
            <w:pPr>
              <w:jc w:val="right"/>
              <w:ind w:right="104"/>
              <w:spacing w:after="0"/>
              <w:rPr>
                <w:sz w:val="20"/>
                <w:szCs w:val="20"/>
                <w:color w:val="auto"/>
              </w:rPr>
            </w:pPr>
            <w:r>
              <w:rPr>
                <w:rFonts w:ascii="Arial" w:cs="Arial" w:eastAsia="Arial" w:hAnsi="Arial"/>
                <w:sz w:val="16"/>
                <w:szCs w:val="16"/>
                <w:color w:val="auto"/>
              </w:rPr>
              <w:t>67,078</w:t>
            </w:r>
          </w:p>
        </w:tc>
        <w:tc>
          <w:tcPr>
            <w:tcW w:w="1600" w:type="dxa"/>
            <w:vAlign w:val="bottom"/>
          </w:tcPr>
          <w:p>
            <w:pPr>
              <w:jc w:val="right"/>
              <w:ind w:right="104"/>
              <w:spacing w:after="0"/>
              <w:rPr>
                <w:sz w:val="20"/>
                <w:szCs w:val="20"/>
                <w:color w:val="auto"/>
              </w:rPr>
            </w:pPr>
            <w:r>
              <w:rPr>
                <w:rFonts w:ascii="Arial" w:cs="Arial" w:eastAsia="Arial" w:hAnsi="Arial"/>
                <w:sz w:val="16"/>
                <w:szCs w:val="16"/>
                <w:color w:val="auto"/>
              </w:rPr>
              <w:t>54,993</w:t>
            </w:r>
          </w:p>
        </w:tc>
        <w:tc>
          <w:tcPr>
            <w:tcW w:w="1760" w:type="dxa"/>
            <w:vAlign w:val="bottom"/>
          </w:tcPr>
          <w:p>
            <w:pPr>
              <w:jc w:val="right"/>
              <w:ind w:right="264"/>
              <w:spacing w:after="0"/>
              <w:rPr>
                <w:sz w:val="20"/>
                <w:szCs w:val="20"/>
                <w:color w:val="auto"/>
              </w:rPr>
            </w:pPr>
            <w:r>
              <w:rPr>
                <w:rFonts w:ascii="Arial" w:cs="Arial" w:eastAsia="Arial" w:hAnsi="Arial"/>
                <w:sz w:val="16"/>
                <w:szCs w:val="16"/>
                <w:color w:val="auto"/>
              </w:rPr>
              <w:t>0</w:t>
            </w:r>
          </w:p>
        </w:tc>
        <w:tc>
          <w:tcPr>
            <w:tcW w:w="1260" w:type="dxa"/>
            <w:vAlign w:val="bottom"/>
          </w:tcPr>
          <w:p>
            <w:pPr>
              <w:jc w:val="right"/>
              <w:spacing w:after="0"/>
              <w:rPr>
                <w:sz w:val="20"/>
                <w:szCs w:val="20"/>
                <w:color w:val="auto"/>
              </w:rPr>
            </w:pPr>
            <w:r>
              <w:rPr>
                <w:rFonts w:ascii="Arial" w:cs="Arial" w:eastAsia="Arial" w:hAnsi="Arial"/>
                <w:sz w:val="16"/>
                <w:szCs w:val="16"/>
                <w:color w:val="auto"/>
              </w:rPr>
              <w:t>232,071</w:t>
            </w:r>
          </w:p>
        </w:tc>
      </w:tr>
      <w:tr>
        <w:trPr>
          <w:trHeight w:val="249"/>
        </w:trPr>
        <w:tc>
          <w:tcPr>
            <w:tcW w:w="2600" w:type="dxa"/>
            <w:vAlign w:val="bottom"/>
            <w:shd w:val="clear" w:color="auto" w:fill="D9D9D9"/>
          </w:tcPr>
          <w:p>
            <w:pPr>
              <w:spacing w:after="0" w:line="249" w:lineRule="exact"/>
              <w:rPr>
                <w:sz w:val="20"/>
                <w:szCs w:val="20"/>
                <w:color w:val="auto"/>
              </w:rPr>
            </w:pPr>
            <w:r>
              <w:rPr>
                <w:rFonts w:ascii="Arial" w:cs="Arial" w:eastAsia="Arial" w:hAnsi="Arial"/>
                <w:sz w:val="16"/>
                <w:szCs w:val="16"/>
                <w:color w:val="auto"/>
              </w:rPr>
              <w:t>Gregg W. Steinhafel</w:t>
            </w:r>
            <w:r>
              <w:rPr>
                <w:rFonts w:ascii="Arial" w:cs="Arial" w:eastAsia="Arial" w:hAnsi="Arial"/>
                <w:sz w:val="27"/>
                <w:szCs w:val="27"/>
                <w:color w:val="auto"/>
                <w:vertAlign w:val="superscript"/>
              </w:rPr>
              <w:t>(8)</w:t>
            </w:r>
          </w:p>
        </w:tc>
        <w:tc>
          <w:tcPr>
            <w:tcW w:w="2440" w:type="dxa"/>
            <w:vAlign w:val="bottom"/>
            <w:shd w:val="clear" w:color="auto" w:fill="D9D9D9"/>
          </w:tcPr>
          <w:p>
            <w:pPr>
              <w:jc w:val="right"/>
              <w:ind w:right="144"/>
              <w:spacing w:after="0"/>
              <w:rPr>
                <w:sz w:val="20"/>
                <w:szCs w:val="20"/>
                <w:color w:val="auto"/>
              </w:rPr>
            </w:pPr>
            <w:r>
              <w:rPr>
                <w:rFonts w:ascii="Arial" w:cs="Arial" w:eastAsia="Arial" w:hAnsi="Arial"/>
                <w:sz w:val="16"/>
                <w:szCs w:val="16"/>
                <w:color w:val="auto"/>
              </w:rPr>
              <w:t>49,000</w:t>
            </w:r>
          </w:p>
        </w:tc>
        <w:tc>
          <w:tcPr>
            <w:tcW w:w="1580" w:type="dxa"/>
            <w:vAlign w:val="bottom"/>
            <w:shd w:val="clear" w:color="auto" w:fill="D9D9D9"/>
          </w:tcPr>
          <w:p>
            <w:pPr>
              <w:jc w:val="right"/>
              <w:ind w:right="104"/>
              <w:spacing w:after="0"/>
              <w:rPr>
                <w:sz w:val="20"/>
                <w:szCs w:val="20"/>
                <w:color w:val="auto"/>
              </w:rPr>
            </w:pPr>
            <w:r>
              <w:rPr>
                <w:rFonts w:ascii="Arial" w:cs="Arial" w:eastAsia="Arial" w:hAnsi="Arial"/>
                <w:sz w:val="16"/>
                <w:szCs w:val="16"/>
                <w:color w:val="auto"/>
              </w:rPr>
              <w:t>67,078</w:t>
            </w:r>
          </w:p>
        </w:tc>
        <w:tc>
          <w:tcPr>
            <w:tcW w:w="1600" w:type="dxa"/>
            <w:vAlign w:val="bottom"/>
            <w:shd w:val="clear" w:color="auto" w:fill="D9D9D9"/>
          </w:tcPr>
          <w:p>
            <w:pPr>
              <w:jc w:val="right"/>
              <w:ind w:right="104"/>
              <w:spacing w:after="0"/>
              <w:rPr>
                <w:sz w:val="20"/>
                <w:szCs w:val="20"/>
                <w:color w:val="auto"/>
              </w:rPr>
            </w:pPr>
            <w:r>
              <w:rPr>
                <w:rFonts w:ascii="Arial" w:cs="Arial" w:eastAsia="Arial" w:hAnsi="Arial"/>
                <w:sz w:val="16"/>
                <w:szCs w:val="16"/>
                <w:color w:val="auto"/>
              </w:rPr>
              <w:t>54,993</w:t>
            </w:r>
          </w:p>
        </w:tc>
        <w:tc>
          <w:tcPr>
            <w:tcW w:w="1760" w:type="dxa"/>
            <w:vAlign w:val="bottom"/>
            <w:shd w:val="clear" w:color="auto" w:fill="D9D9D9"/>
          </w:tcPr>
          <w:p>
            <w:pPr>
              <w:jc w:val="right"/>
              <w:ind w:right="264"/>
              <w:spacing w:after="0"/>
              <w:rPr>
                <w:sz w:val="20"/>
                <w:szCs w:val="20"/>
                <w:color w:val="auto"/>
              </w:rPr>
            </w:pPr>
            <w:r>
              <w:rPr>
                <w:rFonts w:ascii="Arial" w:cs="Arial" w:eastAsia="Arial" w:hAnsi="Arial"/>
                <w:sz w:val="16"/>
                <w:szCs w:val="16"/>
                <w:color w:val="auto"/>
              </w:rPr>
              <w:t>0</w:t>
            </w:r>
          </w:p>
        </w:tc>
        <w:tc>
          <w:tcPr>
            <w:tcW w:w="12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171,071</w:t>
            </w:r>
          </w:p>
        </w:tc>
      </w:tr>
      <w:tr>
        <w:trPr>
          <w:trHeight w:val="370"/>
        </w:trPr>
        <w:tc>
          <w:tcPr>
            <w:tcW w:w="2600" w:type="dxa"/>
            <w:vAlign w:val="bottom"/>
          </w:tcPr>
          <w:p>
            <w:pPr>
              <w:spacing w:after="0"/>
              <w:rPr>
                <w:sz w:val="20"/>
                <w:szCs w:val="20"/>
                <w:color w:val="auto"/>
              </w:rPr>
            </w:pPr>
            <w:r>
              <w:rPr>
                <w:rFonts w:ascii="Arial" w:cs="Arial" w:eastAsia="Arial" w:hAnsi="Arial"/>
                <w:sz w:val="16"/>
                <w:szCs w:val="16"/>
                <w:color w:val="auto"/>
              </w:rPr>
              <w:t>Michael G. Vale</w:t>
            </w:r>
            <w:r>
              <w:rPr>
                <w:rFonts w:ascii="Arial" w:cs="Arial" w:eastAsia="Arial" w:hAnsi="Arial"/>
                <w:sz w:val="27"/>
                <w:szCs w:val="27"/>
                <w:color w:val="auto"/>
                <w:vertAlign w:val="superscript"/>
              </w:rPr>
              <w:t>(7)</w:t>
            </w:r>
          </w:p>
        </w:tc>
        <w:tc>
          <w:tcPr>
            <w:tcW w:w="2440" w:type="dxa"/>
            <w:vAlign w:val="bottom"/>
          </w:tcPr>
          <w:p>
            <w:pPr>
              <w:jc w:val="right"/>
              <w:ind w:right="144"/>
              <w:spacing w:after="0"/>
              <w:rPr>
                <w:sz w:val="20"/>
                <w:szCs w:val="20"/>
                <w:color w:val="auto"/>
              </w:rPr>
            </w:pPr>
            <w:r>
              <w:rPr>
                <w:rFonts w:ascii="Arial" w:cs="Arial" w:eastAsia="Arial" w:hAnsi="Arial"/>
                <w:sz w:val="16"/>
                <w:szCs w:val="16"/>
                <w:color w:val="auto"/>
              </w:rPr>
              <w:t>103,500</w:t>
            </w:r>
          </w:p>
        </w:tc>
        <w:tc>
          <w:tcPr>
            <w:tcW w:w="1580" w:type="dxa"/>
            <w:vAlign w:val="bottom"/>
          </w:tcPr>
          <w:p>
            <w:pPr>
              <w:jc w:val="right"/>
              <w:ind w:right="104"/>
              <w:spacing w:after="0"/>
              <w:rPr>
                <w:sz w:val="20"/>
                <w:szCs w:val="20"/>
                <w:color w:val="auto"/>
              </w:rPr>
            </w:pPr>
            <w:r>
              <w:rPr>
                <w:rFonts w:ascii="Arial" w:cs="Arial" w:eastAsia="Arial" w:hAnsi="Arial"/>
                <w:sz w:val="16"/>
                <w:szCs w:val="16"/>
                <w:color w:val="auto"/>
              </w:rPr>
              <w:t>67,078</w:t>
            </w:r>
          </w:p>
        </w:tc>
        <w:tc>
          <w:tcPr>
            <w:tcW w:w="1600" w:type="dxa"/>
            <w:vAlign w:val="bottom"/>
          </w:tcPr>
          <w:p>
            <w:pPr>
              <w:jc w:val="right"/>
              <w:ind w:right="104"/>
              <w:spacing w:after="0"/>
              <w:rPr>
                <w:sz w:val="20"/>
                <w:szCs w:val="20"/>
                <w:color w:val="auto"/>
              </w:rPr>
            </w:pPr>
            <w:r>
              <w:rPr>
                <w:rFonts w:ascii="Arial" w:cs="Arial" w:eastAsia="Arial" w:hAnsi="Arial"/>
                <w:sz w:val="16"/>
                <w:szCs w:val="16"/>
                <w:color w:val="auto"/>
              </w:rPr>
              <w:t>54,993</w:t>
            </w:r>
          </w:p>
        </w:tc>
        <w:tc>
          <w:tcPr>
            <w:tcW w:w="1760" w:type="dxa"/>
            <w:vAlign w:val="bottom"/>
          </w:tcPr>
          <w:p>
            <w:pPr>
              <w:jc w:val="right"/>
              <w:ind w:right="264"/>
              <w:spacing w:after="0"/>
              <w:rPr>
                <w:sz w:val="20"/>
                <w:szCs w:val="20"/>
                <w:color w:val="auto"/>
              </w:rPr>
            </w:pPr>
            <w:r>
              <w:rPr>
                <w:rFonts w:ascii="Arial" w:cs="Arial" w:eastAsia="Arial" w:hAnsi="Arial"/>
                <w:sz w:val="16"/>
                <w:szCs w:val="16"/>
                <w:color w:val="auto"/>
              </w:rPr>
              <w:t>358</w:t>
            </w:r>
          </w:p>
        </w:tc>
        <w:tc>
          <w:tcPr>
            <w:tcW w:w="1260" w:type="dxa"/>
            <w:vAlign w:val="bottom"/>
          </w:tcPr>
          <w:p>
            <w:pPr>
              <w:jc w:val="right"/>
              <w:spacing w:after="0"/>
              <w:rPr>
                <w:sz w:val="20"/>
                <w:szCs w:val="20"/>
                <w:color w:val="auto"/>
              </w:rPr>
            </w:pPr>
            <w:r>
              <w:rPr>
                <w:rFonts w:ascii="Arial" w:cs="Arial" w:eastAsia="Arial" w:hAnsi="Arial"/>
                <w:sz w:val="16"/>
                <w:szCs w:val="16"/>
                <w:color w:val="auto"/>
              </w:rPr>
              <w:t>225,929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03454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034540" cy="8255"/>
                    </a:xfrm>
                    <a:prstGeom prst="rect">
                      <a:avLst/>
                    </a:prstGeom>
                    <a:noFill/>
                  </pic:spPr>
                </pic:pic>
              </a:graphicData>
            </a:graphic>
          </wp:anchor>
        </w:drawing>
      </w:r>
    </w:p>
    <w:p>
      <w:pPr>
        <w:spacing w:after="0" w:line="21" w:lineRule="exact"/>
        <w:rPr>
          <w:sz w:val="20"/>
          <w:szCs w:val="20"/>
          <w:color w:val="auto"/>
        </w:rPr>
      </w:pPr>
    </w:p>
    <w:p>
      <w:pPr>
        <w:ind w:left="500" w:right="160" w:hanging="494"/>
        <w:spacing w:after="0" w:line="265" w:lineRule="auto"/>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Unless a director elected to defer receipt or convert a portion or all of his or her annual retainers into </w:t>
      </w:r>
      <w:r>
        <w:rPr>
          <w:rFonts w:ascii="Arial" w:cs="Arial" w:eastAsia="Arial" w:hAnsi="Arial"/>
          <w:sz w:val="17"/>
          <w:szCs w:val="17"/>
          <w:color w:val="auto"/>
        </w:rPr>
        <w:t>shares of our common stock under our 2010</w:t>
      </w:r>
      <w:r>
        <w:rPr>
          <w:rFonts w:ascii="Arial" w:cs="Arial" w:eastAsia="Arial" w:hAnsi="Arial"/>
          <w:sz w:val="16"/>
          <w:szCs w:val="16"/>
          <w:color w:val="auto"/>
        </w:rPr>
        <w:t xml:space="preserve"> </w:t>
      </w:r>
      <w:r>
        <w:rPr>
          <w:rFonts w:ascii="Arial" w:cs="Arial" w:eastAsia="Arial" w:hAnsi="Arial"/>
          <w:sz w:val="17"/>
          <w:szCs w:val="17"/>
          <w:color w:val="auto"/>
        </w:rPr>
        <w:t>Plan, annual retainers were paid in cash at the beginning of each fiscal quarter.</w:t>
      </w:r>
    </w:p>
    <w:p>
      <w:pPr>
        <w:spacing w:after="0" w:line="20" w:lineRule="exact"/>
        <w:rPr>
          <w:rFonts w:ascii="Arial" w:cs="Arial" w:eastAsia="Arial" w:hAnsi="Arial"/>
          <w:sz w:val="16"/>
          <w:szCs w:val="16"/>
          <w:color w:val="auto"/>
        </w:rPr>
      </w:pPr>
    </w:p>
    <w:p>
      <w:pPr>
        <w:ind w:left="500" w:right="120" w:hanging="494"/>
        <w:spacing w:after="0" w:line="236"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following directors elected to convert all of their annual cash retainers into the following shares of our common stock, which number of shares received was based on the closing stock price of our common stock on December 15, 2021, of $98.03: Mr. Ettinger</w:t>
      </w:r>
      <w:r>
        <w:rPr>
          <w:rFonts w:ascii="Arial" w:cs="Arial" w:eastAsia="Arial" w:hAnsi="Arial"/>
          <w:sz w:val="15"/>
          <w:szCs w:val="15"/>
          <w:color w:val="auto"/>
        </w:rPr>
        <w:t>—1,076</w:t>
      </w:r>
      <w:r>
        <w:rPr>
          <w:rFonts w:ascii="Arial" w:cs="Arial" w:eastAsia="Arial" w:hAnsi="Arial"/>
          <w:sz w:val="18"/>
          <w:szCs w:val="18"/>
          <w:color w:val="auto"/>
        </w:rPr>
        <w:t xml:space="preserve"> shares; Mr. Harmening</w:t>
      </w:r>
      <w:r>
        <w:rPr>
          <w:rFonts w:ascii="Arial" w:cs="Arial" w:eastAsia="Arial" w:hAnsi="Arial"/>
          <w:sz w:val="15"/>
          <w:szCs w:val="15"/>
          <w:color w:val="auto"/>
        </w:rPr>
        <w:t>—</w:t>
      </w:r>
      <w:r>
        <w:rPr>
          <w:rFonts w:ascii="Arial" w:cs="Arial" w:eastAsia="Arial" w:hAnsi="Arial"/>
          <w:sz w:val="18"/>
          <w:szCs w:val="18"/>
          <w:color w:val="auto"/>
        </w:rPr>
        <w:t>1,055 shares; and Mr. Koch</w:t>
      </w:r>
      <w:r>
        <w:rPr>
          <w:rFonts w:ascii="Arial" w:cs="Arial" w:eastAsia="Arial" w:hAnsi="Arial"/>
          <w:sz w:val="15"/>
          <w:szCs w:val="15"/>
          <w:color w:val="auto"/>
        </w:rPr>
        <w:t>—</w:t>
      </w:r>
      <w:r>
        <w:rPr>
          <w:rFonts w:ascii="Arial" w:cs="Arial" w:eastAsia="Arial" w:hAnsi="Arial"/>
          <w:sz w:val="18"/>
          <w:szCs w:val="18"/>
          <w:color w:val="auto"/>
        </w:rPr>
        <w:t>999 shares.</w:t>
      </w:r>
    </w:p>
    <w:p>
      <w:pPr>
        <w:spacing w:after="0" w:line="40" w:lineRule="exact"/>
        <w:rPr>
          <w:rFonts w:ascii="Arial" w:cs="Arial" w:eastAsia="Arial" w:hAnsi="Arial"/>
          <w:sz w:val="18"/>
          <w:szCs w:val="18"/>
          <w:color w:val="auto"/>
        </w:rPr>
      </w:pPr>
    </w:p>
    <w:p>
      <w:pPr>
        <w:ind w:left="500" w:right="40" w:hanging="494"/>
        <w:spacing w:after="0" w:line="233"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November 2, 2020, 807 shares of our common stock were granted to each non-employee director with the calculation as to the number of shares based on the average of the closing prices of our common stock during the three months prior to the grant, which was $80.45. However, the amount reported in the table represents the grant date fair value, computed in accordance with Financial Accounting Standards Board (FASB) Accounting Standard Codification (ASC) Topic 718. The closing price on the grant date of $83.12 was used in calculating the grant date fair value. The stock awards granted on November 2, 2020, were the only stock awards granted to directors during fiscal 2021. As of October 31, 2021, no directors held any restricted stock or other unvested stock awards.</w:t>
      </w:r>
    </w:p>
    <w:p>
      <w:pPr>
        <w:spacing w:after="0" w:line="44" w:lineRule="exact"/>
        <w:rPr>
          <w:rFonts w:ascii="Arial" w:cs="Arial" w:eastAsia="Arial" w:hAnsi="Arial"/>
          <w:sz w:val="18"/>
          <w:szCs w:val="18"/>
          <w:color w:val="auto"/>
        </w:rPr>
      </w:pPr>
    </w:p>
    <w:p>
      <w:pPr>
        <w:ind w:left="500" w:hanging="494"/>
        <w:spacing w:after="0" w:line="232"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November 2, 2020, a stock option to purchase 3,201 shares of our common stock was granted to each non-employee director. The amount reported in the table represents the grant date fair value computed in accordance with FASB ASC Topic 718. The grant date fair value is based on a Black-Scholes model valuation of $17.18 per share. The following assumptions were used in the Black-Scholes calculation: a risk-free interest rate of 0.56%; expected life of 6.4 years; expected volatility of 23.036%; and an expected dividend yield of 0.95%. The exercise price per share is equal to 100% of the fair market value of one share of our common stock on the grant date, as determined by the closing price for our common stock, which was $83.12 on November 2, 2020. The actual value of the stock option awards, if any, to be realized by a director depends upon whether the price of our common stock at exercise is greater than the exercise price of the stock options. The stock option awards granted on November 2, 2020, were the only stock options granted to directors during fiscal 2021.</w:t>
      </w:r>
    </w:p>
    <w:p>
      <w:pPr>
        <w:spacing w:after="0" w:line="50" w:lineRule="exact"/>
        <w:rPr>
          <w:rFonts w:ascii="Arial" w:cs="Arial" w:eastAsia="Arial" w:hAnsi="Arial"/>
          <w:sz w:val="18"/>
          <w:szCs w:val="18"/>
          <w:color w:val="auto"/>
        </w:rPr>
      </w:pPr>
    </w:p>
    <w:p>
      <w:pPr>
        <w:ind w:left="500" w:right="240" w:hanging="494"/>
        <w:spacing w:after="0" w:line="248" w:lineRule="auto"/>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As of October 31, 2021, the aggregate number of stock options (exercisable and unexercisable) held by each director who served during all or part of fiscal 2021 was as follows: Ms. Cooper—30,231; Mr. Ellis—42,177; Mr. Ettinger—42,177; Ms. Harless—35,335; Mr. Harmening—6,722; Mr. Koch— 20,001;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61" w:lineRule="exact"/>
        <w:rPr>
          <w:sz w:val="20"/>
          <w:szCs w:val="20"/>
          <w:color w:val="auto"/>
        </w:rPr>
      </w:pPr>
    </w:p>
    <w:p>
      <w:pPr>
        <w:ind w:left="500" w:right="220"/>
        <w:spacing w:after="0" w:line="248" w:lineRule="auto"/>
        <w:rPr>
          <w:sz w:val="20"/>
          <w:szCs w:val="20"/>
          <w:color w:val="auto"/>
        </w:rPr>
      </w:pPr>
      <w:r>
        <w:rPr>
          <w:rFonts w:ascii="Arial" w:cs="Arial" w:eastAsia="Arial" w:hAnsi="Arial"/>
          <w:sz w:val="16"/>
          <w:szCs w:val="16"/>
          <w:color w:val="auto"/>
        </w:rPr>
        <w:t>Ms. Mullen—6,722; Mr. O’Rourke—25,039; Mr. Steinhafel—11,204; and Dr. Vale—11,204. These numbers are different from the numbers set forth in the “Stock Options” column in footnote (2) to the “Directors and Executive Officers” stock ownership table which (i) sets forth information as of January 18, 2022 and (ii) does not include options that will become exercisable more than 60 days after January 18, 2022.</w:t>
      </w:r>
    </w:p>
    <w:p>
      <w:pPr>
        <w:spacing w:after="0" w:line="41" w:lineRule="exact"/>
        <w:rPr>
          <w:sz w:val="20"/>
          <w:szCs w:val="20"/>
          <w:color w:val="auto"/>
        </w:rPr>
      </w:pPr>
    </w:p>
    <w:p>
      <w:pPr>
        <w:ind w:left="500" w:right="80" w:hanging="494"/>
        <w:spacing w:after="0" w:line="248" w:lineRule="auto"/>
        <w:tabs>
          <w:tab w:leader="none" w:pos="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generally do not provide perquisites and other personal benefits to our non-employee directors other than Company products for personal use. The amount reported includes for each of Mses. Cooper and Harless and Dr. Vale the value of products, parts, service or accessories, as described under “Company Products.”</w:t>
      </w:r>
    </w:p>
    <w:p>
      <w:pPr>
        <w:spacing w:after="0" w:line="41" w:lineRule="exact"/>
        <w:rPr>
          <w:rFonts w:ascii="Arial" w:cs="Arial" w:eastAsia="Arial" w:hAnsi="Arial"/>
          <w:sz w:val="16"/>
          <w:szCs w:val="16"/>
          <w:color w:val="auto"/>
        </w:rPr>
      </w:pPr>
    </w:p>
    <w:p>
      <w:pPr>
        <w:ind w:left="500" w:right="320" w:hanging="494"/>
        <w:spacing w:after="0" w:line="253" w:lineRule="auto"/>
        <w:tabs>
          <w:tab w:leader="none" w:pos="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Ms. Harless, Ms. Mullen and Dr. Vale elected to defer receipt of their (i) calendar 2020 and calendar 2021 retainers earned in fiscal 2021 and (ii) the annual stock award granted on November 2, 2020, each under the Deferred Plan for Directors.</w:t>
      </w:r>
    </w:p>
    <w:p>
      <w:pPr>
        <w:spacing w:after="0" w:line="37" w:lineRule="exact"/>
        <w:rPr>
          <w:rFonts w:ascii="Arial" w:cs="Arial" w:eastAsia="Arial" w:hAnsi="Arial"/>
          <w:sz w:val="16"/>
          <w:szCs w:val="16"/>
          <w:color w:val="auto"/>
        </w:rPr>
      </w:pPr>
    </w:p>
    <w:p>
      <w:pPr>
        <w:ind w:left="500" w:hanging="494"/>
        <w:spacing w:after="0" w:line="253" w:lineRule="auto"/>
        <w:tabs>
          <w:tab w:leader="none" w:pos="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Mr. Steinhafel retired from our Board at our 2021 Annual Meeting of Shareholders. Accordingly, the fees shown for Mr. Steinhafel are for the period from November 1, 2020 to March 16, 2021.</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FFFFFF"/>
        </w:rPr>
        <w:t>PROPOSAL TWO—RATIFICATION OF SELECTION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-151765</wp:posOffset>
            </wp:positionV>
            <wp:extent cx="7134225" cy="3206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4225" cy="32067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21"/>
          <w:szCs w:val="21"/>
          <w:b w:val="1"/>
          <w:bCs w:val="1"/>
          <w:color w:val="FFFFFF"/>
        </w:rPr>
        <w:t>INDEPENDENT REGISTERED PUBLIC ACCOUNTING FIRM</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Selection of Independent Registered Public Accounting Firm</w:t>
      </w:r>
    </w:p>
    <w:p>
      <w:pPr>
        <w:spacing w:after="0" w:line="127" w:lineRule="exact"/>
        <w:rPr>
          <w:sz w:val="20"/>
          <w:szCs w:val="20"/>
          <w:color w:val="auto"/>
        </w:rPr>
      </w:pPr>
    </w:p>
    <w:p>
      <w:pPr>
        <w:ind w:right="60" w:firstLine="401"/>
        <w:spacing w:after="0" w:line="232" w:lineRule="auto"/>
        <w:rPr>
          <w:sz w:val="20"/>
          <w:szCs w:val="20"/>
          <w:color w:val="auto"/>
        </w:rPr>
      </w:pPr>
      <w:r>
        <w:rPr>
          <w:rFonts w:ascii="Arial" w:cs="Arial" w:eastAsia="Arial" w:hAnsi="Arial"/>
          <w:sz w:val="18"/>
          <w:szCs w:val="18"/>
          <w:color w:val="auto"/>
        </w:rPr>
        <w:t>The Audit Committee selects our external auditor. In this regard, the Audit Committee evaluates the qualifications, performance and independence of our external auditor and determines whether to re-engage the current external auditor. As part of its evaluation, the Audit Committee considers, among other factors, the quality and efficiency of the services provided by the external auditor, including the performance, technical expertise, and industry knowledge of the lead audit partner and the audit team assigned to our account; the overall strength and reputation of the external audit firm; the external auditor’s global capabilities relative to our business; the external auditor’s knowledge of our operations; and the external auditor’s fees. Upon consideration of these and other factors, the Audit Committee has selected KPMG LLP, or KPMG, to serve as our external auditor for fiscal 2022. Although it is not required to do so, the Board, as it traditionally has done in the past, is asking our shareholders to ratify the Audit Committee’s selection of KPMG. If our shareholders do not ratify the selection of KPMG, the Audit Committee may reconsider its selection. Even if the selection is ratified by our shareholders, the Audit Committee in its discretion may change the appointment at any time during the year if it determines that such a change would be in the best interests of our Company and our shareholders.</w:t>
      </w:r>
    </w:p>
    <w:p>
      <w:pPr>
        <w:spacing w:after="0" w:line="99" w:lineRule="exact"/>
        <w:rPr>
          <w:sz w:val="20"/>
          <w:szCs w:val="20"/>
          <w:color w:val="auto"/>
        </w:rPr>
      </w:pPr>
    </w:p>
    <w:p>
      <w:pPr>
        <w:ind w:right="280" w:firstLine="401"/>
        <w:spacing w:after="0" w:line="238" w:lineRule="auto"/>
        <w:rPr>
          <w:sz w:val="20"/>
          <w:szCs w:val="20"/>
          <w:color w:val="auto"/>
        </w:rPr>
      </w:pPr>
      <w:r>
        <w:rPr>
          <w:rFonts w:ascii="Arial" w:cs="Arial" w:eastAsia="Arial" w:hAnsi="Arial"/>
          <w:sz w:val="18"/>
          <w:szCs w:val="18"/>
          <w:color w:val="auto"/>
        </w:rPr>
        <w:t>Representatives of KPMG will be present at the annual meeting to answer appropriate questions. They also will have the opportunity to make a statement if they wish to do so.</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Audit, Audit-Related, Tax and Other Fees</w:t>
      </w:r>
    </w:p>
    <w:p>
      <w:pPr>
        <w:spacing w:after="0" w:line="127" w:lineRule="exact"/>
        <w:rPr>
          <w:sz w:val="20"/>
          <w:szCs w:val="20"/>
          <w:color w:val="auto"/>
        </w:rPr>
      </w:pPr>
    </w:p>
    <w:p>
      <w:pPr>
        <w:ind w:right="260" w:firstLine="401"/>
        <w:spacing w:after="0" w:line="238" w:lineRule="auto"/>
        <w:rPr>
          <w:sz w:val="20"/>
          <w:szCs w:val="20"/>
          <w:color w:val="auto"/>
        </w:rPr>
      </w:pPr>
      <w:r>
        <w:rPr>
          <w:rFonts w:ascii="Arial" w:cs="Arial" w:eastAsia="Arial" w:hAnsi="Arial"/>
          <w:sz w:val="18"/>
          <w:szCs w:val="18"/>
          <w:color w:val="auto"/>
        </w:rPr>
        <w:t>The following table sets forth the aggregate fees billed to us for professional services rendered by KPMG for fiscal 2021 and fiscal 2020 by category, as described in the footnotes to the table.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shd w:val="clear" w:color="auto" w:fill="C00000"/>
          </w:tcPr>
          <w:p>
            <w:pPr>
              <w:spacing w:after="0"/>
              <w:rPr>
                <w:sz w:val="14"/>
                <w:szCs w:val="14"/>
                <w:color w:val="auto"/>
              </w:rPr>
            </w:pPr>
          </w:p>
        </w:tc>
        <w:tc>
          <w:tcPr>
            <w:tcW w:w="4840" w:type="dxa"/>
            <w:vAlign w:val="bottom"/>
            <w:shd w:val="clear" w:color="auto" w:fill="C00000"/>
          </w:tcPr>
          <w:p>
            <w:pPr>
              <w:jc w:val="right"/>
              <w:ind w:right="703"/>
              <w:spacing w:after="0"/>
              <w:rPr>
                <w:sz w:val="20"/>
                <w:szCs w:val="20"/>
                <w:color w:val="auto"/>
              </w:rPr>
            </w:pPr>
            <w:r>
              <w:rPr>
                <w:rFonts w:ascii="Arial" w:cs="Arial" w:eastAsia="Arial" w:hAnsi="Arial"/>
                <w:sz w:val="14"/>
                <w:szCs w:val="14"/>
                <w:b w:val="1"/>
                <w:bCs w:val="1"/>
                <w:color w:val="FFFFFF"/>
              </w:rPr>
              <w:t>Fiscal 2021</w:t>
            </w:r>
          </w:p>
        </w:tc>
        <w:tc>
          <w:tcPr>
            <w:tcW w:w="1540" w:type="dxa"/>
            <w:vAlign w:val="bottom"/>
            <w:shd w:val="clear" w:color="auto" w:fill="C00000"/>
          </w:tcPr>
          <w:p>
            <w:pPr>
              <w:jc w:val="right"/>
              <w:ind w:right="383"/>
              <w:spacing w:after="0"/>
              <w:rPr>
                <w:sz w:val="20"/>
                <w:szCs w:val="20"/>
                <w:color w:val="auto"/>
              </w:rPr>
            </w:pPr>
            <w:r>
              <w:rPr>
                <w:rFonts w:ascii="Arial" w:cs="Arial" w:eastAsia="Arial" w:hAnsi="Arial"/>
                <w:sz w:val="14"/>
                <w:szCs w:val="14"/>
                <w:b w:val="1"/>
                <w:bCs w:val="1"/>
                <w:color w:val="FFFFFF"/>
              </w:rPr>
              <w:t>Fiscal 2020</w:t>
            </w:r>
          </w:p>
        </w:tc>
      </w:tr>
      <w:tr>
        <w:trPr>
          <w:trHeight w:val="173"/>
        </w:trPr>
        <w:tc>
          <w:tcPr>
            <w:tcW w:w="4860" w:type="dxa"/>
            <w:vAlign w:val="bottom"/>
            <w:shd w:val="clear" w:color="auto" w:fill="C00000"/>
          </w:tcPr>
          <w:p>
            <w:pPr>
              <w:spacing w:after="0"/>
              <w:rPr>
                <w:sz w:val="15"/>
                <w:szCs w:val="15"/>
                <w:color w:val="auto"/>
              </w:rPr>
            </w:pPr>
          </w:p>
        </w:tc>
        <w:tc>
          <w:tcPr>
            <w:tcW w:w="4840" w:type="dxa"/>
            <w:vAlign w:val="bottom"/>
            <w:shd w:val="clear" w:color="auto" w:fill="C00000"/>
          </w:tcPr>
          <w:p>
            <w:pPr>
              <w:jc w:val="right"/>
              <w:ind w:right="1003"/>
              <w:spacing w:after="0"/>
              <w:rPr>
                <w:sz w:val="20"/>
                <w:szCs w:val="20"/>
                <w:color w:val="auto"/>
              </w:rPr>
            </w:pPr>
            <w:r>
              <w:rPr>
                <w:rFonts w:ascii="Arial" w:cs="Arial" w:eastAsia="Arial" w:hAnsi="Arial"/>
                <w:sz w:val="14"/>
                <w:szCs w:val="14"/>
                <w:b w:val="1"/>
                <w:bCs w:val="1"/>
                <w:color w:val="FFFFFF"/>
              </w:rPr>
              <w:t>($)</w:t>
            </w:r>
          </w:p>
        </w:tc>
        <w:tc>
          <w:tcPr>
            <w:tcW w:w="1540" w:type="dxa"/>
            <w:vAlign w:val="bottom"/>
            <w:shd w:val="clear" w:color="auto" w:fill="C00000"/>
          </w:tcPr>
          <w:p>
            <w:pPr>
              <w:jc w:val="right"/>
              <w:ind w:right="683"/>
              <w:spacing w:after="0"/>
              <w:rPr>
                <w:sz w:val="20"/>
                <w:szCs w:val="20"/>
                <w:color w:val="auto"/>
              </w:rPr>
            </w:pPr>
            <w:r>
              <w:rPr>
                <w:rFonts w:ascii="Arial" w:cs="Arial" w:eastAsia="Arial" w:hAnsi="Arial"/>
                <w:sz w:val="14"/>
                <w:szCs w:val="14"/>
                <w:b w:val="1"/>
                <w:bCs w:val="1"/>
                <w:color w:val="FFFFFF"/>
              </w:rPr>
              <w:t>($)</w:t>
            </w:r>
          </w:p>
        </w:tc>
      </w:tr>
      <w:tr>
        <w:trPr>
          <w:trHeight w:val="199"/>
        </w:trPr>
        <w:tc>
          <w:tcPr>
            <w:tcW w:w="4860" w:type="dxa"/>
            <w:vAlign w:val="bottom"/>
          </w:tcPr>
          <w:p>
            <w:pPr>
              <w:spacing w:after="0" w:line="199" w:lineRule="exact"/>
              <w:rPr>
                <w:sz w:val="20"/>
                <w:szCs w:val="20"/>
                <w:color w:val="auto"/>
              </w:rPr>
            </w:pPr>
            <w:r>
              <w:rPr>
                <w:rFonts w:ascii="Arial" w:cs="Arial" w:eastAsia="Arial" w:hAnsi="Arial"/>
                <w:sz w:val="14"/>
                <w:szCs w:val="14"/>
                <w:color w:val="auto"/>
              </w:rPr>
              <w:t>Audit Fees</w:t>
            </w:r>
            <w:r>
              <w:rPr>
                <w:rFonts w:ascii="Arial" w:cs="Arial" w:eastAsia="Arial" w:hAnsi="Arial"/>
                <w:sz w:val="23"/>
                <w:szCs w:val="23"/>
                <w:color w:val="auto"/>
                <w:vertAlign w:val="superscript"/>
              </w:rPr>
              <w:t>(1)</w:t>
            </w:r>
          </w:p>
        </w:tc>
        <w:tc>
          <w:tcPr>
            <w:tcW w:w="4840" w:type="dxa"/>
            <w:vAlign w:val="bottom"/>
          </w:tcPr>
          <w:p>
            <w:pPr>
              <w:jc w:val="right"/>
              <w:ind w:right="263"/>
              <w:spacing w:after="0"/>
              <w:rPr>
                <w:sz w:val="20"/>
                <w:szCs w:val="20"/>
                <w:color w:val="auto"/>
              </w:rPr>
            </w:pPr>
            <w:r>
              <w:rPr>
                <w:rFonts w:ascii="Arial" w:cs="Arial" w:eastAsia="Arial" w:hAnsi="Arial"/>
                <w:sz w:val="16"/>
                <w:szCs w:val="16"/>
                <w:color w:val="auto"/>
              </w:rPr>
              <w:t>1,740,738</w:t>
            </w:r>
          </w:p>
        </w:tc>
        <w:tc>
          <w:tcPr>
            <w:tcW w:w="1540" w:type="dxa"/>
            <w:vAlign w:val="bottom"/>
          </w:tcPr>
          <w:p>
            <w:pPr>
              <w:jc w:val="right"/>
              <w:spacing w:after="0"/>
              <w:rPr>
                <w:sz w:val="20"/>
                <w:szCs w:val="20"/>
                <w:color w:val="auto"/>
              </w:rPr>
            </w:pPr>
            <w:r>
              <w:rPr>
                <w:rFonts w:ascii="Arial" w:cs="Arial" w:eastAsia="Arial" w:hAnsi="Arial"/>
                <w:sz w:val="16"/>
                <w:szCs w:val="16"/>
                <w:color w:val="auto"/>
              </w:rPr>
              <w:t>2,017,300</w:t>
            </w:r>
          </w:p>
        </w:tc>
      </w:tr>
      <w:tr>
        <w:trPr>
          <w:trHeight w:val="199"/>
        </w:trPr>
        <w:tc>
          <w:tcPr>
            <w:tcW w:w="4860" w:type="dxa"/>
            <w:vAlign w:val="bottom"/>
            <w:shd w:val="clear" w:color="auto" w:fill="D9D9D9"/>
          </w:tcPr>
          <w:p>
            <w:pPr>
              <w:spacing w:after="0" w:line="199" w:lineRule="exact"/>
              <w:rPr>
                <w:sz w:val="20"/>
                <w:szCs w:val="20"/>
                <w:color w:val="auto"/>
              </w:rPr>
            </w:pPr>
            <w:r>
              <w:rPr>
                <w:rFonts w:ascii="Arial" w:cs="Arial" w:eastAsia="Arial" w:hAnsi="Arial"/>
                <w:sz w:val="14"/>
                <w:szCs w:val="14"/>
                <w:color w:val="auto"/>
              </w:rPr>
              <w:t>Audit-Related Fees</w:t>
            </w:r>
            <w:r>
              <w:rPr>
                <w:rFonts w:ascii="Arial" w:cs="Arial" w:eastAsia="Arial" w:hAnsi="Arial"/>
                <w:sz w:val="23"/>
                <w:szCs w:val="23"/>
                <w:color w:val="auto"/>
                <w:vertAlign w:val="superscript"/>
              </w:rPr>
              <w:t>(2)</w:t>
            </w:r>
          </w:p>
        </w:tc>
        <w:tc>
          <w:tcPr>
            <w:tcW w:w="4840" w:type="dxa"/>
            <w:vAlign w:val="bottom"/>
            <w:shd w:val="clear" w:color="auto" w:fill="D9D9D9"/>
          </w:tcPr>
          <w:p>
            <w:pPr>
              <w:jc w:val="right"/>
              <w:ind w:right="263"/>
              <w:spacing w:after="0"/>
              <w:rPr>
                <w:sz w:val="20"/>
                <w:szCs w:val="20"/>
                <w:color w:val="auto"/>
              </w:rPr>
            </w:pPr>
            <w:r>
              <w:rPr>
                <w:rFonts w:ascii="Arial" w:cs="Arial" w:eastAsia="Arial" w:hAnsi="Arial"/>
                <w:sz w:val="16"/>
                <w:szCs w:val="16"/>
                <w:color w:val="auto"/>
              </w:rPr>
              <w:t>40,000</w:t>
            </w:r>
          </w:p>
        </w:tc>
        <w:tc>
          <w:tcPr>
            <w:tcW w:w="15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70,000</w:t>
            </w:r>
          </w:p>
        </w:tc>
      </w:tr>
      <w:tr>
        <w:trPr>
          <w:trHeight w:val="199"/>
        </w:trPr>
        <w:tc>
          <w:tcPr>
            <w:tcW w:w="4860" w:type="dxa"/>
            <w:vAlign w:val="bottom"/>
          </w:tcPr>
          <w:p>
            <w:pPr>
              <w:spacing w:after="0" w:line="199" w:lineRule="exact"/>
              <w:rPr>
                <w:sz w:val="20"/>
                <w:szCs w:val="20"/>
                <w:color w:val="auto"/>
              </w:rPr>
            </w:pPr>
            <w:r>
              <w:rPr>
                <w:rFonts w:ascii="Arial" w:cs="Arial" w:eastAsia="Arial" w:hAnsi="Arial"/>
                <w:sz w:val="14"/>
                <w:szCs w:val="14"/>
                <w:color w:val="auto"/>
              </w:rPr>
              <w:t>Tax Fees</w:t>
            </w:r>
            <w:r>
              <w:rPr>
                <w:rFonts w:ascii="Arial" w:cs="Arial" w:eastAsia="Arial" w:hAnsi="Arial"/>
                <w:sz w:val="23"/>
                <w:szCs w:val="23"/>
                <w:color w:val="auto"/>
                <w:vertAlign w:val="superscript"/>
              </w:rPr>
              <w:t>(3)</w:t>
            </w:r>
          </w:p>
        </w:tc>
        <w:tc>
          <w:tcPr>
            <w:tcW w:w="4840" w:type="dxa"/>
            <w:vAlign w:val="bottom"/>
          </w:tcPr>
          <w:p>
            <w:pPr>
              <w:jc w:val="right"/>
              <w:ind w:right="263"/>
              <w:spacing w:after="0"/>
              <w:rPr>
                <w:sz w:val="20"/>
                <w:szCs w:val="20"/>
                <w:color w:val="auto"/>
              </w:rPr>
            </w:pPr>
            <w:r>
              <w:rPr>
                <w:rFonts w:ascii="Arial" w:cs="Arial" w:eastAsia="Arial" w:hAnsi="Arial"/>
                <w:sz w:val="16"/>
                <w:szCs w:val="16"/>
                <w:color w:val="auto"/>
              </w:rPr>
              <w:t>143,798</w:t>
            </w:r>
          </w:p>
        </w:tc>
        <w:tc>
          <w:tcPr>
            <w:tcW w:w="1540" w:type="dxa"/>
            <w:vAlign w:val="bottom"/>
          </w:tcPr>
          <w:p>
            <w:pPr>
              <w:jc w:val="right"/>
              <w:spacing w:after="0"/>
              <w:rPr>
                <w:sz w:val="20"/>
                <w:szCs w:val="20"/>
                <w:color w:val="auto"/>
              </w:rPr>
            </w:pPr>
            <w:r>
              <w:rPr>
                <w:rFonts w:ascii="Arial" w:cs="Arial" w:eastAsia="Arial" w:hAnsi="Arial"/>
                <w:sz w:val="16"/>
                <w:szCs w:val="16"/>
                <w:color w:val="auto"/>
              </w:rPr>
              <w:t>245,026</w:t>
            </w:r>
          </w:p>
        </w:tc>
      </w:tr>
      <w:tr>
        <w:trPr>
          <w:trHeight w:val="213"/>
        </w:trPr>
        <w:tc>
          <w:tcPr>
            <w:tcW w:w="4860" w:type="dxa"/>
            <w:vAlign w:val="bottom"/>
            <w:shd w:val="clear" w:color="auto" w:fill="D9D9D9"/>
          </w:tcPr>
          <w:p>
            <w:pPr>
              <w:spacing w:after="0"/>
              <w:rPr>
                <w:sz w:val="20"/>
                <w:szCs w:val="20"/>
                <w:color w:val="auto"/>
              </w:rPr>
            </w:pPr>
            <w:r>
              <w:rPr>
                <w:rFonts w:ascii="Arial" w:cs="Arial" w:eastAsia="Arial" w:hAnsi="Arial"/>
                <w:sz w:val="16"/>
                <w:szCs w:val="16"/>
                <w:color w:val="auto"/>
              </w:rPr>
              <w:t>All Other Fees</w:t>
            </w:r>
          </w:p>
        </w:tc>
        <w:tc>
          <w:tcPr>
            <w:tcW w:w="4840" w:type="dxa"/>
            <w:vAlign w:val="bottom"/>
            <w:shd w:val="clear" w:color="auto" w:fill="D9D9D9"/>
          </w:tcPr>
          <w:p>
            <w:pPr>
              <w:jc w:val="right"/>
              <w:ind w:right="263"/>
              <w:spacing w:after="0"/>
              <w:rPr>
                <w:sz w:val="20"/>
                <w:szCs w:val="20"/>
                <w:color w:val="auto"/>
              </w:rPr>
            </w:pPr>
            <w:r>
              <w:rPr>
                <w:rFonts w:ascii="Arial" w:cs="Arial" w:eastAsia="Arial" w:hAnsi="Arial"/>
                <w:sz w:val="16"/>
                <w:szCs w:val="16"/>
                <w:color w:val="auto"/>
              </w:rPr>
              <w:t>0</w:t>
            </w:r>
          </w:p>
        </w:tc>
        <w:tc>
          <w:tcPr>
            <w:tcW w:w="15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67310</wp:posOffset>
            </wp:positionV>
            <wp:extent cx="203454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034540" cy="8255"/>
                    </a:xfrm>
                    <a:prstGeom prst="rect">
                      <a:avLst/>
                    </a:prstGeom>
                    <a:noFill/>
                  </pic:spPr>
                </pic:pic>
              </a:graphicData>
            </a:graphic>
          </wp:anchor>
        </w:drawing>
      </w:r>
    </w:p>
    <w:p>
      <w:pPr>
        <w:spacing w:after="0" w:line="139" w:lineRule="exact"/>
        <w:rPr>
          <w:sz w:val="20"/>
          <w:szCs w:val="20"/>
          <w:color w:val="auto"/>
        </w:rPr>
      </w:pPr>
    </w:p>
    <w:p>
      <w:pPr>
        <w:ind w:left="400" w:right="120" w:hanging="394"/>
        <w:spacing w:after="0" w:line="250" w:lineRule="auto"/>
        <w:tabs>
          <w:tab w:leader="none" w:pos="4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Consist of aggregate fees billed, or expected to be billed, for fiscal 2021 and fiscal 2020, respectively, for professional services rendered by KPMG in connection with the audit of our consolidated financial statements included in our Annual Report on Form 10-K, review of our condensed consolidated financial statements included in our Quarterly Reports on Form 10-Q, statutory audits of certain of our international subsidiaries and the audit of internal control over financial reporting in accordance with Section 404 of the Sarbanes-Oxley Act of 2002. Fees for fiscal 2020 also include audit work related to The Charles Machine Works and Venture Products, Inc. acquisitions.</w:t>
      </w:r>
    </w:p>
    <w:p>
      <w:pPr>
        <w:spacing w:after="0" w:line="85" w:lineRule="exact"/>
        <w:rPr>
          <w:rFonts w:ascii="Arial" w:cs="Arial" w:eastAsia="Arial" w:hAnsi="Arial"/>
          <w:sz w:val="17"/>
          <w:szCs w:val="17"/>
          <w:color w:val="auto"/>
        </w:rPr>
      </w:pPr>
    </w:p>
    <w:p>
      <w:pPr>
        <w:ind w:left="400" w:hanging="394"/>
        <w:spacing w:after="0"/>
        <w:tabs>
          <w:tab w:leader="none" w:pos="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 of aggregate fees billed for KPMG’s services related to audits of employee benefit plans.</w:t>
      </w:r>
    </w:p>
    <w:p>
      <w:pPr>
        <w:spacing w:after="0" w:line="98" w:lineRule="exact"/>
        <w:rPr>
          <w:rFonts w:ascii="Arial" w:cs="Arial" w:eastAsia="Arial" w:hAnsi="Arial"/>
          <w:sz w:val="18"/>
          <w:szCs w:val="18"/>
          <w:color w:val="auto"/>
        </w:rPr>
      </w:pPr>
    </w:p>
    <w:p>
      <w:pPr>
        <w:ind w:left="400" w:right="340" w:hanging="394"/>
        <w:spacing w:after="0" w:line="238" w:lineRule="auto"/>
        <w:tabs>
          <w:tab w:leader="none" w:pos="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 of aggregate fees billed for professional services rendered by KPMG for permissible domestic and international tax consulting, planning and compliance services.</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Pre-Approval Policies and Procedures</w:t>
      </w:r>
    </w:p>
    <w:p>
      <w:pPr>
        <w:spacing w:after="0" w:line="127" w:lineRule="exact"/>
        <w:rPr>
          <w:sz w:val="20"/>
          <w:szCs w:val="20"/>
          <w:color w:val="auto"/>
        </w:rPr>
      </w:pPr>
    </w:p>
    <w:p>
      <w:pPr>
        <w:ind w:right="60" w:firstLine="401"/>
        <w:spacing w:after="0" w:line="234" w:lineRule="auto"/>
        <w:rPr>
          <w:sz w:val="20"/>
          <w:szCs w:val="20"/>
          <w:color w:val="auto"/>
        </w:rPr>
      </w:pPr>
      <w:r>
        <w:rPr>
          <w:rFonts w:ascii="Arial" w:cs="Arial" w:eastAsia="Arial" w:hAnsi="Arial"/>
          <w:sz w:val="18"/>
          <w:szCs w:val="18"/>
          <w:color w:val="auto"/>
        </w:rPr>
        <w:t>The Audit Committee Charter requires that the Audit Committee review and approve in advance the retention of our external auditor for all types of audit and non-audit services to be performed for us by our external auditor and approve the fees for such services, other than de minimis non-audit services allowed by relevant rules and regulations. All of the services provided to us by KPMG for which we paid Audit Fees, Audit-Related Fees and Tax Fees, as shown in the table above, were pre-approved by the Audit Committee in accordance with these pre-approval policies and procedures.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517"/>
        </w:trPr>
        <w:tc>
          <w:tcPr>
            <w:tcW w:w="9320" w:type="dxa"/>
            <w:vAlign w:val="bottom"/>
            <w:shd w:val="clear" w:color="auto" w:fill="C00000"/>
          </w:tcPr>
          <w:p>
            <w:pPr>
              <w:jc w:val="center"/>
              <w:ind w:left="531"/>
              <w:spacing w:after="0"/>
              <w:rPr>
                <w:sz w:val="20"/>
                <w:szCs w:val="20"/>
                <w:color w:val="auto"/>
              </w:rPr>
            </w:pPr>
            <w:r>
              <w:rPr>
                <w:rFonts w:ascii="Arial" w:cs="Arial" w:eastAsia="Arial" w:hAnsi="Arial"/>
                <w:sz w:val="18"/>
                <w:szCs w:val="18"/>
                <w:b w:val="1"/>
                <w:bCs w:val="1"/>
                <w:color w:val="FFFFFF"/>
                <w:w w:val="94"/>
              </w:rPr>
              <w:t>The Board of Directors Recommends a Vote FOR Ratification of the Selection of</w:t>
            </w:r>
          </w:p>
        </w:tc>
        <w:tc>
          <w:tcPr>
            <w:tcW w:w="1920" w:type="dxa"/>
            <w:vAlign w:val="bottom"/>
            <w:shd w:val="clear" w:color="auto" w:fill="C00000"/>
          </w:tcPr>
          <w:p>
            <w:pPr>
              <w:ind w:left="1040"/>
              <w:spacing w:after="0" w:line="501" w:lineRule="exact"/>
              <w:rPr>
                <w:sz w:val="20"/>
                <w:szCs w:val="20"/>
                <w:color w:val="auto"/>
              </w:rPr>
            </w:pPr>
            <w:r>
              <w:rPr>
                <w:rFonts w:ascii="MS PGothic" w:cs="MS PGothic" w:eastAsia="MS PGothic" w:hAnsi="MS PGothic"/>
                <w:sz w:val="50"/>
                <w:szCs w:val="50"/>
                <w:color w:val="auto"/>
                <w:highlight w:val="white"/>
              </w:rPr>
              <w:t>☑</w:t>
            </w:r>
          </w:p>
        </w:tc>
        <w:tc>
          <w:tcPr>
            <w:tcW w:w="20" w:type="dxa"/>
            <w:vAlign w:val="bottom"/>
          </w:tcPr>
          <w:p>
            <w:pPr>
              <w:spacing w:after="0"/>
              <w:rPr>
                <w:sz w:val="24"/>
                <w:szCs w:val="24"/>
                <w:color w:val="auto"/>
              </w:rPr>
            </w:pPr>
          </w:p>
        </w:tc>
      </w:tr>
      <w:tr>
        <w:trPr>
          <w:trHeight w:val="234"/>
        </w:trPr>
        <w:tc>
          <w:tcPr>
            <w:tcW w:w="9320" w:type="dxa"/>
            <w:vAlign w:val="bottom"/>
            <w:shd w:val="clear" w:color="auto" w:fill="C00000"/>
          </w:tcPr>
          <w:p>
            <w:pPr>
              <w:jc w:val="center"/>
              <w:ind w:left="511"/>
              <w:spacing w:after="0"/>
              <w:rPr>
                <w:sz w:val="20"/>
                <w:szCs w:val="20"/>
                <w:color w:val="auto"/>
              </w:rPr>
            </w:pPr>
            <w:r>
              <w:rPr>
                <w:rFonts w:ascii="Arial" w:cs="Arial" w:eastAsia="Arial" w:hAnsi="Arial"/>
                <w:sz w:val="18"/>
                <w:szCs w:val="18"/>
                <w:b w:val="1"/>
                <w:bCs w:val="1"/>
                <w:color w:val="FFFFFF"/>
                <w:w w:val="94"/>
              </w:rPr>
              <w:t>KPMG LLP as Our Independent Registered Public Accounting Firm for Fiscal 2022</w:t>
            </w:r>
          </w:p>
        </w:tc>
        <w:tc>
          <w:tcPr>
            <w:tcW w:w="1920" w:type="dxa"/>
            <w:vAlign w:val="bottom"/>
            <w:shd w:val="clear" w:color="auto" w:fill="C00000"/>
          </w:tcPr>
          <w:p>
            <w:pPr>
              <w:spacing w:after="0"/>
              <w:rPr>
                <w:sz w:val="20"/>
                <w:szCs w:val="20"/>
                <w:color w:val="auto"/>
              </w:rPr>
            </w:pPr>
          </w:p>
        </w:tc>
        <w:tc>
          <w:tcPr>
            <w:tcW w:w="20" w:type="dxa"/>
            <w:vAlign w:val="bottom"/>
          </w:tcPr>
          <w:p>
            <w:pPr>
              <w:spacing w:after="0"/>
              <w:rPr>
                <w:sz w:val="20"/>
                <w:szCs w:val="20"/>
                <w:color w:val="auto"/>
              </w:rPr>
            </w:pPr>
          </w:p>
        </w:tc>
      </w:tr>
      <w:tr>
        <w:trPr>
          <w:trHeight w:val="81"/>
        </w:trPr>
        <w:tc>
          <w:tcPr>
            <w:tcW w:w="9320" w:type="dxa"/>
            <w:vAlign w:val="bottom"/>
            <w:shd w:val="clear" w:color="auto" w:fill="C00000"/>
          </w:tcPr>
          <w:p>
            <w:pPr>
              <w:spacing w:after="0"/>
              <w:rPr>
                <w:sz w:val="7"/>
                <w:szCs w:val="7"/>
                <w:color w:val="auto"/>
              </w:rPr>
            </w:pPr>
          </w:p>
        </w:tc>
        <w:tc>
          <w:tcPr>
            <w:tcW w:w="1920" w:type="dxa"/>
            <w:vAlign w:val="bottom"/>
            <w:shd w:val="clear" w:color="auto" w:fill="C00000"/>
          </w:tcPr>
          <w:p>
            <w:pPr>
              <w:spacing w:after="0"/>
              <w:rPr>
                <w:sz w:val="7"/>
                <w:szCs w:val="7"/>
                <w:color w:val="auto"/>
              </w:rPr>
            </w:pPr>
          </w:p>
        </w:tc>
        <w:tc>
          <w:tcPr>
            <w:tcW w:w="20" w:type="dxa"/>
            <w:vAlign w:val="bottom"/>
          </w:tcPr>
          <w:p>
            <w:pPr>
              <w:spacing w:after="0"/>
              <w:rPr>
                <w:sz w:val="7"/>
                <w:szCs w:val="7"/>
                <w:color w:val="auto"/>
              </w:rPr>
            </w:pPr>
          </w:p>
        </w:tc>
      </w:tr>
      <w:tr>
        <w:trPr>
          <w:trHeight w:val="424"/>
        </w:trPr>
        <w:tc>
          <w:tcPr>
            <w:tcW w:w="9320" w:type="dxa"/>
            <w:vAlign w:val="bottom"/>
          </w:tcPr>
          <w:p>
            <w:pPr>
              <w:jc w:val="right"/>
              <w:ind w:right="3511"/>
              <w:spacing w:after="0"/>
              <w:rPr>
                <w:sz w:val="20"/>
                <w:szCs w:val="20"/>
                <w:color w:val="auto"/>
              </w:rPr>
            </w:pPr>
            <w:r>
              <w:rPr>
                <w:rFonts w:ascii="Arial" w:cs="Arial" w:eastAsia="Arial" w:hAnsi="Arial"/>
                <w:sz w:val="18"/>
                <w:szCs w:val="18"/>
                <w:color w:val="auto"/>
              </w:rPr>
              <w:t>25</w:t>
            </w: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9320" w:type="dxa"/>
            <w:vAlign w:val="bottom"/>
            <w:tcBorders>
              <w:bottom w:val="single" w:sz="8" w:color="9A9A9A"/>
            </w:tcBorders>
          </w:tcPr>
          <w:p>
            <w:pPr>
              <w:spacing w:after="0"/>
              <w:rPr>
                <w:sz w:val="8"/>
                <w:szCs w:val="8"/>
                <w:color w:val="auto"/>
              </w:rPr>
            </w:pPr>
          </w:p>
        </w:tc>
        <w:tc>
          <w:tcPr>
            <w:tcW w:w="19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390"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Audit Committee Report</w:t>
      </w:r>
    </w:p>
    <w:p>
      <w:pPr>
        <w:spacing w:after="0" w:line="12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This report is furnished by the Audit Committee with respect to our financial statements for fiscal 2021.</w:t>
      </w:r>
    </w:p>
    <w:p>
      <w:pPr>
        <w:spacing w:after="0" w:line="99" w:lineRule="exact"/>
        <w:rPr>
          <w:sz w:val="20"/>
          <w:szCs w:val="20"/>
          <w:color w:val="auto"/>
        </w:rPr>
      </w:pPr>
    </w:p>
    <w:p>
      <w:pPr>
        <w:ind w:right="220" w:firstLine="401"/>
        <w:spacing w:after="0" w:line="250" w:lineRule="auto"/>
        <w:rPr>
          <w:sz w:val="20"/>
          <w:szCs w:val="20"/>
          <w:color w:val="auto"/>
        </w:rPr>
      </w:pPr>
      <w:r>
        <w:rPr>
          <w:rFonts w:ascii="Arial" w:cs="Arial" w:eastAsia="Arial" w:hAnsi="Arial"/>
          <w:sz w:val="17"/>
          <w:szCs w:val="17"/>
          <w:color w:val="auto"/>
        </w:rPr>
        <w:t>Ultimate responsibility for good corporate governance rests with our Board, whose primary roles and responsibilities involve oversight, counseling and providing direction to our Management in the best long-term interests of TTC and our shareholders. As set forth in its charter, the Audit Committee assists our Board by, among other things, providing oversight of our accounting and financial reporting processes, the audits of our annual financial statements and internal control over financial reporting. A copy of our Audit Committee Charter, which further describes the role and responsibilities of the Audit Committee, is available online at www.thetorocompany.com/corporategovernance.</w:t>
      </w:r>
    </w:p>
    <w:p>
      <w:pPr>
        <w:spacing w:after="0" w:line="85" w:lineRule="exact"/>
        <w:rPr>
          <w:sz w:val="20"/>
          <w:szCs w:val="20"/>
          <w:color w:val="auto"/>
        </w:rPr>
      </w:pPr>
    </w:p>
    <w:p>
      <w:pPr>
        <w:ind w:right="40" w:firstLine="401"/>
        <w:spacing w:after="0" w:line="233" w:lineRule="auto"/>
        <w:rPr>
          <w:sz w:val="20"/>
          <w:szCs w:val="20"/>
          <w:color w:val="auto"/>
        </w:rPr>
      </w:pPr>
      <w:r>
        <w:rPr>
          <w:rFonts w:ascii="Arial" w:cs="Arial" w:eastAsia="Arial" w:hAnsi="Arial"/>
          <w:sz w:val="18"/>
          <w:szCs w:val="18"/>
          <w:color w:val="auto"/>
        </w:rPr>
        <w:t>Management is primarily responsible for the establishment and maintenance of our accounting and financial reporting processes, including our internal controls, and for the preparation and presentation of complete and accurate financial statements. Our independent registered public accounting firm, KPMG LLP, is responsible for performing an independent audit of our financial statements and internal controls over financial reporting in accordance with the standards of the Public Company Accounting Oversight Board (U.S.), or PCAOB, expressing an opinion as to the conformity of the financial statements with generally accepted accounting principles, and expressing an opinion on the effectiveness of our internal control over financial reporting.</w:t>
      </w:r>
    </w:p>
    <w:p>
      <w:pPr>
        <w:spacing w:after="0" w:line="97" w:lineRule="exact"/>
        <w:rPr>
          <w:sz w:val="20"/>
          <w:szCs w:val="20"/>
          <w:color w:val="auto"/>
        </w:rPr>
      </w:pPr>
    </w:p>
    <w:p>
      <w:pPr>
        <w:ind w:firstLine="401"/>
        <w:spacing w:after="0" w:line="234" w:lineRule="auto"/>
        <w:rPr>
          <w:sz w:val="20"/>
          <w:szCs w:val="20"/>
          <w:color w:val="auto"/>
        </w:rPr>
      </w:pPr>
      <w:r>
        <w:rPr>
          <w:rFonts w:ascii="Arial" w:cs="Arial" w:eastAsia="Arial" w:hAnsi="Arial"/>
          <w:sz w:val="18"/>
          <w:szCs w:val="18"/>
          <w:color w:val="auto"/>
        </w:rPr>
        <w:t>In performing its oversight role, the Audit Committee has (i) reviewed and discussed with Management our audited financial statements for fiscal 2021, (ii) discussed with representatives of KPMG the matters required to be discussed by PCAOB Auditing Standard 1301 (Communications with Audit Committees), (iii) received the written disclosures and the letters from KPMG required by applicable requirements of the PCAOB regarding KPMG’s communications with the Audit Committee concerning KPMG’s independence, and (iv) discussed with representatives of KPMG its independence and concluded that it is independent from TTC and its Management.</w:t>
      </w:r>
    </w:p>
    <w:p>
      <w:pPr>
        <w:spacing w:after="0" w:line="95" w:lineRule="exact"/>
        <w:rPr>
          <w:sz w:val="20"/>
          <w:szCs w:val="20"/>
          <w:color w:val="auto"/>
        </w:rPr>
      </w:pPr>
    </w:p>
    <w:p>
      <w:pPr>
        <w:ind w:right="80" w:firstLine="401"/>
        <w:spacing w:after="0" w:line="236" w:lineRule="auto"/>
        <w:rPr>
          <w:sz w:val="20"/>
          <w:szCs w:val="20"/>
          <w:color w:val="auto"/>
        </w:rPr>
      </w:pPr>
      <w:r>
        <w:rPr>
          <w:rFonts w:ascii="Arial" w:cs="Arial" w:eastAsia="Arial" w:hAnsi="Arial"/>
          <w:sz w:val="18"/>
          <w:szCs w:val="18"/>
          <w:color w:val="auto"/>
        </w:rPr>
        <w:t>Based on the review and discussions referred to in the foregoing paragraph and subject to the limitations on its responsibilities set forth in its charter, the Audit Committee recommended to our Board that our audited financial statements for fiscal 2021 be included in our Annual Report on Form 10-K for the fiscal year ended October 31, 2021, for filing with the SEC.</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C00000"/>
        </w:rPr>
        <w:t>Audit Committee:</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Janet K. Cooper (Chair)</w:t>
      </w:r>
    </w:p>
    <w:p>
      <w:pPr>
        <w:jc w:val="center"/>
        <w:ind w:right="-19"/>
        <w:spacing w:after="0" w:line="231" w:lineRule="auto"/>
        <w:rPr>
          <w:sz w:val="20"/>
          <w:szCs w:val="20"/>
          <w:color w:val="auto"/>
        </w:rPr>
      </w:pPr>
      <w:r>
        <w:rPr>
          <w:rFonts w:ascii="Arial" w:cs="Arial" w:eastAsia="Arial" w:hAnsi="Arial"/>
          <w:sz w:val="18"/>
          <w:szCs w:val="18"/>
          <w:color w:val="auto"/>
        </w:rPr>
        <w:t>Gary L. Ellis</w:t>
      </w:r>
    </w:p>
    <w:p>
      <w:pPr>
        <w:jc w:val="center"/>
        <w:ind w:right="-19"/>
        <w:spacing w:after="0" w:line="231" w:lineRule="auto"/>
        <w:rPr>
          <w:sz w:val="20"/>
          <w:szCs w:val="20"/>
          <w:color w:val="auto"/>
        </w:rPr>
      </w:pPr>
      <w:r>
        <w:rPr>
          <w:rFonts w:ascii="Arial" w:cs="Arial" w:eastAsia="Arial" w:hAnsi="Arial"/>
          <w:sz w:val="18"/>
          <w:szCs w:val="18"/>
          <w:color w:val="auto"/>
        </w:rPr>
        <w:t>Katherine J. Harless</w:t>
      </w:r>
    </w:p>
    <w:p>
      <w:pPr>
        <w:jc w:val="center"/>
        <w:ind w:right="-19"/>
        <w:spacing w:after="0" w:line="231" w:lineRule="auto"/>
        <w:rPr>
          <w:sz w:val="20"/>
          <w:szCs w:val="20"/>
          <w:color w:val="auto"/>
        </w:rPr>
      </w:pPr>
      <w:r>
        <w:rPr>
          <w:rFonts w:ascii="Arial" w:cs="Arial" w:eastAsia="Arial" w:hAnsi="Arial"/>
          <w:sz w:val="18"/>
          <w:szCs w:val="18"/>
          <w:color w:val="auto"/>
        </w:rPr>
        <w:t>Jeffrey L. Harmening</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Michael G. Vale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167880" cy="2025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7880" cy="20256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1"/>
          <w:szCs w:val="21"/>
          <w:b w:val="1"/>
          <w:bCs w:val="1"/>
          <w:color w:val="FFFFFF"/>
        </w:rPr>
        <w:t>PROPOSAL THREE—ADVISORY APPROVAL OF OUR EXECUTIVE COMPENSATION</w:t>
      </w:r>
    </w:p>
    <w:p>
      <w:pPr>
        <w:spacing w:after="0" w:line="255"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Background</w:t>
      </w:r>
    </w:p>
    <w:p>
      <w:pPr>
        <w:spacing w:after="0" w:line="127" w:lineRule="exact"/>
        <w:rPr>
          <w:sz w:val="20"/>
          <w:szCs w:val="20"/>
          <w:color w:val="auto"/>
        </w:rPr>
      </w:pPr>
    </w:p>
    <w:p>
      <w:pPr>
        <w:ind w:firstLine="401"/>
        <w:spacing w:after="0" w:line="233" w:lineRule="auto"/>
        <w:rPr>
          <w:sz w:val="20"/>
          <w:szCs w:val="20"/>
          <w:color w:val="auto"/>
        </w:rPr>
      </w:pPr>
      <w:r>
        <w:rPr>
          <w:rFonts w:ascii="Arial" w:cs="Arial" w:eastAsia="Arial" w:hAnsi="Arial"/>
          <w:sz w:val="18"/>
          <w:szCs w:val="18"/>
          <w:color w:val="auto"/>
        </w:rPr>
        <w:t>The Board is providing our shareholders with an advisory vote on our executive compensation pursuant to the Dodd-Frank Wall Street Consumer Protection Act, and Section 14A of the Securities Exchange Act of 1934, as amended, or Exchange Act. This advisory vote, commonly known as a say-on-pay vote, is a non-binding vote on the compensation paid to our named executive officers as set forth in the “Executive Compensation” section of this proxy statement, including in the “Compensation Discussion and Analysis,” the accompanying compensation tables and the corresponding narrative discussion and footnotes. At the 2021 Annual Meeting of Shareholders held on March 16, 2021, over 93% of the votes cast by our shareholders were in favor of our say-on-pay vote. The Compensation &amp; Human Resources Committee believes that such results affirmed shareholder support of our approach to executive compensation.</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Our Pay Philosophy</w:t>
      </w:r>
    </w:p>
    <w:p>
      <w:pPr>
        <w:spacing w:after="0" w:line="127" w:lineRule="exact"/>
        <w:rPr>
          <w:sz w:val="20"/>
          <w:szCs w:val="20"/>
          <w:color w:val="auto"/>
        </w:rPr>
      </w:pPr>
    </w:p>
    <w:p>
      <w:pPr>
        <w:ind w:right="100" w:firstLine="401"/>
        <w:spacing w:after="0" w:line="232" w:lineRule="auto"/>
        <w:rPr>
          <w:sz w:val="20"/>
          <w:szCs w:val="20"/>
          <w:color w:val="auto"/>
        </w:rPr>
      </w:pPr>
      <w:r>
        <w:rPr>
          <w:rFonts w:ascii="Arial" w:cs="Arial" w:eastAsia="Arial" w:hAnsi="Arial"/>
          <w:sz w:val="18"/>
          <w:szCs w:val="18"/>
          <w:color w:val="auto"/>
        </w:rPr>
        <w:t>Our executive compensation program is generally designed to attract, retain, motivate and reward highly qualified and talented executive officers, including our named executive officers, that will enable us to execute our strategic priorities, perform better than our competitors and drive long-term shareholder value. The underlying core principles of our executive compensation program include (i) aligning the interests of our executives with those of our shareholders and linking pay to performance by providing compensation opportunities that are tied directly to the achievement of financial performance goals and long-term stock price performance, and (ii) providing competitive compensation opportunities targeted at the market 50th percentile for both individual elements of compensation and total direct compensation at target levels of financial performance, which we believe allows us to attract and retain the necessary executive talent while motivating and rewarding the accomplishment of annual and long-term financial performance goals and maintaining an appropriate cost structure. The “Compensation Discussion and Analysis,” describes our executive compensation program and the executive compensation decisions made by the Compensation &amp; Human Resources Committee in fiscal 2021 in more detail.</w:t>
      </w:r>
    </w:p>
    <w:p>
      <w:pPr>
        <w:spacing w:after="0" w:line="126"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Best Practices</w:t>
      </w:r>
    </w:p>
    <w:p>
      <w:pPr>
        <w:spacing w:after="0" w:line="74" w:lineRule="exact"/>
        <w:rPr>
          <w:sz w:val="20"/>
          <w:szCs w:val="20"/>
          <w:color w:val="auto"/>
        </w:rPr>
      </w:pPr>
    </w:p>
    <w:p>
      <w:pPr>
        <w:ind w:left="800" w:hanging="395"/>
        <w:spacing w:after="0"/>
        <w:tabs>
          <w:tab w:leader="none" w:pos="800" w:val="left"/>
        </w:tabs>
        <w:numPr>
          <w:ilvl w:val="0"/>
          <w:numId w:val="32"/>
        </w:numPr>
        <w:rPr>
          <w:rFonts w:ascii="Arial" w:cs="Arial" w:eastAsia="Arial" w:hAnsi="Arial"/>
          <w:sz w:val="16"/>
          <w:szCs w:val="16"/>
          <w:color w:val="auto"/>
        </w:rPr>
      </w:pPr>
      <w:r>
        <w:rPr>
          <w:rFonts w:ascii="Arial" w:cs="Arial" w:eastAsia="Arial" w:hAnsi="Arial"/>
          <w:sz w:val="18"/>
          <w:szCs w:val="18"/>
          <w:color w:val="auto"/>
        </w:rPr>
        <w:t>A substantial portion of total executive compensation is linked directly to performance.</w:t>
      </w:r>
    </w:p>
    <w:p>
      <w:pPr>
        <w:spacing w:after="0" w:line="45" w:lineRule="exact"/>
        <w:rPr>
          <w:rFonts w:ascii="Arial" w:cs="Arial" w:eastAsia="Arial" w:hAnsi="Arial"/>
          <w:sz w:val="16"/>
          <w:szCs w:val="16"/>
          <w:color w:val="auto"/>
        </w:rPr>
      </w:pPr>
    </w:p>
    <w:p>
      <w:pPr>
        <w:ind w:left="800" w:hanging="395"/>
        <w:spacing w:after="0"/>
        <w:tabs>
          <w:tab w:leader="none" w:pos="800" w:val="left"/>
        </w:tabs>
        <w:numPr>
          <w:ilvl w:val="0"/>
          <w:numId w:val="32"/>
        </w:numPr>
        <w:rPr>
          <w:rFonts w:ascii="Arial" w:cs="Arial" w:eastAsia="Arial" w:hAnsi="Arial"/>
          <w:sz w:val="16"/>
          <w:szCs w:val="16"/>
          <w:color w:val="auto"/>
        </w:rPr>
      </w:pPr>
      <w:r>
        <w:rPr>
          <w:rFonts w:ascii="Arial" w:cs="Arial" w:eastAsia="Arial" w:hAnsi="Arial"/>
          <w:sz w:val="18"/>
          <w:szCs w:val="18"/>
          <w:color w:val="auto"/>
        </w:rPr>
        <w:t>All incentive compensation awards are subject to a Clawback policy.</w:t>
      </w:r>
    </w:p>
    <w:p>
      <w:pPr>
        <w:spacing w:after="0" w:line="45" w:lineRule="exact"/>
        <w:rPr>
          <w:rFonts w:ascii="Arial" w:cs="Arial" w:eastAsia="Arial" w:hAnsi="Arial"/>
          <w:sz w:val="16"/>
          <w:szCs w:val="16"/>
          <w:color w:val="auto"/>
        </w:rPr>
      </w:pPr>
    </w:p>
    <w:p>
      <w:pPr>
        <w:ind w:left="800" w:right="60" w:hanging="395"/>
        <w:spacing w:after="0" w:line="238" w:lineRule="auto"/>
        <w:tabs>
          <w:tab w:leader="none" w:pos="800" w:val="left"/>
        </w:tabs>
        <w:numPr>
          <w:ilvl w:val="0"/>
          <w:numId w:val="32"/>
        </w:numPr>
        <w:rPr>
          <w:rFonts w:ascii="Arial" w:cs="Arial" w:eastAsia="Arial" w:hAnsi="Arial"/>
          <w:sz w:val="16"/>
          <w:szCs w:val="16"/>
          <w:color w:val="auto"/>
        </w:rPr>
      </w:pPr>
      <w:r>
        <w:rPr>
          <w:rFonts w:ascii="Arial" w:cs="Arial" w:eastAsia="Arial" w:hAnsi="Arial"/>
          <w:sz w:val="18"/>
          <w:szCs w:val="18"/>
          <w:color w:val="auto"/>
        </w:rPr>
        <w:t>Our CEO and other executive officers do not have employment or severance agreements or arrangements, except as provided for in our change in control severance compensation policy, or CIC policy.</w:t>
      </w:r>
    </w:p>
    <w:p>
      <w:pPr>
        <w:spacing w:after="0" w:line="41" w:lineRule="exact"/>
        <w:rPr>
          <w:rFonts w:ascii="Arial" w:cs="Arial" w:eastAsia="Arial" w:hAnsi="Arial"/>
          <w:sz w:val="16"/>
          <w:szCs w:val="16"/>
          <w:color w:val="auto"/>
        </w:rPr>
      </w:pPr>
    </w:p>
    <w:p>
      <w:pPr>
        <w:ind w:left="800" w:right="580" w:hanging="395"/>
        <w:spacing w:after="0" w:line="238" w:lineRule="auto"/>
        <w:tabs>
          <w:tab w:leader="none" w:pos="800" w:val="left"/>
        </w:tabs>
        <w:numPr>
          <w:ilvl w:val="0"/>
          <w:numId w:val="32"/>
        </w:numPr>
        <w:rPr>
          <w:rFonts w:ascii="Arial" w:cs="Arial" w:eastAsia="Arial" w:hAnsi="Arial"/>
          <w:sz w:val="16"/>
          <w:szCs w:val="16"/>
          <w:color w:val="auto"/>
        </w:rPr>
      </w:pPr>
      <w:r>
        <w:rPr>
          <w:rFonts w:ascii="Arial" w:cs="Arial" w:eastAsia="Arial" w:hAnsi="Arial"/>
          <w:sz w:val="18"/>
          <w:szCs w:val="18"/>
          <w:color w:val="auto"/>
        </w:rPr>
        <w:t>We do not provide tax “gross-up” payments under our CIC policy or in connection with any annual or long-term compensation, benefits or perquisites provided to our executive officers.</w:t>
      </w:r>
    </w:p>
    <w:p>
      <w:pPr>
        <w:spacing w:after="0" w:line="41" w:lineRule="exact"/>
        <w:rPr>
          <w:rFonts w:ascii="Arial" w:cs="Arial" w:eastAsia="Arial" w:hAnsi="Arial"/>
          <w:sz w:val="16"/>
          <w:szCs w:val="16"/>
          <w:color w:val="auto"/>
        </w:rPr>
      </w:pPr>
    </w:p>
    <w:p>
      <w:pPr>
        <w:ind w:left="800" w:hanging="395"/>
        <w:spacing w:after="0"/>
        <w:tabs>
          <w:tab w:leader="none" w:pos="800" w:val="left"/>
        </w:tabs>
        <w:numPr>
          <w:ilvl w:val="0"/>
          <w:numId w:val="32"/>
        </w:numPr>
        <w:rPr>
          <w:rFonts w:ascii="Arial" w:cs="Arial" w:eastAsia="Arial" w:hAnsi="Arial"/>
          <w:sz w:val="16"/>
          <w:szCs w:val="16"/>
          <w:color w:val="auto"/>
        </w:rPr>
      </w:pPr>
      <w:r>
        <w:rPr>
          <w:rFonts w:ascii="Arial" w:cs="Arial" w:eastAsia="Arial" w:hAnsi="Arial"/>
          <w:sz w:val="18"/>
          <w:szCs w:val="18"/>
          <w:color w:val="auto"/>
        </w:rPr>
        <w:t>Our executive officers receive only modest perquisites.</w:t>
      </w:r>
    </w:p>
    <w:p>
      <w:pPr>
        <w:spacing w:after="0" w:line="45" w:lineRule="exact"/>
        <w:rPr>
          <w:rFonts w:ascii="Arial" w:cs="Arial" w:eastAsia="Arial" w:hAnsi="Arial"/>
          <w:sz w:val="16"/>
          <w:szCs w:val="16"/>
          <w:color w:val="auto"/>
        </w:rPr>
      </w:pPr>
    </w:p>
    <w:p>
      <w:pPr>
        <w:ind w:left="800" w:hanging="395"/>
        <w:spacing w:after="0"/>
        <w:tabs>
          <w:tab w:leader="none" w:pos="800" w:val="left"/>
        </w:tabs>
        <w:numPr>
          <w:ilvl w:val="0"/>
          <w:numId w:val="32"/>
        </w:numPr>
        <w:rPr>
          <w:rFonts w:ascii="Arial" w:cs="Arial" w:eastAsia="Arial" w:hAnsi="Arial"/>
          <w:sz w:val="16"/>
          <w:szCs w:val="16"/>
          <w:color w:val="auto"/>
        </w:rPr>
      </w:pPr>
      <w:r>
        <w:rPr>
          <w:rFonts w:ascii="Arial" w:cs="Arial" w:eastAsia="Arial" w:hAnsi="Arial"/>
          <w:sz w:val="18"/>
          <w:szCs w:val="18"/>
          <w:color w:val="auto"/>
        </w:rPr>
        <w:t>We maintain stock ownership guidelines for each of our executive officers.</w:t>
      </w:r>
    </w:p>
    <w:p>
      <w:pPr>
        <w:spacing w:after="0" w:line="45" w:lineRule="exact"/>
        <w:rPr>
          <w:rFonts w:ascii="Arial" w:cs="Arial" w:eastAsia="Arial" w:hAnsi="Arial"/>
          <w:sz w:val="16"/>
          <w:szCs w:val="16"/>
          <w:color w:val="auto"/>
        </w:rPr>
      </w:pPr>
    </w:p>
    <w:p>
      <w:pPr>
        <w:ind w:left="800" w:right="80" w:hanging="395"/>
        <w:spacing w:after="0" w:line="238" w:lineRule="auto"/>
        <w:tabs>
          <w:tab w:leader="none" w:pos="800" w:val="left"/>
        </w:tabs>
        <w:numPr>
          <w:ilvl w:val="0"/>
          <w:numId w:val="32"/>
        </w:numPr>
        <w:rPr>
          <w:rFonts w:ascii="Arial" w:cs="Arial" w:eastAsia="Arial" w:hAnsi="Arial"/>
          <w:sz w:val="16"/>
          <w:szCs w:val="16"/>
          <w:color w:val="auto"/>
        </w:rPr>
      </w:pPr>
      <w:r>
        <w:rPr>
          <w:rFonts w:ascii="Arial" w:cs="Arial" w:eastAsia="Arial" w:hAnsi="Arial"/>
          <w:sz w:val="18"/>
          <w:szCs w:val="18"/>
          <w:color w:val="auto"/>
        </w:rPr>
        <w:t>Our insider trading policy prohibits executive officers and directors from purchasing TTC securities on margin, borrowing against any account in which TTC securities are held, hedging, or pledging TTC securities as collateral for a loan.</w:t>
      </w:r>
    </w:p>
    <w:p>
      <w:pPr>
        <w:spacing w:after="0" w:line="41" w:lineRule="exact"/>
        <w:rPr>
          <w:rFonts w:ascii="Arial" w:cs="Arial" w:eastAsia="Arial" w:hAnsi="Arial"/>
          <w:sz w:val="16"/>
          <w:szCs w:val="16"/>
          <w:color w:val="auto"/>
        </w:rPr>
      </w:pPr>
    </w:p>
    <w:p>
      <w:pPr>
        <w:ind w:left="800" w:hanging="395"/>
        <w:spacing w:after="0"/>
        <w:tabs>
          <w:tab w:leader="none" w:pos="800" w:val="left"/>
        </w:tabs>
        <w:numPr>
          <w:ilvl w:val="0"/>
          <w:numId w:val="32"/>
        </w:numPr>
        <w:rPr>
          <w:rFonts w:ascii="Arial" w:cs="Arial" w:eastAsia="Arial" w:hAnsi="Arial"/>
          <w:sz w:val="16"/>
          <w:szCs w:val="16"/>
          <w:color w:val="auto"/>
        </w:rPr>
      </w:pPr>
      <w:r>
        <w:rPr>
          <w:rFonts w:ascii="Arial" w:cs="Arial" w:eastAsia="Arial" w:hAnsi="Arial"/>
          <w:sz w:val="18"/>
          <w:szCs w:val="18"/>
          <w:color w:val="auto"/>
        </w:rPr>
        <w:t>We have an independent Compensation &amp; Human Resources Committee.</w:t>
      </w:r>
    </w:p>
    <w:p>
      <w:pPr>
        <w:spacing w:after="0" w:line="45" w:lineRule="exact"/>
        <w:rPr>
          <w:rFonts w:ascii="Arial" w:cs="Arial" w:eastAsia="Arial" w:hAnsi="Arial"/>
          <w:sz w:val="16"/>
          <w:szCs w:val="16"/>
          <w:color w:val="auto"/>
        </w:rPr>
      </w:pPr>
    </w:p>
    <w:p>
      <w:pPr>
        <w:ind w:left="800" w:hanging="395"/>
        <w:spacing w:after="0"/>
        <w:tabs>
          <w:tab w:leader="none" w:pos="800" w:val="left"/>
        </w:tabs>
        <w:numPr>
          <w:ilvl w:val="0"/>
          <w:numId w:val="32"/>
        </w:numPr>
        <w:rPr>
          <w:rFonts w:ascii="Arial" w:cs="Arial" w:eastAsia="Arial" w:hAnsi="Arial"/>
          <w:sz w:val="16"/>
          <w:szCs w:val="16"/>
          <w:color w:val="auto"/>
        </w:rPr>
      </w:pPr>
      <w:r>
        <w:rPr>
          <w:rFonts w:ascii="Arial" w:cs="Arial" w:eastAsia="Arial" w:hAnsi="Arial"/>
          <w:sz w:val="18"/>
          <w:szCs w:val="18"/>
          <w:color w:val="auto"/>
        </w:rPr>
        <w:t>We utilize an independent external compensation consultant.</w:t>
      </w:r>
    </w:p>
    <w:p>
      <w:pPr>
        <w:spacing w:after="0" w:line="99" w:lineRule="exact"/>
        <w:rPr>
          <w:sz w:val="20"/>
          <w:szCs w:val="20"/>
          <w:color w:val="auto"/>
        </w:rPr>
      </w:pPr>
    </w:p>
    <w:p>
      <w:pPr>
        <w:ind w:right="100" w:firstLine="401"/>
        <w:spacing w:after="0" w:line="236" w:lineRule="auto"/>
        <w:rPr>
          <w:sz w:val="20"/>
          <w:szCs w:val="20"/>
          <w:color w:val="auto"/>
        </w:rPr>
      </w:pPr>
      <w:r>
        <w:rPr>
          <w:rFonts w:ascii="Arial" w:cs="Arial" w:eastAsia="Arial" w:hAnsi="Arial"/>
          <w:sz w:val="18"/>
          <w:szCs w:val="18"/>
          <w:color w:val="auto"/>
        </w:rPr>
        <w:t>We believe that our executive compensation objectives and core principles have resulted in an executive compensation program and related decisions that have appropriately incentivized the achievement of financial goals and produced financial results that have benefited our Company and our shareholders and are expected to drive long-term shareholder value.</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Proposed Resolution</w:t>
      </w:r>
    </w:p>
    <w:p>
      <w:pPr>
        <w:spacing w:after="0" w:line="12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Accordingly, the Board recommends that our shareholders vote in favor of the say-on-pay vote as set forth in the following resolution:</w:t>
      </w:r>
    </w:p>
    <w:p>
      <w:pPr>
        <w:spacing w:after="0" w:line="99" w:lineRule="exact"/>
        <w:rPr>
          <w:sz w:val="20"/>
          <w:szCs w:val="20"/>
          <w:color w:val="auto"/>
        </w:rPr>
      </w:pPr>
    </w:p>
    <w:p>
      <w:pPr>
        <w:ind w:left="400" w:right="940"/>
        <w:spacing w:after="0" w:line="235" w:lineRule="auto"/>
        <w:rPr>
          <w:sz w:val="20"/>
          <w:szCs w:val="20"/>
          <w:color w:val="auto"/>
        </w:rPr>
      </w:pPr>
      <w:r>
        <w:rPr>
          <w:rFonts w:ascii="Arial" w:cs="Arial" w:eastAsia="Arial" w:hAnsi="Arial"/>
          <w:sz w:val="18"/>
          <w:szCs w:val="18"/>
          <w:color w:val="auto"/>
        </w:rPr>
        <w:t>RESOLVED, that our shareholders approve, on an advisory basis, the compensation paid to our named executive officers, as disclosed pursuant to the compensation disclosure rules of the SEC, including in the “Compensation Discussion and Analysis,” the accompanying compensation tables and the corresponding narrative discussion and footnotes, and any related material disclosed in this proxy statement.</w:t>
      </w:r>
    </w:p>
    <w:p>
      <w:pPr>
        <w:spacing w:after="0" w:line="93" w:lineRule="exact"/>
        <w:rPr>
          <w:sz w:val="20"/>
          <w:szCs w:val="20"/>
          <w:color w:val="auto"/>
        </w:rPr>
      </w:pPr>
    </w:p>
    <w:p>
      <w:pPr>
        <w:ind w:right="80" w:firstLine="401"/>
        <w:spacing w:after="0" w:line="235" w:lineRule="auto"/>
        <w:rPr>
          <w:sz w:val="20"/>
          <w:szCs w:val="20"/>
          <w:color w:val="auto"/>
        </w:rPr>
      </w:pPr>
      <w:r>
        <w:rPr>
          <w:rFonts w:ascii="Arial" w:cs="Arial" w:eastAsia="Arial" w:hAnsi="Arial"/>
          <w:sz w:val="18"/>
          <w:szCs w:val="18"/>
          <w:color w:val="auto"/>
        </w:rPr>
        <w:t>Shareholders are not voting to approve or disapprove the Board’s recommendation. As this is an advisory vote, the outcome of the vote is not binding on us with respect to future executive compensation decisions, including those relating to our named executive officers, or otherwise. Our Compensation &amp; Human Resources Committee and Board expect to take into account the outcome of the vote when considering future executive compensation decisions.</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Next Say-on-Pay Vote</w:t>
      </w:r>
    </w:p>
    <w:p>
      <w:pPr>
        <w:spacing w:after="0" w:line="127" w:lineRule="exact"/>
        <w:rPr>
          <w:sz w:val="20"/>
          <w:szCs w:val="20"/>
          <w:color w:val="auto"/>
        </w:rPr>
      </w:pPr>
    </w:p>
    <w:p>
      <w:pPr>
        <w:ind w:right="80" w:firstLine="401"/>
        <w:spacing w:after="0" w:line="236" w:lineRule="auto"/>
        <w:rPr>
          <w:sz w:val="20"/>
          <w:szCs w:val="20"/>
          <w:color w:val="auto"/>
        </w:rPr>
      </w:pPr>
      <w:r>
        <w:rPr>
          <w:rFonts w:ascii="Arial" w:cs="Arial" w:eastAsia="Arial" w:hAnsi="Arial"/>
          <w:sz w:val="18"/>
          <w:szCs w:val="18"/>
          <w:color w:val="auto"/>
        </w:rPr>
        <w:t>Consistent with the results of the advisory vote on the frequency of the say-on-pay vote held at the 2017 Annual Meeting of Shareholders, the Board of Directors has determined that we will conduct a say-on-pay vote on an annual basis. Accordingly, the next say-on-pay vote will occur at our 2023 Annual Meeting of Shareholders.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9520" w:type="dxa"/>
            <w:vAlign w:val="bottom"/>
            <w:shd w:val="clear" w:color="auto" w:fill="C00000"/>
          </w:tcPr>
          <w:p>
            <w:pPr>
              <w:jc w:val="center"/>
              <w:ind w:left="440"/>
              <w:spacing w:after="0"/>
              <w:rPr>
                <w:sz w:val="20"/>
                <w:szCs w:val="20"/>
                <w:color w:val="auto"/>
              </w:rPr>
            </w:pPr>
            <w:r>
              <w:rPr>
                <w:rFonts w:ascii="Arial" w:cs="Arial" w:eastAsia="Arial" w:hAnsi="Arial"/>
                <w:sz w:val="21"/>
                <w:szCs w:val="21"/>
                <w:b w:val="1"/>
                <w:bCs w:val="1"/>
                <w:color w:val="FFFFFF"/>
              </w:rPr>
              <w:t>The Board of Directors Recommends a Vote FOR Approval, on an</w:t>
            </w:r>
          </w:p>
        </w:tc>
        <w:tc>
          <w:tcPr>
            <w:tcW w:w="1720" w:type="dxa"/>
            <w:vAlign w:val="bottom"/>
            <w:vMerge w:val="restart"/>
            <w:shd w:val="clear" w:color="auto" w:fill="C00000"/>
          </w:tcPr>
          <w:p>
            <w:pPr>
              <w:ind w:left="960"/>
              <w:spacing w:after="0" w:line="501" w:lineRule="exact"/>
              <w:rPr>
                <w:sz w:val="20"/>
                <w:szCs w:val="20"/>
                <w:color w:val="auto"/>
              </w:rPr>
            </w:pPr>
            <w:r>
              <w:rPr>
                <w:rFonts w:ascii="MS PGothic" w:cs="MS PGothic" w:eastAsia="MS PGothic" w:hAnsi="MS PGothic"/>
                <w:sz w:val="50"/>
                <w:szCs w:val="50"/>
                <w:color w:val="auto"/>
                <w:highlight w:val="white"/>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5"/>
        </w:trPr>
        <w:tc>
          <w:tcPr>
            <w:tcW w:w="9520" w:type="dxa"/>
            <w:vAlign w:val="bottom"/>
            <w:shd w:val="clear" w:color="auto" w:fill="C00000"/>
          </w:tcPr>
          <w:p>
            <w:pPr>
              <w:jc w:val="center"/>
              <w:ind w:left="500"/>
              <w:spacing w:after="0"/>
              <w:rPr>
                <w:sz w:val="20"/>
                <w:szCs w:val="20"/>
                <w:color w:val="auto"/>
              </w:rPr>
            </w:pPr>
            <w:r>
              <w:rPr>
                <w:rFonts w:ascii="Arial" w:cs="Arial" w:eastAsia="Arial" w:hAnsi="Arial"/>
                <w:sz w:val="21"/>
                <w:szCs w:val="21"/>
                <w:b w:val="1"/>
                <w:bCs w:val="1"/>
                <w:color w:val="FFFFFF"/>
              </w:rPr>
              <w:t>Advisory Basis, of our Executive Compensation, or Say-On-Pay Vote.</w:t>
            </w:r>
          </w:p>
        </w:tc>
        <w:tc>
          <w:tcPr>
            <w:tcW w:w="1720" w:type="dxa"/>
            <w:vAlign w:val="bottom"/>
            <w:vMerge w:val="continue"/>
            <w:shd w:val="clear" w:color="auto" w:fill="C00000"/>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7"/>
        </w:trPr>
        <w:tc>
          <w:tcPr>
            <w:tcW w:w="9520" w:type="dxa"/>
            <w:vAlign w:val="bottom"/>
          </w:tcPr>
          <w:p>
            <w:pPr>
              <w:jc w:val="right"/>
              <w:ind w:right="3700"/>
              <w:spacing w:after="0"/>
              <w:rPr>
                <w:sz w:val="20"/>
                <w:szCs w:val="20"/>
                <w:color w:val="auto"/>
              </w:rPr>
            </w:pPr>
            <w:r>
              <w:rPr>
                <w:rFonts w:ascii="Arial" w:cs="Arial" w:eastAsia="Arial" w:hAnsi="Arial"/>
                <w:sz w:val="18"/>
                <w:szCs w:val="18"/>
                <w:color w:val="auto"/>
              </w:rPr>
              <w:t>28</w:t>
            </w: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952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167880" cy="3460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7880" cy="346075"/>
                    </a:xfrm>
                    <a:prstGeom prst="rect">
                      <a:avLst/>
                    </a:prstGeom>
                    <a:noFill/>
                  </pic:spPr>
                </pic:pic>
              </a:graphicData>
            </a:graphic>
          </wp:anchor>
        </w:drawing>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FFFFFF"/>
        </w:rPr>
        <w:t>PROPOSAL FOUR—APPROVAL OF</w:t>
      </w:r>
    </w:p>
    <w:p>
      <w:pPr>
        <w:spacing w:after="0" w:line="24" w:lineRule="exact"/>
        <w:rPr>
          <w:sz w:val="20"/>
          <w:szCs w:val="20"/>
          <w:color w:val="auto"/>
        </w:rPr>
      </w:pPr>
    </w:p>
    <w:p>
      <w:pPr>
        <w:jc w:val="center"/>
        <w:ind w:right="-79"/>
        <w:spacing w:after="0"/>
        <w:rPr>
          <w:sz w:val="20"/>
          <w:szCs w:val="20"/>
          <w:color w:val="auto"/>
        </w:rPr>
      </w:pPr>
      <w:r>
        <w:rPr>
          <w:rFonts w:ascii="Arial" w:cs="Arial" w:eastAsia="Arial" w:hAnsi="Arial"/>
          <w:sz w:val="21"/>
          <w:szCs w:val="21"/>
          <w:b w:val="1"/>
          <w:bCs w:val="1"/>
          <w:color w:val="FFFFFF"/>
        </w:rPr>
        <w:t>THE TORO COMPANY 2022 EQUITY AND INCENTIVE PLAN</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Proposed 2022 Equity and Incentive Plan</w:t>
      </w:r>
    </w:p>
    <w:p>
      <w:pPr>
        <w:spacing w:after="0" w:line="127" w:lineRule="exact"/>
        <w:rPr>
          <w:sz w:val="20"/>
          <w:szCs w:val="20"/>
          <w:color w:val="auto"/>
        </w:rPr>
      </w:pPr>
    </w:p>
    <w:p>
      <w:pPr>
        <w:ind w:right="100" w:firstLine="401"/>
        <w:spacing w:after="0" w:line="232" w:lineRule="auto"/>
        <w:rPr>
          <w:sz w:val="20"/>
          <w:szCs w:val="20"/>
          <w:color w:val="auto"/>
        </w:rPr>
      </w:pPr>
      <w:r>
        <w:rPr>
          <w:rFonts w:ascii="Arial" w:cs="Arial" w:eastAsia="Arial" w:hAnsi="Arial"/>
          <w:sz w:val="18"/>
          <w:szCs w:val="18"/>
          <w:color w:val="auto"/>
        </w:rPr>
        <w:t>The Board has approved, upon recommendation of the Compensation &amp; Human Resources Committee, The Toro Company 2022 Equity and Incentive Plan, or 2022 Plan, subject to approval by our shareholders at the annual meeting. The 2022 Plan provides for the grant of nonqualified and incentive stock options, stock appreciation rights or SARs, restricted stock, restricted stock units or RSUs, performance shares, performance units, annual performance awards, non-employee director awards and other cash-based and stock-based awards. The Board and the Compensation &amp; Human Resources Committee believe the 2022 Plan provides a means (a) whereby our employees, directors and third-party service providers develop a sense of ownership and personal involvement in the development and financial success of our Company, encouraging them to devote their best efforts to the business of our Company, and thereby advancing the interests of our Company and our shareholders; and (b) to attract talented and qualified individuals to become employees or serve as directors or third-party service providers and provide a means for such individuals to acquire and maintain stock ownership which facilitates alignment of interests with our Company’s shareholders.</w:t>
      </w:r>
    </w:p>
    <w:p>
      <w:pPr>
        <w:spacing w:after="0" w:line="100" w:lineRule="exact"/>
        <w:rPr>
          <w:sz w:val="20"/>
          <w:szCs w:val="20"/>
          <w:color w:val="auto"/>
        </w:rPr>
      </w:pPr>
    </w:p>
    <w:p>
      <w:pPr>
        <w:ind w:right="320" w:firstLine="401"/>
        <w:spacing w:after="0" w:line="244" w:lineRule="auto"/>
        <w:rPr>
          <w:sz w:val="20"/>
          <w:szCs w:val="20"/>
          <w:color w:val="auto"/>
        </w:rPr>
      </w:pPr>
      <w:r>
        <w:rPr>
          <w:rFonts w:ascii="Arial" w:cs="Arial" w:eastAsia="Arial" w:hAnsi="Arial"/>
          <w:sz w:val="17"/>
          <w:szCs w:val="17"/>
          <w:color w:val="auto"/>
        </w:rPr>
        <w:t>If the 2022 Plan is approved by our shareholders, it will replace The Toro Company Amended and Restated 2010 Equity and Incentive Plan, as amended, which plan we refer to as the 2010 Plan, and no new awards will be granted thereunder. Awards outstanding under the</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2010 Plan as of the effective date of the 2022 Plan will continue to be governed by the terms of the 2010 Plan, until exercised, expired, paid or otherwise terminated or canceled. Subject to adjustment, the maximum number of shares of our common stock to be authorized for issuance under the 2022 Plan will be equal to the sum of: (a) 1,250,000 shares, plus (b) the number of shares remaining available for grant under the 2010 Plan but not subject to outstanding awards thereunder as of the effective date of the 2022 Plan, and plus (c) the number of shares subject to awards outstanding under the 2010 Plan as of the effective date of the 2022 Plan but only to the extent that such outstanding awards are forfeited, expire or otherwise terminate without the issuance of such shares after the effective date of the 2022 Plan. See “Background for Shares Authorized for Issuance Under the 2022 Plan” for calculations of the number of shares remaining available for grant under the 2010 Plan and the number of shares subject to awards outstanding under the 2010 Plan as of January 18, 2022. No more than 2,500,000 shares authorized for issuance under the 2022 Plan may be granted as “full value” awards and no more than 1,250,000 shares may be granted as incentive stock options.</w:t>
      </w:r>
    </w:p>
    <w:p>
      <w:pPr>
        <w:spacing w:after="0" w:line="100" w:lineRule="exact"/>
        <w:rPr>
          <w:sz w:val="20"/>
          <w:szCs w:val="20"/>
          <w:color w:val="auto"/>
        </w:rPr>
      </w:pPr>
    </w:p>
    <w:p>
      <w:pPr>
        <w:ind w:right="240" w:firstLine="401"/>
        <w:spacing w:after="0" w:line="235" w:lineRule="auto"/>
        <w:rPr>
          <w:sz w:val="20"/>
          <w:szCs w:val="20"/>
          <w:color w:val="auto"/>
        </w:rPr>
      </w:pPr>
      <w:r>
        <w:rPr>
          <w:rFonts w:ascii="Arial" w:cs="Arial" w:eastAsia="Arial" w:hAnsi="Arial"/>
          <w:sz w:val="18"/>
          <w:szCs w:val="18"/>
          <w:color w:val="auto"/>
        </w:rPr>
        <w:t>Our shareholders are being asked to approve the 2022 Plan in connection with the rules and regulations of the NYSE relating to equity compensation and to qualify stock options for treatment as incentive stock options for purposes of Code Section 422 in the event the Compensation &amp; Human Resources Committee decides to grant incentive stock options in the future. If our shareholders do not approve the 2022 Plan, the 2010 Plan will remain in effect until it terminates in accordance with its terms.</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Reasons Why You Should Vote to Approve the 2022 Plan</w:t>
      </w:r>
    </w:p>
    <w:p>
      <w:pPr>
        <w:spacing w:after="0" w:line="127" w:lineRule="exact"/>
        <w:rPr>
          <w:sz w:val="20"/>
          <w:szCs w:val="20"/>
          <w:color w:val="auto"/>
        </w:rPr>
      </w:pPr>
    </w:p>
    <w:p>
      <w:pPr>
        <w:ind w:right="40" w:firstLine="401"/>
        <w:spacing w:after="0" w:line="238" w:lineRule="auto"/>
        <w:rPr>
          <w:sz w:val="20"/>
          <w:szCs w:val="20"/>
          <w:color w:val="auto"/>
        </w:rPr>
      </w:pPr>
      <w:r>
        <w:rPr>
          <w:rFonts w:ascii="Arial" w:cs="Arial" w:eastAsia="Arial" w:hAnsi="Arial"/>
          <w:sz w:val="18"/>
          <w:szCs w:val="18"/>
          <w:color w:val="auto"/>
        </w:rPr>
        <w:t>The Board recommends a vote in favor of the approval of the 2022 Plan because the Board believes the 2022 Plan is in the best interests of our Company and our shareholders for the following reasons:</w:t>
      </w:r>
    </w:p>
    <w:p>
      <w:pPr>
        <w:spacing w:after="0" w:line="73" w:lineRule="exact"/>
        <w:rPr>
          <w:sz w:val="20"/>
          <w:szCs w:val="20"/>
          <w:color w:val="auto"/>
        </w:rPr>
      </w:pPr>
    </w:p>
    <w:p>
      <w:pPr>
        <w:ind w:left="800" w:right="20" w:hanging="395"/>
        <w:spacing w:after="0" w:line="234" w:lineRule="auto"/>
        <w:tabs>
          <w:tab w:leader="none" w:pos="800" w:val="left"/>
        </w:tabs>
        <w:numPr>
          <w:ilvl w:val="0"/>
          <w:numId w:val="33"/>
        </w:numPr>
        <w:rPr>
          <w:rFonts w:ascii="Arial" w:cs="Arial" w:eastAsia="Arial" w:hAnsi="Arial"/>
          <w:sz w:val="16"/>
          <w:szCs w:val="16"/>
          <w:color w:val="auto"/>
        </w:rPr>
      </w:pPr>
      <w:r>
        <w:rPr>
          <w:rFonts w:ascii="Arial" w:cs="Arial" w:eastAsia="Arial" w:hAnsi="Arial"/>
          <w:sz w:val="18"/>
          <w:szCs w:val="18"/>
          <w:b w:val="1"/>
          <w:bCs w:val="1"/>
          <w:i w:val="1"/>
          <w:iCs w:val="1"/>
          <w:color w:val="auto"/>
        </w:rPr>
        <w:t>Aligns non-employee director, employee and shareholder interests</w:t>
      </w:r>
      <w:r>
        <w:rPr>
          <w:rFonts w:ascii="Arial" w:cs="Arial" w:eastAsia="Arial" w:hAnsi="Arial"/>
          <w:sz w:val="18"/>
          <w:szCs w:val="18"/>
          <w:color w:val="auto"/>
        </w:rPr>
        <w:t>. We currently provide long-term incentives primarily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form of stock option grants and performance share awards to our executive officers, stock options and RSUs to certain other key employees, and stock awards and stock option grants to our non-employee directors. We believe that our stock-based compensation programs, along with our stock ownership guidelines for our non-employee directors and executives, and our annual cash incentives for employees, help align the interests of our non-employee directors and employees with the interests of our shareholders. We believe that our long-term stock-based incentives help promote long-term retention of our employees and encourage significant ownership of our common stock. We believe our annual cash incentives motivate and reward our employees for achievement of annual business results that drive overall Company and division performance by linking a portion of an employee’s compensation to the achievement of performance goals by the Company, and in certain cases, a division or the employee. If the 2022 Plan is approved, we will be able to maintain our means of aligning the interests of our non-employee directors and employees with the interests of our shareholders.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76" w:lineRule="exact"/>
        <w:rPr>
          <w:sz w:val="20"/>
          <w:szCs w:val="20"/>
          <w:color w:val="auto"/>
        </w:rPr>
      </w:pPr>
    </w:p>
    <w:p>
      <w:pPr>
        <w:ind w:left="800" w:hanging="395"/>
        <w:spacing w:after="0" w:line="239" w:lineRule="auto"/>
        <w:tabs>
          <w:tab w:leader="none" w:pos="800" w:val="left"/>
        </w:tabs>
        <w:numPr>
          <w:ilvl w:val="0"/>
          <w:numId w:val="34"/>
        </w:numPr>
        <w:rPr>
          <w:rFonts w:ascii="Arial" w:cs="Arial" w:eastAsia="Arial" w:hAnsi="Arial"/>
          <w:sz w:val="16"/>
          <w:szCs w:val="16"/>
          <w:color w:val="auto"/>
        </w:rPr>
      </w:pPr>
      <w:r>
        <w:rPr>
          <w:rFonts w:ascii="Arial" w:cs="Arial" w:eastAsia="Arial" w:hAnsi="Arial"/>
          <w:sz w:val="18"/>
          <w:szCs w:val="18"/>
          <w:b w:val="1"/>
          <w:bCs w:val="1"/>
          <w:i w:val="1"/>
          <w:iCs w:val="1"/>
          <w:color w:val="auto"/>
        </w:rPr>
        <w:t>Attracts and retains talent</w:t>
      </w:r>
      <w:r>
        <w:rPr>
          <w:rFonts w:ascii="Arial" w:cs="Arial" w:eastAsia="Arial" w:hAnsi="Arial"/>
          <w:sz w:val="18"/>
          <w:szCs w:val="18"/>
          <w:color w:val="auto"/>
        </w:rPr>
        <w:t>. Talented, motivated and effective executives and employees are essential to executing our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strategies. Stock-based and annual cash incentive compensation have been important components of total compensation at the Company for many years because such types of compensation enable us to effectively recruit executives and other employees while encouraging them to act and think like owners of the Company. If the 2022 Plan is approved, we believe we will maintain our ability to offer competitive compensation packages to both retain our best performers and attract new talent.</w:t>
      </w:r>
    </w:p>
    <w:p>
      <w:pPr>
        <w:spacing w:after="0" w:line="72" w:lineRule="exact"/>
        <w:rPr>
          <w:rFonts w:ascii="Arial" w:cs="Arial" w:eastAsia="Arial" w:hAnsi="Arial"/>
          <w:sz w:val="16"/>
          <w:szCs w:val="16"/>
          <w:color w:val="auto"/>
        </w:rPr>
      </w:pPr>
    </w:p>
    <w:p>
      <w:pPr>
        <w:ind w:left="800" w:right="240" w:hanging="395"/>
        <w:spacing w:after="0" w:line="239" w:lineRule="auto"/>
        <w:tabs>
          <w:tab w:leader="none" w:pos="800" w:val="left"/>
        </w:tabs>
        <w:numPr>
          <w:ilvl w:val="0"/>
          <w:numId w:val="34"/>
        </w:numPr>
        <w:rPr>
          <w:rFonts w:ascii="Arial" w:cs="Arial" w:eastAsia="Arial" w:hAnsi="Arial"/>
          <w:sz w:val="16"/>
          <w:szCs w:val="16"/>
          <w:color w:val="auto"/>
        </w:rPr>
      </w:pPr>
      <w:r>
        <w:rPr>
          <w:rFonts w:ascii="Arial" w:cs="Arial" w:eastAsia="Arial" w:hAnsi="Arial"/>
          <w:sz w:val="18"/>
          <w:szCs w:val="18"/>
          <w:b w:val="1"/>
          <w:bCs w:val="1"/>
          <w:i w:val="1"/>
          <w:iCs w:val="1"/>
          <w:color w:val="auto"/>
        </w:rPr>
        <w:t>Supports our pay-for-performance philosophy</w:t>
      </w:r>
      <w:r>
        <w:rPr>
          <w:rFonts w:ascii="Arial" w:cs="Arial" w:eastAsia="Arial" w:hAnsi="Arial"/>
          <w:sz w:val="18"/>
          <w:szCs w:val="18"/>
          <w:color w:val="auto"/>
        </w:rPr>
        <w:t>. We believe that stock-based compensation, by its very nature, is performance-based compensation. A significant portion of total compensation for our executives is incentive compensation in the form of annual cash incentives and long-term incentives that are tied to the achievement of financial business results. We use incentive compensation to help reinforce desired financial business results to our executives and to motivate them to make decisions to produce those results. If the 2022 Plan is approved, it will support our pay-for-performance philosophy.</w:t>
      </w:r>
    </w:p>
    <w:p>
      <w:pPr>
        <w:spacing w:after="0" w:line="72" w:lineRule="exact"/>
        <w:rPr>
          <w:rFonts w:ascii="Arial" w:cs="Arial" w:eastAsia="Arial" w:hAnsi="Arial"/>
          <w:sz w:val="16"/>
          <w:szCs w:val="16"/>
          <w:color w:val="auto"/>
        </w:rPr>
      </w:pPr>
    </w:p>
    <w:p>
      <w:pPr>
        <w:ind w:left="800" w:right="20" w:hanging="395"/>
        <w:spacing w:after="0" w:line="236" w:lineRule="auto"/>
        <w:tabs>
          <w:tab w:leader="none" w:pos="800" w:val="left"/>
        </w:tabs>
        <w:numPr>
          <w:ilvl w:val="0"/>
          <w:numId w:val="34"/>
        </w:numPr>
        <w:rPr>
          <w:rFonts w:ascii="Arial" w:cs="Arial" w:eastAsia="Arial" w:hAnsi="Arial"/>
          <w:sz w:val="16"/>
          <w:szCs w:val="16"/>
          <w:color w:val="auto"/>
        </w:rPr>
      </w:pPr>
      <w:r>
        <w:rPr>
          <w:rFonts w:ascii="Arial" w:cs="Arial" w:eastAsia="Arial" w:hAnsi="Arial"/>
          <w:sz w:val="18"/>
          <w:szCs w:val="18"/>
          <w:b w:val="1"/>
          <w:bCs w:val="1"/>
          <w:i w:val="1"/>
          <w:iCs w:val="1"/>
          <w:color w:val="auto"/>
        </w:rPr>
        <w:t>Avoids disruption in our compensation programs</w:t>
      </w:r>
      <w:r>
        <w:rPr>
          <w:rFonts w:ascii="Arial" w:cs="Arial" w:eastAsia="Arial" w:hAnsi="Arial"/>
          <w:sz w:val="18"/>
          <w:szCs w:val="18"/>
          <w:color w:val="auto"/>
        </w:rPr>
        <w:t>. The approval of the 2022 Plan by our shareholders is important because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shares authorized for issuance under the 2010 Plan is not expected to be sufficient to meet our needs over the next several years. If the 2022 Plan is not approved, we likely would need to replace components of compensation previously awarded in certain equity with cash or with other instruments that may not necessarily align employee interests with those of our shareholders as well as our current equity awards, such as our performance share awards. Additionally, replacing equity with cash would increase our cash compensation expense and use cash that would be better utilized toward other strategic purposes, such as strategic acquisitions, research and development of innovative new products, and improvements in the quality and performance of existing products.</w:t>
      </w:r>
    </w:p>
    <w:p>
      <w:pPr>
        <w:spacing w:after="0" w:line="73" w:lineRule="exact"/>
        <w:rPr>
          <w:rFonts w:ascii="Arial" w:cs="Arial" w:eastAsia="Arial" w:hAnsi="Arial"/>
          <w:sz w:val="16"/>
          <w:szCs w:val="16"/>
          <w:color w:val="auto"/>
        </w:rPr>
      </w:pPr>
    </w:p>
    <w:p>
      <w:pPr>
        <w:ind w:left="800" w:right="60" w:hanging="395"/>
        <w:spacing w:after="0" w:line="239" w:lineRule="auto"/>
        <w:tabs>
          <w:tab w:leader="none" w:pos="800" w:val="left"/>
        </w:tabs>
        <w:numPr>
          <w:ilvl w:val="0"/>
          <w:numId w:val="34"/>
        </w:numPr>
        <w:rPr>
          <w:rFonts w:ascii="Arial" w:cs="Arial" w:eastAsia="Arial" w:hAnsi="Arial"/>
          <w:sz w:val="16"/>
          <w:szCs w:val="16"/>
          <w:color w:val="auto"/>
        </w:rPr>
      </w:pPr>
      <w:r>
        <w:rPr>
          <w:rFonts w:ascii="Arial" w:cs="Arial" w:eastAsia="Arial" w:hAnsi="Arial"/>
          <w:sz w:val="18"/>
          <w:szCs w:val="18"/>
          <w:b w:val="1"/>
          <w:bCs w:val="1"/>
          <w:i w:val="1"/>
          <w:iCs w:val="1"/>
          <w:color w:val="auto"/>
        </w:rPr>
        <w:t>Balances appropriately our need to attract and retain talent with shareholder interests regarding dilution</w:t>
      </w:r>
      <w:r>
        <w:rPr>
          <w:rFonts w:ascii="Arial" w:cs="Arial" w:eastAsia="Arial" w:hAnsi="Arial"/>
          <w:sz w:val="18"/>
          <w:szCs w:val="18"/>
          <w:color w:val="auto"/>
        </w:rPr>
        <w:t>. We recognize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dilutive impact of our equity compensation programs on our shareholders and we continuously strive to balance this concern with the competition for talent, competitive compensation practices, and the need to attract and retain talent. As described in more detail below under the heading “Background for Shares Authorized for Issuance under the 2022 Plan,” we believe the 2022 Plan is not excessively dilutive to our shareholders and our three-year average annual burn rate is only 0.62%.</w:t>
      </w:r>
    </w:p>
    <w:p>
      <w:pPr>
        <w:spacing w:after="0" w:line="72" w:lineRule="exact"/>
        <w:rPr>
          <w:rFonts w:ascii="Arial" w:cs="Arial" w:eastAsia="Arial" w:hAnsi="Arial"/>
          <w:sz w:val="16"/>
          <w:szCs w:val="16"/>
          <w:color w:val="auto"/>
        </w:rPr>
      </w:pPr>
    </w:p>
    <w:p>
      <w:pPr>
        <w:ind w:left="800" w:right="140" w:hanging="395"/>
        <w:spacing w:after="0" w:line="247" w:lineRule="auto"/>
        <w:tabs>
          <w:tab w:leader="none" w:pos="800" w:val="left"/>
        </w:tabs>
        <w:numPr>
          <w:ilvl w:val="0"/>
          <w:numId w:val="34"/>
        </w:numPr>
        <w:rPr>
          <w:rFonts w:ascii="Arial" w:cs="Arial" w:eastAsia="Arial" w:hAnsi="Arial"/>
          <w:sz w:val="16"/>
          <w:szCs w:val="16"/>
          <w:color w:val="auto"/>
        </w:rPr>
      </w:pPr>
      <w:r>
        <w:rPr>
          <w:rFonts w:ascii="Arial" w:cs="Arial" w:eastAsia="Arial" w:hAnsi="Arial"/>
          <w:sz w:val="18"/>
          <w:szCs w:val="18"/>
          <w:b w:val="1"/>
          <w:bCs w:val="1"/>
          <w:i w:val="1"/>
          <w:iCs w:val="1"/>
          <w:color w:val="auto"/>
        </w:rPr>
        <w:t>Protects shareholder interests and embraces sound stock-based compensation practices</w:t>
      </w:r>
      <w:r>
        <w:rPr>
          <w:rFonts w:ascii="Arial" w:cs="Arial" w:eastAsia="Arial" w:hAnsi="Arial"/>
          <w:sz w:val="18"/>
          <w:szCs w:val="18"/>
          <w:color w:val="auto"/>
        </w:rPr>
        <w:t>. As described in more detail below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heading “Summary of Sound Governance Features of the 2022 Plan,” the 2022 Plan includes a number of features that are consistent with the interests of our shareholders and sound corporate governance practices.</w:t>
      </w:r>
    </w:p>
    <w:p>
      <w:pPr>
        <w:spacing w:after="0" w:line="114"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Summary of Sound Governance Features of the 2022 Plan</w:t>
      </w:r>
    </w:p>
    <w:p>
      <w:pPr>
        <w:spacing w:after="0" w:line="127" w:lineRule="exact"/>
        <w:rPr>
          <w:sz w:val="20"/>
          <w:szCs w:val="20"/>
          <w:color w:val="auto"/>
        </w:rPr>
      </w:pPr>
    </w:p>
    <w:p>
      <w:pPr>
        <w:ind w:right="260" w:firstLine="401"/>
        <w:spacing w:after="0" w:line="238" w:lineRule="auto"/>
        <w:rPr>
          <w:sz w:val="20"/>
          <w:szCs w:val="20"/>
          <w:color w:val="auto"/>
        </w:rPr>
      </w:pPr>
      <w:r>
        <w:rPr>
          <w:rFonts w:ascii="Arial" w:cs="Arial" w:eastAsia="Arial" w:hAnsi="Arial"/>
          <w:sz w:val="18"/>
          <w:szCs w:val="18"/>
          <w:color w:val="auto"/>
        </w:rPr>
        <w:t>The Board and Compensation &amp; Human Resources Committee believe that the 2022 Plan contains several features that are consistent with the interests of our shareholders and sound corporate governance practices, including the following:</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60" w:type="dxa"/>
            <w:vAlign w:val="bottom"/>
          </w:tcPr>
          <w:p>
            <w:pPr>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4940" w:type="dxa"/>
            <w:vAlign w:val="bottom"/>
          </w:tcPr>
          <w:p>
            <w:pPr>
              <w:ind w:left="200"/>
              <w:spacing w:after="0"/>
              <w:rPr>
                <w:sz w:val="20"/>
                <w:szCs w:val="20"/>
                <w:color w:val="auto"/>
              </w:rPr>
            </w:pPr>
            <w:r>
              <w:rPr>
                <w:rFonts w:ascii="Arial" w:cs="Arial" w:eastAsia="Arial" w:hAnsi="Arial"/>
                <w:sz w:val="18"/>
                <w:szCs w:val="18"/>
                <w:color w:val="auto"/>
              </w:rPr>
              <w:t>No evergreen provision</w:t>
            </w:r>
          </w:p>
        </w:tc>
        <w:tc>
          <w:tcPr>
            <w:tcW w:w="740" w:type="dxa"/>
            <w:vAlign w:val="bottom"/>
          </w:tcPr>
          <w:p>
            <w:pPr>
              <w:ind w:left="42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4820" w:type="dxa"/>
            <w:vAlign w:val="bottom"/>
          </w:tcPr>
          <w:p>
            <w:pPr>
              <w:ind w:left="160"/>
              <w:spacing w:after="0"/>
              <w:rPr>
                <w:sz w:val="20"/>
                <w:szCs w:val="20"/>
                <w:color w:val="auto"/>
              </w:rPr>
            </w:pPr>
            <w:r>
              <w:rPr>
                <w:rFonts w:ascii="Arial" w:cs="Arial" w:eastAsia="Arial" w:hAnsi="Arial"/>
                <w:sz w:val="18"/>
                <w:szCs w:val="18"/>
                <w:color w:val="auto"/>
              </w:rPr>
              <w:t>No liberal share counting</w:t>
            </w:r>
          </w:p>
        </w:tc>
        <w:tc>
          <w:tcPr>
            <w:tcW w:w="0" w:type="dxa"/>
            <w:vAlign w:val="bottom"/>
          </w:tcPr>
          <w:p>
            <w:pPr>
              <w:spacing w:after="0"/>
              <w:rPr>
                <w:sz w:val="1"/>
                <w:szCs w:val="1"/>
                <w:color w:val="auto"/>
              </w:rPr>
            </w:pPr>
          </w:p>
        </w:tc>
      </w:tr>
      <w:tr>
        <w:trPr>
          <w:trHeight w:val="253"/>
        </w:trPr>
        <w:tc>
          <w:tcPr>
            <w:tcW w:w="360" w:type="dxa"/>
            <w:vAlign w:val="bottom"/>
          </w:tcPr>
          <w:p>
            <w:pPr>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4940" w:type="dxa"/>
            <w:vAlign w:val="bottom"/>
          </w:tcPr>
          <w:p>
            <w:pPr>
              <w:ind w:left="200"/>
              <w:spacing w:after="0"/>
              <w:rPr>
                <w:sz w:val="20"/>
                <w:szCs w:val="20"/>
                <w:color w:val="auto"/>
              </w:rPr>
            </w:pPr>
            <w:r>
              <w:rPr>
                <w:rFonts w:ascii="Arial" w:cs="Arial" w:eastAsia="Arial" w:hAnsi="Arial"/>
                <w:sz w:val="18"/>
                <w:szCs w:val="18"/>
                <w:color w:val="auto"/>
              </w:rPr>
              <w:t>Not excessively dilutive</w:t>
            </w:r>
          </w:p>
        </w:tc>
        <w:tc>
          <w:tcPr>
            <w:tcW w:w="740" w:type="dxa"/>
            <w:vAlign w:val="bottom"/>
          </w:tcPr>
          <w:p>
            <w:pPr>
              <w:ind w:left="42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4820" w:type="dxa"/>
            <w:vAlign w:val="bottom"/>
          </w:tcPr>
          <w:p>
            <w:pPr>
              <w:ind w:left="160"/>
              <w:spacing w:after="0"/>
              <w:rPr>
                <w:sz w:val="20"/>
                <w:szCs w:val="20"/>
                <w:color w:val="auto"/>
              </w:rPr>
            </w:pPr>
            <w:r>
              <w:rPr>
                <w:rFonts w:ascii="Arial" w:cs="Arial" w:eastAsia="Arial" w:hAnsi="Arial"/>
                <w:sz w:val="18"/>
                <w:szCs w:val="18"/>
                <w:color w:val="auto"/>
              </w:rPr>
              <w:t>No dividend payments on unvested awards</w:t>
            </w:r>
          </w:p>
        </w:tc>
        <w:tc>
          <w:tcPr>
            <w:tcW w:w="0" w:type="dxa"/>
            <w:vAlign w:val="bottom"/>
          </w:tcPr>
          <w:p>
            <w:pPr>
              <w:spacing w:after="0"/>
              <w:rPr>
                <w:sz w:val="1"/>
                <w:szCs w:val="1"/>
                <w:color w:val="auto"/>
              </w:rPr>
            </w:pPr>
          </w:p>
        </w:tc>
      </w:tr>
      <w:tr>
        <w:trPr>
          <w:trHeight w:val="260"/>
        </w:trPr>
        <w:tc>
          <w:tcPr>
            <w:tcW w:w="360" w:type="dxa"/>
            <w:vAlign w:val="bottom"/>
          </w:tcPr>
          <w:p>
            <w:pPr>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4940" w:type="dxa"/>
            <w:vAlign w:val="bottom"/>
          </w:tcPr>
          <w:p>
            <w:pPr>
              <w:ind w:left="200"/>
              <w:spacing w:after="0"/>
              <w:rPr>
                <w:sz w:val="20"/>
                <w:szCs w:val="20"/>
                <w:color w:val="auto"/>
              </w:rPr>
            </w:pPr>
            <w:r>
              <w:rPr>
                <w:rFonts w:ascii="Arial" w:cs="Arial" w:eastAsia="Arial" w:hAnsi="Arial"/>
                <w:sz w:val="18"/>
                <w:szCs w:val="18"/>
                <w:color w:val="auto"/>
              </w:rPr>
              <w:t>Minimum vesting and performance period requirements</w:t>
            </w:r>
          </w:p>
        </w:tc>
        <w:tc>
          <w:tcPr>
            <w:tcW w:w="740" w:type="dxa"/>
            <w:vAlign w:val="bottom"/>
          </w:tcPr>
          <w:p>
            <w:pPr>
              <w:ind w:left="42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4820" w:type="dxa"/>
            <w:vAlign w:val="bottom"/>
          </w:tcPr>
          <w:p>
            <w:pPr>
              <w:ind w:left="160"/>
              <w:spacing w:after="0"/>
              <w:rPr>
                <w:sz w:val="20"/>
                <w:szCs w:val="20"/>
                <w:color w:val="auto"/>
              </w:rPr>
            </w:pPr>
            <w:r>
              <w:rPr>
                <w:rFonts w:ascii="Arial" w:cs="Arial" w:eastAsia="Arial" w:hAnsi="Arial"/>
                <w:sz w:val="18"/>
                <w:szCs w:val="18"/>
                <w:color w:val="auto"/>
                <w:w w:val="98"/>
              </w:rPr>
              <w:t>No repricing of “underwater” stock options or SARs, without</w:t>
            </w:r>
          </w:p>
        </w:tc>
        <w:tc>
          <w:tcPr>
            <w:tcW w:w="0" w:type="dxa"/>
            <w:vAlign w:val="bottom"/>
          </w:tcPr>
          <w:p>
            <w:pPr>
              <w:spacing w:after="0"/>
              <w:rPr>
                <w:sz w:val="1"/>
                <w:szCs w:val="1"/>
                <w:color w:val="auto"/>
              </w:rPr>
            </w:pPr>
          </w:p>
        </w:tc>
      </w:tr>
      <w:tr>
        <w:trPr>
          <w:trHeight w:val="212"/>
        </w:trPr>
        <w:tc>
          <w:tcPr>
            <w:tcW w:w="360" w:type="dxa"/>
            <w:vAlign w:val="bottom"/>
            <w:vMerge w:val="restart"/>
          </w:tcPr>
          <w:p>
            <w:pPr>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4940" w:type="dxa"/>
            <w:vAlign w:val="bottom"/>
          </w:tcPr>
          <w:p>
            <w:pPr>
              <w:spacing w:after="0"/>
              <w:rPr>
                <w:sz w:val="18"/>
                <w:szCs w:val="18"/>
                <w:color w:val="auto"/>
              </w:rPr>
            </w:pPr>
          </w:p>
        </w:tc>
        <w:tc>
          <w:tcPr>
            <w:tcW w:w="740" w:type="dxa"/>
            <w:vAlign w:val="bottom"/>
            <w:vMerge w:val="restart"/>
          </w:tcPr>
          <w:p>
            <w:pPr>
              <w:ind w:left="42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4820" w:type="dxa"/>
            <w:vAlign w:val="bottom"/>
          </w:tcPr>
          <w:p>
            <w:pPr>
              <w:ind w:left="160"/>
              <w:spacing w:after="0"/>
              <w:rPr>
                <w:sz w:val="20"/>
                <w:szCs w:val="20"/>
                <w:color w:val="auto"/>
              </w:rPr>
            </w:pPr>
            <w:r>
              <w:rPr>
                <w:rFonts w:ascii="Arial" w:cs="Arial" w:eastAsia="Arial" w:hAnsi="Arial"/>
                <w:sz w:val="18"/>
                <w:szCs w:val="18"/>
                <w:color w:val="auto"/>
              </w:rPr>
              <w:t>shareholder approval</w:t>
            </w:r>
          </w:p>
        </w:tc>
        <w:tc>
          <w:tcPr>
            <w:tcW w:w="0" w:type="dxa"/>
            <w:vAlign w:val="bottom"/>
          </w:tcPr>
          <w:p>
            <w:pPr>
              <w:spacing w:after="0"/>
              <w:rPr>
                <w:sz w:val="1"/>
                <w:szCs w:val="1"/>
                <w:color w:val="auto"/>
              </w:rPr>
            </w:pPr>
          </w:p>
        </w:tc>
      </w:tr>
      <w:tr>
        <w:trPr>
          <w:trHeight w:val="219"/>
        </w:trPr>
        <w:tc>
          <w:tcPr>
            <w:tcW w:w="360" w:type="dxa"/>
            <w:vAlign w:val="bottom"/>
            <w:vMerge w:val="continue"/>
          </w:tcPr>
          <w:p>
            <w:pPr>
              <w:spacing w:after="0"/>
              <w:rPr>
                <w:sz w:val="19"/>
                <w:szCs w:val="19"/>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Limit on full-value awards</w:t>
            </w:r>
          </w:p>
        </w:tc>
        <w:tc>
          <w:tcPr>
            <w:tcW w:w="740" w:type="dxa"/>
            <w:vAlign w:val="bottom"/>
            <w:vMerge w:val="continue"/>
          </w:tcPr>
          <w:p>
            <w:pPr>
              <w:spacing w:after="0"/>
              <w:rPr>
                <w:sz w:val="19"/>
                <w:szCs w:val="19"/>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No liberal change of control definition</w:t>
            </w:r>
          </w:p>
        </w:tc>
        <w:tc>
          <w:tcPr>
            <w:tcW w:w="0" w:type="dxa"/>
            <w:vAlign w:val="bottom"/>
          </w:tcPr>
          <w:p>
            <w:pPr>
              <w:spacing w:after="0"/>
              <w:rPr>
                <w:sz w:val="1"/>
                <w:szCs w:val="1"/>
                <w:color w:val="auto"/>
              </w:rPr>
            </w:pPr>
          </w:p>
        </w:tc>
      </w:tr>
      <w:tr>
        <w:trPr>
          <w:trHeight w:val="253"/>
        </w:trPr>
        <w:tc>
          <w:tcPr>
            <w:tcW w:w="360" w:type="dxa"/>
            <w:vAlign w:val="bottom"/>
          </w:tcPr>
          <w:p>
            <w:pPr>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4940" w:type="dxa"/>
            <w:vAlign w:val="bottom"/>
          </w:tcPr>
          <w:p>
            <w:pPr>
              <w:ind w:left="200"/>
              <w:spacing w:after="0"/>
              <w:rPr>
                <w:sz w:val="20"/>
                <w:szCs w:val="20"/>
                <w:color w:val="auto"/>
              </w:rPr>
            </w:pPr>
            <w:r>
              <w:rPr>
                <w:rFonts w:ascii="Arial" w:cs="Arial" w:eastAsia="Arial" w:hAnsi="Arial"/>
                <w:sz w:val="18"/>
                <w:szCs w:val="18"/>
                <w:color w:val="auto"/>
              </w:rPr>
              <w:t>Limits on non-employee director compensation</w:t>
            </w:r>
          </w:p>
        </w:tc>
        <w:tc>
          <w:tcPr>
            <w:tcW w:w="740" w:type="dxa"/>
            <w:vAlign w:val="bottom"/>
          </w:tcPr>
          <w:p>
            <w:pPr>
              <w:ind w:left="42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4820" w:type="dxa"/>
            <w:vAlign w:val="bottom"/>
          </w:tcPr>
          <w:p>
            <w:pPr>
              <w:ind w:left="160"/>
              <w:spacing w:after="0"/>
              <w:rPr>
                <w:sz w:val="20"/>
                <w:szCs w:val="20"/>
                <w:color w:val="auto"/>
              </w:rPr>
            </w:pPr>
            <w:r>
              <w:rPr>
                <w:rFonts w:ascii="Arial" w:cs="Arial" w:eastAsia="Arial" w:hAnsi="Arial"/>
                <w:sz w:val="18"/>
                <w:szCs w:val="18"/>
                <w:color w:val="auto"/>
              </w:rPr>
              <w:t>No discounted or reload stock options or SARs</w:t>
            </w:r>
          </w:p>
        </w:tc>
        <w:tc>
          <w:tcPr>
            <w:tcW w:w="0" w:type="dxa"/>
            <w:vAlign w:val="bottom"/>
          </w:tcPr>
          <w:p>
            <w:pPr>
              <w:spacing w:after="0"/>
              <w:rPr>
                <w:sz w:val="1"/>
                <w:szCs w:val="1"/>
                <w:color w:val="auto"/>
              </w:rPr>
            </w:pPr>
          </w:p>
        </w:tc>
      </w:tr>
      <w:tr>
        <w:trPr>
          <w:trHeight w:val="335"/>
        </w:trPr>
        <w:tc>
          <w:tcPr>
            <w:tcW w:w="360" w:type="dxa"/>
            <w:vAlign w:val="bottom"/>
          </w:tcPr>
          <w:p>
            <w:pPr>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4940" w:type="dxa"/>
            <w:vAlign w:val="bottom"/>
          </w:tcPr>
          <w:p>
            <w:pPr>
              <w:ind w:left="200"/>
              <w:spacing w:after="0"/>
              <w:rPr>
                <w:sz w:val="20"/>
                <w:szCs w:val="20"/>
                <w:color w:val="auto"/>
              </w:rPr>
            </w:pPr>
            <w:r>
              <w:rPr>
                <w:rFonts w:ascii="Arial" w:cs="Arial" w:eastAsia="Arial" w:hAnsi="Arial"/>
                <w:sz w:val="18"/>
                <w:szCs w:val="18"/>
                <w:color w:val="auto"/>
              </w:rPr>
              <w:t>No tax gross-ups</w:t>
            </w:r>
          </w:p>
        </w:tc>
        <w:tc>
          <w:tcPr>
            <w:tcW w:w="740" w:type="dxa"/>
            <w:vAlign w:val="bottom"/>
          </w:tcPr>
          <w:p>
            <w:pPr>
              <w:ind w:left="42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4820" w:type="dxa"/>
            <w:vAlign w:val="bottom"/>
          </w:tcPr>
          <w:p>
            <w:pPr>
              <w:ind w:left="160"/>
              <w:spacing w:after="0"/>
              <w:rPr>
                <w:sz w:val="20"/>
                <w:szCs w:val="20"/>
                <w:color w:val="auto"/>
              </w:rPr>
            </w:pPr>
            <w:r>
              <w:rPr>
                <w:rFonts w:ascii="Arial" w:cs="Arial" w:eastAsia="Arial" w:hAnsi="Arial"/>
                <w:sz w:val="18"/>
                <w:szCs w:val="18"/>
                <w:color w:val="auto"/>
              </w:rPr>
              <w:t>Robust clawback policy</w:t>
            </w:r>
          </w:p>
        </w:tc>
        <w:tc>
          <w:tcPr>
            <w:tcW w:w="0" w:type="dxa"/>
            <w:vAlign w:val="bottom"/>
          </w:tcPr>
          <w:p>
            <w:pPr>
              <w:spacing w:after="0"/>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Background for Shares Authorized for Issuance Under the 2022 Plan</w:t>
      </w:r>
    </w:p>
    <w:p>
      <w:pPr>
        <w:spacing w:after="0" w:line="127" w:lineRule="exact"/>
        <w:rPr>
          <w:sz w:val="20"/>
          <w:szCs w:val="20"/>
          <w:color w:val="auto"/>
        </w:rPr>
      </w:pPr>
    </w:p>
    <w:p>
      <w:pPr>
        <w:ind w:right="20" w:firstLine="401"/>
        <w:spacing w:after="0" w:line="233" w:lineRule="auto"/>
        <w:rPr>
          <w:sz w:val="20"/>
          <w:szCs w:val="20"/>
          <w:color w:val="auto"/>
        </w:rPr>
      </w:pPr>
      <w:r>
        <w:rPr>
          <w:rFonts w:ascii="Arial" w:cs="Arial" w:eastAsia="Arial" w:hAnsi="Arial"/>
          <w:sz w:val="18"/>
          <w:szCs w:val="18"/>
          <w:color w:val="auto"/>
        </w:rPr>
        <w:t>If the 2022 Plan is approved, the maximum number of shares of our common stock authorized for issuance will be equal to the sum of: (a) 1,250,000 shares, plus (b) the number of shares remaining available for grant under the 2010 Plan but not subject to outstanding awards thereunder as of the effective date of the 2022 Plan, and plus (c) the number of shares subject to awards outstanding under the 2010 Plan as of the effective date of the 2022 Plan but only to the extent that such outstanding awards are forfeited, expire or otherwise terminate without the issuance of such shares after the effective date of the 2022 Plan. As of January 18, 2022, 2,515,746 shares of our common stock remained available for grant under the 2010 Plan and 3,546,606 shares of our</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common stock were subject to outstanding awards under the 2010 Plan, assuming target level of performance for performance-based awards.</w:t>
      </w:r>
    </w:p>
    <w:p>
      <w:pPr>
        <w:spacing w:after="0" w:line="110" w:lineRule="exact"/>
        <w:rPr>
          <w:sz w:val="20"/>
          <w:szCs w:val="20"/>
          <w:color w:val="auto"/>
        </w:rPr>
      </w:pPr>
    </w:p>
    <w:p>
      <w:pPr>
        <w:ind w:right="420" w:firstLine="401"/>
        <w:spacing w:after="0" w:line="238" w:lineRule="auto"/>
        <w:rPr>
          <w:sz w:val="20"/>
          <w:szCs w:val="20"/>
          <w:color w:val="auto"/>
        </w:rPr>
      </w:pPr>
      <w:r>
        <w:rPr>
          <w:rFonts w:ascii="Arial" w:cs="Arial" w:eastAsia="Arial" w:hAnsi="Arial"/>
          <w:sz w:val="18"/>
          <w:szCs w:val="18"/>
          <w:color w:val="auto"/>
        </w:rPr>
        <w:t>In setting the number of shares of common stock available for issuance under the 2022 Plan, the Board and Compensation &amp; Human Resources Committee considered a number of factors, which are discussed further below, including:</w:t>
      </w:r>
    </w:p>
    <w:p>
      <w:pPr>
        <w:spacing w:after="0" w:line="42" w:lineRule="exact"/>
        <w:rPr>
          <w:sz w:val="20"/>
          <w:szCs w:val="20"/>
          <w:color w:val="auto"/>
        </w:rPr>
      </w:pPr>
    </w:p>
    <w:p>
      <w:pPr>
        <w:ind w:left="800" w:right="100" w:hanging="395"/>
        <w:spacing w:after="0" w:line="238" w:lineRule="auto"/>
        <w:tabs>
          <w:tab w:leader="none" w:pos="800" w:val="left"/>
        </w:tabs>
        <w:numPr>
          <w:ilvl w:val="0"/>
          <w:numId w:val="35"/>
        </w:numPr>
        <w:rPr>
          <w:rFonts w:ascii="Arial" w:cs="Arial" w:eastAsia="Arial" w:hAnsi="Arial"/>
          <w:sz w:val="16"/>
          <w:szCs w:val="16"/>
          <w:color w:val="auto"/>
        </w:rPr>
      </w:pPr>
      <w:r>
        <w:rPr>
          <w:rFonts w:ascii="Arial" w:cs="Arial" w:eastAsia="Arial" w:hAnsi="Arial"/>
          <w:sz w:val="18"/>
          <w:szCs w:val="18"/>
          <w:color w:val="auto"/>
        </w:rPr>
        <w:t>Shares available under the 2010 Plan and total outstanding equity-based awards and how long the shares available are expected to last;</w:t>
      </w:r>
    </w:p>
    <w:p>
      <w:pPr>
        <w:spacing w:after="0" w:line="41" w:lineRule="exact"/>
        <w:rPr>
          <w:rFonts w:ascii="Arial" w:cs="Arial" w:eastAsia="Arial" w:hAnsi="Arial"/>
          <w:sz w:val="16"/>
          <w:szCs w:val="16"/>
          <w:color w:val="auto"/>
        </w:rPr>
      </w:pPr>
    </w:p>
    <w:p>
      <w:pPr>
        <w:ind w:left="800" w:right="180" w:hanging="395"/>
        <w:spacing w:after="0" w:line="238" w:lineRule="auto"/>
        <w:tabs>
          <w:tab w:leader="none" w:pos="800" w:val="left"/>
        </w:tabs>
        <w:numPr>
          <w:ilvl w:val="0"/>
          <w:numId w:val="35"/>
        </w:numPr>
        <w:rPr>
          <w:rFonts w:ascii="Arial" w:cs="Arial" w:eastAsia="Arial" w:hAnsi="Arial"/>
          <w:sz w:val="16"/>
          <w:szCs w:val="16"/>
          <w:color w:val="auto"/>
        </w:rPr>
      </w:pPr>
      <w:r>
        <w:rPr>
          <w:rFonts w:ascii="Arial" w:cs="Arial" w:eastAsia="Arial" w:hAnsi="Arial"/>
          <w:sz w:val="18"/>
          <w:szCs w:val="18"/>
          <w:color w:val="auto"/>
        </w:rPr>
        <w:t>Historical equity award granting practices, including our three-year average share usage rate (commonly referred to as “burn rate”); and</w:t>
      </w:r>
    </w:p>
    <w:p>
      <w:pPr>
        <w:spacing w:after="0" w:line="41" w:lineRule="exact"/>
        <w:rPr>
          <w:rFonts w:ascii="Arial" w:cs="Arial" w:eastAsia="Arial" w:hAnsi="Arial"/>
          <w:sz w:val="16"/>
          <w:szCs w:val="16"/>
          <w:color w:val="auto"/>
        </w:rPr>
      </w:pPr>
    </w:p>
    <w:p>
      <w:pPr>
        <w:ind w:left="800" w:hanging="395"/>
        <w:spacing w:after="0"/>
        <w:tabs>
          <w:tab w:leader="none" w:pos="800" w:val="left"/>
        </w:tabs>
        <w:numPr>
          <w:ilvl w:val="0"/>
          <w:numId w:val="35"/>
        </w:numPr>
        <w:rPr>
          <w:rFonts w:ascii="Arial" w:cs="Arial" w:eastAsia="Arial" w:hAnsi="Arial"/>
          <w:sz w:val="16"/>
          <w:szCs w:val="16"/>
          <w:color w:val="auto"/>
        </w:rPr>
      </w:pPr>
      <w:r>
        <w:rPr>
          <w:rFonts w:ascii="Arial" w:cs="Arial" w:eastAsia="Arial" w:hAnsi="Arial"/>
          <w:sz w:val="18"/>
          <w:szCs w:val="18"/>
          <w:color w:val="auto"/>
        </w:rPr>
        <w:t>Potential dilution and overhang.</w:t>
      </w:r>
    </w:p>
    <w:p>
      <w:pPr>
        <w:spacing w:after="0" w:line="77" w:lineRule="exact"/>
        <w:rPr>
          <w:sz w:val="20"/>
          <w:szCs w:val="20"/>
          <w:color w:val="auto"/>
        </w:rPr>
      </w:pPr>
    </w:p>
    <w:p>
      <w:pPr>
        <w:ind w:firstLine="401"/>
        <w:spacing w:after="0" w:line="238" w:lineRule="auto"/>
        <w:rPr>
          <w:sz w:val="20"/>
          <w:szCs w:val="20"/>
          <w:color w:val="auto"/>
        </w:rPr>
      </w:pPr>
      <w:r>
        <w:rPr>
          <w:rFonts w:ascii="Arial" w:cs="Arial" w:eastAsia="Arial" w:hAnsi="Arial"/>
          <w:sz w:val="18"/>
          <w:szCs w:val="18"/>
          <w:b w:val="1"/>
          <w:bCs w:val="1"/>
          <w:color w:val="auto"/>
        </w:rPr>
        <w:t>Shares Available and Outstanding Equity Awards</w:t>
      </w:r>
      <w:r>
        <w:rPr>
          <w:rFonts w:ascii="Arial" w:cs="Arial" w:eastAsia="Arial" w:hAnsi="Arial"/>
          <w:sz w:val="18"/>
          <w:szCs w:val="18"/>
          <w:color w:val="auto"/>
        </w:rPr>
        <w:t>. While the use of long-term incentives, in the form of equity awards, is an important</w:t>
      </w:r>
      <w:r>
        <w:rPr>
          <w:rFonts w:ascii="Arial" w:cs="Arial" w:eastAsia="Arial" w:hAnsi="Arial"/>
          <w:sz w:val="18"/>
          <w:szCs w:val="18"/>
          <w:b w:val="1"/>
          <w:bCs w:val="1"/>
          <w:color w:val="auto"/>
        </w:rPr>
        <w:t xml:space="preserve"> </w:t>
      </w:r>
      <w:r>
        <w:rPr>
          <w:rFonts w:ascii="Arial" w:cs="Arial" w:eastAsia="Arial" w:hAnsi="Arial"/>
          <w:sz w:val="18"/>
          <w:szCs w:val="18"/>
          <w:color w:val="auto"/>
        </w:rPr>
        <w:t>part of our compensation program, we are mindful of our responsibility to our shareholders to exercise judgment in the granting of equity awards. In setting the number of shares available for issuance under the 2022 Plan, the Board and Compensation &amp; Human Resources Committee also considered shares available under the 2010 Plan and total outstanding equity awards and how long the shares available under the 2022 Plan are expected to last. To facilitate the approval of the 2022 Plan, set forth below is certain information about shares of our common stock that may be issued under our equity compensation plans as of January 18, 2022.</w:t>
      </w:r>
    </w:p>
    <w:p>
      <w:pPr>
        <w:spacing w:after="0" w:line="93" w:lineRule="exact"/>
        <w:rPr>
          <w:sz w:val="20"/>
          <w:szCs w:val="20"/>
          <w:color w:val="auto"/>
        </w:rPr>
      </w:pPr>
    </w:p>
    <w:p>
      <w:pPr>
        <w:ind w:right="460" w:firstLine="401"/>
        <w:spacing w:after="0" w:line="238" w:lineRule="auto"/>
        <w:rPr>
          <w:sz w:val="20"/>
          <w:szCs w:val="20"/>
          <w:color w:val="auto"/>
        </w:rPr>
      </w:pPr>
      <w:r>
        <w:rPr>
          <w:rFonts w:ascii="Arial" w:cs="Arial" w:eastAsia="Arial" w:hAnsi="Arial"/>
          <w:sz w:val="18"/>
          <w:szCs w:val="18"/>
          <w:color w:val="auto"/>
        </w:rPr>
        <w:t>As of January 18, 2022, we had 104,908,637 shares of common stock issued and outstanding. The market value of one share of our common stock on January 18, 2022, as determined based on the closing price as reported on the NYSE, was $99.17.</w:t>
      </w:r>
    </w:p>
    <w:p>
      <w:pPr>
        <w:spacing w:after="0" w:line="95" w:lineRule="exact"/>
        <w:rPr>
          <w:sz w:val="20"/>
          <w:szCs w:val="20"/>
          <w:color w:val="auto"/>
        </w:rPr>
      </w:pPr>
    </w:p>
    <w:p>
      <w:pPr>
        <w:ind w:right="140" w:firstLine="401"/>
        <w:spacing w:after="0" w:line="238" w:lineRule="auto"/>
        <w:rPr>
          <w:sz w:val="20"/>
          <w:szCs w:val="20"/>
          <w:color w:val="auto"/>
        </w:rPr>
      </w:pPr>
      <w:r>
        <w:rPr>
          <w:rFonts w:ascii="Arial" w:cs="Arial" w:eastAsia="Arial" w:hAnsi="Arial"/>
          <w:sz w:val="18"/>
          <w:szCs w:val="18"/>
          <w:color w:val="auto"/>
        </w:rPr>
        <w:t>As described in more detail in the table below, under the 2010 Plan (and without giving effect to approval of the 2022 Plan) as of January 18, 2022:</w:t>
      </w:r>
    </w:p>
    <w:p>
      <w:pPr>
        <w:spacing w:after="0" w:line="42" w:lineRule="exact"/>
        <w:rPr>
          <w:sz w:val="20"/>
          <w:szCs w:val="20"/>
          <w:color w:val="auto"/>
        </w:rPr>
      </w:pPr>
    </w:p>
    <w:p>
      <w:pPr>
        <w:ind w:left="800" w:hanging="395"/>
        <w:spacing w:after="0"/>
        <w:tabs>
          <w:tab w:leader="none" w:pos="800" w:val="left"/>
        </w:tabs>
        <w:numPr>
          <w:ilvl w:val="0"/>
          <w:numId w:val="36"/>
        </w:numPr>
        <w:rPr>
          <w:rFonts w:ascii="Arial" w:cs="Arial" w:eastAsia="Arial" w:hAnsi="Arial"/>
          <w:sz w:val="16"/>
          <w:szCs w:val="16"/>
          <w:color w:val="auto"/>
        </w:rPr>
      </w:pPr>
      <w:r>
        <w:rPr>
          <w:rFonts w:ascii="Arial" w:cs="Arial" w:eastAsia="Arial" w:hAnsi="Arial"/>
          <w:sz w:val="18"/>
          <w:szCs w:val="18"/>
          <w:color w:val="auto"/>
        </w:rPr>
        <w:t>2,515,746 shares remained available for issuance under the 2010 Plan; and</w:t>
      </w:r>
    </w:p>
    <w:p>
      <w:pPr>
        <w:spacing w:after="0" w:line="45" w:lineRule="exact"/>
        <w:rPr>
          <w:rFonts w:ascii="Arial" w:cs="Arial" w:eastAsia="Arial" w:hAnsi="Arial"/>
          <w:sz w:val="16"/>
          <w:szCs w:val="16"/>
          <w:color w:val="auto"/>
        </w:rPr>
      </w:pPr>
    </w:p>
    <w:p>
      <w:pPr>
        <w:ind w:left="800" w:right="60" w:hanging="395"/>
        <w:spacing w:after="0" w:line="238" w:lineRule="auto"/>
        <w:tabs>
          <w:tab w:leader="none" w:pos="800" w:val="left"/>
        </w:tabs>
        <w:numPr>
          <w:ilvl w:val="0"/>
          <w:numId w:val="36"/>
        </w:numPr>
        <w:rPr>
          <w:rFonts w:ascii="Arial" w:cs="Arial" w:eastAsia="Arial" w:hAnsi="Arial"/>
          <w:sz w:val="16"/>
          <w:szCs w:val="16"/>
          <w:color w:val="auto"/>
        </w:rPr>
      </w:pPr>
      <w:r>
        <w:rPr>
          <w:rFonts w:ascii="Arial" w:cs="Arial" w:eastAsia="Arial" w:hAnsi="Arial"/>
          <w:sz w:val="18"/>
          <w:szCs w:val="18"/>
          <w:color w:val="auto"/>
        </w:rPr>
        <w:t>3,210,579 stock options and 336,027 shares underlying full value awards (such as RSUs and performance shares) were outstanding under the 2010 Plan, assuming target level of performance for performance-based awards.</w:t>
      </w:r>
    </w:p>
    <w:p>
      <w:pPr>
        <w:spacing w:after="0" w:line="73" w:lineRule="exact"/>
        <w:rPr>
          <w:sz w:val="20"/>
          <w:szCs w:val="20"/>
          <w:color w:val="auto"/>
        </w:rPr>
      </w:pPr>
    </w:p>
    <w:p>
      <w:pPr>
        <w:jc w:val="both"/>
        <w:ind w:right="60" w:firstLine="401"/>
        <w:spacing w:after="0" w:line="247" w:lineRule="auto"/>
        <w:rPr>
          <w:sz w:val="20"/>
          <w:szCs w:val="20"/>
          <w:color w:val="auto"/>
        </w:rPr>
      </w:pPr>
      <w:r>
        <w:rPr>
          <w:rFonts w:ascii="Arial" w:cs="Arial" w:eastAsia="Arial" w:hAnsi="Arial"/>
          <w:sz w:val="18"/>
          <w:szCs w:val="18"/>
          <w:b w:val="1"/>
          <w:bCs w:val="1"/>
          <w:color w:val="auto"/>
        </w:rPr>
        <w:t>Historical Equity Award Granting Practices</w:t>
      </w:r>
      <w:r>
        <w:rPr>
          <w:rFonts w:ascii="Arial" w:cs="Arial" w:eastAsia="Arial" w:hAnsi="Arial"/>
          <w:sz w:val="18"/>
          <w:szCs w:val="18"/>
          <w:color w:val="auto"/>
        </w:rPr>
        <w:t>. In setting the number of shares authorized for issuance under the 2022 Plan,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and Compensation &amp; Human Resources Committee also considered the historical number of equity awards granted under the 2010 Plan in the past three full fiscal years and our anticipated burn rate going forward.</w:t>
      </w:r>
    </w:p>
    <w:p>
      <w:pPr>
        <w:spacing w:after="0" w:line="8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sets forth information regarding awards granted and our annual burn rate for each of the last three fiscal years.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00" w:type="dxa"/>
            <w:vAlign w:val="bottom"/>
            <w:shd w:val="clear" w:color="auto" w:fill="C00000"/>
          </w:tcPr>
          <w:p>
            <w:pPr>
              <w:spacing w:after="0"/>
              <w:rPr>
                <w:sz w:val="18"/>
                <w:szCs w:val="18"/>
                <w:color w:val="auto"/>
              </w:rPr>
            </w:pPr>
          </w:p>
        </w:tc>
        <w:tc>
          <w:tcPr>
            <w:tcW w:w="1720" w:type="dxa"/>
            <w:vAlign w:val="bottom"/>
            <w:shd w:val="clear" w:color="auto" w:fill="C00000"/>
          </w:tcPr>
          <w:p>
            <w:pPr>
              <w:jc w:val="right"/>
              <w:ind w:right="414"/>
              <w:spacing w:after="0"/>
              <w:rPr>
                <w:sz w:val="20"/>
                <w:szCs w:val="20"/>
                <w:color w:val="auto"/>
              </w:rPr>
            </w:pPr>
            <w:r>
              <w:rPr>
                <w:rFonts w:ascii="Arial" w:cs="Arial" w:eastAsia="Arial" w:hAnsi="Arial"/>
                <w:sz w:val="14"/>
                <w:szCs w:val="14"/>
                <w:b w:val="1"/>
                <w:bCs w:val="1"/>
                <w:color w:val="FFFFFF"/>
              </w:rPr>
              <w:t>Fiscal 2021</w:t>
            </w:r>
          </w:p>
        </w:tc>
        <w:tc>
          <w:tcPr>
            <w:tcW w:w="1500" w:type="dxa"/>
            <w:vAlign w:val="bottom"/>
            <w:shd w:val="clear" w:color="auto" w:fill="C00000"/>
          </w:tcPr>
          <w:p>
            <w:pPr>
              <w:jc w:val="right"/>
              <w:ind w:right="474"/>
              <w:spacing w:after="0"/>
              <w:rPr>
                <w:sz w:val="20"/>
                <w:szCs w:val="20"/>
                <w:color w:val="auto"/>
              </w:rPr>
            </w:pPr>
            <w:r>
              <w:rPr>
                <w:rFonts w:ascii="Arial" w:cs="Arial" w:eastAsia="Arial" w:hAnsi="Arial"/>
                <w:sz w:val="14"/>
                <w:szCs w:val="14"/>
                <w:b w:val="1"/>
                <w:bCs w:val="1"/>
                <w:color w:val="FFFFFF"/>
              </w:rPr>
              <w:t>Fiscal 2020</w:t>
            </w:r>
          </w:p>
        </w:tc>
        <w:tc>
          <w:tcPr>
            <w:tcW w:w="1320" w:type="dxa"/>
            <w:vAlign w:val="bottom"/>
            <w:shd w:val="clear" w:color="auto" w:fill="C00000"/>
          </w:tcPr>
          <w:p>
            <w:pPr>
              <w:jc w:val="right"/>
              <w:ind w:right="294"/>
              <w:spacing w:after="0"/>
              <w:rPr>
                <w:sz w:val="20"/>
                <w:szCs w:val="20"/>
                <w:color w:val="auto"/>
              </w:rPr>
            </w:pPr>
            <w:r>
              <w:rPr>
                <w:rFonts w:ascii="Arial" w:cs="Arial" w:eastAsia="Arial" w:hAnsi="Arial"/>
                <w:sz w:val="14"/>
                <w:szCs w:val="14"/>
                <w:b w:val="1"/>
                <w:bCs w:val="1"/>
                <w:color w:val="FFFFFF"/>
              </w:rPr>
              <w:t>Fiscal 2019</w:t>
            </w:r>
          </w:p>
        </w:tc>
      </w:tr>
      <w:tr>
        <w:trPr>
          <w:trHeight w:val="233"/>
        </w:trPr>
        <w:tc>
          <w:tcPr>
            <w:tcW w:w="6700" w:type="dxa"/>
            <w:vAlign w:val="bottom"/>
            <w:tcBorders>
              <w:bottom w:val="single" w:sz="8" w:color="BFBFBF"/>
            </w:tcBorders>
          </w:tcPr>
          <w:p>
            <w:pPr>
              <w:spacing w:after="0"/>
              <w:rPr>
                <w:sz w:val="20"/>
                <w:szCs w:val="20"/>
                <w:color w:val="auto"/>
              </w:rPr>
            </w:pPr>
            <w:r>
              <w:rPr>
                <w:rFonts w:ascii="Arial" w:cs="Arial" w:eastAsia="Arial" w:hAnsi="Arial"/>
                <w:sz w:val="18"/>
                <w:szCs w:val="18"/>
                <w:color w:val="auto"/>
              </w:rPr>
              <w:t>Stock awards granted</w:t>
            </w:r>
          </w:p>
        </w:tc>
        <w:tc>
          <w:tcPr>
            <w:tcW w:w="1720" w:type="dxa"/>
            <w:vAlign w:val="bottom"/>
            <w:tcBorders>
              <w:bottom w:val="single" w:sz="8" w:color="BFBFBF"/>
            </w:tcBorders>
          </w:tcPr>
          <w:p>
            <w:pPr>
              <w:jc w:val="right"/>
              <w:ind w:right="114"/>
              <w:spacing w:after="0"/>
              <w:rPr>
                <w:sz w:val="20"/>
                <w:szCs w:val="20"/>
                <w:color w:val="auto"/>
              </w:rPr>
            </w:pPr>
            <w:r>
              <w:rPr>
                <w:rFonts w:ascii="Arial" w:cs="Arial" w:eastAsia="Arial" w:hAnsi="Arial"/>
                <w:sz w:val="18"/>
                <w:szCs w:val="18"/>
                <w:color w:val="auto"/>
              </w:rPr>
              <w:t>8,070</w:t>
            </w:r>
          </w:p>
        </w:tc>
        <w:tc>
          <w:tcPr>
            <w:tcW w:w="1500" w:type="dxa"/>
            <w:vAlign w:val="bottom"/>
            <w:tcBorders>
              <w:bottom w:val="single" w:sz="8" w:color="BFBFBF"/>
            </w:tcBorders>
          </w:tcPr>
          <w:p>
            <w:pPr>
              <w:jc w:val="right"/>
              <w:ind w:right="114"/>
              <w:spacing w:after="0"/>
              <w:rPr>
                <w:sz w:val="20"/>
                <w:szCs w:val="20"/>
                <w:color w:val="auto"/>
              </w:rPr>
            </w:pPr>
            <w:r>
              <w:rPr>
                <w:rFonts w:ascii="Arial" w:cs="Arial" w:eastAsia="Arial" w:hAnsi="Arial"/>
                <w:sz w:val="18"/>
                <w:szCs w:val="18"/>
                <w:color w:val="auto"/>
              </w:rPr>
              <w:t>8,920</w:t>
            </w:r>
          </w:p>
        </w:tc>
        <w:tc>
          <w:tcPr>
            <w:tcW w:w="13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10,090</w:t>
            </w:r>
          </w:p>
        </w:tc>
      </w:tr>
      <w:tr>
        <w:trPr>
          <w:trHeight w:val="233"/>
        </w:trPr>
        <w:tc>
          <w:tcPr>
            <w:tcW w:w="6700" w:type="dxa"/>
            <w:vAlign w:val="bottom"/>
            <w:tcBorders>
              <w:bottom w:val="single" w:sz="8" w:color="BFBFBF"/>
            </w:tcBorders>
            <w:shd w:val="clear" w:color="auto" w:fill="D9D9D9"/>
          </w:tcPr>
          <w:p>
            <w:pPr>
              <w:spacing w:after="0"/>
              <w:rPr>
                <w:sz w:val="20"/>
                <w:szCs w:val="20"/>
                <w:color w:val="auto"/>
              </w:rPr>
            </w:pPr>
            <w:r>
              <w:rPr>
                <w:rFonts w:ascii="Arial" w:cs="Arial" w:eastAsia="Arial" w:hAnsi="Arial"/>
                <w:sz w:val="18"/>
                <w:szCs w:val="18"/>
                <w:color w:val="auto"/>
              </w:rPr>
              <w:t>Stock options granted</w:t>
            </w:r>
          </w:p>
        </w:tc>
        <w:tc>
          <w:tcPr>
            <w:tcW w:w="1720" w:type="dxa"/>
            <w:vAlign w:val="bottom"/>
            <w:tcBorders>
              <w:bottom w:val="single" w:sz="8" w:color="BFBFBF"/>
            </w:tcBorders>
            <w:shd w:val="clear" w:color="auto" w:fill="D9D9D9"/>
          </w:tcPr>
          <w:p>
            <w:pPr>
              <w:jc w:val="right"/>
              <w:ind w:right="114"/>
              <w:spacing w:after="0"/>
              <w:rPr>
                <w:sz w:val="20"/>
                <w:szCs w:val="20"/>
                <w:color w:val="auto"/>
              </w:rPr>
            </w:pPr>
            <w:r>
              <w:rPr>
                <w:rFonts w:ascii="Arial" w:cs="Arial" w:eastAsia="Arial" w:hAnsi="Arial"/>
                <w:sz w:val="18"/>
                <w:szCs w:val="18"/>
                <w:color w:val="auto"/>
              </w:rPr>
              <w:t>546,569</w:t>
            </w:r>
          </w:p>
        </w:tc>
        <w:tc>
          <w:tcPr>
            <w:tcW w:w="1500" w:type="dxa"/>
            <w:vAlign w:val="bottom"/>
            <w:tcBorders>
              <w:bottom w:val="single" w:sz="8" w:color="BFBFBF"/>
            </w:tcBorders>
            <w:shd w:val="clear" w:color="auto" w:fill="D9D9D9"/>
          </w:tcPr>
          <w:p>
            <w:pPr>
              <w:jc w:val="right"/>
              <w:ind w:right="114"/>
              <w:spacing w:after="0"/>
              <w:rPr>
                <w:sz w:val="20"/>
                <w:szCs w:val="20"/>
                <w:color w:val="auto"/>
              </w:rPr>
            </w:pPr>
            <w:r>
              <w:rPr>
                <w:rFonts w:ascii="Arial" w:cs="Arial" w:eastAsia="Arial" w:hAnsi="Arial"/>
                <w:sz w:val="18"/>
                <w:szCs w:val="18"/>
                <w:color w:val="auto"/>
              </w:rPr>
              <w:t>536,890</w:t>
            </w:r>
          </w:p>
        </w:tc>
        <w:tc>
          <w:tcPr>
            <w:tcW w:w="1320" w:type="dxa"/>
            <w:vAlign w:val="bottom"/>
            <w:tcBorders>
              <w:bottom w:val="single" w:sz="8" w:color="BFBFBF"/>
            </w:tcBorders>
            <w:shd w:val="clear" w:color="auto" w:fill="D9D9D9"/>
          </w:tcPr>
          <w:p>
            <w:pPr>
              <w:jc w:val="right"/>
              <w:spacing w:after="0"/>
              <w:rPr>
                <w:sz w:val="20"/>
                <w:szCs w:val="20"/>
                <w:color w:val="auto"/>
              </w:rPr>
            </w:pPr>
            <w:r>
              <w:rPr>
                <w:rFonts w:ascii="Arial" w:cs="Arial" w:eastAsia="Arial" w:hAnsi="Arial"/>
                <w:sz w:val="18"/>
                <w:szCs w:val="18"/>
                <w:color w:val="auto"/>
              </w:rPr>
              <w:t>507,028</w:t>
            </w:r>
          </w:p>
        </w:tc>
      </w:tr>
      <w:tr>
        <w:trPr>
          <w:trHeight w:val="233"/>
        </w:trPr>
        <w:tc>
          <w:tcPr>
            <w:tcW w:w="6700" w:type="dxa"/>
            <w:vAlign w:val="bottom"/>
            <w:tcBorders>
              <w:bottom w:val="single" w:sz="8" w:color="BFBFBF"/>
            </w:tcBorders>
          </w:tcPr>
          <w:p>
            <w:pPr>
              <w:spacing w:after="0"/>
              <w:rPr>
                <w:sz w:val="20"/>
                <w:szCs w:val="20"/>
                <w:color w:val="auto"/>
              </w:rPr>
            </w:pPr>
            <w:r>
              <w:rPr>
                <w:rFonts w:ascii="Arial" w:cs="Arial" w:eastAsia="Arial" w:hAnsi="Arial"/>
                <w:sz w:val="18"/>
                <w:szCs w:val="18"/>
                <w:color w:val="auto"/>
              </w:rPr>
              <w:t>Restricted stock awards granted</w:t>
            </w:r>
          </w:p>
        </w:tc>
        <w:tc>
          <w:tcPr>
            <w:tcW w:w="1720" w:type="dxa"/>
            <w:vAlign w:val="bottom"/>
            <w:tcBorders>
              <w:bottom w:val="single" w:sz="8" w:color="BFBFBF"/>
            </w:tcBorders>
          </w:tcPr>
          <w:p>
            <w:pPr>
              <w:jc w:val="right"/>
              <w:ind w:right="114"/>
              <w:spacing w:after="0"/>
              <w:rPr>
                <w:sz w:val="20"/>
                <w:szCs w:val="20"/>
                <w:color w:val="auto"/>
              </w:rPr>
            </w:pPr>
            <w:r>
              <w:rPr>
                <w:rFonts w:ascii="Arial" w:cs="Arial" w:eastAsia="Arial" w:hAnsi="Arial"/>
                <w:sz w:val="18"/>
                <w:szCs w:val="18"/>
                <w:color w:val="auto"/>
              </w:rPr>
              <w:t>0</w:t>
            </w:r>
          </w:p>
        </w:tc>
        <w:tc>
          <w:tcPr>
            <w:tcW w:w="1500" w:type="dxa"/>
            <w:vAlign w:val="bottom"/>
            <w:tcBorders>
              <w:bottom w:val="single" w:sz="8" w:color="BFBFBF"/>
            </w:tcBorders>
          </w:tcPr>
          <w:p>
            <w:pPr>
              <w:jc w:val="right"/>
              <w:ind w:right="114"/>
              <w:spacing w:after="0"/>
              <w:rPr>
                <w:sz w:val="20"/>
                <w:szCs w:val="20"/>
                <w:color w:val="auto"/>
              </w:rPr>
            </w:pPr>
            <w:r>
              <w:rPr>
                <w:rFonts w:ascii="Arial" w:cs="Arial" w:eastAsia="Arial" w:hAnsi="Arial"/>
                <w:sz w:val="18"/>
                <w:szCs w:val="18"/>
                <w:color w:val="auto"/>
              </w:rPr>
              <w:t>0</w:t>
            </w:r>
          </w:p>
        </w:tc>
        <w:tc>
          <w:tcPr>
            <w:tcW w:w="13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0</w:t>
            </w:r>
          </w:p>
        </w:tc>
      </w:tr>
      <w:tr>
        <w:trPr>
          <w:trHeight w:val="233"/>
        </w:trPr>
        <w:tc>
          <w:tcPr>
            <w:tcW w:w="6700" w:type="dxa"/>
            <w:vAlign w:val="bottom"/>
            <w:tcBorders>
              <w:bottom w:val="single" w:sz="8" w:color="BFBFBF"/>
            </w:tcBorders>
            <w:shd w:val="clear" w:color="auto" w:fill="D9D9D9"/>
          </w:tcPr>
          <w:p>
            <w:pPr>
              <w:spacing w:after="0"/>
              <w:rPr>
                <w:sz w:val="20"/>
                <w:szCs w:val="20"/>
                <w:color w:val="auto"/>
              </w:rPr>
            </w:pPr>
            <w:r>
              <w:rPr>
                <w:rFonts w:ascii="Arial" w:cs="Arial" w:eastAsia="Arial" w:hAnsi="Arial"/>
                <w:sz w:val="18"/>
                <w:szCs w:val="18"/>
                <w:color w:val="auto"/>
              </w:rPr>
              <w:t>RSU awards granted</w:t>
            </w:r>
          </w:p>
        </w:tc>
        <w:tc>
          <w:tcPr>
            <w:tcW w:w="1720" w:type="dxa"/>
            <w:vAlign w:val="bottom"/>
            <w:tcBorders>
              <w:bottom w:val="single" w:sz="8" w:color="BFBFBF"/>
            </w:tcBorders>
            <w:shd w:val="clear" w:color="auto" w:fill="D9D9D9"/>
          </w:tcPr>
          <w:p>
            <w:pPr>
              <w:jc w:val="right"/>
              <w:ind w:right="114"/>
              <w:spacing w:after="0"/>
              <w:rPr>
                <w:sz w:val="20"/>
                <w:szCs w:val="20"/>
                <w:color w:val="auto"/>
              </w:rPr>
            </w:pPr>
            <w:r>
              <w:rPr>
                <w:rFonts w:ascii="Arial" w:cs="Arial" w:eastAsia="Arial" w:hAnsi="Arial"/>
                <w:sz w:val="18"/>
                <w:szCs w:val="18"/>
                <w:color w:val="auto"/>
              </w:rPr>
              <w:t>73,098</w:t>
            </w:r>
          </w:p>
        </w:tc>
        <w:tc>
          <w:tcPr>
            <w:tcW w:w="1500" w:type="dxa"/>
            <w:vAlign w:val="bottom"/>
            <w:tcBorders>
              <w:bottom w:val="single" w:sz="8" w:color="BFBFBF"/>
            </w:tcBorders>
            <w:shd w:val="clear" w:color="auto" w:fill="D9D9D9"/>
          </w:tcPr>
          <w:p>
            <w:pPr>
              <w:jc w:val="right"/>
              <w:ind w:right="114"/>
              <w:spacing w:after="0"/>
              <w:rPr>
                <w:sz w:val="20"/>
                <w:szCs w:val="20"/>
                <w:color w:val="auto"/>
              </w:rPr>
            </w:pPr>
            <w:r>
              <w:rPr>
                <w:rFonts w:ascii="Arial" w:cs="Arial" w:eastAsia="Arial" w:hAnsi="Arial"/>
                <w:sz w:val="18"/>
                <w:szCs w:val="18"/>
                <w:color w:val="auto"/>
              </w:rPr>
              <w:t>27,161</w:t>
            </w:r>
          </w:p>
        </w:tc>
        <w:tc>
          <w:tcPr>
            <w:tcW w:w="1320" w:type="dxa"/>
            <w:vAlign w:val="bottom"/>
            <w:tcBorders>
              <w:bottom w:val="single" w:sz="8" w:color="BFBFBF"/>
            </w:tcBorders>
            <w:shd w:val="clear" w:color="auto" w:fill="D9D9D9"/>
          </w:tcPr>
          <w:p>
            <w:pPr>
              <w:jc w:val="right"/>
              <w:spacing w:after="0"/>
              <w:rPr>
                <w:sz w:val="20"/>
                <w:szCs w:val="20"/>
                <w:color w:val="auto"/>
              </w:rPr>
            </w:pPr>
            <w:r>
              <w:rPr>
                <w:rFonts w:ascii="Arial" w:cs="Arial" w:eastAsia="Arial" w:hAnsi="Arial"/>
                <w:sz w:val="18"/>
                <w:szCs w:val="18"/>
                <w:color w:val="auto"/>
              </w:rPr>
              <w:t>76,496</w:t>
            </w:r>
          </w:p>
        </w:tc>
      </w:tr>
      <w:tr>
        <w:trPr>
          <w:trHeight w:val="233"/>
        </w:trPr>
        <w:tc>
          <w:tcPr>
            <w:tcW w:w="6700" w:type="dxa"/>
            <w:vAlign w:val="bottom"/>
            <w:tcBorders>
              <w:bottom w:val="single" w:sz="8" w:color="BFBFBF"/>
            </w:tcBorders>
          </w:tcPr>
          <w:p>
            <w:pPr>
              <w:spacing w:after="0"/>
              <w:rPr>
                <w:sz w:val="20"/>
                <w:szCs w:val="20"/>
                <w:color w:val="auto"/>
              </w:rPr>
            </w:pPr>
            <w:r>
              <w:rPr>
                <w:rFonts w:ascii="Arial" w:cs="Arial" w:eastAsia="Arial" w:hAnsi="Arial"/>
                <w:sz w:val="18"/>
                <w:szCs w:val="18"/>
                <w:color w:val="auto"/>
              </w:rPr>
              <w:t>Performance share awards granted, assuming target performance*</w:t>
            </w:r>
          </w:p>
        </w:tc>
        <w:tc>
          <w:tcPr>
            <w:tcW w:w="1720" w:type="dxa"/>
            <w:vAlign w:val="bottom"/>
            <w:tcBorders>
              <w:bottom w:val="single" w:sz="8" w:color="BFBFBF"/>
            </w:tcBorders>
          </w:tcPr>
          <w:p>
            <w:pPr>
              <w:jc w:val="right"/>
              <w:ind w:right="114"/>
              <w:spacing w:after="0"/>
              <w:rPr>
                <w:sz w:val="20"/>
                <w:szCs w:val="20"/>
                <w:color w:val="auto"/>
              </w:rPr>
            </w:pPr>
            <w:r>
              <w:rPr>
                <w:rFonts w:ascii="Arial" w:cs="Arial" w:eastAsia="Arial" w:hAnsi="Arial"/>
                <w:sz w:val="18"/>
                <w:szCs w:val="18"/>
                <w:color w:val="auto"/>
              </w:rPr>
              <w:t>53,976</w:t>
            </w:r>
          </w:p>
        </w:tc>
        <w:tc>
          <w:tcPr>
            <w:tcW w:w="1500" w:type="dxa"/>
            <w:vAlign w:val="bottom"/>
            <w:tcBorders>
              <w:bottom w:val="single" w:sz="8" w:color="BFBFBF"/>
            </w:tcBorders>
          </w:tcPr>
          <w:p>
            <w:pPr>
              <w:jc w:val="right"/>
              <w:ind w:right="114"/>
              <w:spacing w:after="0"/>
              <w:rPr>
                <w:sz w:val="20"/>
                <w:szCs w:val="20"/>
                <w:color w:val="auto"/>
              </w:rPr>
            </w:pPr>
            <w:r>
              <w:rPr>
                <w:rFonts w:ascii="Arial" w:cs="Arial" w:eastAsia="Arial" w:hAnsi="Arial"/>
                <w:sz w:val="18"/>
                <w:szCs w:val="18"/>
                <w:color w:val="auto"/>
              </w:rPr>
              <w:t>81,655</w:t>
            </w:r>
          </w:p>
        </w:tc>
        <w:tc>
          <w:tcPr>
            <w:tcW w:w="13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69,600</w:t>
            </w:r>
          </w:p>
        </w:tc>
      </w:tr>
      <w:tr>
        <w:trPr>
          <w:trHeight w:val="465"/>
        </w:trPr>
        <w:tc>
          <w:tcPr>
            <w:tcW w:w="6700" w:type="dxa"/>
            <w:vAlign w:val="bottom"/>
            <w:tcBorders>
              <w:bottom w:val="single" w:sz="8" w:color="BFBFBF"/>
            </w:tcBorders>
            <w:shd w:val="clear" w:color="auto" w:fill="D9D9D9"/>
          </w:tcPr>
          <w:p>
            <w:pPr>
              <w:spacing w:after="0"/>
              <w:rPr>
                <w:sz w:val="20"/>
                <w:szCs w:val="20"/>
                <w:color w:val="auto"/>
              </w:rPr>
            </w:pPr>
            <w:r>
              <w:rPr>
                <w:rFonts w:ascii="Arial" w:cs="Arial" w:eastAsia="Arial" w:hAnsi="Arial"/>
                <w:sz w:val="18"/>
                <w:szCs w:val="18"/>
                <w:color w:val="auto"/>
              </w:rPr>
              <w:t>Weighted average basic shares of common stock outstanding during fiscal year</w:t>
            </w:r>
          </w:p>
        </w:tc>
        <w:tc>
          <w:tcPr>
            <w:tcW w:w="1720" w:type="dxa"/>
            <w:vAlign w:val="bottom"/>
            <w:tcBorders>
              <w:bottom w:val="single" w:sz="8" w:color="BFBFBF"/>
            </w:tcBorders>
            <w:shd w:val="clear" w:color="auto" w:fill="D9D9D9"/>
          </w:tcPr>
          <w:p>
            <w:pPr>
              <w:jc w:val="right"/>
              <w:ind w:right="114"/>
              <w:spacing w:after="0"/>
              <w:rPr>
                <w:sz w:val="20"/>
                <w:szCs w:val="20"/>
                <w:color w:val="auto"/>
              </w:rPr>
            </w:pPr>
            <w:r>
              <w:rPr>
                <w:rFonts w:ascii="Arial" w:cs="Arial" w:eastAsia="Arial" w:hAnsi="Arial"/>
                <w:sz w:val="18"/>
                <w:szCs w:val="18"/>
                <w:color w:val="auto"/>
              </w:rPr>
              <w:t>107,341,000</w:t>
            </w:r>
          </w:p>
        </w:tc>
        <w:tc>
          <w:tcPr>
            <w:tcW w:w="1500" w:type="dxa"/>
            <w:vAlign w:val="bottom"/>
            <w:tcBorders>
              <w:bottom w:val="single" w:sz="8" w:color="BFBFBF"/>
            </w:tcBorders>
            <w:shd w:val="clear" w:color="auto" w:fill="D9D9D9"/>
          </w:tcPr>
          <w:p>
            <w:pPr>
              <w:jc w:val="right"/>
              <w:ind w:right="114"/>
              <w:spacing w:after="0"/>
              <w:rPr>
                <w:sz w:val="20"/>
                <w:szCs w:val="20"/>
                <w:color w:val="auto"/>
              </w:rPr>
            </w:pPr>
            <w:r>
              <w:rPr>
                <w:rFonts w:ascii="Arial" w:cs="Arial" w:eastAsia="Arial" w:hAnsi="Arial"/>
                <w:sz w:val="18"/>
                <w:szCs w:val="18"/>
                <w:color w:val="auto"/>
              </w:rPr>
              <w:t>107,658,000</w:t>
            </w:r>
          </w:p>
        </w:tc>
        <w:tc>
          <w:tcPr>
            <w:tcW w:w="1320" w:type="dxa"/>
            <w:vAlign w:val="bottom"/>
            <w:tcBorders>
              <w:bottom w:val="single" w:sz="8" w:color="BFBFBF"/>
            </w:tcBorders>
            <w:shd w:val="clear" w:color="auto" w:fill="D9D9D9"/>
          </w:tcPr>
          <w:p>
            <w:pPr>
              <w:jc w:val="right"/>
              <w:spacing w:after="0"/>
              <w:rPr>
                <w:sz w:val="20"/>
                <w:szCs w:val="20"/>
                <w:color w:val="auto"/>
              </w:rPr>
            </w:pPr>
            <w:r>
              <w:rPr>
                <w:rFonts w:ascii="Arial" w:cs="Arial" w:eastAsia="Arial" w:hAnsi="Arial"/>
                <w:sz w:val="18"/>
                <w:szCs w:val="18"/>
                <w:color w:val="auto"/>
              </w:rPr>
              <w:t>106,773,000</w:t>
            </w:r>
          </w:p>
        </w:tc>
      </w:tr>
      <w:tr>
        <w:trPr>
          <w:trHeight w:val="227"/>
        </w:trPr>
        <w:tc>
          <w:tcPr>
            <w:tcW w:w="6700" w:type="dxa"/>
            <w:vAlign w:val="bottom"/>
            <w:tcBorders>
              <w:bottom w:val="single" w:sz="8" w:color="BFBFBF"/>
            </w:tcBorders>
          </w:tcPr>
          <w:p>
            <w:pPr>
              <w:spacing w:after="0"/>
              <w:rPr>
                <w:sz w:val="20"/>
                <w:szCs w:val="20"/>
                <w:color w:val="auto"/>
              </w:rPr>
            </w:pPr>
            <w:r>
              <w:rPr>
                <w:rFonts w:ascii="Arial" w:cs="Arial" w:eastAsia="Arial" w:hAnsi="Arial"/>
                <w:sz w:val="18"/>
                <w:szCs w:val="18"/>
                <w:color w:val="auto"/>
              </w:rPr>
              <w:t>Burn rate</w:t>
            </w:r>
          </w:p>
        </w:tc>
        <w:tc>
          <w:tcPr>
            <w:tcW w:w="1720" w:type="dxa"/>
            <w:vAlign w:val="bottom"/>
            <w:tcBorders>
              <w:bottom w:val="single" w:sz="8" w:color="BFBFBF"/>
            </w:tcBorders>
          </w:tcPr>
          <w:p>
            <w:pPr>
              <w:jc w:val="right"/>
              <w:ind w:right="114"/>
              <w:spacing w:after="0"/>
              <w:rPr>
                <w:sz w:val="20"/>
                <w:szCs w:val="20"/>
                <w:color w:val="auto"/>
              </w:rPr>
            </w:pPr>
            <w:r>
              <w:rPr>
                <w:rFonts w:ascii="Arial" w:cs="Arial" w:eastAsia="Arial" w:hAnsi="Arial"/>
                <w:sz w:val="18"/>
                <w:szCs w:val="18"/>
                <w:color w:val="auto"/>
              </w:rPr>
              <w:t>0.64%</w:t>
            </w:r>
          </w:p>
        </w:tc>
        <w:tc>
          <w:tcPr>
            <w:tcW w:w="1500" w:type="dxa"/>
            <w:vAlign w:val="bottom"/>
            <w:tcBorders>
              <w:bottom w:val="single" w:sz="8" w:color="BFBFBF"/>
            </w:tcBorders>
          </w:tcPr>
          <w:p>
            <w:pPr>
              <w:jc w:val="right"/>
              <w:ind w:right="114"/>
              <w:spacing w:after="0"/>
              <w:rPr>
                <w:sz w:val="20"/>
                <w:szCs w:val="20"/>
                <w:color w:val="auto"/>
              </w:rPr>
            </w:pPr>
            <w:r>
              <w:rPr>
                <w:rFonts w:ascii="Arial" w:cs="Arial" w:eastAsia="Arial" w:hAnsi="Arial"/>
                <w:sz w:val="18"/>
                <w:szCs w:val="18"/>
                <w:color w:val="auto"/>
              </w:rPr>
              <w:t>0.61%</w:t>
            </w:r>
          </w:p>
        </w:tc>
        <w:tc>
          <w:tcPr>
            <w:tcW w:w="132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0.62%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4352290</wp:posOffset>
            </wp:positionH>
            <wp:positionV relativeFrom="paragraph">
              <wp:posOffset>-1274445</wp:posOffset>
            </wp:positionV>
            <wp:extent cx="2786380" cy="1606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786380" cy="160655"/>
                    </a:xfrm>
                    <a:prstGeom prst="rect">
                      <a:avLst/>
                    </a:prstGeom>
                    <a:noFill/>
                  </pic:spPr>
                </pic:pic>
              </a:graphicData>
            </a:graphic>
          </wp:anchor>
        </w:drawing>
      </w:r>
    </w:p>
    <w:p>
      <w:pPr>
        <w:spacing w:after="0" w:line="86" w:lineRule="exact"/>
        <w:rPr>
          <w:sz w:val="20"/>
          <w:szCs w:val="20"/>
          <w:color w:val="auto"/>
        </w:rPr>
      </w:pPr>
    </w:p>
    <w:p>
      <w:pPr>
        <w:ind w:right="100" w:firstLine="401"/>
        <w:spacing w:after="0" w:line="234" w:lineRule="auto"/>
        <w:rPr>
          <w:sz w:val="20"/>
          <w:szCs w:val="20"/>
          <w:color w:val="auto"/>
        </w:rPr>
      </w:pPr>
      <w:r>
        <w:rPr>
          <w:rFonts w:ascii="Arial" w:cs="Arial" w:eastAsia="Arial" w:hAnsi="Arial"/>
          <w:sz w:val="18"/>
          <w:szCs w:val="18"/>
          <w:color w:val="auto"/>
        </w:rPr>
        <w:t>Our three -year average burn rate (Fiscal Years 2019 to 2021) is only 0.62%, which is significantly lower than the industry thresholds established by certain major proxy advisory firms. Based on our historical and anticipated granting practices and the recent trading price of our common stock, we expect the 2022 Plan to cover awards for approximately three to five years. However, we cannot predict our future equity grant practices, the future price of our common stock or future hiring activity with any degree of certainty at this time; and therefore, the share reserve under the 2022 Plan could last for a shorter or longer period of time.</w:t>
      </w:r>
    </w:p>
    <w:p>
      <w:pPr>
        <w:spacing w:after="0" w:line="73" w:lineRule="exact"/>
        <w:rPr>
          <w:sz w:val="20"/>
          <w:szCs w:val="20"/>
          <w:color w:val="auto"/>
        </w:rPr>
      </w:pPr>
    </w:p>
    <w:p>
      <w:pPr>
        <w:ind w:right="700" w:firstLine="401"/>
        <w:spacing w:after="0" w:line="263" w:lineRule="auto"/>
        <w:rPr>
          <w:sz w:val="20"/>
          <w:szCs w:val="20"/>
          <w:color w:val="auto"/>
        </w:rPr>
      </w:pPr>
      <w:r>
        <w:rPr>
          <w:rFonts w:ascii="Arial" w:cs="Arial" w:eastAsia="Arial" w:hAnsi="Arial"/>
          <w:sz w:val="18"/>
          <w:szCs w:val="18"/>
          <w:b w:val="1"/>
          <w:bCs w:val="1"/>
          <w:color w:val="auto"/>
        </w:rPr>
        <w:t>Potential Dilution and Overhang</w:t>
      </w:r>
      <w:r>
        <w:rPr>
          <w:rFonts w:ascii="Arial" w:cs="Arial" w:eastAsia="Arial" w:hAnsi="Arial"/>
          <w:sz w:val="18"/>
          <w:szCs w:val="18"/>
          <w:color w:val="auto"/>
        </w:rPr>
        <w:t>. In setting the number of shares authorized for issuance under the 2022 Plan, the Board and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&amp; Human Resources Committee also considered the dilution (based on total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98"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outstanding award shares) and overhang (based on total potential award shares) that would result from approval of the 2022 Plan, including the policies of certain institutional investors and major proxy advisory firms.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9320" w:type="dxa"/>
            <w:vAlign w:val="bottom"/>
            <w:shd w:val="clear" w:color="auto" w:fill="C00000"/>
          </w:tcPr>
          <w:p>
            <w:pPr>
              <w:spacing w:after="0"/>
              <w:rPr>
                <w:sz w:val="17"/>
                <w:szCs w:val="17"/>
                <w:color w:val="auto"/>
              </w:rPr>
            </w:pPr>
          </w:p>
        </w:tc>
        <w:tc>
          <w:tcPr>
            <w:tcW w:w="1920" w:type="dxa"/>
            <w:vAlign w:val="bottom"/>
            <w:shd w:val="clear" w:color="auto" w:fill="C00000"/>
          </w:tcPr>
          <w:p>
            <w:pPr>
              <w:jc w:val="right"/>
              <w:ind w:right="175"/>
              <w:spacing w:after="0"/>
              <w:rPr>
                <w:sz w:val="20"/>
                <w:szCs w:val="20"/>
                <w:color w:val="auto"/>
              </w:rPr>
            </w:pPr>
            <w:r>
              <w:rPr>
                <w:rFonts w:ascii="Arial" w:cs="Arial" w:eastAsia="Arial" w:hAnsi="Arial"/>
                <w:sz w:val="14"/>
                <w:szCs w:val="14"/>
                <w:b w:val="1"/>
                <w:bCs w:val="1"/>
                <w:color w:val="FFFFFF"/>
              </w:rPr>
              <w:t>Assuming Approval</w:t>
            </w:r>
          </w:p>
        </w:tc>
      </w:tr>
      <w:tr>
        <w:trPr>
          <w:trHeight w:val="206"/>
        </w:trPr>
        <w:tc>
          <w:tcPr>
            <w:tcW w:w="9320" w:type="dxa"/>
            <w:vAlign w:val="bottom"/>
            <w:tcBorders>
              <w:bottom w:val="single" w:sz="8" w:color="C00000"/>
            </w:tcBorders>
            <w:shd w:val="clear" w:color="auto" w:fill="C00000"/>
          </w:tcPr>
          <w:p>
            <w:pPr>
              <w:spacing w:after="0"/>
              <w:rPr>
                <w:sz w:val="17"/>
                <w:szCs w:val="17"/>
                <w:color w:val="auto"/>
              </w:rPr>
            </w:pPr>
          </w:p>
        </w:tc>
        <w:tc>
          <w:tcPr>
            <w:tcW w:w="1920" w:type="dxa"/>
            <w:vAlign w:val="bottom"/>
            <w:tcBorders>
              <w:bottom w:val="single" w:sz="8" w:color="C00000"/>
            </w:tcBorders>
            <w:shd w:val="clear" w:color="auto" w:fill="C00000"/>
          </w:tcPr>
          <w:p>
            <w:pPr>
              <w:jc w:val="right"/>
              <w:ind w:right="315"/>
              <w:spacing w:after="0"/>
              <w:rPr>
                <w:sz w:val="20"/>
                <w:szCs w:val="20"/>
                <w:color w:val="auto"/>
              </w:rPr>
            </w:pPr>
            <w:r>
              <w:rPr>
                <w:rFonts w:ascii="Arial" w:cs="Arial" w:eastAsia="Arial" w:hAnsi="Arial"/>
                <w:sz w:val="14"/>
                <w:szCs w:val="14"/>
                <w:b w:val="1"/>
                <w:bCs w:val="1"/>
                <w:color w:val="FFFFFF"/>
              </w:rPr>
              <w:t>of the 2022 Plan</w:t>
            </w:r>
          </w:p>
        </w:tc>
      </w:tr>
      <w:tr>
        <w:trPr>
          <w:trHeight w:val="232"/>
        </w:trPr>
        <w:tc>
          <w:tcPr>
            <w:tcW w:w="9320" w:type="dxa"/>
            <w:vAlign w:val="bottom"/>
          </w:tcPr>
          <w:p>
            <w:pPr>
              <w:spacing w:after="0"/>
              <w:rPr>
                <w:sz w:val="20"/>
                <w:szCs w:val="20"/>
                <w:color w:val="auto"/>
              </w:rPr>
            </w:pPr>
            <w:r>
              <w:rPr>
                <w:rFonts w:ascii="Arial" w:cs="Arial" w:eastAsia="Arial" w:hAnsi="Arial"/>
                <w:sz w:val="18"/>
                <w:szCs w:val="18"/>
                <w:color w:val="auto"/>
              </w:rPr>
              <w:t>Options Outstanding as of January 18, 2022</w:t>
            </w:r>
          </w:p>
        </w:tc>
        <w:tc>
          <w:tcPr>
            <w:tcW w:w="1920" w:type="dxa"/>
            <w:vAlign w:val="bottom"/>
          </w:tcPr>
          <w:p>
            <w:pPr>
              <w:jc w:val="right"/>
              <w:spacing w:after="0"/>
              <w:rPr>
                <w:sz w:val="20"/>
                <w:szCs w:val="20"/>
                <w:color w:val="auto"/>
              </w:rPr>
            </w:pPr>
            <w:r>
              <w:rPr>
                <w:rFonts w:ascii="Arial" w:cs="Arial" w:eastAsia="Arial" w:hAnsi="Arial"/>
                <w:sz w:val="18"/>
                <w:szCs w:val="18"/>
                <w:color w:val="auto"/>
              </w:rPr>
              <w:t>3,210,579</w:t>
            </w:r>
          </w:p>
        </w:tc>
      </w:tr>
      <w:tr>
        <w:trPr>
          <w:trHeight w:val="247"/>
        </w:trPr>
        <w:tc>
          <w:tcPr>
            <w:tcW w:w="9320" w:type="dxa"/>
            <w:vAlign w:val="bottom"/>
            <w:shd w:val="clear" w:color="auto" w:fill="D9D9D9"/>
          </w:tcPr>
          <w:p>
            <w:pPr>
              <w:spacing w:after="0"/>
              <w:rPr>
                <w:sz w:val="20"/>
                <w:szCs w:val="20"/>
                <w:color w:val="auto"/>
              </w:rPr>
            </w:pPr>
            <w:r>
              <w:rPr>
                <w:rFonts w:ascii="Arial" w:cs="Arial" w:eastAsia="Arial" w:hAnsi="Arial"/>
                <w:sz w:val="18"/>
                <w:szCs w:val="18"/>
                <w:color w:val="auto"/>
              </w:rPr>
              <w:t>Weighted Average Exercise Price of Options Outstanding</w:t>
            </w:r>
          </w:p>
        </w:tc>
        <w:tc>
          <w:tcPr>
            <w:tcW w:w="19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$69.64</w:t>
            </w:r>
          </w:p>
        </w:tc>
      </w:tr>
      <w:tr>
        <w:trPr>
          <w:trHeight w:val="232"/>
        </w:trPr>
        <w:tc>
          <w:tcPr>
            <w:tcW w:w="9320" w:type="dxa"/>
            <w:vAlign w:val="bottom"/>
          </w:tcPr>
          <w:p>
            <w:pPr>
              <w:spacing w:after="0"/>
              <w:rPr>
                <w:sz w:val="20"/>
                <w:szCs w:val="20"/>
                <w:color w:val="auto"/>
              </w:rPr>
            </w:pPr>
            <w:r>
              <w:rPr>
                <w:rFonts w:ascii="Arial" w:cs="Arial" w:eastAsia="Arial" w:hAnsi="Arial"/>
                <w:sz w:val="18"/>
                <w:szCs w:val="18"/>
                <w:color w:val="auto"/>
              </w:rPr>
              <w:t>Weighted Average Remaining Term of Options Outstanding</w:t>
            </w:r>
          </w:p>
        </w:tc>
        <w:tc>
          <w:tcPr>
            <w:tcW w:w="1920" w:type="dxa"/>
            <w:vAlign w:val="bottom"/>
          </w:tcPr>
          <w:p>
            <w:pPr>
              <w:jc w:val="right"/>
              <w:spacing w:after="0"/>
              <w:rPr>
                <w:sz w:val="20"/>
                <w:szCs w:val="20"/>
                <w:color w:val="auto"/>
              </w:rPr>
            </w:pPr>
            <w:r>
              <w:rPr>
                <w:rFonts w:ascii="Arial" w:cs="Arial" w:eastAsia="Arial" w:hAnsi="Arial"/>
                <w:sz w:val="18"/>
                <w:szCs w:val="18"/>
                <w:color w:val="auto"/>
              </w:rPr>
              <w:t>6.61 years</w:t>
            </w:r>
          </w:p>
        </w:tc>
      </w:tr>
      <w:tr>
        <w:trPr>
          <w:trHeight w:val="247"/>
        </w:trPr>
        <w:tc>
          <w:tcPr>
            <w:tcW w:w="9320" w:type="dxa"/>
            <w:vAlign w:val="bottom"/>
            <w:shd w:val="clear" w:color="auto" w:fill="D9D9D9"/>
          </w:tcPr>
          <w:p>
            <w:pPr>
              <w:spacing w:after="0"/>
              <w:rPr>
                <w:sz w:val="20"/>
                <w:szCs w:val="20"/>
                <w:color w:val="auto"/>
              </w:rPr>
            </w:pPr>
            <w:r>
              <w:rPr>
                <w:rFonts w:ascii="Arial" w:cs="Arial" w:eastAsia="Arial" w:hAnsi="Arial"/>
                <w:sz w:val="18"/>
                <w:szCs w:val="18"/>
                <w:color w:val="auto"/>
              </w:rPr>
              <w:t>RSU Awards Outstanding as of January 18, 2022</w:t>
            </w:r>
          </w:p>
        </w:tc>
        <w:tc>
          <w:tcPr>
            <w:tcW w:w="19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132,427</w:t>
            </w:r>
          </w:p>
        </w:tc>
      </w:tr>
      <w:tr>
        <w:trPr>
          <w:trHeight w:val="232"/>
        </w:trPr>
        <w:tc>
          <w:tcPr>
            <w:tcW w:w="9320" w:type="dxa"/>
            <w:vAlign w:val="bottom"/>
          </w:tcPr>
          <w:p>
            <w:pPr>
              <w:spacing w:after="0"/>
              <w:rPr>
                <w:sz w:val="20"/>
                <w:szCs w:val="20"/>
                <w:color w:val="auto"/>
              </w:rPr>
            </w:pPr>
            <w:r>
              <w:rPr>
                <w:rFonts w:ascii="Arial" w:cs="Arial" w:eastAsia="Arial" w:hAnsi="Arial"/>
                <w:sz w:val="18"/>
                <w:szCs w:val="18"/>
                <w:color w:val="auto"/>
              </w:rPr>
              <w:t>Performance Share Awards Outstanding as of January 18, 2022, assuming Target Performance</w:t>
            </w:r>
          </w:p>
        </w:tc>
        <w:tc>
          <w:tcPr>
            <w:tcW w:w="1920" w:type="dxa"/>
            <w:vAlign w:val="bottom"/>
          </w:tcPr>
          <w:p>
            <w:pPr>
              <w:jc w:val="right"/>
              <w:spacing w:after="0"/>
              <w:rPr>
                <w:sz w:val="20"/>
                <w:szCs w:val="20"/>
                <w:color w:val="auto"/>
              </w:rPr>
            </w:pPr>
            <w:r>
              <w:rPr>
                <w:rFonts w:ascii="Arial" w:cs="Arial" w:eastAsia="Arial" w:hAnsi="Arial"/>
                <w:sz w:val="18"/>
                <w:szCs w:val="18"/>
                <w:color w:val="auto"/>
              </w:rPr>
              <w:t>203,600</w:t>
            </w:r>
          </w:p>
        </w:tc>
      </w:tr>
      <w:tr>
        <w:trPr>
          <w:trHeight w:val="232"/>
        </w:trPr>
        <w:tc>
          <w:tcPr>
            <w:tcW w:w="9320" w:type="dxa"/>
            <w:vAlign w:val="bottom"/>
            <w:shd w:val="clear" w:color="auto" w:fill="D9D9D9"/>
          </w:tcPr>
          <w:p>
            <w:pPr>
              <w:spacing w:after="0"/>
              <w:rPr>
                <w:sz w:val="20"/>
                <w:szCs w:val="20"/>
                <w:color w:val="auto"/>
              </w:rPr>
            </w:pPr>
            <w:r>
              <w:rPr>
                <w:rFonts w:ascii="Arial" w:cs="Arial" w:eastAsia="Arial" w:hAnsi="Arial"/>
                <w:sz w:val="18"/>
                <w:szCs w:val="18"/>
                <w:color w:val="auto"/>
              </w:rPr>
              <w:t>Total Equity Awards Outstanding (Including Options, RSU Awards and Performance Share Awards)</w:t>
            </w:r>
          </w:p>
        </w:tc>
        <w:tc>
          <w:tcPr>
            <w:tcW w:w="1920" w:type="dxa"/>
            <w:vAlign w:val="bottom"/>
            <w:shd w:val="clear" w:color="auto" w:fill="D9D9D9"/>
          </w:tcPr>
          <w:p>
            <w:pPr>
              <w:spacing w:after="0"/>
              <w:rPr>
                <w:sz w:val="20"/>
                <w:szCs w:val="20"/>
                <w:color w:val="auto"/>
              </w:rPr>
            </w:pPr>
          </w:p>
        </w:tc>
      </w:tr>
      <w:tr>
        <w:trPr>
          <w:trHeight w:val="241"/>
        </w:trPr>
        <w:tc>
          <w:tcPr>
            <w:tcW w:w="9320" w:type="dxa"/>
            <w:vAlign w:val="bottom"/>
            <w:shd w:val="clear" w:color="auto" w:fill="D9D9D9"/>
          </w:tcPr>
          <w:p>
            <w:pPr>
              <w:spacing w:after="0"/>
              <w:rPr>
                <w:sz w:val="20"/>
                <w:szCs w:val="20"/>
                <w:color w:val="auto"/>
              </w:rPr>
            </w:pPr>
          </w:p>
        </w:tc>
        <w:tc>
          <w:tcPr>
            <w:tcW w:w="19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3,546,606</w:t>
            </w:r>
          </w:p>
        </w:tc>
      </w:tr>
      <w:tr>
        <w:trPr>
          <w:trHeight w:val="232"/>
        </w:trPr>
        <w:tc>
          <w:tcPr>
            <w:tcW w:w="9320" w:type="dxa"/>
            <w:vAlign w:val="bottom"/>
          </w:tcPr>
          <w:p>
            <w:pPr>
              <w:spacing w:after="0"/>
              <w:rPr>
                <w:sz w:val="20"/>
                <w:szCs w:val="20"/>
                <w:color w:val="auto"/>
              </w:rPr>
            </w:pPr>
            <w:r>
              <w:rPr>
                <w:rFonts w:ascii="Arial" w:cs="Arial" w:eastAsia="Arial" w:hAnsi="Arial"/>
                <w:sz w:val="18"/>
                <w:szCs w:val="18"/>
                <w:color w:val="auto"/>
              </w:rPr>
              <w:t>Common Stock Outstanding as of January 18, 2022</w:t>
            </w:r>
          </w:p>
        </w:tc>
        <w:tc>
          <w:tcPr>
            <w:tcW w:w="1920" w:type="dxa"/>
            <w:vAlign w:val="bottom"/>
          </w:tcPr>
          <w:p>
            <w:pPr>
              <w:jc w:val="right"/>
              <w:spacing w:after="0"/>
              <w:rPr>
                <w:sz w:val="20"/>
                <w:szCs w:val="20"/>
                <w:color w:val="auto"/>
              </w:rPr>
            </w:pPr>
            <w:r>
              <w:rPr>
                <w:rFonts w:ascii="Arial" w:cs="Arial" w:eastAsia="Arial" w:hAnsi="Arial"/>
                <w:sz w:val="18"/>
                <w:szCs w:val="18"/>
                <w:color w:val="auto"/>
              </w:rPr>
              <w:t>104,908,637</w:t>
            </w:r>
          </w:p>
        </w:tc>
      </w:tr>
      <w:tr>
        <w:trPr>
          <w:trHeight w:val="247"/>
        </w:trPr>
        <w:tc>
          <w:tcPr>
            <w:tcW w:w="9320" w:type="dxa"/>
            <w:vAlign w:val="bottom"/>
            <w:shd w:val="clear" w:color="auto" w:fill="D9D9D9"/>
          </w:tcPr>
          <w:p>
            <w:pPr>
              <w:spacing w:after="0"/>
              <w:rPr>
                <w:sz w:val="20"/>
                <w:szCs w:val="20"/>
                <w:color w:val="auto"/>
              </w:rPr>
            </w:pPr>
            <w:r>
              <w:rPr>
                <w:rFonts w:ascii="Arial" w:cs="Arial" w:eastAsia="Arial" w:hAnsi="Arial"/>
                <w:sz w:val="18"/>
                <w:szCs w:val="18"/>
                <w:color w:val="auto"/>
              </w:rPr>
              <w:t>Dilution as of January 18, 2022</w:t>
            </w:r>
            <w:r>
              <w:rPr>
                <w:rFonts w:ascii="Arial" w:cs="Arial" w:eastAsia="Arial" w:hAnsi="Arial"/>
                <w:sz w:val="15"/>
                <w:szCs w:val="15"/>
                <w:color w:val="auto"/>
              </w:rPr>
              <w:t>(1)</w:t>
            </w:r>
          </w:p>
        </w:tc>
        <w:tc>
          <w:tcPr>
            <w:tcW w:w="19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3.38%</w:t>
            </w:r>
          </w:p>
        </w:tc>
      </w:tr>
      <w:tr>
        <w:trPr>
          <w:trHeight w:val="212"/>
        </w:trPr>
        <w:tc>
          <w:tcPr>
            <w:tcW w:w="9320" w:type="dxa"/>
            <w:vAlign w:val="bottom"/>
          </w:tcPr>
          <w:p>
            <w:pPr>
              <w:spacing w:after="0"/>
              <w:rPr>
                <w:sz w:val="20"/>
                <w:szCs w:val="20"/>
                <w:color w:val="auto"/>
              </w:rPr>
            </w:pPr>
            <w:r>
              <w:rPr>
                <w:rFonts w:ascii="Arial" w:cs="Arial" w:eastAsia="Arial" w:hAnsi="Arial"/>
                <w:sz w:val="18"/>
                <w:szCs w:val="18"/>
                <w:color w:val="auto"/>
              </w:rPr>
              <w:t>Shares Available for Future Grant under the 2022 Plan (Including 1,250,000 New Shares Plus 2,515,746 Carryover</w:t>
            </w:r>
          </w:p>
        </w:tc>
        <w:tc>
          <w:tcPr>
            <w:tcW w:w="1920" w:type="dxa"/>
            <w:vAlign w:val="bottom"/>
          </w:tcPr>
          <w:p>
            <w:pPr>
              <w:jc w:val="right"/>
              <w:spacing w:after="0"/>
              <w:rPr>
                <w:sz w:val="20"/>
                <w:szCs w:val="20"/>
                <w:color w:val="auto"/>
              </w:rPr>
            </w:pPr>
            <w:r>
              <w:rPr>
                <w:rFonts w:ascii="Arial" w:cs="Arial" w:eastAsia="Arial" w:hAnsi="Arial"/>
                <w:sz w:val="18"/>
                <w:szCs w:val="18"/>
                <w:color w:val="auto"/>
              </w:rPr>
              <w:t>3,765,746</w:t>
            </w:r>
          </w:p>
        </w:tc>
      </w:tr>
    </w:tbl>
    <w:p>
      <w:pPr>
        <w:spacing w:after="0"/>
        <w:rPr>
          <w:sz w:val="20"/>
          <w:szCs w:val="20"/>
          <w:color w:val="auto"/>
        </w:rPr>
      </w:pPr>
      <w:r>
        <w:rPr>
          <w:rFonts w:ascii="Arial" w:cs="Arial" w:eastAsia="Arial" w:hAnsi="Arial"/>
          <w:sz w:val="18"/>
          <w:szCs w:val="18"/>
          <w:color w:val="auto"/>
        </w:rPr>
        <w:t>Shares from the 2010 Plan) as of January 18,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134225" cy="2952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4225" cy="29527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Overhang under the 2022 Plan, as a Percentage of Common Stock Outstanding as of January 18, 2022</w:t>
      </w:r>
      <w:r>
        <w:rPr>
          <w:rFonts w:ascii="Arial" w:cs="Arial" w:eastAsia="Arial" w:hAnsi="Arial"/>
          <w:sz w:val="15"/>
          <w:szCs w:val="15"/>
          <w:color w:val="auto"/>
        </w:rPr>
        <w:t>(2)</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71755</wp:posOffset>
            </wp:positionV>
            <wp:extent cx="203454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034540" cy="8255"/>
                    </a:xfrm>
                    <a:prstGeom prst="rect">
                      <a:avLst/>
                    </a:prstGeom>
                    <a:noFill/>
                  </pic:spPr>
                </pic:pic>
              </a:graphicData>
            </a:graphic>
          </wp:anchor>
        </w:drawing>
      </w:r>
    </w:p>
    <w:p>
      <w:pPr>
        <w:spacing w:after="0" w:line="159" w:lineRule="exact"/>
        <w:rPr>
          <w:sz w:val="20"/>
          <w:szCs w:val="20"/>
          <w:color w:val="auto"/>
        </w:rPr>
      </w:pPr>
    </w:p>
    <w:p>
      <w:pPr>
        <w:ind w:left="400" w:right="100" w:hanging="394"/>
        <w:spacing w:after="0" w:line="238" w:lineRule="auto"/>
        <w:tabs>
          <w:tab w:leader="none" w:pos="4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Dilution consists of the number of shares subject to equity awards outstanding as of January 18, 2022 divided by the number of shares of our common stock outstanding as of January 18, 2022.</w:t>
      </w:r>
    </w:p>
    <w:p>
      <w:pPr>
        <w:spacing w:after="0" w:line="41" w:lineRule="exact"/>
        <w:rPr>
          <w:rFonts w:ascii="Arial" w:cs="Arial" w:eastAsia="Arial" w:hAnsi="Arial"/>
          <w:sz w:val="18"/>
          <w:szCs w:val="18"/>
          <w:color w:val="auto"/>
        </w:rPr>
      </w:pPr>
    </w:p>
    <w:p>
      <w:pPr>
        <w:ind w:left="400" w:right="400" w:hanging="394"/>
        <w:spacing w:after="0" w:line="265" w:lineRule="auto"/>
        <w:tabs>
          <w:tab w:leader="none" w:pos="4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Overhang consists of the number of shares subject to equity awards outstanding as of January 18, 2022 and the number of shares available for future grant under the 2022 Plan, divided by the number of shares of common stock outstanding as of January 18, 2022.</w:t>
      </w:r>
    </w:p>
    <w:p>
      <w:pPr>
        <w:spacing w:after="0" w:line="100"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Summary of the 2022 Plan Features</w:t>
      </w:r>
    </w:p>
    <w:p>
      <w:pPr>
        <w:spacing w:after="0" w:line="127" w:lineRule="exact"/>
        <w:rPr>
          <w:sz w:val="20"/>
          <w:szCs w:val="20"/>
          <w:color w:val="auto"/>
        </w:rPr>
      </w:pPr>
    </w:p>
    <w:p>
      <w:pPr>
        <w:jc w:val="both"/>
        <w:ind w:firstLine="401"/>
        <w:spacing w:after="0" w:line="235" w:lineRule="auto"/>
        <w:rPr>
          <w:sz w:val="20"/>
          <w:szCs w:val="20"/>
          <w:color w:val="auto"/>
        </w:rPr>
      </w:pPr>
      <w:r>
        <w:rPr>
          <w:rFonts w:ascii="Arial" w:cs="Arial" w:eastAsia="Arial" w:hAnsi="Arial"/>
          <w:sz w:val="18"/>
          <w:szCs w:val="18"/>
          <w:color w:val="auto"/>
        </w:rPr>
        <w:t>The major features of the 2022 Plan are summarized below. The summary is qualified in its entirety by reference to the full text of the 2022 Plan, a copy of which may be obtained upon request to our Vice President, Human Resources and General Counsel at 8111 Lyndale Avenue South, Bloomington, Minnesota, 55420-1196 or by email to invest@toro.com. A copy of the 2022 Plan also has been filed electronically with the SEC as an appendix to this proxy statement and is available through the SEC’s website at www.sec.gov.</w:t>
      </w:r>
    </w:p>
    <w:p>
      <w:pPr>
        <w:spacing w:after="0" w:line="71" w:lineRule="exact"/>
        <w:rPr>
          <w:sz w:val="20"/>
          <w:szCs w:val="20"/>
          <w:color w:val="auto"/>
        </w:rPr>
      </w:pPr>
    </w:p>
    <w:p>
      <w:pPr>
        <w:ind w:right="20" w:firstLine="401"/>
        <w:spacing w:after="0" w:line="238" w:lineRule="auto"/>
        <w:rPr>
          <w:sz w:val="20"/>
          <w:szCs w:val="20"/>
          <w:color w:val="auto"/>
        </w:rPr>
      </w:pPr>
      <w:r>
        <w:rPr>
          <w:rFonts w:ascii="Arial" w:cs="Arial" w:eastAsia="Arial" w:hAnsi="Arial"/>
          <w:sz w:val="18"/>
          <w:szCs w:val="18"/>
          <w:b w:val="1"/>
          <w:bCs w:val="1"/>
          <w:color w:val="auto"/>
        </w:rPr>
        <w:t xml:space="preserve">Purpose. </w:t>
      </w:r>
      <w:r>
        <w:rPr>
          <w:rFonts w:ascii="Arial" w:cs="Arial" w:eastAsia="Arial" w:hAnsi="Arial"/>
          <w:sz w:val="18"/>
          <w:szCs w:val="18"/>
          <w:color w:val="auto"/>
        </w:rPr>
        <w:t>The purpose of the 2022 Plan is to provide a means whereby our employees, including executive officers, directors and third-party service providers develop a sense of ownership and personal involvement in the development and financial success of our Company, and to encourage them to devote their best efforts to the business of our Company, thereby advancing the interests of our Company and our shareholders. A further purpose of the 2022 Plan is to provide a means through which we may attract talented and qualified individuals to become employees or serve as directors or third-party service providers and provide a means for such individuals to acquire and maintain stock ownership which facilitates alignment of interests with our Company’s shareholders.</w:t>
      </w:r>
    </w:p>
    <w:p>
      <w:pPr>
        <w:spacing w:after="0" w:line="71" w:lineRule="exact"/>
        <w:rPr>
          <w:sz w:val="20"/>
          <w:szCs w:val="20"/>
          <w:color w:val="auto"/>
        </w:rPr>
      </w:pPr>
    </w:p>
    <w:p>
      <w:pPr>
        <w:ind w:right="160" w:firstLine="401"/>
        <w:spacing w:after="0" w:line="241" w:lineRule="auto"/>
        <w:rPr>
          <w:sz w:val="20"/>
          <w:szCs w:val="20"/>
          <w:color w:val="auto"/>
        </w:rPr>
      </w:pPr>
      <w:r>
        <w:rPr>
          <w:rFonts w:ascii="Arial" w:cs="Arial" w:eastAsia="Arial" w:hAnsi="Arial"/>
          <w:sz w:val="18"/>
          <w:szCs w:val="18"/>
          <w:b w:val="1"/>
          <w:bCs w:val="1"/>
          <w:color w:val="auto"/>
        </w:rPr>
        <w:t xml:space="preserve">Plan Administration. </w:t>
      </w:r>
      <w:r>
        <w:rPr>
          <w:rFonts w:ascii="Arial" w:cs="Arial" w:eastAsia="Arial" w:hAnsi="Arial"/>
          <w:sz w:val="18"/>
          <w:szCs w:val="18"/>
          <w:color w:val="auto"/>
        </w:rPr>
        <w:t>The 2022 Plan will be administered by the Compensation &amp; Human Resources Committee. All members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are “non-employee directors” within the meaning of Rule 16b-3 under the Exchange Act and “independent” under the NYSE listing standards, the rules and regulations of the SEC and applicable law. Any decision of the Committee on any matter affecting the 2022 Plan and obligations arising under the 2022 Plan or any award granted under the 2022 Plan will be final and binding.</w:t>
      </w:r>
    </w:p>
    <w:p>
      <w:pPr>
        <w:spacing w:after="0" w:line="9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Under the terms of the 2022 Plan, the Committee will have the authority to, among other things:</w:t>
      </w:r>
    </w:p>
    <w:p>
      <w:pPr>
        <w:spacing w:after="0" w:line="46" w:lineRule="exact"/>
        <w:rPr>
          <w:sz w:val="20"/>
          <w:szCs w:val="20"/>
          <w:color w:val="auto"/>
        </w:rPr>
      </w:pPr>
    </w:p>
    <w:p>
      <w:pPr>
        <w:ind w:left="800" w:hanging="395"/>
        <w:spacing w:after="0"/>
        <w:tabs>
          <w:tab w:leader="none" w:pos="800" w:val="left"/>
        </w:tabs>
        <w:numPr>
          <w:ilvl w:val="0"/>
          <w:numId w:val="38"/>
        </w:numPr>
        <w:rPr>
          <w:rFonts w:ascii="Arial" w:cs="Arial" w:eastAsia="Arial" w:hAnsi="Arial"/>
          <w:sz w:val="16"/>
          <w:szCs w:val="16"/>
          <w:color w:val="auto"/>
        </w:rPr>
      </w:pPr>
      <w:r>
        <w:rPr>
          <w:rFonts w:ascii="Arial" w:cs="Arial" w:eastAsia="Arial" w:hAnsi="Arial"/>
          <w:sz w:val="18"/>
          <w:szCs w:val="18"/>
          <w:color w:val="auto"/>
        </w:rPr>
        <w:t>select eligible individuals to whom awards are granted;</w:t>
      </w:r>
    </w:p>
    <w:p>
      <w:pPr>
        <w:spacing w:after="0" w:line="45" w:lineRule="exact"/>
        <w:rPr>
          <w:rFonts w:ascii="Arial" w:cs="Arial" w:eastAsia="Arial" w:hAnsi="Arial"/>
          <w:sz w:val="16"/>
          <w:szCs w:val="16"/>
          <w:color w:val="auto"/>
        </w:rPr>
      </w:pPr>
    </w:p>
    <w:p>
      <w:pPr>
        <w:ind w:left="800" w:hanging="395"/>
        <w:spacing w:after="0"/>
        <w:tabs>
          <w:tab w:leader="none" w:pos="800" w:val="left"/>
        </w:tabs>
        <w:numPr>
          <w:ilvl w:val="0"/>
          <w:numId w:val="38"/>
        </w:numPr>
        <w:rPr>
          <w:rFonts w:ascii="Arial" w:cs="Arial" w:eastAsia="Arial" w:hAnsi="Arial"/>
          <w:sz w:val="16"/>
          <w:szCs w:val="16"/>
          <w:color w:val="auto"/>
        </w:rPr>
      </w:pPr>
      <w:r>
        <w:rPr>
          <w:rFonts w:ascii="Arial" w:cs="Arial" w:eastAsia="Arial" w:hAnsi="Arial"/>
          <w:sz w:val="18"/>
          <w:szCs w:val="18"/>
          <w:color w:val="auto"/>
        </w:rPr>
        <w:t>determine the types of awards to be granted and when;</w:t>
      </w:r>
    </w:p>
    <w:p>
      <w:pPr>
        <w:spacing w:after="0" w:line="45" w:lineRule="exact"/>
        <w:rPr>
          <w:rFonts w:ascii="Arial" w:cs="Arial" w:eastAsia="Arial" w:hAnsi="Arial"/>
          <w:sz w:val="16"/>
          <w:szCs w:val="16"/>
          <w:color w:val="auto"/>
        </w:rPr>
      </w:pPr>
    </w:p>
    <w:p>
      <w:pPr>
        <w:ind w:left="800" w:hanging="395"/>
        <w:spacing w:after="0"/>
        <w:tabs>
          <w:tab w:leader="none" w:pos="800" w:val="left"/>
        </w:tabs>
        <w:numPr>
          <w:ilvl w:val="0"/>
          <w:numId w:val="38"/>
        </w:numPr>
        <w:rPr>
          <w:rFonts w:ascii="Arial" w:cs="Arial" w:eastAsia="Arial" w:hAnsi="Arial"/>
          <w:sz w:val="16"/>
          <w:szCs w:val="16"/>
          <w:color w:val="auto"/>
        </w:rPr>
      </w:pPr>
      <w:r>
        <w:rPr>
          <w:rFonts w:ascii="Arial" w:cs="Arial" w:eastAsia="Arial" w:hAnsi="Arial"/>
          <w:sz w:val="18"/>
          <w:szCs w:val="18"/>
          <w:color w:val="auto"/>
        </w:rPr>
        <w:t>determine the provisions of such awards, including the number of shares of our common stock subject to an award;</w:t>
      </w:r>
    </w:p>
    <w:p>
      <w:pPr>
        <w:spacing w:after="0" w:line="45" w:lineRule="exact"/>
        <w:rPr>
          <w:rFonts w:ascii="Arial" w:cs="Arial" w:eastAsia="Arial" w:hAnsi="Arial"/>
          <w:sz w:val="16"/>
          <w:szCs w:val="16"/>
          <w:color w:val="auto"/>
        </w:rPr>
      </w:pPr>
    </w:p>
    <w:p>
      <w:pPr>
        <w:ind w:left="800" w:right="140" w:hanging="395"/>
        <w:spacing w:after="0" w:line="238" w:lineRule="auto"/>
        <w:tabs>
          <w:tab w:leader="none" w:pos="800" w:val="left"/>
        </w:tabs>
        <w:numPr>
          <w:ilvl w:val="0"/>
          <w:numId w:val="38"/>
        </w:numPr>
        <w:rPr>
          <w:rFonts w:ascii="Arial" w:cs="Arial" w:eastAsia="Arial" w:hAnsi="Arial"/>
          <w:sz w:val="16"/>
          <w:szCs w:val="16"/>
          <w:color w:val="auto"/>
        </w:rPr>
      </w:pPr>
      <w:r>
        <w:rPr>
          <w:rFonts w:ascii="Arial" w:cs="Arial" w:eastAsia="Arial" w:hAnsi="Arial"/>
          <w:sz w:val="18"/>
          <w:szCs w:val="18"/>
          <w:color w:val="auto"/>
        </w:rPr>
        <w:t>interpret the 2022 Plan and any agreement evidencing an award under the 2022 Plan and establish rules and regulations pertaining to the administration of the 2022 Plan; and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45" w:lineRule="exact"/>
        <w:rPr>
          <w:sz w:val="20"/>
          <w:szCs w:val="20"/>
          <w:color w:val="auto"/>
        </w:rPr>
      </w:pPr>
    </w:p>
    <w:p>
      <w:pPr>
        <w:ind w:left="800" w:right="160" w:hanging="395"/>
        <w:spacing w:after="0" w:line="236" w:lineRule="auto"/>
        <w:tabs>
          <w:tab w:leader="none" w:pos="800" w:val="left"/>
        </w:tabs>
        <w:numPr>
          <w:ilvl w:val="0"/>
          <w:numId w:val="39"/>
        </w:numPr>
        <w:rPr>
          <w:rFonts w:ascii="Arial" w:cs="Arial" w:eastAsia="Arial" w:hAnsi="Arial"/>
          <w:sz w:val="16"/>
          <w:szCs w:val="16"/>
          <w:color w:val="auto"/>
        </w:rPr>
      </w:pPr>
      <w:r>
        <w:rPr>
          <w:rFonts w:ascii="Arial" w:cs="Arial" w:eastAsia="Arial" w:hAnsi="Arial"/>
          <w:sz w:val="18"/>
          <w:szCs w:val="18"/>
          <w:color w:val="auto"/>
        </w:rPr>
        <w:t>make any other determination and take any other action that the Committee deems necessary or desirable for administration of the 2022 Plan, including adopting subplans and/or special provisions applicable to stock awards regulated by the laws of a jurisdiction other than, and outside of, the United States</w:t>
      </w:r>
    </w:p>
    <w:p>
      <w:pPr>
        <w:spacing w:after="0" w:line="72" w:lineRule="exact"/>
        <w:rPr>
          <w:sz w:val="20"/>
          <w:szCs w:val="20"/>
          <w:color w:val="auto"/>
        </w:rPr>
      </w:pPr>
    </w:p>
    <w:p>
      <w:pPr>
        <w:ind w:right="20" w:firstLine="401"/>
        <w:spacing w:after="0" w:line="241" w:lineRule="auto"/>
        <w:rPr>
          <w:sz w:val="20"/>
          <w:szCs w:val="20"/>
          <w:color w:val="auto"/>
        </w:rPr>
      </w:pPr>
      <w:r>
        <w:rPr>
          <w:rFonts w:ascii="Arial" w:cs="Arial" w:eastAsia="Arial" w:hAnsi="Arial"/>
          <w:sz w:val="18"/>
          <w:szCs w:val="18"/>
          <w:b w:val="1"/>
          <w:bCs w:val="1"/>
          <w:color w:val="auto"/>
        </w:rPr>
        <w:t xml:space="preserve">Delegation. </w:t>
      </w:r>
      <w:r>
        <w:rPr>
          <w:rFonts w:ascii="Arial" w:cs="Arial" w:eastAsia="Arial" w:hAnsi="Arial"/>
          <w:sz w:val="18"/>
          <w:szCs w:val="18"/>
          <w:color w:val="auto"/>
        </w:rPr>
        <w:t>The Committee may delegate to one or more of its members or to one or more officers of the Company such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duties or powers as it may deem advisable. The Committee may authorize one or more directors or officers of the Company to designate employees, other than officers, and directors of the Company, to receive awards under the 2022 Plan and determine the size of any such awards, subject to certain limitations</w:t>
      </w:r>
    </w:p>
    <w:p>
      <w:pPr>
        <w:spacing w:after="0" w:line="73" w:lineRule="exact"/>
        <w:rPr>
          <w:sz w:val="20"/>
          <w:szCs w:val="20"/>
          <w:color w:val="auto"/>
        </w:rPr>
      </w:pPr>
    </w:p>
    <w:p>
      <w:pPr>
        <w:ind w:firstLine="401"/>
        <w:spacing w:after="0" w:line="237" w:lineRule="auto"/>
        <w:rPr>
          <w:sz w:val="20"/>
          <w:szCs w:val="20"/>
          <w:color w:val="auto"/>
        </w:rPr>
      </w:pPr>
      <w:r>
        <w:rPr>
          <w:rFonts w:ascii="Arial" w:cs="Arial" w:eastAsia="Arial" w:hAnsi="Arial"/>
          <w:sz w:val="18"/>
          <w:szCs w:val="18"/>
          <w:b w:val="1"/>
          <w:bCs w:val="1"/>
          <w:color w:val="auto"/>
        </w:rPr>
        <w:t xml:space="preserve">Shares Authorized. </w:t>
      </w:r>
      <w:r>
        <w:rPr>
          <w:rFonts w:ascii="Arial" w:cs="Arial" w:eastAsia="Arial" w:hAnsi="Arial"/>
          <w:sz w:val="18"/>
          <w:szCs w:val="18"/>
          <w:color w:val="auto"/>
        </w:rPr>
        <w:t>Subject to adjustment (as described below), the maximum aggregate number of shares of our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for issuance under the 2022 Plan is equal to the sum of: (a) 1,250,000 shares, plus (b) the number of shares remaining available for grant under the 2010 Plan but not subject to outstanding awards thereunder as of the effective date of the 2022 Plan, and plus (c) the number of shares subject to awards outstanding under the 2010 Plan as of the effective date of the 2022 Plan but only to the extent that such outstanding awards are forfeited, expire or otherwise terminate without the issuance of such shares after the effective date of the 2022 Plan. No more than 2,500,000 shares authorized for issuance under the 2022 Plan may be granted as “full value” awards and no more than 1,250,000 shares may be granted as incentive stock options.</w:t>
      </w:r>
    </w:p>
    <w:p>
      <w:pPr>
        <w:spacing w:after="0" w:line="72" w:lineRule="exact"/>
        <w:rPr>
          <w:sz w:val="20"/>
          <w:szCs w:val="20"/>
          <w:color w:val="auto"/>
        </w:rPr>
      </w:pPr>
    </w:p>
    <w:p>
      <w:pPr>
        <w:ind w:right="40" w:firstLine="401"/>
        <w:spacing w:after="0" w:line="236" w:lineRule="auto"/>
        <w:rPr>
          <w:sz w:val="20"/>
          <w:szCs w:val="20"/>
          <w:color w:val="auto"/>
        </w:rPr>
      </w:pPr>
      <w:r>
        <w:rPr>
          <w:rFonts w:ascii="Arial" w:cs="Arial" w:eastAsia="Arial" w:hAnsi="Arial"/>
          <w:sz w:val="18"/>
          <w:szCs w:val="18"/>
          <w:b w:val="1"/>
          <w:bCs w:val="1"/>
          <w:color w:val="auto"/>
        </w:rPr>
        <w:t xml:space="preserve">Non-Employee Director Compensation Limit. </w:t>
      </w:r>
      <w:r>
        <w:rPr>
          <w:rFonts w:ascii="Arial" w:cs="Arial" w:eastAsia="Arial" w:hAnsi="Arial"/>
          <w:sz w:val="18"/>
          <w:szCs w:val="18"/>
          <w:color w:val="auto"/>
        </w:rPr>
        <w:t>The 2022 Plan contains an upper total limit on annual non-employee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equal to the sum of any cash compensation, or other compensation, and the value (determined as of the grant date in accordance with Financial Accounting Standards Board Accounting Standards Codification Topic 718, or any successor thereto) of awards granted to a non-employee director as compensation for services as a non-employee director during any fiscal year may not exceed $500,000 (increased to $ 750,000 with respect to any non-employee director serving as Chairman of the Board or Lead Independent Director or in the fiscal year of a non-employee director's initial service as a non-employee director). Any compensation that is deferred counts towards this limit for the year in which the compensation is first earned, and not a later year of settlement. Note that this limit is different than the actual amounts paid to our non-employee directors which are described under “Director Compensation.”</w:t>
      </w:r>
    </w:p>
    <w:p>
      <w:pPr>
        <w:spacing w:after="0" w:line="74" w:lineRule="exact"/>
        <w:rPr>
          <w:sz w:val="20"/>
          <w:szCs w:val="20"/>
          <w:color w:val="auto"/>
        </w:rPr>
      </w:pPr>
    </w:p>
    <w:p>
      <w:pPr>
        <w:ind w:right="20" w:firstLine="401"/>
        <w:spacing w:after="0" w:line="234" w:lineRule="auto"/>
        <w:rPr>
          <w:sz w:val="20"/>
          <w:szCs w:val="20"/>
          <w:color w:val="auto"/>
        </w:rPr>
      </w:pPr>
      <w:r>
        <w:rPr>
          <w:rFonts w:ascii="Arial" w:cs="Arial" w:eastAsia="Arial" w:hAnsi="Arial"/>
          <w:sz w:val="18"/>
          <w:szCs w:val="18"/>
          <w:b w:val="1"/>
          <w:bCs w:val="1"/>
          <w:color w:val="auto"/>
        </w:rPr>
        <w:t xml:space="preserve">Share Counting. </w:t>
      </w:r>
      <w:r>
        <w:rPr>
          <w:rFonts w:ascii="Arial" w:cs="Arial" w:eastAsia="Arial" w:hAnsi="Arial"/>
          <w:sz w:val="18"/>
          <w:szCs w:val="18"/>
          <w:color w:val="auto"/>
        </w:rPr>
        <w:t>Shares of our common stock covered by an award granted under the 2022 Plan will not be counted as used unless</w:t>
      </w:r>
      <w:r>
        <w:rPr>
          <w:rFonts w:ascii="Arial" w:cs="Arial" w:eastAsia="Arial" w:hAnsi="Arial"/>
          <w:sz w:val="18"/>
          <w:szCs w:val="18"/>
          <w:b w:val="1"/>
          <w:bCs w:val="1"/>
          <w:color w:val="auto"/>
        </w:rPr>
        <w:t xml:space="preserve"> </w:t>
      </w:r>
      <w:r>
        <w:rPr>
          <w:rFonts w:ascii="Arial" w:cs="Arial" w:eastAsia="Arial" w:hAnsi="Arial"/>
          <w:sz w:val="18"/>
          <w:szCs w:val="18"/>
          <w:color w:val="auto"/>
        </w:rPr>
        <w:t>and until the shares are issued and delivered to a participant, except that the full number of shares granted subject to a SAR that is settled by the issuance of shares will be counted against the shares authorized for issuance under the 2022 Plan. Shares tendered or withheld to satisfy tax withholding obligations on awards or to pay the exercise price of awards and any shares not issued or delivered as a result of a “net exercise” of an option will not be counted against the shares authorized for issuance under the 2022 Plan. Any shares of our common stock repurchased by the Company on the open market using the proceeds from the exercise of an award under the 2022 Plan will not increase the number of shares available for future grants of awards under the 2022 Plan. Any shares of our common stock that are subject to an award under the 2022 Plan or under the 2010 Plan that terminate by expiration, forfeiture, cancellation, or otherwise without the issuance of shares or are settled in cash in lieu of shares, or are exchanged to the extent permitted under the 2022 Plan, prior to the issuance of shares, will be available again for grant under the 2022 Plan. The shares of our common stock available for issuance under the 2022 Plan may be authorized and unissued shares or treasury shares.</w:t>
      </w:r>
    </w:p>
    <w:p>
      <w:pPr>
        <w:spacing w:after="0" w:line="80" w:lineRule="exact"/>
        <w:rPr>
          <w:sz w:val="20"/>
          <w:szCs w:val="20"/>
          <w:color w:val="auto"/>
        </w:rPr>
      </w:pPr>
    </w:p>
    <w:p>
      <w:pPr>
        <w:ind w:right="60" w:firstLine="401"/>
        <w:spacing w:after="0" w:line="238" w:lineRule="auto"/>
        <w:rPr>
          <w:sz w:val="20"/>
          <w:szCs w:val="20"/>
          <w:color w:val="auto"/>
        </w:rPr>
      </w:pPr>
      <w:r>
        <w:rPr>
          <w:rFonts w:ascii="Arial" w:cs="Arial" w:eastAsia="Arial" w:hAnsi="Arial"/>
          <w:sz w:val="18"/>
          <w:szCs w:val="18"/>
          <w:b w:val="1"/>
          <w:bCs w:val="1"/>
          <w:color w:val="auto"/>
        </w:rPr>
        <w:t xml:space="preserve">Adjustments. </w:t>
      </w:r>
      <w:r>
        <w:rPr>
          <w:rFonts w:ascii="Arial" w:cs="Arial" w:eastAsia="Arial" w:hAnsi="Arial"/>
          <w:sz w:val="18"/>
          <w:szCs w:val="18"/>
          <w:color w:val="auto"/>
        </w:rPr>
        <w:t>In the event of a corporate event or transaction involving the Company, including any merger, consolidation,</w:t>
      </w:r>
      <w:r>
        <w:rPr>
          <w:rFonts w:ascii="Arial" w:cs="Arial" w:eastAsia="Arial" w:hAnsi="Arial"/>
          <w:sz w:val="18"/>
          <w:szCs w:val="18"/>
          <w:b w:val="1"/>
          <w:bCs w:val="1"/>
          <w:color w:val="auto"/>
        </w:rPr>
        <w:t xml:space="preserve"> </w:t>
      </w:r>
      <w:r>
        <w:rPr>
          <w:rFonts w:ascii="Arial" w:cs="Arial" w:eastAsia="Arial" w:hAnsi="Arial"/>
          <w:sz w:val="18"/>
          <w:szCs w:val="18"/>
          <w:color w:val="auto"/>
        </w:rPr>
        <w:t>reorganization, recapitalization, separation, partial or complete liquidation, stock dividend, stock split, reverse stock split, split up, spin-off or other similar corporate transaction or change in our corporate structure affecting our common stock, the Committee will substitute or adjust the number and kind of shares of our common stock that may be issued under the 2022 Plan or under particular forms of awards, the number and kind of shares subject to outstanding awards, the stock option or grant price applicable to outstanding awards and other value determinations as applicable to outstanding awards.</w:t>
      </w:r>
    </w:p>
    <w:p>
      <w:pPr>
        <w:spacing w:after="0" w:line="71" w:lineRule="exact"/>
        <w:rPr>
          <w:sz w:val="20"/>
          <w:szCs w:val="20"/>
          <w:color w:val="auto"/>
        </w:rPr>
      </w:pPr>
    </w:p>
    <w:p>
      <w:pPr>
        <w:ind w:right="40" w:firstLine="401"/>
        <w:spacing w:after="0" w:line="247" w:lineRule="auto"/>
        <w:rPr>
          <w:sz w:val="20"/>
          <w:szCs w:val="20"/>
          <w:color w:val="auto"/>
        </w:rPr>
      </w:pPr>
      <w:r>
        <w:rPr>
          <w:rFonts w:ascii="Arial" w:cs="Arial" w:eastAsia="Arial" w:hAnsi="Arial"/>
          <w:sz w:val="18"/>
          <w:szCs w:val="18"/>
          <w:b w:val="1"/>
          <w:bCs w:val="1"/>
          <w:color w:val="auto"/>
        </w:rPr>
        <w:t xml:space="preserve">Minimum Vesting Requirements. </w:t>
      </w:r>
      <w:r>
        <w:rPr>
          <w:rFonts w:ascii="Arial" w:cs="Arial" w:eastAsia="Arial" w:hAnsi="Arial"/>
          <w:sz w:val="18"/>
          <w:szCs w:val="18"/>
          <w:color w:val="auto"/>
        </w:rPr>
        <w:t>Subject to limited exceptions as noted in the 2022 Plan, the 2022 Plan provides that no stock-based</w:t>
      </w:r>
      <w:r>
        <w:rPr>
          <w:rFonts w:ascii="Arial" w:cs="Arial" w:eastAsia="Arial" w:hAnsi="Arial"/>
          <w:sz w:val="18"/>
          <w:szCs w:val="18"/>
          <w:b w:val="1"/>
          <w:bCs w:val="1"/>
          <w:color w:val="auto"/>
        </w:rPr>
        <w:t xml:space="preserve"> </w:t>
      </w:r>
      <w:r>
        <w:rPr>
          <w:rFonts w:ascii="Arial" w:cs="Arial" w:eastAsia="Arial" w:hAnsi="Arial"/>
          <w:sz w:val="18"/>
          <w:szCs w:val="18"/>
          <w:color w:val="auto"/>
        </w:rPr>
        <w:t>awards will vest earlier than one year from the grant date and any awards that vest upon the attainment of performance goals will have a minimum performance period of one year.</w:t>
      </w:r>
    </w:p>
    <w:p>
      <w:pPr>
        <w:spacing w:after="0" w:line="66" w:lineRule="exact"/>
        <w:rPr>
          <w:sz w:val="20"/>
          <w:szCs w:val="20"/>
          <w:color w:val="auto"/>
        </w:rPr>
      </w:pPr>
    </w:p>
    <w:p>
      <w:pPr>
        <w:ind w:right="140" w:firstLine="401"/>
        <w:spacing w:after="0" w:line="247" w:lineRule="auto"/>
        <w:rPr>
          <w:sz w:val="20"/>
          <w:szCs w:val="20"/>
          <w:color w:val="auto"/>
        </w:rPr>
      </w:pPr>
      <w:r>
        <w:rPr>
          <w:rFonts w:ascii="Arial" w:cs="Arial" w:eastAsia="Arial" w:hAnsi="Arial"/>
          <w:sz w:val="18"/>
          <w:szCs w:val="18"/>
          <w:b w:val="1"/>
          <w:bCs w:val="1"/>
          <w:color w:val="auto"/>
        </w:rPr>
        <w:t xml:space="preserve">Eligibility and Participation. </w:t>
      </w:r>
      <w:r>
        <w:rPr>
          <w:rFonts w:ascii="Arial" w:cs="Arial" w:eastAsia="Arial" w:hAnsi="Arial"/>
          <w:sz w:val="18"/>
          <w:szCs w:val="18"/>
          <w:color w:val="auto"/>
        </w:rPr>
        <w:t>Awards may be granted under the 2022 Plan to employees and third-party service providers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any of its affiliates or subsidiaries and to non-employee directors of the Company. As of January 18, 2022, approximately 10,865 employees and 9 non-employee directors were eligible</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98"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to participate in the 2010 Plan and would have been eligible to participate in the 2022 Plan had it been approved by our shareholders at such time. The Company does not typically make grants to third-party service providers.</w:t>
      </w:r>
    </w:p>
    <w:p>
      <w:pPr>
        <w:spacing w:after="0" w:line="73" w:lineRule="exact"/>
        <w:rPr>
          <w:sz w:val="20"/>
          <w:szCs w:val="20"/>
          <w:color w:val="auto"/>
        </w:rPr>
      </w:pPr>
    </w:p>
    <w:p>
      <w:pPr>
        <w:ind w:right="100" w:firstLine="401"/>
        <w:spacing w:after="0" w:line="241" w:lineRule="auto"/>
        <w:rPr>
          <w:sz w:val="20"/>
          <w:szCs w:val="20"/>
          <w:color w:val="auto"/>
        </w:rPr>
      </w:pPr>
      <w:r>
        <w:rPr>
          <w:rFonts w:ascii="Arial" w:cs="Arial" w:eastAsia="Arial" w:hAnsi="Arial"/>
          <w:sz w:val="18"/>
          <w:szCs w:val="18"/>
          <w:b w:val="1"/>
          <w:bCs w:val="1"/>
          <w:color w:val="auto"/>
        </w:rPr>
        <w:t xml:space="preserve">Types of Awards. </w:t>
      </w:r>
      <w:r>
        <w:rPr>
          <w:rFonts w:ascii="Arial" w:cs="Arial" w:eastAsia="Arial" w:hAnsi="Arial"/>
          <w:sz w:val="18"/>
          <w:szCs w:val="18"/>
          <w:color w:val="auto"/>
        </w:rPr>
        <w:t>Nonqualified and incentive stock options, stock appreciation rights or SARs, restricted stock, restricted stock units or</w:t>
      </w:r>
      <w:r>
        <w:rPr>
          <w:rFonts w:ascii="Arial" w:cs="Arial" w:eastAsia="Arial" w:hAnsi="Arial"/>
          <w:sz w:val="18"/>
          <w:szCs w:val="18"/>
          <w:b w:val="1"/>
          <w:bCs w:val="1"/>
          <w:color w:val="auto"/>
        </w:rPr>
        <w:t xml:space="preserve"> </w:t>
      </w:r>
      <w:r>
        <w:rPr>
          <w:rFonts w:ascii="Arial" w:cs="Arial" w:eastAsia="Arial" w:hAnsi="Arial"/>
          <w:sz w:val="18"/>
          <w:szCs w:val="18"/>
          <w:color w:val="auto"/>
        </w:rPr>
        <w:t>RSUs, performance shares, performance units, annual performance awards, non-employee director awards and other cash-based and stock-based awards may be granted under the 2022 Plan. Awards may be granted either alone or in addition to or in tandem with any other type of award.</w:t>
      </w:r>
    </w:p>
    <w:p>
      <w:pPr>
        <w:spacing w:after="0" w:line="73" w:lineRule="exact"/>
        <w:rPr>
          <w:sz w:val="20"/>
          <w:szCs w:val="20"/>
          <w:color w:val="auto"/>
        </w:rPr>
      </w:pPr>
    </w:p>
    <w:p>
      <w:pPr>
        <w:ind w:right="20" w:firstLine="401"/>
        <w:spacing w:after="0" w:line="251" w:lineRule="auto"/>
        <w:rPr>
          <w:sz w:val="20"/>
          <w:szCs w:val="20"/>
          <w:color w:val="auto"/>
        </w:rPr>
      </w:pPr>
      <w:r>
        <w:rPr>
          <w:rFonts w:ascii="Arial" w:cs="Arial" w:eastAsia="Arial" w:hAnsi="Arial"/>
          <w:sz w:val="17"/>
          <w:szCs w:val="17"/>
          <w:b w:val="1"/>
          <w:bCs w:val="1"/>
          <w:i w:val="1"/>
          <w:iCs w:val="1"/>
          <w:color w:val="auto"/>
        </w:rPr>
        <w:t xml:space="preserve">Stock Options. </w:t>
      </w:r>
      <w:r>
        <w:rPr>
          <w:rFonts w:ascii="Arial" w:cs="Arial" w:eastAsia="Arial" w:hAnsi="Arial"/>
          <w:sz w:val="17"/>
          <w:szCs w:val="17"/>
          <w:color w:val="auto"/>
        </w:rPr>
        <w:t>Stock options entitle the holder to purchase a specified number of shares of our common stock at a specified price,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is called the exercise price, subject to the terms and conditions of the award agreement. The 2022 Plan permits the grant of both nonqualified and incentive stock options. Each stock option granted under the 2022 Plan must be evidenced by an award agreement that specifies the exercise price, the term, the number of shares underlying the stock option, the vesting and any other conditions. The exercise price of each stock option must be at least 100% of the fair market value of a share of our common stock as of the date the award is granted to a participant. Stock options may be exercised, in whole or in part, by payment in full of the exercise price in one or a combination of the following forms of payment: cash or its equivalent; the delivery of common stock already owned by the participant prior to such delivery; broker-assisted cashless exercise; by “net exercise”; a combination of such methods; or such other method as may be permitted by the Committee.</w:t>
      </w:r>
    </w:p>
    <w:p>
      <w:pPr>
        <w:spacing w:after="0" w:line="66" w:lineRule="exact"/>
        <w:rPr>
          <w:sz w:val="20"/>
          <w:szCs w:val="20"/>
          <w:color w:val="auto"/>
        </w:rPr>
      </w:pPr>
    </w:p>
    <w:p>
      <w:pPr>
        <w:ind w:right="40" w:firstLine="401"/>
        <w:spacing w:after="0" w:line="238" w:lineRule="auto"/>
        <w:rPr>
          <w:sz w:val="20"/>
          <w:szCs w:val="20"/>
          <w:color w:val="auto"/>
        </w:rPr>
      </w:pPr>
      <w:r>
        <w:rPr>
          <w:rFonts w:ascii="Arial" w:cs="Arial" w:eastAsia="Arial" w:hAnsi="Arial"/>
          <w:sz w:val="18"/>
          <w:szCs w:val="18"/>
          <w:b w:val="1"/>
          <w:bCs w:val="1"/>
          <w:i w:val="1"/>
          <w:iCs w:val="1"/>
          <w:color w:val="auto"/>
        </w:rPr>
        <w:t xml:space="preserve">Stock Appreciation Rights. </w:t>
      </w:r>
      <w:r>
        <w:rPr>
          <w:rFonts w:ascii="Arial" w:cs="Arial" w:eastAsia="Arial" w:hAnsi="Arial"/>
          <w:sz w:val="18"/>
          <w:szCs w:val="18"/>
          <w:color w:val="auto"/>
        </w:rPr>
        <w:t>Each SAR granted must be evidenced by an award agreement that specifies the grant price, the term,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other provisions as the Committee may determine. The grant price of a SAR must be at least 100% of the fair market value of our common stock on the date of grant. Upon the exercise of a SAR, the holder is entitled to receive the excess of the fair market value of the shares for which the right is exercised over the grant price of the SAR. Payment upon the exercise of a SAR will be in cash, shares of our common stock, or some combination of cash and shares of our common stock as determined by the Committee. The Committee may impose any conditions or restrictions on the exercise of a SAR as it deems appropriate.</w:t>
      </w:r>
    </w:p>
    <w:p>
      <w:pPr>
        <w:spacing w:after="0" w:line="71" w:lineRule="exact"/>
        <w:rPr>
          <w:sz w:val="20"/>
          <w:szCs w:val="20"/>
          <w:color w:val="auto"/>
        </w:rPr>
      </w:pPr>
    </w:p>
    <w:p>
      <w:pPr>
        <w:ind w:right="20" w:firstLine="401"/>
        <w:spacing w:after="0" w:line="239" w:lineRule="auto"/>
        <w:rPr>
          <w:sz w:val="20"/>
          <w:szCs w:val="20"/>
          <w:color w:val="auto"/>
        </w:rPr>
      </w:pPr>
      <w:r>
        <w:rPr>
          <w:rFonts w:ascii="Arial" w:cs="Arial" w:eastAsia="Arial" w:hAnsi="Arial"/>
          <w:sz w:val="18"/>
          <w:szCs w:val="18"/>
          <w:b w:val="1"/>
          <w:bCs w:val="1"/>
          <w:i w:val="1"/>
          <w:iCs w:val="1"/>
          <w:color w:val="auto"/>
        </w:rPr>
        <w:t>Restricted Stock and Restricted Stock Units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of restricted stock and/or RSUs may be granted under the 2022 Plan. RSUs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similar to restricted stock except that no shares are actually awarded to the participant on the grant date. The period(s) of restriction, the number of shares of restricted stock or the number of RSUs granted, the purchase price, if any, and such other conditions and/or restrictions as the Committee shall determine shall be set forth in an award agreement. Participants holding shares of restricted stock may be granted voting rights with respect to their shares, but participants holding RSUs will not have voting rights with respect to their RSUs.</w:t>
      </w:r>
    </w:p>
    <w:p>
      <w:pPr>
        <w:spacing w:after="0" w:line="95" w:lineRule="exact"/>
        <w:rPr>
          <w:sz w:val="20"/>
          <w:szCs w:val="20"/>
          <w:color w:val="auto"/>
        </w:rPr>
      </w:pPr>
    </w:p>
    <w:p>
      <w:pPr>
        <w:ind w:firstLine="401"/>
        <w:spacing w:after="0" w:line="249" w:lineRule="auto"/>
        <w:rPr>
          <w:sz w:val="20"/>
          <w:szCs w:val="20"/>
          <w:color w:val="auto"/>
        </w:rPr>
      </w:pPr>
      <w:r>
        <w:rPr>
          <w:rFonts w:ascii="Arial" w:cs="Arial" w:eastAsia="Arial" w:hAnsi="Arial"/>
          <w:sz w:val="17"/>
          <w:szCs w:val="17"/>
          <w:color w:val="auto"/>
        </w:rPr>
        <w:t>Unless otherwise determined by the Committee and set forth in a participant’s award agreement, participants holding shares of restricted stock have the same dividend rights as the Company’s other shareholders; provided, however, that the dividends will be subject to forfeiture and termination to the same extent as the shares of restricted stock to which such dividends relate and the award agreement may require that any cash dividends be reinvested in additional shares of restricted stock subject to the same conditions and restrictions as the shares of restricted stock with respect to which the dividends were paid. In no event, however, will dividends with respect to shares of restricted stock that are subject to performance-based vesting be paid out until the performance-based vesting provisions of such restricted stock lapse.</w:t>
      </w:r>
    </w:p>
    <w:p>
      <w:pPr>
        <w:spacing w:after="0" w:line="86" w:lineRule="exact"/>
        <w:rPr>
          <w:sz w:val="20"/>
          <w:szCs w:val="20"/>
          <w:color w:val="auto"/>
        </w:rPr>
      </w:pPr>
    </w:p>
    <w:p>
      <w:pPr>
        <w:ind w:right="80" w:firstLine="401"/>
        <w:spacing w:after="0" w:line="233" w:lineRule="auto"/>
        <w:rPr>
          <w:sz w:val="20"/>
          <w:szCs w:val="20"/>
          <w:color w:val="auto"/>
        </w:rPr>
      </w:pPr>
      <w:r>
        <w:rPr>
          <w:rFonts w:ascii="Arial" w:cs="Arial" w:eastAsia="Arial" w:hAnsi="Arial"/>
          <w:sz w:val="18"/>
          <w:szCs w:val="18"/>
          <w:color w:val="auto"/>
        </w:rPr>
        <w:t>Unless otherwise determined by the Committee and set forth in a participant’s award agreement, prior to settlement or forfeiture, any RSUs awarded under the 2022 Plan may, at the Committee’s discretion, carry with it a right to dividend equivalents. Such right, if applicable, would entitle the participant to be credited with an amount equal to all cash dividends paid on one share of our common stock while the RSU is outstanding or may be converted into additional RSUs. Such dividend equivalents will be made subject to the same conditions and restrictions as the RSUs to which they attach and settlement of such dividend equivalents may be made in the form of cash, in the form of shares of our common stock, or in a combination of both. In no event shall any dividends or dividend equivalents be paid out until the performance-based vesting provisions of such RSUs lapse</w:t>
      </w:r>
      <w:r>
        <w:rPr>
          <w:rFonts w:ascii="Arial" w:cs="Arial" w:eastAsia="Arial" w:hAnsi="Arial"/>
          <w:sz w:val="18"/>
          <w:szCs w:val="18"/>
          <w:b w:val="1"/>
          <w:bCs w:val="1"/>
          <w:color w:val="auto"/>
        </w:rPr>
        <w:t>.</w:t>
      </w:r>
    </w:p>
    <w:p>
      <w:pPr>
        <w:spacing w:after="0" w:line="96" w:lineRule="exact"/>
        <w:rPr>
          <w:sz w:val="20"/>
          <w:szCs w:val="20"/>
          <w:color w:val="auto"/>
        </w:rPr>
      </w:pPr>
    </w:p>
    <w:p>
      <w:pPr>
        <w:ind w:right="600" w:firstLine="401"/>
        <w:spacing w:after="0" w:line="234" w:lineRule="auto"/>
        <w:rPr>
          <w:sz w:val="20"/>
          <w:szCs w:val="20"/>
          <w:color w:val="auto"/>
        </w:rPr>
      </w:pPr>
      <w:r>
        <w:rPr>
          <w:rFonts w:ascii="Arial" w:cs="Arial" w:eastAsia="Arial" w:hAnsi="Arial"/>
          <w:sz w:val="18"/>
          <w:szCs w:val="18"/>
          <w:color w:val="auto"/>
        </w:rPr>
        <w:t>After all conditions and restrictions applicable to restricted shares and/or RSUs have been satisfied or have lapsed (including the satisfaction of any applicable tax withholding obligations), shares of restricted stock will become freely transferable (except as otherwise provided in the 2022 Plan) and RSUs will be paid in cash, shares of our common stock, or some combination of cash and shares of our common stock as determined by the Committee. The Committee may provide that an award of restricted stock is conditioned upon the participant making or refraining from making an election with respect to the award under Code Section 83(b).</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76" w:lineRule="exact"/>
        <w:rPr>
          <w:sz w:val="20"/>
          <w:szCs w:val="20"/>
          <w:color w:val="auto"/>
        </w:rPr>
      </w:pPr>
    </w:p>
    <w:p>
      <w:pPr>
        <w:ind w:firstLine="401"/>
        <w:spacing w:after="0" w:line="235" w:lineRule="auto"/>
        <w:rPr>
          <w:sz w:val="20"/>
          <w:szCs w:val="20"/>
          <w:color w:val="auto"/>
        </w:rPr>
      </w:pPr>
      <w:r>
        <w:rPr>
          <w:rFonts w:ascii="Arial" w:cs="Arial" w:eastAsia="Arial" w:hAnsi="Arial"/>
          <w:sz w:val="18"/>
          <w:szCs w:val="18"/>
          <w:b w:val="1"/>
          <w:bCs w:val="1"/>
          <w:i w:val="1"/>
          <w:iCs w:val="1"/>
          <w:color w:val="auto"/>
        </w:rPr>
        <w:t xml:space="preserve">Performance Shares and Performance Units. </w:t>
      </w:r>
      <w:r>
        <w:rPr>
          <w:rFonts w:ascii="Arial" w:cs="Arial" w:eastAsia="Arial" w:hAnsi="Arial"/>
          <w:sz w:val="18"/>
          <w:szCs w:val="18"/>
          <w:color w:val="auto"/>
        </w:rPr>
        <w:t>Performance shares and/or performance units may be granted under the 2022 Plan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amounts and upon such terms as the Committee may determine. Each performance unit will have an initial value that is established by the Committee on the grant date, and each performance share will have an initial value equal to the fair market value of a share on the grant date. With respect to an award of performance shares and/or performance units, the Committee will establish performance periods and performance goals, which may be based on one or more of the performance measures set forth in the 2022 Plan. The performance period set forth in any award agreement for any performance shares must be at least one year, except under certain circumstances. The extent to which the participant achieves the performance goals during the applicable performance period will determine the value and/or the number of performance shares and/or performance units earned by a participant. Payment of earned performance shares and/or performance units will be in cash, shares of our common stock, or some combination of cash and shares of our common stock, as determined by the Committee and stated in the award agreement.</w:t>
      </w:r>
    </w:p>
    <w:p>
      <w:pPr>
        <w:spacing w:after="0" w:line="96" w:lineRule="exact"/>
        <w:rPr>
          <w:sz w:val="20"/>
          <w:szCs w:val="20"/>
          <w:color w:val="auto"/>
        </w:rPr>
      </w:pPr>
    </w:p>
    <w:p>
      <w:pPr>
        <w:ind w:right="20" w:firstLine="401"/>
        <w:spacing w:after="0" w:line="233" w:lineRule="auto"/>
        <w:rPr>
          <w:sz w:val="20"/>
          <w:szCs w:val="20"/>
          <w:color w:val="auto"/>
        </w:rPr>
      </w:pPr>
      <w:r>
        <w:rPr>
          <w:rFonts w:ascii="Arial" w:cs="Arial" w:eastAsia="Arial" w:hAnsi="Arial"/>
          <w:sz w:val="18"/>
          <w:szCs w:val="18"/>
          <w:color w:val="auto"/>
        </w:rPr>
        <w:t>At any time during a performance period of more than one fiscal year, the Committee may, in its discretion, cancel a portion of an award or performance shares or performance units prior to the conclusion of the performance period if the award has not already vested, the Committee determines that the performance goals cannot be achieved at the maximum levels established at the time of grant, the awards are scaled back in proportion to the estimated shortfall in achievement of performance goals, and all awards for the same performance period are scaled back by the same percentage. Once an award is scaled back, it may not again be increased to add or recover performance shares or performance units that were canceled.</w:t>
      </w:r>
    </w:p>
    <w:p>
      <w:pPr>
        <w:spacing w:after="0" w:line="97" w:lineRule="exact"/>
        <w:rPr>
          <w:sz w:val="20"/>
          <w:szCs w:val="20"/>
          <w:color w:val="auto"/>
        </w:rPr>
      </w:pPr>
    </w:p>
    <w:p>
      <w:pPr>
        <w:ind w:right="180" w:firstLine="401"/>
        <w:spacing w:after="0" w:line="248" w:lineRule="auto"/>
        <w:rPr>
          <w:sz w:val="20"/>
          <w:szCs w:val="20"/>
          <w:color w:val="auto"/>
        </w:rPr>
      </w:pPr>
      <w:r>
        <w:rPr>
          <w:rFonts w:ascii="Arial" w:cs="Arial" w:eastAsia="Arial" w:hAnsi="Arial"/>
          <w:sz w:val="17"/>
          <w:szCs w:val="17"/>
          <w:color w:val="auto"/>
        </w:rPr>
        <w:t>If provided specifically in an award agreement and only to the extent permitted by law, a participant holding performance units or performance shares awarded under the 2022 Plan may receive dividend equivalents based on the cash dividends declared on our common stock that are subject to such performance units or performance shares during the period between the date that such performance units or performance shares are granted and the date such performance units or performance shares are settled. Dividend equivalents may be converted into additional performance units or performance shares, as the case may be, and will be made subject to the same conditions and restrictions as the performance units or performance shares to which they attach. In no event shall any dividends or dividend equivalents be paid out until the performance-based vesting provisions of such performance units or performance shares, as the case may be, lapse.</w:t>
      </w:r>
    </w:p>
    <w:p>
      <w:pPr>
        <w:spacing w:after="0" w:line="89" w:lineRule="exact"/>
        <w:rPr>
          <w:sz w:val="20"/>
          <w:szCs w:val="20"/>
          <w:color w:val="auto"/>
        </w:rPr>
      </w:pPr>
    </w:p>
    <w:p>
      <w:pPr>
        <w:jc w:val="both"/>
        <w:ind w:right="340" w:firstLine="401"/>
        <w:spacing w:after="0" w:line="265" w:lineRule="auto"/>
        <w:rPr>
          <w:sz w:val="20"/>
          <w:szCs w:val="20"/>
          <w:color w:val="auto"/>
        </w:rPr>
      </w:pPr>
      <w:r>
        <w:rPr>
          <w:rFonts w:ascii="Arial" w:cs="Arial" w:eastAsia="Arial" w:hAnsi="Arial"/>
          <w:sz w:val="17"/>
          <w:szCs w:val="17"/>
          <w:color w:val="auto"/>
        </w:rPr>
        <w:t>Any shares issued under a deferred compensation plan that relate to the deferral of performance shares or performance units granted under the 2022 Plan (including without limitation any dividend equivalents paid in shares) will be deemed to be issued under the 2022 Plan.</w:t>
      </w:r>
    </w:p>
    <w:p>
      <w:pPr>
        <w:spacing w:after="0" w:line="52" w:lineRule="exact"/>
        <w:rPr>
          <w:sz w:val="20"/>
          <w:szCs w:val="20"/>
          <w:color w:val="auto"/>
        </w:rPr>
      </w:pPr>
    </w:p>
    <w:p>
      <w:pPr>
        <w:ind w:right="60" w:firstLine="401"/>
        <w:spacing w:after="0" w:line="252" w:lineRule="auto"/>
        <w:rPr>
          <w:sz w:val="20"/>
          <w:szCs w:val="20"/>
          <w:color w:val="auto"/>
        </w:rPr>
      </w:pPr>
      <w:r>
        <w:rPr>
          <w:rFonts w:ascii="Arial" w:cs="Arial" w:eastAsia="Arial" w:hAnsi="Arial"/>
          <w:sz w:val="17"/>
          <w:szCs w:val="17"/>
          <w:b w:val="1"/>
          <w:bCs w:val="1"/>
          <w:i w:val="1"/>
          <w:iCs w:val="1"/>
          <w:color w:val="auto"/>
        </w:rPr>
        <w:t xml:space="preserve">Annual Performance Awards. </w:t>
      </w:r>
      <w:r>
        <w:rPr>
          <w:rFonts w:ascii="Arial" w:cs="Arial" w:eastAsia="Arial" w:hAnsi="Arial"/>
          <w:sz w:val="17"/>
          <w:szCs w:val="17"/>
          <w:color w:val="auto"/>
        </w:rPr>
        <w:t>Annual performance awards payable in cash may be granted under the 2022 Plan in such amounts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upon such terms as the Committee may determine, based on the achievement of specified performance goals for annual periods or other time periods as determined by the Committee. The Committee will determine the target amount that may be paid with respect to an annual performance award, which will be based on a percentage of a participant’s actual fiscal year annual base earnings. The Committee may establish a maximum potential payout amount with respect to an annual performance award in the event performance goals are exceeded by an amount established by the Committee at the time performance goals are established and may establish measurements for prorating the amount of payouts for achievement of performance goals at less than or greater than the target payout but less than the maximum payout.</w:t>
      </w:r>
    </w:p>
    <w:p>
      <w:pPr>
        <w:spacing w:after="0" w:line="66" w:lineRule="exact"/>
        <w:rPr>
          <w:sz w:val="20"/>
          <w:szCs w:val="20"/>
          <w:color w:val="auto"/>
        </w:rPr>
      </w:pPr>
    </w:p>
    <w:p>
      <w:pPr>
        <w:ind w:right="120" w:firstLine="401"/>
        <w:spacing w:after="0" w:line="236" w:lineRule="auto"/>
        <w:rPr>
          <w:sz w:val="20"/>
          <w:szCs w:val="20"/>
          <w:color w:val="auto"/>
        </w:rPr>
      </w:pPr>
      <w:r>
        <w:rPr>
          <w:rFonts w:ascii="Arial" w:cs="Arial" w:eastAsia="Arial" w:hAnsi="Arial"/>
          <w:sz w:val="18"/>
          <w:szCs w:val="18"/>
          <w:b w:val="1"/>
          <w:bCs w:val="1"/>
          <w:i w:val="1"/>
          <w:iCs w:val="1"/>
          <w:color w:val="auto"/>
        </w:rPr>
        <w:t xml:space="preserve">Non-Employee Director Awards. </w:t>
      </w:r>
      <w:r>
        <w:rPr>
          <w:rFonts w:ascii="Arial" w:cs="Arial" w:eastAsia="Arial" w:hAnsi="Arial"/>
          <w:sz w:val="18"/>
          <w:szCs w:val="18"/>
          <w:color w:val="auto"/>
        </w:rPr>
        <w:t>Under the 2022 Plan, each non-employee director of the Company will continue to receive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unrestricted stock award and an automatic stock option grant each year on the first business day of each fiscal year (usually November 1) and will be permitted to elect to receive shares of our common stock, or if the Committee determines, other awards, in lieu of their cash retainers and meeting fees otherwise payable in cash under the 2022 Plan. Any additional awards granted to non-employee directors under the 2022 Plan must be made by a committee consisting solely of directors who are “independent directors” within the meaning of the NYSE listing standards. Any shares issued under a deferred compensation plan that relate to the deferral of awards granted to non-employee directors under the 2022 Plan or shares received by non-employee directors in lieu of their cash retainers and meeting fees (including without limitation accumulated dividend equivalents paid in shares) will be deemed to be issued under the 2022 Plan.</w:t>
      </w:r>
    </w:p>
    <w:p>
      <w:pPr>
        <w:spacing w:after="0" w:line="74" w:lineRule="exact"/>
        <w:rPr>
          <w:sz w:val="20"/>
          <w:szCs w:val="20"/>
          <w:color w:val="auto"/>
        </w:rPr>
      </w:pPr>
    </w:p>
    <w:p>
      <w:pPr>
        <w:ind w:right="240" w:firstLine="401"/>
        <w:spacing w:after="0" w:line="247" w:lineRule="auto"/>
        <w:rPr>
          <w:sz w:val="20"/>
          <w:szCs w:val="20"/>
          <w:color w:val="auto"/>
        </w:rPr>
      </w:pPr>
      <w:r>
        <w:rPr>
          <w:rFonts w:ascii="Arial" w:cs="Arial" w:eastAsia="Arial" w:hAnsi="Arial"/>
          <w:sz w:val="18"/>
          <w:szCs w:val="18"/>
          <w:b w:val="1"/>
          <w:bCs w:val="1"/>
          <w:i w:val="1"/>
          <w:iCs w:val="1"/>
          <w:color w:val="auto"/>
        </w:rPr>
        <w:t xml:space="preserve">Other Cash-Based Awards. </w:t>
      </w:r>
      <w:r>
        <w:rPr>
          <w:rFonts w:ascii="Arial" w:cs="Arial" w:eastAsia="Arial" w:hAnsi="Arial"/>
          <w:sz w:val="18"/>
          <w:szCs w:val="18"/>
          <w:color w:val="auto"/>
        </w:rPr>
        <w:t>Cash-based awards that are not annual performance awards may be granted to participants in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and upon such terms as the Committee may determine. These other cash-based awards will be paid in cash only. If the other cash-based awards are subject to performance goals, the number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98"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and/or value of the other cash-based awards that will be paid out to the participant will depend on the extent to which the performance goals are met.</w:t>
      </w:r>
    </w:p>
    <w:p>
      <w:pPr>
        <w:spacing w:after="0" w:line="73" w:lineRule="exact"/>
        <w:rPr>
          <w:sz w:val="20"/>
          <w:szCs w:val="20"/>
          <w:color w:val="auto"/>
        </w:rPr>
      </w:pPr>
    </w:p>
    <w:p>
      <w:pPr>
        <w:ind w:right="40" w:firstLine="401"/>
        <w:spacing w:after="0" w:line="237" w:lineRule="auto"/>
        <w:rPr>
          <w:sz w:val="20"/>
          <w:szCs w:val="20"/>
          <w:color w:val="auto"/>
        </w:rPr>
      </w:pPr>
      <w:r>
        <w:rPr>
          <w:rFonts w:ascii="Arial" w:cs="Arial" w:eastAsia="Arial" w:hAnsi="Arial"/>
          <w:sz w:val="18"/>
          <w:szCs w:val="18"/>
          <w:b w:val="1"/>
          <w:bCs w:val="1"/>
          <w:i w:val="1"/>
          <w:iCs w:val="1"/>
          <w:color w:val="auto"/>
        </w:rPr>
        <w:t xml:space="preserve">Other Stock-Based Awards. </w:t>
      </w:r>
      <w:r>
        <w:rPr>
          <w:rFonts w:ascii="Arial" w:cs="Arial" w:eastAsia="Arial" w:hAnsi="Arial"/>
          <w:sz w:val="18"/>
          <w:szCs w:val="18"/>
          <w:color w:val="auto"/>
        </w:rPr>
        <w:t>Other stock-based or stock-related awards (including the grant or offer for sale of unrestricted shares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common stock or the payment in cash or otherwise of amounts based on the value of shares of our common stock) may be granted in such amounts and subject to such terms and conditions (including performance goals) as determined by the Committee. Each other stock-based award shall be expressed in terms of shares of our common stock or units based on shares of our common stock, as determined by the Committee. Other stock-based awards will be paid in cash or shares of our common stock, as determined by the Committee. If the other stock-based awards are subject to performance goals, the number and/or value of other stock-based awards that will be paid out to the participant will depend on the extent to which the performance goals are met.</w:t>
      </w:r>
    </w:p>
    <w:p>
      <w:pPr>
        <w:spacing w:after="0" w:line="72" w:lineRule="exact"/>
        <w:rPr>
          <w:sz w:val="20"/>
          <w:szCs w:val="20"/>
          <w:color w:val="auto"/>
        </w:rPr>
      </w:pPr>
    </w:p>
    <w:p>
      <w:pPr>
        <w:jc w:val="both"/>
        <w:ind w:firstLine="401"/>
        <w:spacing w:after="0" w:line="239" w:lineRule="auto"/>
        <w:rPr>
          <w:sz w:val="20"/>
          <w:szCs w:val="20"/>
          <w:color w:val="auto"/>
        </w:rPr>
      </w:pPr>
      <w:r>
        <w:rPr>
          <w:rFonts w:ascii="Arial" w:cs="Arial" w:eastAsia="Arial" w:hAnsi="Arial"/>
          <w:sz w:val="18"/>
          <w:szCs w:val="18"/>
          <w:b w:val="1"/>
          <w:bCs w:val="1"/>
          <w:color w:val="auto"/>
        </w:rPr>
        <w:t xml:space="preserve">Performance Measures. </w:t>
      </w:r>
      <w:r>
        <w:rPr>
          <w:rFonts w:ascii="Arial" w:cs="Arial" w:eastAsia="Arial" w:hAnsi="Arial"/>
          <w:sz w:val="18"/>
          <w:szCs w:val="18"/>
          <w:color w:val="auto"/>
        </w:rPr>
        <w:t>The performance goals selected by the Committee may be based on any one or more performance measures,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those listed in the 2022 Plan. Any performance goal can be based on the performance of the Company or any subsidiary, as a whole, or any division or business unit, or subsidiary, or any combination thereof, as the Committee deems appropriate. Any performance goal can be compared to the performance of a peer group or a published or special index that the Committee deems appropriate. The Committee also may provide for accelerated vesting of any award based on the achievement of performance goals.</w:t>
      </w:r>
    </w:p>
    <w:p>
      <w:pPr>
        <w:spacing w:after="0" w:line="95" w:lineRule="exact"/>
        <w:rPr>
          <w:sz w:val="20"/>
          <w:szCs w:val="20"/>
          <w:color w:val="auto"/>
        </w:rPr>
      </w:pPr>
    </w:p>
    <w:p>
      <w:pPr>
        <w:ind w:right="20" w:firstLine="401"/>
        <w:spacing w:after="0" w:line="234" w:lineRule="auto"/>
        <w:rPr>
          <w:sz w:val="20"/>
          <w:szCs w:val="20"/>
          <w:color w:val="auto"/>
        </w:rPr>
      </w:pPr>
      <w:r>
        <w:rPr>
          <w:rFonts w:ascii="Arial" w:cs="Arial" w:eastAsia="Arial" w:hAnsi="Arial"/>
          <w:sz w:val="18"/>
          <w:szCs w:val="18"/>
          <w:color w:val="auto"/>
        </w:rPr>
        <w:t>The Committee may amend or modify the vesting criteria (including any performance goals or performance periods) of any outstanding awards based in whole or in part on the financial performance of the Company (or any subsidiary or division or business unit) in recognition of unusual or nonrecurring events affecting the Company or the financial statements of the Company or of changes in applicable laws, regulations or accounting principles, whenever the Committee determines that such adjustments are appropriate in order to prevent unintended dilution or enlargement of the benefits or potential benefits intended to be made available under the 2022 Plan.</w:t>
      </w:r>
    </w:p>
    <w:p>
      <w:pPr>
        <w:spacing w:after="0" w:line="73" w:lineRule="exact"/>
        <w:rPr>
          <w:sz w:val="20"/>
          <w:szCs w:val="20"/>
          <w:color w:val="auto"/>
        </w:rPr>
      </w:pPr>
    </w:p>
    <w:p>
      <w:pPr>
        <w:ind w:right="20" w:firstLine="401"/>
        <w:spacing w:after="0" w:line="235" w:lineRule="auto"/>
        <w:rPr>
          <w:sz w:val="20"/>
          <w:szCs w:val="20"/>
          <w:color w:val="auto"/>
        </w:rPr>
      </w:pPr>
      <w:r>
        <w:rPr>
          <w:rFonts w:ascii="Arial" w:cs="Arial" w:eastAsia="Arial" w:hAnsi="Arial"/>
          <w:sz w:val="18"/>
          <w:szCs w:val="18"/>
          <w:b w:val="1"/>
          <w:bCs w:val="1"/>
          <w:color w:val="auto"/>
        </w:rPr>
        <w:t xml:space="preserve">Dividend Equivalents. </w:t>
      </w:r>
      <w:r>
        <w:rPr>
          <w:rFonts w:ascii="Arial" w:cs="Arial" w:eastAsia="Arial" w:hAnsi="Arial"/>
          <w:sz w:val="18"/>
          <w:szCs w:val="18"/>
          <w:color w:val="auto"/>
        </w:rPr>
        <w:t>With the exception of stock options and SARs, awards under the 2022 Plan (including deferred awards) may, in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Committee’s discretion, earn dividend equivalents with respect to the cash dividends that would have been paid on the shares of our common stock covered by such award had such shares been issued and outstanding on the dividend payment date. Such dividend equivalents will be converted to cash or additional shares of our common stock by such formula and at such time and subject to such limitations as determined by the Committee and the Committee may provide that such amounts will be deemed to have been reinvested in additional shares of common stock or otherwise reinvested. Any dividend equivalents will be subject to the same conditions and restrictions and will be subject to forfeiture and termination to the same extent as the corresponding award as to which the dividend equivalents relate. In no event will participants holding performance shares, performance units or other performance-based awards receive any dividend payments until the performance-based vesting provisions of such awards lapse.</w:t>
      </w:r>
    </w:p>
    <w:p>
      <w:pPr>
        <w:spacing w:after="0" w:line="77" w:lineRule="exact"/>
        <w:rPr>
          <w:sz w:val="20"/>
          <w:szCs w:val="20"/>
          <w:color w:val="auto"/>
        </w:rPr>
      </w:pPr>
    </w:p>
    <w:p>
      <w:pPr>
        <w:ind w:right="320" w:firstLine="401"/>
        <w:spacing w:after="0" w:line="260" w:lineRule="auto"/>
        <w:rPr>
          <w:sz w:val="20"/>
          <w:szCs w:val="20"/>
          <w:color w:val="auto"/>
        </w:rPr>
      </w:pPr>
      <w:r>
        <w:rPr>
          <w:rFonts w:ascii="Arial" w:cs="Arial" w:eastAsia="Arial" w:hAnsi="Arial"/>
          <w:sz w:val="17"/>
          <w:szCs w:val="17"/>
          <w:b w:val="1"/>
          <w:bCs w:val="1"/>
          <w:color w:val="auto"/>
        </w:rPr>
        <w:t xml:space="preserve">Effect of Termination of Service. </w:t>
      </w:r>
      <w:r>
        <w:rPr>
          <w:rFonts w:ascii="Arial" w:cs="Arial" w:eastAsia="Arial" w:hAnsi="Arial"/>
          <w:sz w:val="17"/>
          <w:szCs w:val="17"/>
          <w:color w:val="auto"/>
        </w:rPr>
        <w:t>Pursuant to the terms of the 2022 Plan, the following provisions will apply in connection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termination of a participant’s employment or other service with the Company except to the extent otherwise provided in the 2022 Plan, in an award agreement at the time of grant or as determined by the Committee at a later date, or by the terms of another agreement between the Company and the participant or a plan or policy of the Company applicable to the participant that specifically provides otherwise.</w:t>
      </w:r>
    </w:p>
    <w:p>
      <w:pPr>
        <w:spacing w:after="0" w:line="7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the event a participant’s employment or other service is terminated by reason of death or disability, then:</w:t>
      </w:r>
    </w:p>
    <w:p>
      <w:pPr>
        <w:spacing w:after="0" w:line="99" w:lineRule="exact"/>
        <w:rPr>
          <w:sz w:val="20"/>
          <w:szCs w:val="20"/>
          <w:color w:val="auto"/>
        </w:rPr>
      </w:pPr>
    </w:p>
    <w:p>
      <w:pPr>
        <w:ind w:left="800" w:right="180" w:hanging="395"/>
        <w:spacing w:after="0" w:line="236" w:lineRule="auto"/>
        <w:tabs>
          <w:tab w:leader="none" w:pos="800" w:val="left"/>
        </w:tabs>
        <w:numPr>
          <w:ilvl w:val="0"/>
          <w:numId w:val="40"/>
        </w:numPr>
        <w:rPr>
          <w:rFonts w:ascii="Arial" w:cs="Arial" w:eastAsia="Arial" w:hAnsi="Arial"/>
          <w:sz w:val="16"/>
          <w:szCs w:val="16"/>
          <w:color w:val="auto"/>
        </w:rPr>
      </w:pPr>
      <w:r>
        <w:rPr>
          <w:rFonts w:ascii="Arial" w:cs="Arial" w:eastAsia="Arial" w:hAnsi="Arial"/>
          <w:sz w:val="18"/>
          <w:szCs w:val="18"/>
          <w:color w:val="auto"/>
        </w:rPr>
        <w:t>All outstanding stock options (including non-employee director options) and SARs held by the participant shall become immediately exercisable in full and will remain exercisable for a period of one year after such termination, but not later than the date the stock option or SAR expires;</w:t>
      </w:r>
    </w:p>
    <w:p>
      <w:pPr>
        <w:spacing w:after="0" w:line="94" w:lineRule="exact"/>
        <w:rPr>
          <w:rFonts w:ascii="Arial" w:cs="Arial" w:eastAsia="Arial" w:hAnsi="Arial"/>
          <w:sz w:val="16"/>
          <w:szCs w:val="16"/>
          <w:color w:val="auto"/>
        </w:rPr>
      </w:pPr>
    </w:p>
    <w:p>
      <w:pPr>
        <w:ind w:left="800" w:hanging="395"/>
        <w:spacing w:after="0"/>
        <w:tabs>
          <w:tab w:leader="none" w:pos="800" w:val="left"/>
        </w:tabs>
        <w:numPr>
          <w:ilvl w:val="0"/>
          <w:numId w:val="40"/>
        </w:numPr>
        <w:rPr>
          <w:rFonts w:ascii="Arial" w:cs="Arial" w:eastAsia="Arial" w:hAnsi="Arial"/>
          <w:sz w:val="16"/>
          <w:szCs w:val="16"/>
          <w:color w:val="auto"/>
        </w:rPr>
      </w:pPr>
      <w:r>
        <w:rPr>
          <w:rFonts w:ascii="Arial" w:cs="Arial" w:eastAsia="Arial" w:hAnsi="Arial"/>
          <w:sz w:val="18"/>
          <w:szCs w:val="18"/>
          <w:color w:val="auto"/>
        </w:rPr>
        <w:t>All outstanding shares of restricted stock held by the participant that then have not vested will terminate and be forfeited;</w:t>
      </w:r>
    </w:p>
    <w:p>
      <w:pPr>
        <w:spacing w:after="0" w:line="98" w:lineRule="exact"/>
        <w:rPr>
          <w:rFonts w:ascii="Arial" w:cs="Arial" w:eastAsia="Arial" w:hAnsi="Arial"/>
          <w:sz w:val="16"/>
          <w:szCs w:val="16"/>
          <w:color w:val="auto"/>
        </w:rPr>
      </w:pPr>
    </w:p>
    <w:p>
      <w:pPr>
        <w:ind w:left="800" w:right="80" w:hanging="395"/>
        <w:spacing w:after="0" w:line="233" w:lineRule="auto"/>
        <w:tabs>
          <w:tab w:leader="none" w:pos="800" w:val="left"/>
        </w:tabs>
        <w:numPr>
          <w:ilvl w:val="0"/>
          <w:numId w:val="40"/>
        </w:numPr>
        <w:rPr>
          <w:rFonts w:ascii="Arial" w:cs="Arial" w:eastAsia="Arial" w:hAnsi="Arial"/>
          <w:sz w:val="16"/>
          <w:szCs w:val="16"/>
          <w:color w:val="auto"/>
        </w:rPr>
      </w:pPr>
      <w:r>
        <w:rPr>
          <w:rFonts w:ascii="Arial" w:cs="Arial" w:eastAsia="Arial" w:hAnsi="Arial"/>
          <w:sz w:val="18"/>
          <w:szCs w:val="18"/>
          <w:color w:val="auto"/>
        </w:rPr>
        <w:t>All outstanding, but unpaid, RSUs, performance shares, performance units and other cash-based or stock-based awards held by the participant will terminate and be forfeited, provided, however, that with respect to any performance shares or performance units, if a participant’s employment or other service is terminated by death or disability prior to the end of the performance period of such award, but after the conclusion of not less than one year of the performance period, the Committee may, in its sole discretion, cause shares to be delivered or payment made, but only if otherwise earned for the entire performance period and only with respect to the portion of the applicable performance period completed at the date of</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98" w:lineRule="exact"/>
        <w:rPr>
          <w:sz w:val="20"/>
          <w:szCs w:val="20"/>
          <w:color w:val="auto"/>
        </w:rPr>
      </w:pPr>
    </w:p>
    <w:p>
      <w:pPr>
        <w:ind w:left="800" w:right="180"/>
        <w:spacing w:after="0" w:line="238" w:lineRule="auto"/>
        <w:rPr>
          <w:sz w:val="20"/>
          <w:szCs w:val="20"/>
          <w:color w:val="auto"/>
        </w:rPr>
      </w:pPr>
      <w:r>
        <w:rPr>
          <w:rFonts w:ascii="Arial" w:cs="Arial" w:eastAsia="Arial" w:hAnsi="Arial"/>
          <w:sz w:val="18"/>
          <w:szCs w:val="18"/>
          <w:color w:val="auto"/>
        </w:rPr>
        <w:t>such event, with proration based on the number of months or years that the participant was employed or performed services during the performance period; and</w:t>
      </w:r>
    </w:p>
    <w:p>
      <w:pPr>
        <w:spacing w:after="0" w:line="95" w:lineRule="exact"/>
        <w:rPr>
          <w:sz w:val="20"/>
          <w:szCs w:val="20"/>
          <w:color w:val="auto"/>
        </w:rPr>
      </w:pPr>
    </w:p>
    <w:p>
      <w:pPr>
        <w:ind w:left="800" w:right="200" w:hanging="395"/>
        <w:spacing w:after="0" w:line="234" w:lineRule="auto"/>
        <w:tabs>
          <w:tab w:leader="none" w:pos="800" w:val="left"/>
        </w:tabs>
        <w:numPr>
          <w:ilvl w:val="0"/>
          <w:numId w:val="41"/>
        </w:numPr>
        <w:rPr>
          <w:rFonts w:ascii="Arial" w:cs="Arial" w:eastAsia="Arial" w:hAnsi="Arial"/>
          <w:sz w:val="16"/>
          <w:szCs w:val="16"/>
          <w:color w:val="auto"/>
        </w:rPr>
      </w:pPr>
      <w:r>
        <w:rPr>
          <w:rFonts w:ascii="Arial" w:cs="Arial" w:eastAsia="Arial" w:hAnsi="Arial"/>
          <w:sz w:val="18"/>
          <w:szCs w:val="18"/>
          <w:color w:val="auto"/>
        </w:rPr>
        <w:t>If the effective date of such termination is before the date payment is made in settlement of an annual performance award or would have been made had there not been a deferral election in place, the annual performance award will be terminated and forfeited; provided, however, that the Committee may, in its sole discretion, cause payment to be made with respect to such annual performance award, but only if otherwise earned for the entire performance period and only with respect to the portion of the performance period completed as of the date of such death or disability.</w:t>
      </w:r>
    </w:p>
    <w:p>
      <w:pPr>
        <w:spacing w:after="0" w:line="95" w:lineRule="exact"/>
        <w:rPr>
          <w:sz w:val="20"/>
          <w:szCs w:val="20"/>
          <w:color w:val="auto"/>
        </w:rPr>
      </w:pPr>
    </w:p>
    <w:p>
      <w:pPr>
        <w:ind w:right="560" w:firstLine="401"/>
        <w:spacing w:after="0" w:line="238" w:lineRule="auto"/>
        <w:rPr>
          <w:sz w:val="20"/>
          <w:szCs w:val="20"/>
          <w:color w:val="auto"/>
        </w:rPr>
      </w:pPr>
      <w:r>
        <w:rPr>
          <w:rFonts w:ascii="Arial" w:cs="Arial" w:eastAsia="Arial" w:hAnsi="Arial"/>
          <w:sz w:val="18"/>
          <w:szCs w:val="18"/>
          <w:color w:val="auto"/>
        </w:rPr>
        <w:t>In the event a participant’s employment or other service is terminated by reason of retirement (except with respect to non-employee directors), then:</w:t>
      </w:r>
    </w:p>
    <w:p>
      <w:pPr>
        <w:spacing w:after="0" w:line="95" w:lineRule="exact"/>
        <w:rPr>
          <w:sz w:val="20"/>
          <w:szCs w:val="20"/>
          <w:color w:val="auto"/>
        </w:rPr>
      </w:pPr>
    </w:p>
    <w:p>
      <w:pPr>
        <w:ind w:left="800" w:right="80" w:hanging="395"/>
        <w:spacing w:after="0" w:line="236" w:lineRule="auto"/>
        <w:tabs>
          <w:tab w:leader="none" w:pos="800" w:val="left"/>
        </w:tabs>
        <w:numPr>
          <w:ilvl w:val="0"/>
          <w:numId w:val="42"/>
        </w:numPr>
        <w:rPr>
          <w:rFonts w:ascii="Arial" w:cs="Arial" w:eastAsia="Arial" w:hAnsi="Arial"/>
          <w:sz w:val="16"/>
          <w:szCs w:val="16"/>
          <w:color w:val="auto"/>
        </w:rPr>
      </w:pPr>
      <w:r>
        <w:rPr>
          <w:rFonts w:ascii="Arial" w:cs="Arial" w:eastAsia="Arial" w:hAnsi="Arial"/>
          <w:sz w:val="18"/>
          <w:szCs w:val="18"/>
          <w:color w:val="auto"/>
        </w:rPr>
        <w:t>All outstanding stock options (other than non-employee director options) and SARs held by the participant will remain outstanding and exercisable and will continue to vest and become exercisable in accordance with their terms for four years after the date of such retirement, but will not be exercisable later than the date the stock option or SAR expires;</w:t>
      </w:r>
    </w:p>
    <w:p>
      <w:pPr>
        <w:spacing w:after="0" w:line="94" w:lineRule="exact"/>
        <w:rPr>
          <w:rFonts w:ascii="Arial" w:cs="Arial" w:eastAsia="Arial" w:hAnsi="Arial"/>
          <w:sz w:val="16"/>
          <w:szCs w:val="16"/>
          <w:color w:val="auto"/>
        </w:rPr>
      </w:pPr>
    </w:p>
    <w:p>
      <w:pPr>
        <w:ind w:left="800" w:hanging="395"/>
        <w:spacing w:after="0"/>
        <w:tabs>
          <w:tab w:leader="none" w:pos="800" w:val="left"/>
        </w:tabs>
        <w:numPr>
          <w:ilvl w:val="0"/>
          <w:numId w:val="42"/>
        </w:numPr>
        <w:rPr>
          <w:rFonts w:ascii="Arial" w:cs="Arial" w:eastAsia="Arial" w:hAnsi="Arial"/>
          <w:sz w:val="16"/>
          <w:szCs w:val="16"/>
          <w:color w:val="auto"/>
        </w:rPr>
      </w:pPr>
      <w:r>
        <w:rPr>
          <w:rFonts w:ascii="Arial" w:cs="Arial" w:eastAsia="Arial" w:hAnsi="Arial"/>
          <w:sz w:val="18"/>
          <w:szCs w:val="18"/>
          <w:color w:val="auto"/>
        </w:rPr>
        <w:t>All outstanding shares of restricted stock held by the participant that then have not vested will terminate and be forfeited;</w:t>
      </w:r>
    </w:p>
    <w:p>
      <w:pPr>
        <w:spacing w:after="0" w:line="98" w:lineRule="exact"/>
        <w:rPr>
          <w:rFonts w:ascii="Arial" w:cs="Arial" w:eastAsia="Arial" w:hAnsi="Arial"/>
          <w:sz w:val="16"/>
          <w:szCs w:val="16"/>
          <w:color w:val="auto"/>
        </w:rPr>
      </w:pPr>
    </w:p>
    <w:p>
      <w:pPr>
        <w:ind w:left="800" w:right="80" w:hanging="395"/>
        <w:spacing w:after="0" w:line="233" w:lineRule="auto"/>
        <w:tabs>
          <w:tab w:leader="none" w:pos="800" w:val="left"/>
        </w:tabs>
        <w:numPr>
          <w:ilvl w:val="0"/>
          <w:numId w:val="42"/>
        </w:numPr>
        <w:rPr>
          <w:rFonts w:ascii="Arial" w:cs="Arial" w:eastAsia="Arial" w:hAnsi="Arial"/>
          <w:sz w:val="16"/>
          <w:szCs w:val="16"/>
          <w:color w:val="auto"/>
        </w:rPr>
      </w:pPr>
      <w:r>
        <w:rPr>
          <w:rFonts w:ascii="Arial" w:cs="Arial" w:eastAsia="Arial" w:hAnsi="Arial"/>
          <w:sz w:val="18"/>
          <w:szCs w:val="18"/>
          <w:color w:val="auto"/>
        </w:rPr>
        <w:t>All outstanding, but unpaid, RSUs, performance shares, performance units and other cash-based or stock-based awards held by the participant will terminate and be forfeited, provided, however, that with respect to any performance shares or performance units, if a participant’s employment or other service is terminated by reason of retirement prior to the end of the performance period of such award, but after the conclusion of not less than one year of the performance period, the Committee may, in its sole discretion, cause shares to be delivered or payment made, but only if otherwise earned for the entire performance period and only with respect to the portion of the applicable performance period completed at the date of such event, with proration based on the number of months or years that the participant was employed or performed services during the performance period; and</w:t>
      </w:r>
    </w:p>
    <w:p>
      <w:pPr>
        <w:spacing w:after="0" w:line="95" w:lineRule="exact"/>
        <w:rPr>
          <w:rFonts w:ascii="Arial" w:cs="Arial" w:eastAsia="Arial" w:hAnsi="Arial"/>
          <w:sz w:val="16"/>
          <w:szCs w:val="16"/>
          <w:color w:val="auto"/>
        </w:rPr>
      </w:pPr>
    </w:p>
    <w:p>
      <w:pPr>
        <w:ind w:left="800" w:right="280" w:hanging="395"/>
        <w:spacing w:after="0" w:line="234" w:lineRule="auto"/>
        <w:tabs>
          <w:tab w:leader="none" w:pos="800" w:val="left"/>
        </w:tabs>
        <w:numPr>
          <w:ilvl w:val="0"/>
          <w:numId w:val="42"/>
        </w:numPr>
        <w:rPr>
          <w:rFonts w:ascii="Arial" w:cs="Arial" w:eastAsia="Arial" w:hAnsi="Arial"/>
          <w:sz w:val="16"/>
          <w:szCs w:val="16"/>
          <w:color w:val="auto"/>
        </w:rPr>
      </w:pPr>
      <w:r>
        <w:rPr>
          <w:rFonts w:ascii="Arial" w:cs="Arial" w:eastAsia="Arial" w:hAnsi="Arial"/>
          <w:sz w:val="18"/>
          <w:szCs w:val="18"/>
          <w:color w:val="auto"/>
        </w:rPr>
        <w:t>If the effective date of such retirement is before the date payment is made in settlement of an annual performance award or would have been made had there not been a deferral election in place, the annual performance award will be terminated and forfeited; provided, however, that the Committee may, in its sole discretion, cause payment to be made with respect to such annual performance award, but only if otherwise earned for the entire performance period and only with respect to the portion of the performance period completed as of the date of such retirement.</w:t>
      </w:r>
    </w:p>
    <w:p>
      <w:pPr>
        <w:spacing w:after="0" w:line="95" w:lineRule="exact"/>
        <w:rPr>
          <w:sz w:val="20"/>
          <w:szCs w:val="20"/>
          <w:color w:val="auto"/>
        </w:rPr>
      </w:pPr>
    </w:p>
    <w:p>
      <w:pPr>
        <w:ind w:right="60" w:firstLine="401"/>
        <w:spacing w:after="0" w:line="238" w:lineRule="auto"/>
        <w:rPr>
          <w:sz w:val="20"/>
          <w:szCs w:val="20"/>
          <w:color w:val="auto"/>
        </w:rPr>
      </w:pPr>
      <w:r>
        <w:rPr>
          <w:rFonts w:ascii="Arial" w:cs="Arial" w:eastAsia="Arial" w:hAnsi="Arial"/>
          <w:sz w:val="18"/>
          <w:szCs w:val="18"/>
          <w:color w:val="auto"/>
        </w:rPr>
        <w:t>In the event a participant’s employment or other service is terminated for any reason other than death, disability or retirement (except with respect to non-employee directors), then:</w:t>
      </w:r>
    </w:p>
    <w:p>
      <w:pPr>
        <w:spacing w:after="0" w:line="95" w:lineRule="exact"/>
        <w:rPr>
          <w:sz w:val="20"/>
          <w:szCs w:val="20"/>
          <w:color w:val="auto"/>
        </w:rPr>
      </w:pPr>
    </w:p>
    <w:p>
      <w:pPr>
        <w:ind w:left="800" w:right="180" w:hanging="395"/>
        <w:spacing w:after="0" w:line="236" w:lineRule="auto"/>
        <w:tabs>
          <w:tab w:leader="none" w:pos="800" w:val="left"/>
        </w:tabs>
        <w:numPr>
          <w:ilvl w:val="0"/>
          <w:numId w:val="43"/>
        </w:numPr>
        <w:rPr>
          <w:rFonts w:ascii="Arial" w:cs="Arial" w:eastAsia="Arial" w:hAnsi="Arial"/>
          <w:sz w:val="16"/>
          <w:szCs w:val="16"/>
          <w:color w:val="auto"/>
        </w:rPr>
      </w:pPr>
      <w:r>
        <w:rPr>
          <w:rFonts w:ascii="Arial" w:cs="Arial" w:eastAsia="Arial" w:hAnsi="Arial"/>
          <w:sz w:val="18"/>
          <w:szCs w:val="18"/>
          <w:color w:val="auto"/>
        </w:rPr>
        <w:t>All outstanding stock options (other than non-employee director options) and SARs held by the participant that then are exercisable will remain exercisable for three months after the date of termination, but those that are not exercisable will terminate and be forfeited;</w:t>
      </w:r>
    </w:p>
    <w:p>
      <w:pPr>
        <w:spacing w:after="0" w:line="94" w:lineRule="exact"/>
        <w:rPr>
          <w:rFonts w:ascii="Arial" w:cs="Arial" w:eastAsia="Arial" w:hAnsi="Arial"/>
          <w:sz w:val="16"/>
          <w:szCs w:val="16"/>
          <w:color w:val="auto"/>
        </w:rPr>
      </w:pPr>
    </w:p>
    <w:p>
      <w:pPr>
        <w:ind w:left="800" w:hanging="395"/>
        <w:spacing w:after="0"/>
        <w:tabs>
          <w:tab w:leader="none" w:pos="800" w:val="left"/>
        </w:tabs>
        <w:numPr>
          <w:ilvl w:val="0"/>
          <w:numId w:val="43"/>
        </w:numPr>
        <w:rPr>
          <w:rFonts w:ascii="Arial" w:cs="Arial" w:eastAsia="Arial" w:hAnsi="Arial"/>
          <w:sz w:val="16"/>
          <w:szCs w:val="16"/>
          <w:color w:val="auto"/>
        </w:rPr>
      </w:pPr>
      <w:r>
        <w:rPr>
          <w:rFonts w:ascii="Arial" w:cs="Arial" w:eastAsia="Arial" w:hAnsi="Arial"/>
          <w:sz w:val="18"/>
          <w:szCs w:val="18"/>
          <w:color w:val="auto"/>
        </w:rPr>
        <w:t>All outstanding shares of restricted stock held by the participant that then have not vested will terminate and be forfeited;</w:t>
      </w:r>
    </w:p>
    <w:p>
      <w:pPr>
        <w:spacing w:after="0" w:line="98" w:lineRule="exact"/>
        <w:rPr>
          <w:rFonts w:ascii="Arial" w:cs="Arial" w:eastAsia="Arial" w:hAnsi="Arial"/>
          <w:sz w:val="16"/>
          <w:szCs w:val="16"/>
          <w:color w:val="auto"/>
        </w:rPr>
      </w:pPr>
    </w:p>
    <w:p>
      <w:pPr>
        <w:ind w:left="800" w:right="40" w:hanging="395"/>
        <w:spacing w:after="0" w:line="238" w:lineRule="auto"/>
        <w:tabs>
          <w:tab w:leader="none" w:pos="800" w:val="left"/>
        </w:tabs>
        <w:numPr>
          <w:ilvl w:val="0"/>
          <w:numId w:val="43"/>
        </w:numPr>
        <w:rPr>
          <w:rFonts w:ascii="Arial" w:cs="Arial" w:eastAsia="Arial" w:hAnsi="Arial"/>
          <w:sz w:val="16"/>
          <w:szCs w:val="16"/>
          <w:color w:val="auto"/>
        </w:rPr>
      </w:pPr>
      <w:r>
        <w:rPr>
          <w:rFonts w:ascii="Arial" w:cs="Arial" w:eastAsia="Arial" w:hAnsi="Arial"/>
          <w:sz w:val="18"/>
          <w:szCs w:val="18"/>
          <w:color w:val="auto"/>
        </w:rPr>
        <w:t>All outstanding, but unpaid, RSUs, performance shares, performance units, and other cash-based or stock-based awards held by the participant will terminate and be forfeited;</w:t>
      </w:r>
    </w:p>
    <w:p>
      <w:pPr>
        <w:spacing w:after="0" w:line="94" w:lineRule="exact"/>
        <w:rPr>
          <w:rFonts w:ascii="Arial" w:cs="Arial" w:eastAsia="Arial" w:hAnsi="Arial"/>
          <w:sz w:val="16"/>
          <w:szCs w:val="16"/>
          <w:color w:val="auto"/>
        </w:rPr>
      </w:pPr>
    </w:p>
    <w:p>
      <w:pPr>
        <w:ind w:left="800" w:right="120" w:hanging="395"/>
        <w:spacing w:after="0" w:line="236" w:lineRule="auto"/>
        <w:tabs>
          <w:tab w:leader="none" w:pos="800" w:val="left"/>
        </w:tabs>
        <w:numPr>
          <w:ilvl w:val="0"/>
          <w:numId w:val="43"/>
        </w:numPr>
        <w:rPr>
          <w:rFonts w:ascii="Arial" w:cs="Arial" w:eastAsia="Arial" w:hAnsi="Arial"/>
          <w:sz w:val="16"/>
          <w:szCs w:val="16"/>
          <w:color w:val="auto"/>
        </w:rPr>
      </w:pPr>
      <w:r>
        <w:rPr>
          <w:rFonts w:ascii="Arial" w:cs="Arial" w:eastAsia="Arial" w:hAnsi="Arial"/>
          <w:sz w:val="18"/>
          <w:szCs w:val="18"/>
          <w:color w:val="auto"/>
        </w:rPr>
        <w:t>If the effective date of such termination is before the date payment is made in settlement of an annual performance award or would have been made had there not been a deferred election in place, then any such annual performance award held by a participant will terminate and be forfeited; and</w:t>
      </w:r>
    </w:p>
    <w:p>
      <w:pPr>
        <w:spacing w:after="0" w:line="94" w:lineRule="exact"/>
        <w:rPr>
          <w:rFonts w:ascii="Arial" w:cs="Arial" w:eastAsia="Arial" w:hAnsi="Arial"/>
          <w:sz w:val="16"/>
          <w:szCs w:val="16"/>
          <w:color w:val="auto"/>
        </w:rPr>
      </w:pPr>
    </w:p>
    <w:p>
      <w:pPr>
        <w:ind w:left="800" w:hanging="395"/>
        <w:spacing w:after="0" w:line="233" w:lineRule="auto"/>
        <w:tabs>
          <w:tab w:leader="none" w:pos="800" w:val="left"/>
        </w:tabs>
        <w:numPr>
          <w:ilvl w:val="0"/>
          <w:numId w:val="43"/>
        </w:numPr>
        <w:rPr>
          <w:rFonts w:ascii="Arial" w:cs="Arial" w:eastAsia="Arial" w:hAnsi="Arial"/>
          <w:sz w:val="16"/>
          <w:szCs w:val="16"/>
          <w:color w:val="auto"/>
        </w:rPr>
      </w:pPr>
      <w:r>
        <w:rPr>
          <w:rFonts w:ascii="Arial" w:cs="Arial" w:eastAsia="Arial" w:hAnsi="Arial"/>
          <w:sz w:val="18"/>
          <w:szCs w:val="18"/>
          <w:color w:val="auto"/>
        </w:rPr>
        <w:t>If a non-employee director has served as a member of the Board for 10 full fiscal years or longer and terminates service on the Board for any reason other than death or disability, (a) outstanding unvested non-employee director options will remain outstanding and continue to vest in accordance with their terms, and (b) the non-employee director may exercise all such vested outstanding non-employee director options for up to four years after the date of termination, but not later than the date the non-employee director option expires. If a non-employee director has served as a member of the Board for less than ten years and terminates service on the Board for any reason other than death or disability, (i) all unvested non-employee director options will expire and be canceled, and (ii) the non-employee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98" w:lineRule="exact"/>
        <w:rPr>
          <w:sz w:val="20"/>
          <w:szCs w:val="20"/>
          <w:color w:val="auto"/>
        </w:rPr>
      </w:pPr>
    </w:p>
    <w:p>
      <w:pPr>
        <w:ind w:left="800" w:right="100"/>
        <w:spacing w:after="0" w:line="238" w:lineRule="auto"/>
        <w:rPr>
          <w:sz w:val="20"/>
          <w:szCs w:val="20"/>
          <w:color w:val="auto"/>
        </w:rPr>
      </w:pPr>
      <w:r>
        <w:rPr>
          <w:rFonts w:ascii="Arial" w:cs="Arial" w:eastAsia="Arial" w:hAnsi="Arial"/>
          <w:sz w:val="18"/>
          <w:szCs w:val="18"/>
          <w:color w:val="auto"/>
        </w:rPr>
        <w:t>director may exercise any vested outstanding non-employee director options for up to three months after the date of termination, but not later than the date the non-employee director option expires.</w:t>
      </w:r>
    </w:p>
    <w:p>
      <w:pPr>
        <w:spacing w:after="0" w:line="73" w:lineRule="exact"/>
        <w:rPr>
          <w:sz w:val="20"/>
          <w:szCs w:val="20"/>
          <w:color w:val="auto"/>
        </w:rPr>
      </w:pPr>
    </w:p>
    <w:p>
      <w:pPr>
        <w:ind w:right="40" w:firstLine="401"/>
        <w:spacing w:after="0" w:line="235" w:lineRule="auto"/>
        <w:rPr>
          <w:sz w:val="20"/>
          <w:szCs w:val="20"/>
          <w:color w:val="auto"/>
        </w:rPr>
      </w:pPr>
      <w:r>
        <w:rPr>
          <w:rFonts w:ascii="Arial" w:cs="Arial" w:eastAsia="Arial" w:hAnsi="Arial"/>
          <w:sz w:val="18"/>
          <w:szCs w:val="18"/>
          <w:b w:val="1"/>
          <w:bCs w:val="1"/>
          <w:color w:val="auto"/>
        </w:rPr>
        <w:t xml:space="preserve">Modification of Rights Upon Termination. </w:t>
      </w:r>
      <w:r>
        <w:rPr>
          <w:rFonts w:ascii="Arial" w:cs="Arial" w:eastAsia="Arial" w:hAnsi="Arial"/>
          <w:sz w:val="18"/>
          <w:szCs w:val="18"/>
          <w:color w:val="auto"/>
        </w:rPr>
        <w:t>Upon a participant’s termination of employment or other service the Committee may, in its</w:t>
      </w:r>
      <w:r>
        <w:rPr>
          <w:rFonts w:ascii="Arial" w:cs="Arial" w:eastAsia="Arial" w:hAnsi="Arial"/>
          <w:sz w:val="18"/>
          <w:szCs w:val="18"/>
          <w:b w:val="1"/>
          <w:bCs w:val="1"/>
          <w:color w:val="auto"/>
        </w:rPr>
        <w:t xml:space="preserve"> </w:t>
      </w:r>
      <w:r>
        <w:rPr>
          <w:rFonts w:ascii="Arial" w:cs="Arial" w:eastAsia="Arial" w:hAnsi="Arial"/>
          <w:sz w:val="18"/>
          <w:szCs w:val="18"/>
          <w:color w:val="auto"/>
        </w:rPr>
        <w:t>sole discretion, cause stock options or SARs (or any part thereof) held by such participant as of the effective date of such termination to terminate, become or continue to become exercisable or remain exercisable following such termination of employment or service, and restricted stock, RSUs, performance shares, performance units, annual performance awards, non-employee director awards, other cash-based awards and other stock-based awards held by such participant as of the effective date of such termination to terminate, vest or become free of restrictions and conditions to payment, as the case may be, following such termination of employment or service, in each case in the manner determined by the Committee; provided, however, that (a) the Committee taking any such action relating to nonemployee director awards shall consist solely of “independent directors” (as defined in the NYSE listing standards), and (b) any such action by the Committee adversely affecting any outstanding award will not be effective without the consent of the affected participant, except to the extent the Committee is authorized by the 2022 Plan to take such action.</w:t>
      </w:r>
    </w:p>
    <w:p>
      <w:pPr>
        <w:spacing w:after="0" w:line="74" w:lineRule="exact"/>
        <w:rPr>
          <w:sz w:val="20"/>
          <w:szCs w:val="20"/>
          <w:color w:val="auto"/>
        </w:rPr>
      </w:pPr>
    </w:p>
    <w:p>
      <w:pPr>
        <w:ind w:right="20" w:firstLine="401"/>
        <w:spacing w:after="0" w:line="234" w:lineRule="auto"/>
        <w:rPr>
          <w:sz w:val="20"/>
          <w:szCs w:val="20"/>
          <w:color w:val="auto"/>
        </w:rPr>
      </w:pPr>
      <w:r>
        <w:rPr>
          <w:rFonts w:ascii="Arial" w:cs="Arial" w:eastAsia="Arial" w:hAnsi="Arial"/>
          <w:sz w:val="18"/>
          <w:szCs w:val="18"/>
          <w:b w:val="1"/>
          <w:bCs w:val="1"/>
          <w:color w:val="auto"/>
        </w:rPr>
        <w:t xml:space="preserve">Forfeiture and Recoupment or “Clawback”. </w:t>
      </w:r>
      <w:r>
        <w:rPr>
          <w:rFonts w:ascii="Arial" w:cs="Arial" w:eastAsia="Arial" w:hAnsi="Arial"/>
          <w:sz w:val="18"/>
          <w:szCs w:val="18"/>
          <w:color w:val="auto"/>
        </w:rPr>
        <w:t>If a participant is determined by the Committee to have taken any action that would</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an “adverse action,” all rights of the participant under the 2022 Plan and any agreements evidencing an award then held by the participant will terminate and be forfeited and the Committee may require the participant to surrender and return to the Company any shares received, or to disgorge all or any profits or any other economic value made or realized by the participant during the period beginning one year prior to the participant’s termination of employment or other service with the Company or any affiliate or subsidiary, in connection with any awards or any shares issued upon the exercise or vesting of any awards. An “adverse action” includes any of the following actions that occur during or within one year after the termination of employment or other service with the Company or any affiliate or subsidiary, in each case as reasonably determined by the Committee: (a) being employed or retained by or rendering services to any organization that, directly or indirectly, competes with the Company or its affiliates or subsidiaries; (b) rendering services that are prejudicial or in conflict with the interests of the Company or any affiliate or subsidiary; (c) violating any confidentiality agreement or agreement governing the ownership or assignment of intellectual property rights with the Company; or (d) engaging in any misconduct or significant act reasonably determined by the Committee to be injurious, detrimental or prejudicial to any interest of the Company or any affiliate or subsidiary.</w:t>
      </w:r>
    </w:p>
    <w:p>
      <w:pPr>
        <w:spacing w:after="0" w:line="100" w:lineRule="exact"/>
        <w:rPr>
          <w:sz w:val="20"/>
          <w:szCs w:val="20"/>
          <w:color w:val="auto"/>
        </w:rPr>
      </w:pPr>
    </w:p>
    <w:p>
      <w:pPr>
        <w:ind w:right="60" w:firstLine="401"/>
        <w:spacing w:after="0" w:line="235" w:lineRule="auto"/>
        <w:rPr>
          <w:sz w:val="20"/>
          <w:szCs w:val="20"/>
          <w:color w:val="auto"/>
        </w:rPr>
      </w:pPr>
      <w:r>
        <w:rPr>
          <w:rFonts w:ascii="Arial" w:cs="Arial" w:eastAsia="Arial" w:hAnsi="Arial"/>
          <w:sz w:val="18"/>
          <w:szCs w:val="18"/>
          <w:color w:val="auto"/>
        </w:rPr>
        <w:t>In addition, all awards under the 2022 Plan also will be subject to forfeiture or other penalties pursuant to any clawback or forfeiture policy of the Company, as in effect from time to time (including, but not limited to, the Company’s Clawback Policy), and such forfeiture and/or penalty conditions or provisions as determined by the Committee and set forth in the applicable award agreement, or as otherwise required or permitted under applicable law.</w:t>
      </w:r>
    </w:p>
    <w:p>
      <w:pPr>
        <w:spacing w:after="0" w:line="71" w:lineRule="exact"/>
        <w:rPr>
          <w:sz w:val="20"/>
          <w:szCs w:val="20"/>
          <w:color w:val="auto"/>
        </w:rPr>
      </w:pPr>
    </w:p>
    <w:p>
      <w:pPr>
        <w:ind w:right="200" w:firstLine="401"/>
        <w:spacing w:after="0" w:line="268" w:lineRule="auto"/>
        <w:rPr>
          <w:sz w:val="20"/>
          <w:szCs w:val="20"/>
          <w:color w:val="auto"/>
        </w:rPr>
      </w:pPr>
      <w:r>
        <w:rPr>
          <w:rFonts w:ascii="Arial" w:cs="Arial" w:eastAsia="Arial" w:hAnsi="Arial"/>
          <w:sz w:val="17"/>
          <w:szCs w:val="17"/>
          <w:b w:val="1"/>
          <w:bCs w:val="1"/>
          <w:color w:val="auto"/>
        </w:rPr>
        <w:t xml:space="preserve">Effect of Change in Control. </w:t>
      </w:r>
      <w:r>
        <w:rPr>
          <w:rFonts w:ascii="Arial" w:cs="Arial" w:eastAsia="Arial" w:hAnsi="Arial"/>
          <w:sz w:val="17"/>
          <w:szCs w:val="17"/>
          <w:color w:val="auto"/>
        </w:rPr>
        <w:t>If a change in control of the Company occurs and an award is continued, assumed or substituted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successor entity on terms as provided in the 2022 Plan, then the following vesting rules will apply to the continued, assumed or substituted awards, in each case effective immediately prior to such change in control but conditioned upon the completion of such change in control:</w:t>
      </w:r>
    </w:p>
    <w:p>
      <w:pPr>
        <w:spacing w:after="0" w:line="72" w:lineRule="exact"/>
        <w:rPr>
          <w:sz w:val="20"/>
          <w:szCs w:val="20"/>
          <w:color w:val="auto"/>
        </w:rPr>
      </w:pPr>
    </w:p>
    <w:p>
      <w:pPr>
        <w:ind w:left="800" w:right="280" w:hanging="395"/>
        <w:spacing w:after="0" w:line="238" w:lineRule="auto"/>
        <w:tabs>
          <w:tab w:leader="none" w:pos="800" w:val="left"/>
        </w:tabs>
        <w:numPr>
          <w:ilvl w:val="0"/>
          <w:numId w:val="44"/>
        </w:numPr>
        <w:rPr>
          <w:rFonts w:ascii="Arial" w:cs="Arial" w:eastAsia="Arial" w:hAnsi="Arial"/>
          <w:sz w:val="16"/>
          <w:szCs w:val="16"/>
          <w:color w:val="auto"/>
        </w:rPr>
      </w:pPr>
      <w:r>
        <w:rPr>
          <w:rFonts w:ascii="Arial" w:cs="Arial" w:eastAsia="Arial" w:hAnsi="Arial"/>
          <w:sz w:val="18"/>
          <w:szCs w:val="18"/>
          <w:color w:val="auto"/>
        </w:rPr>
        <w:t>Any and all options and SARs shall vest and become immediately exercisable and remain exercisable until the expiration of its full specified term, regardless of any termination of employment or other service of the participant.</w:t>
      </w:r>
    </w:p>
    <w:p>
      <w:pPr>
        <w:spacing w:after="0" w:line="94" w:lineRule="exact"/>
        <w:rPr>
          <w:rFonts w:ascii="Arial" w:cs="Arial" w:eastAsia="Arial" w:hAnsi="Arial"/>
          <w:sz w:val="16"/>
          <w:szCs w:val="16"/>
          <w:color w:val="auto"/>
        </w:rPr>
      </w:pPr>
    </w:p>
    <w:p>
      <w:pPr>
        <w:ind w:left="800" w:hanging="395"/>
        <w:spacing w:after="0" w:line="235" w:lineRule="auto"/>
        <w:tabs>
          <w:tab w:leader="none" w:pos="800" w:val="left"/>
        </w:tabs>
        <w:numPr>
          <w:ilvl w:val="0"/>
          <w:numId w:val="44"/>
        </w:numPr>
        <w:rPr>
          <w:rFonts w:ascii="Arial" w:cs="Arial" w:eastAsia="Arial" w:hAnsi="Arial"/>
          <w:sz w:val="16"/>
          <w:szCs w:val="16"/>
          <w:color w:val="auto"/>
        </w:rPr>
      </w:pPr>
      <w:r>
        <w:rPr>
          <w:rFonts w:ascii="Arial" w:cs="Arial" w:eastAsia="Arial" w:hAnsi="Arial"/>
          <w:sz w:val="18"/>
          <w:szCs w:val="18"/>
          <w:color w:val="auto"/>
        </w:rPr>
        <w:t>All restrictions and vesting requirements applicable to any award based solely on the continued service of the participant shall terminate and such awards shall be settled and paid in cash or shares of our common stock as provided in the award agreement as soon as practicable thereafter but in any event within 30 days following the date of such change in control, subject to the delay, if any, required under the 2022 Plan.</w:t>
      </w:r>
    </w:p>
    <w:p>
      <w:pPr>
        <w:spacing w:after="0" w:line="93" w:lineRule="exact"/>
        <w:rPr>
          <w:rFonts w:ascii="Arial" w:cs="Arial" w:eastAsia="Arial" w:hAnsi="Arial"/>
          <w:sz w:val="16"/>
          <w:szCs w:val="16"/>
          <w:color w:val="auto"/>
        </w:rPr>
      </w:pPr>
    </w:p>
    <w:p>
      <w:pPr>
        <w:ind w:left="800" w:hanging="395"/>
        <w:spacing w:after="0" w:line="233" w:lineRule="auto"/>
        <w:tabs>
          <w:tab w:leader="none" w:pos="800" w:val="left"/>
        </w:tabs>
        <w:numPr>
          <w:ilvl w:val="0"/>
          <w:numId w:val="44"/>
        </w:numPr>
        <w:rPr>
          <w:rFonts w:ascii="Arial" w:cs="Arial" w:eastAsia="Arial" w:hAnsi="Arial"/>
          <w:sz w:val="16"/>
          <w:szCs w:val="16"/>
          <w:color w:val="auto"/>
        </w:rPr>
      </w:pPr>
      <w:r>
        <w:rPr>
          <w:rFonts w:ascii="Arial" w:cs="Arial" w:eastAsia="Arial" w:hAnsi="Arial"/>
          <w:sz w:val="18"/>
          <w:szCs w:val="18"/>
          <w:color w:val="auto"/>
        </w:rPr>
        <w:t>All vested and earned awards that are performance-based for which the performance period has been completed as of the date of such change in control but have not yet been paid shall be paid in cash or shares and at such time as provided in the award agreement as soon as practicable thereafter but in any event within 30 days following the date of such change in control, subject to the delay, if any, required under the 2022 Plan, and all performance-based awards for which the performance period has not been completed as of the date of such change in control shall immediately vest and be earned in full, and paid out with respect to each performance goal based on the greater of (i) target performance; or (ii) actual performance achieved through the date of such change in control, in each case with the manner of</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98" w:lineRule="exact"/>
        <w:rPr>
          <w:sz w:val="20"/>
          <w:szCs w:val="20"/>
          <w:color w:val="auto"/>
        </w:rPr>
      </w:pPr>
    </w:p>
    <w:p>
      <w:pPr>
        <w:ind w:left="800" w:right="120"/>
        <w:spacing w:after="0" w:line="238" w:lineRule="auto"/>
        <w:rPr>
          <w:sz w:val="20"/>
          <w:szCs w:val="20"/>
          <w:color w:val="auto"/>
        </w:rPr>
      </w:pPr>
      <w:r>
        <w:rPr>
          <w:rFonts w:ascii="Arial" w:cs="Arial" w:eastAsia="Arial" w:hAnsi="Arial"/>
          <w:sz w:val="18"/>
          <w:szCs w:val="18"/>
          <w:color w:val="auto"/>
        </w:rPr>
        <w:t>payment to be made in cash or shares as provided in the award agreement as soon as practicable thereafter but in any event within 30 days following the date of such change in control, subject to the delay, if any, required under the 2022 Plan.</w:t>
      </w:r>
    </w:p>
    <w:p>
      <w:pPr>
        <w:spacing w:after="0" w:line="95" w:lineRule="exact"/>
        <w:rPr>
          <w:sz w:val="20"/>
          <w:szCs w:val="20"/>
          <w:color w:val="auto"/>
        </w:rPr>
      </w:pPr>
    </w:p>
    <w:p>
      <w:pPr>
        <w:jc w:val="both"/>
        <w:ind w:right="140"/>
        <w:spacing w:after="0" w:line="236" w:lineRule="auto"/>
        <w:rPr>
          <w:sz w:val="20"/>
          <w:szCs w:val="20"/>
          <w:color w:val="auto"/>
        </w:rPr>
      </w:pPr>
      <w:r>
        <w:rPr>
          <w:rFonts w:ascii="Arial" w:cs="Arial" w:eastAsia="Arial" w:hAnsi="Arial"/>
          <w:sz w:val="18"/>
          <w:szCs w:val="18"/>
          <w:color w:val="auto"/>
        </w:rPr>
        <w:t>If a change in control of the Company occurs, any outstanding awards that are not continued, assumed or substituted with equivalent awards by the successor entity will be subject to the following rules, in each case effective immediately prior to such change in control but conditioned upon the completion of such change in control:</w:t>
      </w:r>
    </w:p>
    <w:p>
      <w:pPr>
        <w:spacing w:after="0" w:line="200" w:lineRule="exact"/>
        <w:rPr>
          <w:sz w:val="20"/>
          <w:szCs w:val="20"/>
          <w:color w:val="auto"/>
        </w:rPr>
      </w:pPr>
    </w:p>
    <w:p>
      <w:pPr>
        <w:ind w:left="800" w:right="20" w:hanging="395"/>
        <w:spacing w:after="0" w:line="232" w:lineRule="auto"/>
        <w:tabs>
          <w:tab w:leader="none" w:pos="800" w:val="left"/>
        </w:tabs>
        <w:numPr>
          <w:ilvl w:val="0"/>
          <w:numId w:val="45"/>
        </w:numPr>
        <w:rPr>
          <w:rFonts w:ascii="Arial" w:cs="Arial" w:eastAsia="Arial" w:hAnsi="Arial"/>
          <w:sz w:val="16"/>
          <w:szCs w:val="16"/>
          <w:color w:val="auto"/>
        </w:rPr>
      </w:pPr>
      <w:r>
        <w:rPr>
          <w:rFonts w:ascii="Arial" w:cs="Arial" w:eastAsia="Arial" w:hAnsi="Arial"/>
          <w:sz w:val="18"/>
          <w:szCs w:val="18"/>
          <w:color w:val="auto"/>
        </w:rPr>
        <w:t>Any and all options and SARs shall be fully vested and exercisable and the Committee shall (1) give a participant a reasonable opportunity to exercise the option and SAR before the transaction resulting in the change in control (including cashless exercise by a participant) and (2) pay the participant the difference between the exercise price for any option or the grant price for any SAR remaining outstanding as of the change in control and the per share consideration provided to other similarly situated shareholders in such change in control; provided, however, that if any portion of the consideration pursuant to a change of control may be received by holders of shares on a contingent or delayed basis, the Committee shall determine the fair market value per share of such consideration as of the time of the change of control on the basis of the Committee’s good faith estimate of the present value of the probable future payment of such consideration; and provided, further, that if the exercise price of such option or the grant price of such SAR exceeds the aforementioned consideration provided, then the option or SAR shall be canceled and terminated without any payment.</w:t>
      </w:r>
    </w:p>
    <w:p>
      <w:pPr>
        <w:spacing w:after="0" w:line="99" w:lineRule="exact"/>
        <w:rPr>
          <w:rFonts w:ascii="Arial" w:cs="Arial" w:eastAsia="Arial" w:hAnsi="Arial"/>
          <w:sz w:val="16"/>
          <w:szCs w:val="16"/>
          <w:color w:val="auto"/>
        </w:rPr>
      </w:pPr>
    </w:p>
    <w:p>
      <w:pPr>
        <w:ind w:left="800" w:hanging="395"/>
        <w:spacing w:after="0" w:line="234" w:lineRule="auto"/>
        <w:tabs>
          <w:tab w:leader="none" w:pos="800" w:val="left"/>
        </w:tabs>
        <w:numPr>
          <w:ilvl w:val="0"/>
          <w:numId w:val="45"/>
        </w:numPr>
        <w:rPr>
          <w:rFonts w:ascii="Arial" w:cs="Arial" w:eastAsia="Arial" w:hAnsi="Arial"/>
          <w:sz w:val="16"/>
          <w:szCs w:val="16"/>
          <w:color w:val="auto"/>
        </w:rPr>
      </w:pPr>
      <w:r>
        <w:rPr>
          <w:rFonts w:ascii="Arial" w:cs="Arial" w:eastAsia="Arial" w:hAnsi="Arial"/>
          <w:sz w:val="18"/>
          <w:szCs w:val="18"/>
          <w:color w:val="auto"/>
        </w:rPr>
        <w:t>All restrictions and vesting requirements applicable to any award based solely on the continued service of the participant shall terminate and such awards shall be settled and paid in cash or shares of our common stock as provided in the award agreement as soon as practicable thereafter but in any event within 30 days following the date of such change in control, subject to the delay, if any, required under the 2022 Plan; provided, however that if any such payment is to be made in shares of our common stock, the holders thereof shall receive the same consideration provided to other similarly situated shareholders in such change in control.</w:t>
      </w:r>
    </w:p>
    <w:p>
      <w:pPr>
        <w:spacing w:after="0" w:line="94" w:lineRule="exact"/>
        <w:rPr>
          <w:rFonts w:ascii="Arial" w:cs="Arial" w:eastAsia="Arial" w:hAnsi="Arial"/>
          <w:sz w:val="16"/>
          <w:szCs w:val="16"/>
          <w:color w:val="auto"/>
        </w:rPr>
      </w:pPr>
    </w:p>
    <w:p>
      <w:pPr>
        <w:ind w:left="800" w:hanging="395"/>
        <w:spacing w:after="0" w:line="246" w:lineRule="auto"/>
        <w:tabs>
          <w:tab w:leader="none" w:pos="800" w:val="left"/>
        </w:tabs>
        <w:numPr>
          <w:ilvl w:val="0"/>
          <w:numId w:val="45"/>
        </w:numPr>
        <w:rPr>
          <w:rFonts w:ascii="Arial" w:cs="Arial" w:eastAsia="Arial" w:hAnsi="Arial"/>
          <w:sz w:val="15"/>
          <w:szCs w:val="15"/>
          <w:color w:val="auto"/>
        </w:rPr>
      </w:pPr>
      <w:r>
        <w:rPr>
          <w:rFonts w:ascii="Arial" w:cs="Arial" w:eastAsia="Arial" w:hAnsi="Arial"/>
          <w:sz w:val="17"/>
          <w:szCs w:val="17"/>
          <w:color w:val="auto"/>
        </w:rPr>
        <w:t>All vested and earned awards that are performance-based for which the performance period has been completed as of the date of such change in control but have not yet been paid shall be paid in cash or shares of our common stock and at such time as provided in the award agreement as soon as practicable thereafter but in any event within 30 days following the date of such change in control, subject to the delay, if any, required under the 2022 Plan; provided, however that if any such payment is to be made in shares of our common stock, the holders thereof shall receive the same consideration provided to other similarly situated shareholders in such change in control and all performance-based awards for which the performance period has not been completed as of the date of such change in control shall immediately vest and be earned in full, and paid out with respect to each performance goal based on the greater of (i) target performance; or (ii) actual performance achieved through the date of such change in control, in each case with the manner of payment to be made in cash or shares of our common stock as provided in the award agreement as soon as practicable thereafter but in any event within 30 days following the date of such change in control, subject to the delay, if any, required under the 2022 Plan; provided, however that if any such payment is to be made in shares of our common stock, the holders thereof shall receive the same consideration provided to other similarly situated shareholders in such change in control.</w:t>
      </w:r>
    </w:p>
    <w:p>
      <w:pPr>
        <w:spacing w:after="0" w:line="95" w:lineRule="exact"/>
        <w:rPr>
          <w:sz w:val="20"/>
          <w:szCs w:val="20"/>
          <w:color w:val="auto"/>
        </w:rPr>
      </w:pPr>
    </w:p>
    <w:p>
      <w:pPr>
        <w:ind w:right="40" w:firstLine="401"/>
        <w:spacing w:after="0" w:line="233" w:lineRule="auto"/>
        <w:rPr>
          <w:sz w:val="20"/>
          <w:szCs w:val="20"/>
          <w:color w:val="auto"/>
        </w:rPr>
      </w:pPr>
      <w:r>
        <w:rPr>
          <w:rFonts w:ascii="Arial" w:cs="Arial" w:eastAsia="Arial" w:hAnsi="Arial"/>
          <w:sz w:val="18"/>
          <w:szCs w:val="18"/>
          <w:color w:val="auto"/>
        </w:rPr>
        <w:t>Generally, and subject to some exceptions, a change of control is deemed to have occurred if: (a) another person becomes the beneficial owner of at least 20% of our then -outstanding common stock or the combined voting power of our then-outstanding voting stock; (b) a majority of the Board becomes comprised of persons other than those for whom election proxies have been solicited by the Board; (c) the completion of certain business combinations, including certain reorganizations, mergers, consolidations, the sale of all or substantially all of our assets or the acquisition by us of assets or stock of another entity, where the shareholders before the business combination fail to beneficially own and have voting power for more than 50% of our Company or the resulting Company after the business combination; or (d) our shareholders approve a complete liquidation or dissolution of our Company.</w:t>
      </w:r>
    </w:p>
    <w:p>
      <w:pPr>
        <w:spacing w:after="0" w:line="74" w:lineRule="exact"/>
        <w:rPr>
          <w:sz w:val="20"/>
          <w:szCs w:val="20"/>
          <w:color w:val="auto"/>
        </w:rPr>
      </w:pPr>
    </w:p>
    <w:p>
      <w:pPr>
        <w:ind w:right="20" w:firstLine="401"/>
        <w:spacing w:after="0" w:line="241" w:lineRule="auto"/>
        <w:rPr>
          <w:sz w:val="20"/>
          <w:szCs w:val="20"/>
          <w:color w:val="auto"/>
        </w:rPr>
      </w:pPr>
      <w:r>
        <w:rPr>
          <w:rFonts w:ascii="Arial" w:cs="Arial" w:eastAsia="Arial" w:hAnsi="Arial"/>
          <w:sz w:val="18"/>
          <w:szCs w:val="18"/>
          <w:b w:val="1"/>
          <w:bCs w:val="1"/>
          <w:color w:val="auto"/>
        </w:rPr>
        <w:t xml:space="preserve">No Repricing. </w:t>
      </w:r>
      <w:r>
        <w:rPr>
          <w:rFonts w:ascii="Arial" w:cs="Arial" w:eastAsia="Arial" w:hAnsi="Arial"/>
          <w:sz w:val="18"/>
          <w:szCs w:val="18"/>
          <w:color w:val="auto"/>
        </w:rPr>
        <w:t>The Committee may not, without prior approval of the Company’s shareholders, seek to effect any repricing of any</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granted, “underwater” option or SAR by: (a) amending or modifying the terms of the option or SAR to lower the exercise price or grant price; (b) canceling the underwater option or SAR in exchange for (i) cash; (ii) replacement options or SARs having a lower exercise price or grant price; or (iii) other</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98" w:lineRule="exact"/>
        <w:rPr>
          <w:sz w:val="20"/>
          <w:szCs w:val="20"/>
          <w:color w:val="auto"/>
        </w:rPr>
      </w:pPr>
    </w:p>
    <w:p>
      <w:pPr>
        <w:jc w:val="both"/>
        <w:ind w:right="600"/>
        <w:spacing w:after="0" w:line="236" w:lineRule="auto"/>
        <w:rPr>
          <w:sz w:val="20"/>
          <w:szCs w:val="20"/>
          <w:color w:val="auto"/>
        </w:rPr>
      </w:pPr>
      <w:r>
        <w:rPr>
          <w:rFonts w:ascii="Arial" w:cs="Arial" w:eastAsia="Arial" w:hAnsi="Arial"/>
          <w:sz w:val="18"/>
          <w:szCs w:val="18"/>
          <w:color w:val="auto"/>
        </w:rPr>
        <w:t>awards; or (c) repurchasing the underwater options or SARs and granting new awards under the 2022 Plan, except for any adjustments required in connection with certain corporate transactions and other actions as described under the heading “Summary of the 2022 Plan Features—Adjustments.”</w:t>
      </w:r>
    </w:p>
    <w:p>
      <w:pPr>
        <w:spacing w:after="0" w:line="72" w:lineRule="exact"/>
        <w:rPr>
          <w:sz w:val="20"/>
          <w:szCs w:val="20"/>
          <w:color w:val="auto"/>
        </w:rPr>
      </w:pPr>
    </w:p>
    <w:p>
      <w:pPr>
        <w:ind w:left="400"/>
        <w:spacing w:after="0"/>
        <w:tabs>
          <w:tab w:leader="none" w:pos="1060" w:val="left"/>
        </w:tabs>
        <w:rPr>
          <w:sz w:val="20"/>
          <w:szCs w:val="20"/>
          <w:color w:val="auto"/>
        </w:rPr>
      </w:pPr>
      <w:r>
        <w:rPr>
          <w:rFonts w:ascii="Arial" w:cs="Arial" w:eastAsia="Arial" w:hAnsi="Arial"/>
          <w:sz w:val="18"/>
          <w:szCs w:val="18"/>
          <w:b w:val="1"/>
          <w:bCs w:val="1"/>
          <w:color w:val="auto"/>
        </w:rPr>
        <w:t>Term.</w:t>
      </w:r>
      <w:r>
        <w:rPr>
          <w:sz w:val="20"/>
          <w:szCs w:val="20"/>
          <w:color w:val="auto"/>
        </w:rPr>
        <w:tab/>
      </w:r>
      <w:r>
        <w:rPr>
          <w:rFonts w:ascii="Arial" w:cs="Arial" w:eastAsia="Arial" w:hAnsi="Arial"/>
          <w:sz w:val="17"/>
          <w:szCs w:val="17"/>
          <w:color w:val="auto"/>
        </w:rPr>
        <w:t>Unless sooner terminated by the Board, the 2022 Plan will terminate 10 years from the date it is approved by our shareholders.</w:t>
      </w:r>
    </w:p>
    <w:p>
      <w:pPr>
        <w:spacing w:after="0" w:line="99" w:lineRule="exact"/>
        <w:rPr>
          <w:sz w:val="20"/>
          <w:szCs w:val="20"/>
          <w:color w:val="auto"/>
        </w:rPr>
      </w:pPr>
    </w:p>
    <w:p>
      <w:pPr>
        <w:ind w:right="20" w:firstLine="401"/>
        <w:spacing w:after="0" w:line="237" w:lineRule="auto"/>
        <w:rPr>
          <w:sz w:val="20"/>
          <w:szCs w:val="20"/>
          <w:color w:val="auto"/>
        </w:rPr>
      </w:pPr>
      <w:r>
        <w:rPr>
          <w:rFonts w:ascii="Arial" w:cs="Arial" w:eastAsia="Arial" w:hAnsi="Arial"/>
          <w:sz w:val="18"/>
          <w:szCs w:val="18"/>
          <w:b w:val="1"/>
          <w:bCs w:val="1"/>
          <w:color w:val="auto"/>
        </w:rPr>
        <w:t xml:space="preserve">Termination or Amendment. </w:t>
      </w:r>
      <w:r>
        <w:rPr>
          <w:rFonts w:ascii="Arial" w:cs="Arial" w:eastAsia="Arial" w:hAnsi="Arial"/>
          <w:sz w:val="18"/>
          <w:szCs w:val="18"/>
          <w:color w:val="auto"/>
        </w:rPr>
        <w:t>Subject to certain exceptions, the Board has the authority to terminate and the Committee has the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to amend the 2022 Plan or any outstanding award agreement at any time and from time to time provided that any amendment to the 2022 Plan will not become effective without shareholder approval (a) to increase the maximum number of shares of our common stock which may be issued pursuant to the 2022 Plan, (b) to increase any limitation set forth in the 2022 Plan on the number of shares of our common stock which may be issued, (c) to change the class of individuals eligible to participate in the 2022 Plan, (d) to reduce the minimum exercise price of any option or SAR, (e) reduce the minimum one-year vesting periods, or (f) if such approval is otherwise required to comply with applicable laws, rules or regulations.</w:t>
      </w:r>
    </w:p>
    <w:p>
      <w:pPr>
        <w:spacing w:after="0" w:line="94" w:lineRule="exact"/>
        <w:rPr>
          <w:sz w:val="20"/>
          <w:szCs w:val="20"/>
          <w:color w:val="auto"/>
        </w:rPr>
      </w:pPr>
    </w:p>
    <w:p>
      <w:pPr>
        <w:ind w:right="280" w:firstLine="401"/>
        <w:spacing w:after="0" w:line="238" w:lineRule="auto"/>
        <w:rPr>
          <w:sz w:val="20"/>
          <w:szCs w:val="20"/>
          <w:color w:val="auto"/>
        </w:rPr>
      </w:pPr>
      <w:r>
        <w:rPr>
          <w:rFonts w:ascii="Arial" w:cs="Arial" w:eastAsia="Arial" w:hAnsi="Arial"/>
          <w:sz w:val="18"/>
          <w:szCs w:val="18"/>
          <w:color w:val="auto"/>
        </w:rPr>
        <w:t>No termination or amendment of the 2022 Plan or an award agreement shall adversely affect in any material way any award previously granted under the 2022 Plan without the written consent of the participant holding such award.</w:t>
      </w:r>
    </w:p>
    <w:p>
      <w:pPr>
        <w:spacing w:after="0" w:line="131"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U.S. Federal Income Tax Information</w:t>
      </w:r>
    </w:p>
    <w:p>
      <w:pPr>
        <w:spacing w:after="0" w:line="117" w:lineRule="exact"/>
        <w:rPr>
          <w:sz w:val="20"/>
          <w:szCs w:val="20"/>
          <w:color w:val="auto"/>
        </w:rPr>
      </w:pPr>
    </w:p>
    <w:p>
      <w:pPr>
        <w:ind w:right="20" w:firstLine="401"/>
        <w:spacing w:after="0" w:line="233" w:lineRule="auto"/>
        <w:rPr>
          <w:sz w:val="20"/>
          <w:szCs w:val="20"/>
          <w:color w:val="auto"/>
        </w:rPr>
      </w:pPr>
      <w:r>
        <w:rPr>
          <w:rFonts w:ascii="Arial" w:cs="Arial" w:eastAsia="Arial" w:hAnsi="Arial"/>
          <w:sz w:val="18"/>
          <w:szCs w:val="18"/>
          <w:color w:val="auto"/>
        </w:rPr>
        <w:t>The following is a general summary, as of the date of this proxy statement, of the U.S. federal income tax consequences to participants and the Company of transactions under the 2022 Plan. This summary is intended for the information of shareholders considering how to vote at the annual meeting and not as tax guidance to participants in the 2022 Plan, as the consequences may vary with the types of grants made, the identity of the participant and the method of payment or settlement. This summary does not address the effects of other federal taxes or taxes imposed under state, local or foreign tax laws. Participants are encouraged to seek the advice of a qualified tax advisor regarding the tax consequences of participation in the 2022 Plan.</w:t>
      </w:r>
    </w:p>
    <w:p>
      <w:pPr>
        <w:spacing w:after="0" w:line="75" w:lineRule="exact"/>
        <w:rPr>
          <w:sz w:val="20"/>
          <w:szCs w:val="20"/>
          <w:color w:val="auto"/>
        </w:rPr>
      </w:pPr>
    </w:p>
    <w:p>
      <w:pPr>
        <w:ind w:firstLine="401"/>
        <w:spacing w:after="0" w:line="235" w:lineRule="auto"/>
        <w:rPr>
          <w:sz w:val="20"/>
          <w:szCs w:val="20"/>
          <w:color w:val="auto"/>
        </w:rPr>
      </w:pPr>
      <w:r>
        <w:rPr>
          <w:rFonts w:ascii="Arial" w:cs="Arial" w:eastAsia="Arial" w:hAnsi="Arial"/>
          <w:sz w:val="18"/>
          <w:szCs w:val="18"/>
          <w:b w:val="1"/>
          <w:bCs w:val="1"/>
          <w:color w:val="auto"/>
        </w:rPr>
        <w:t>Incentive Stock Options</w:t>
      </w:r>
      <w:r>
        <w:rPr>
          <w:rFonts w:ascii="Arial" w:cs="Arial" w:eastAsia="Arial" w:hAnsi="Arial"/>
          <w:sz w:val="18"/>
          <w:szCs w:val="18"/>
          <w:color w:val="auto"/>
        </w:rPr>
        <w:t>. With respect to incentive stock options, generally, the stock option holder is not taxed, and we are not entitled</w:t>
      </w:r>
      <w:r>
        <w:rPr>
          <w:rFonts w:ascii="Arial" w:cs="Arial" w:eastAsia="Arial" w:hAnsi="Arial"/>
          <w:sz w:val="18"/>
          <w:szCs w:val="18"/>
          <w:b w:val="1"/>
          <w:bCs w:val="1"/>
          <w:color w:val="auto"/>
        </w:rPr>
        <w:t xml:space="preserve"> </w:t>
      </w:r>
      <w:r>
        <w:rPr>
          <w:rFonts w:ascii="Arial" w:cs="Arial" w:eastAsia="Arial" w:hAnsi="Arial"/>
          <w:sz w:val="18"/>
          <w:szCs w:val="18"/>
          <w:color w:val="auto"/>
        </w:rPr>
        <w:t>to a deduction, on either the grant or the exercise of an incentive stock option so long as the requirements of Code Section 422 continue to be met. If the stock option holder meets the employment requirements and does not dispose of the shares of our common stock acquired upon exercise of an incentive stock option until at least one year after date of the exercise of the stock option and at least two years after the date the stock option was granted, gain or loss realized on sale of the shares will be treated as long-term capital gain or loss. If the shares of our common stock are disposed of before those periods expire, which is called a disqualifying disposition, the stock option holder will be required to recognize ordinary income in an amount equal to the lesser of (i) the excess, if any, of the fair market value of our common stock on the date of exercise over the exercise price, or (ii) if the disposition is a taxable sale or exchange, the amount of gain realized. Upon a disqualifying disposition, we will generally be entitled, in the same tax year, to a deduction equal to the amount of ordinary income recognized by the stock option holder, assuming a deduction is allowed under Code Section 162(m).</w:t>
      </w:r>
    </w:p>
    <w:p>
      <w:pPr>
        <w:spacing w:after="0" w:line="74" w:lineRule="exact"/>
        <w:rPr>
          <w:sz w:val="20"/>
          <w:szCs w:val="20"/>
          <w:color w:val="auto"/>
        </w:rPr>
      </w:pPr>
    </w:p>
    <w:p>
      <w:pPr>
        <w:ind w:firstLine="401"/>
        <w:spacing w:after="0" w:line="237" w:lineRule="auto"/>
        <w:rPr>
          <w:sz w:val="20"/>
          <w:szCs w:val="20"/>
          <w:color w:val="auto"/>
        </w:rPr>
      </w:pPr>
      <w:r>
        <w:rPr>
          <w:rFonts w:ascii="Arial" w:cs="Arial" w:eastAsia="Arial" w:hAnsi="Arial"/>
          <w:sz w:val="18"/>
          <w:szCs w:val="18"/>
          <w:b w:val="1"/>
          <w:bCs w:val="1"/>
          <w:color w:val="auto"/>
        </w:rPr>
        <w:t>Non-Qualified Stock Options</w:t>
      </w:r>
      <w:r>
        <w:rPr>
          <w:rFonts w:ascii="Arial" w:cs="Arial" w:eastAsia="Arial" w:hAnsi="Arial"/>
          <w:sz w:val="18"/>
          <w:szCs w:val="18"/>
          <w:color w:val="auto"/>
        </w:rPr>
        <w:t>. The grant of a stock option that does not qualify for treatment as an incentive stock option,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referred to as a non-qualified or non-statutory stock option, is generally not a taxable event for the stock option holder. Upon exercise of the stock option, the stock option holder will generally be required to recognize ordinary income in an amount equal to the excess of the fair market value of our common stock acquired upon exercise (determined as of the date of exercise) over the exercise price of the stock option, and we will be entitled to a deduction in an equal amount in the same tax year, assuming a deduction is allowed under Code Section 162(m). At the time of a subsequent sale or disposition of shares obtained upon exercise of the stock option, any gain or loss will be a capital gain or loss, which will be either a long-term or short-term capital gain or loss, depending on how long the shares have been held.</w:t>
      </w:r>
    </w:p>
    <w:p>
      <w:pPr>
        <w:spacing w:after="0" w:line="72" w:lineRule="exact"/>
        <w:rPr>
          <w:sz w:val="20"/>
          <w:szCs w:val="20"/>
          <w:color w:val="auto"/>
        </w:rPr>
      </w:pPr>
    </w:p>
    <w:p>
      <w:pPr>
        <w:jc w:val="both"/>
        <w:ind w:right="20" w:firstLine="401"/>
        <w:spacing w:after="0" w:line="241" w:lineRule="auto"/>
        <w:rPr>
          <w:sz w:val="20"/>
          <w:szCs w:val="20"/>
          <w:color w:val="auto"/>
        </w:rPr>
      </w:pPr>
      <w:r>
        <w:rPr>
          <w:rFonts w:ascii="Arial" w:cs="Arial" w:eastAsia="Arial" w:hAnsi="Arial"/>
          <w:sz w:val="18"/>
          <w:szCs w:val="18"/>
          <w:b w:val="1"/>
          <w:bCs w:val="1"/>
          <w:color w:val="auto"/>
        </w:rPr>
        <w:t>SARs</w:t>
      </w:r>
      <w:r>
        <w:rPr>
          <w:rFonts w:ascii="Arial" w:cs="Arial" w:eastAsia="Arial" w:hAnsi="Arial"/>
          <w:sz w:val="18"/>
          <w:szCs w:val="18"/>
          <w:color w:val="auto"/>
        </w:rPr>
        <w:t>. The grant of an SAR will not cause the participant to recognize ordinary income or entitle us to a deduction for federal income tax</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Upon the exercise of an SAR, the participant will recognize ordinary income in the amount of the cash or the value of shares payable to the participant (before reduction for any withholding taxes), and we will receive a corresponding deduction in an amount equal to the ordinary income recognized by the participant, assuming a deduction is allowed under Code Section 162(m).</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76" w:lineRule="exact"/>
        <w:rPr>
          <w:sz w:val="20"/>
          <w:szCs w:val="20"/>
          <w:color w:val="auto"/>
        </w:rPr>
      </w:pPr>
    </w:p>
    <w:p>
      <w:pPr>
        <w:ind w:firstLine="401"/>
        <w:spacing w:after="0" w:line="233" w:lineRule="auto"/>
        <w:rPr>
          <w:sz w:val="20"/>
          <w:szCs w:val="20"/>
          <w:color w:val="auto"/>
        </w:rPr>
      </w:pPr>
      <w:r>
        <w:rPr>
          <w:rFonts w:ascii="Arial" w:cs="Arial" w:eastAsia="Arial" w:hAnsi="Arial"/>
          <w:sz w:val="18"/>
          <w:szCs w:val="18"/>
          <w:b w:val="1"/>
          <w:bCs w:val="1"/>
          <w:color w:val="auto"/>
        </w:rPr>
        <w:t>Restricted Stock, RSUs, Performance Shares, Performance Units and Other Stock-Based Awards</w:t>
      </w:r>
      <w:r>
        <w:rPr>
          <w:rFonts w:ascii="Arial" w:cs="Arial" w:eastAsia="Arial" w:hAnsi="Arial"/>
          <w:sz w:val="18"/>
          <w:szCs w:val="18"/>
          <w:color w:val="auto"/>
        </w:rPr>
        <w:t>. The federal income tax</w:t>
      </w:r>
      <w:r>
        <w:rPr>
          <w:rFonts w:ascii="Arial" w:cs="Arial" w:eastAsia="Arial" w:hAnsi="Arial"/>
          <w:sz w:val="18"/>
          <w:szCs w:val="18"/>
          <w:b w:val="1"/>
          <w:bCs w:val="1"/>
          <w:color w:val="auto"/>
        </w:rPr>
        <w:t xml:space="preserve"> </w:t>
      </w:r>
      <w:r>
        <w:rPr>
          <w:rFonts w:ascii="Arial" w:cs="Arial" w:eastAsia="Arial" w:hAnsi="Arial"/>
          <w:sz w:val="18"/>
          <w:szCs w:val="18"/>
          <w:color w:val="auto"/>
        </w:rPr>
        <w:t>consequences with respect to restricted stock, RSUs, performance shares and performance units, and other stock unit and stock-based awards depend on the facts and circumstances of each award, including, in particular, the nature of any restrictions imposed with respect to the awards. In general, if an award of stock granted to the participant is subject to a “substantial risk of forfeiture” (</w:t>
      </w:r>
      <w:r>
        <w:rPr>
          <w:rFonts w:ascii="Arial" w:cs="Arial" w:eastAsia="Arial" w:hAnsi="Arial"/>
          <w:sz w:val="18"/>
          <w:szCs w:val="18"/>
          <w:i w:val="1"/>
          <w:iCs w:val="1"/>
          <w:color w:val="auto"/>
        </w:rPr>
        <w:t>e.g</w:t>
      </w:r>
      <w:r>
        <w:rPr>
          <w:rFonts w:ascii="Arial" w:cs="Arial" w:eastAsia="Arial" w:hAnsi="Arial"/>
          <w:sz w:val="18"/>
          <w:szCs w:val="18"/>
          <w:color w:val="auto"/>
        </w:rPr>
        <w:t>., the award is conditioned upon the future performance of substantial services by the participant) and is nontransferable, a taxable event occurs when the risk of forfeiture ceases or the awards become transferable, whichever first occurs. At such time, the participant will recognize ordinary income to the extent of the excess of the fair market value of the stock on such date over the participant’s cost for such stock (if any), and the same amount is deductible by us, assuming a deduction is allowed under Code Section 162(m). Under certain circumstances, the participant, by making an election under Code Section 83(b), can accelerate federal income tax recognition with respect to an award of stock subject to a substantial risk of forfeiture and transferability restrictions, in which event the ordinary income amount and our deduction (assuming a deduction is allowed under Code Section 162(m)) will be measured and timed as of the grant date of the award. If the stock award granted to the participant is not subject to a substantial risk of forfeiture or transferability restrictions, the participant will recognize ordinary income with respect to the award to the extent of the excess of the fair market value of the stock at the time of grant over the participant’s cost, if any, and the same amount is deductible by us, assuming a deduction is allowed under Code Section 162(m). If a stock unit award or other stock-based award is granted but no stock is actually issued to the participant at the time the award is granted, the participant will recognize ordinary income at the time the participant receives the stock free of any substantial risk of forfeiture (or receives cash in lieu of such stock) and the amount of such income will be equal to the fair market value of the stock at such time over the participant’s cost, if any, and the same amount is then deductible by us, assuming a deduction is allowed under Code Section 162(m).</w:t>
      </w:r>
    </w:p>
    <w:p>
      <w:pPr>
        <w:spacing w:after="0" w:line="79" w:lineRule="exact"/>
        <w:rPr>
          <w:sz w:val="20"/>
          <w:szCs w:val="20"/>
          <w:color w:val="auto"/>
        </w:rPr>
      </w:pPr>
    </w:p>
    <w:p>
      <w:pPr>
        <w:ind w:right="80" w:firstLine="401"/>
        <w:spacing w:after="0" w:line="241" w:lineRule="auto"/>
        <w:rPr>
          <w:sz w:val="20"/>
          <w:szCs w:val="20"/>
          <w:color w:val="auto"/>
        </w:rPr>
      </w:pPr>
      <w:r>
        <w:rPr>
          <w:rFonts w:ascii="Arial" w:cs="Arial" w:eastAsia="Arial" w:hAnsi="Arial"/>
          <w:sz w:val="18"/>
          <w:szCs w:val="18"/>
          <w:b w:val="1"/>
          <w:bCs w:val="1"/>
          <w:color w:val="auto"/>
        </w:rPr>
        <w:t>Annual Performance Awards and Other Cash-Based Awards</w:t>
      </w:r>
      <w:r>
        <w:rPr>
          <w:rFonts w:ascii="Arial" w:cs="Arial" w:eastAsia="Arial" w:hAnsi="Arial"/>
          <w:sz w:val="18"/>
          <w:szCs w:val="18"/>
          <w:color w:val="auto"/>
        </w:rPr>
        <w:t>. Annual performance awards and other cash-based awards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taxable as ordinary income to the participant in the amount of the cash received by the participant (before reduction for any withholding taxes), and we will receive a corresponding deduction in an amount equal to the ordinary income recognized by the participant, assuming a deduction is allowed under Code Section 162(m).</w:t>
      </w:r>
    </w:p>
    <w:p>
      <w:pPr>
        <w:spacing w:after="0" w:line="73" w:lineRule="exact"/>
        <w:rPr>
          <w:sz w:val="20"/>
          <w:szCs w:val="20"/>
          <w:color w:val="auto"/>
        </w:rPr>
      </w:pPr>
    </w:p>
    <w:p>
      <w:pPr>
        <w:ind w:right="100" w:firstLine="401"/>
        <w:spacing w:after="0" w:line="238" w:lineRule="auto"/>
        <w:rPr>
          <w:sz w:val="20"/>
          <w:szCs w:val="20"/>
          <w:color w:val="auto"/>
        </w:rPr>
      </w:pPr>
      <w:r>
        <w:rPr>
          <w:rFonts w:ascii="Arial" w:cs="Arial" w:eastAsia="Arial" w:hAnsi="Arial"/>
          <w:sz w:val="18"/>
          <w:szCs w:val="18"/>
          <w:b w:val="1"/>
          <w:bCs w:val="1"/>
          <w:color w:val="auto"/>
        </w:rPr>
        <w:t>Withholding Obligations</w:t>
      </w:r>
      <w:r>
        <w:rPr>
          <w:rFonts w:ascii="Arial" w:cs="Arial" w:eastAsia="Arial" w:hAnsi="Arial"/>
          <w:sz w:val="18"/>
          <w:szCs w:val="18"/>
          <w:color w:val="auto"/>
        </w:rPr>
        <w:t>. We are entitled to withhold and deduct from future wages of the participant, to make other arrangements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collection of, or to require the recipient to pay to us, an amount necessary for us to satisfy the recipient’s federal, state or local tax withholding obligations with respect to awards granted under the 2022 Plan. Withholding for taxes may be calculated based on the maximum applicable tax rate for the participant’s jurisdiction or such other rate that will not trigger a negative accounting impact on the Company. The Committee may permit a participant to satisfy a tax withholding obligation by withholding shares of common stock underlying an award, tendering previously acquired shares, delivery of a broker exercise notice or a combination of these methods.</w:t>
      </w:r>
    </w:p>
    <w:p>
      <w:pPr>
        <w:spacing w:after="0" w:line="71" w:lineRule="exact"/>
        <w:rPr>
          <w:sz w:val="20"/>
          <w:szCs w:val="20"/>
          <w:color w:val="auto"/>
        </w:rPr>
      </w:pPr>
    </w:p>
    <w:p>
      <w:pPr>
        <w:jc w:val="both"/>
        <w:ind w:right="320" w:firstLine="401"/>
        <w:spacing w:after="0" w:line="247" w:lineRule="auto"/>
        <w:rPr>
          <w:sz w:val="20"/>
          <w:szCs w:val="20"/>
          <w:color w:val="auto"/>
        </w:rPr>
      </w:pPr>
      <w:r>
        <w:rPr>
          <w:rFonts w:ascii="Arial" w:cs="Arial" w:eastAsia="Arial" w:hAnsi="Arial"/>
          <w:sz w:val="18"/>
          <w:szCs w:val="18"/>
          <w:b w:val="1"/>
          <w:bCs w:val="1"/>
          <w:color w:val="auto"/>
        </w:rPr>
        <w:t>Code Section 409A</w:t>
      </w:r>
      <w:r>
        <w:rPr>
          <w:rFonts w:ascii="Arial" w:cs="Arial" w:eastAsia="Arial" w:hAnsi="Arial"/>
          <w:sz w:val="18"/>
          <w:szCs w:val="18"/>
          <w:color w:val="auto"/>
        </w:rPr>
        <w:t>. A grant may be subject to a 20% penalty tax, in addition to ordinary income tax, at the time the grant becomes</w:t>
      </w:r>
      <w:r>
        <w:rPr>
          <w:rFonts w:ascii="Arial" w:cs="Arial" w:eastAsia="Arial" w:hAnsi="Arial"/>
          <w:sz w:val="18"/>
          <w:szCs w:val="18"/>
          <w:b w:val="1"/>
          <w:bCs w:val="1"/>
          <w:color w:val="auto"/>
        </w:rPr>
        <w:t xml:space="preserve"> </w:t>
      </w:r>
      <w:r>
        <w:rPr>
          <w:rFonts w:ascii="Arial" w:cs="Arial" w:eastAsia="Arial" w:hAnsi="Arial"/>
          <w:sz w:val="18"/>
          <w:szCs w:val="18"/>
          <w:color w:val="auto"/>
        </w:rPr>
        <w:t>vested, plus an interest penalty tax, if the grant constitutes deferred compensation under Code Section 409A and the requirements of Code Section 409A are not satisfied.</w:t>
      </w:r>
    </w:p>
    <w:p>
      <w:pPr>
        <w:spacing w:after="0" w:line="66" w:lineRule="exact"/>
        <w:rPr>
          <w:sz w:val="20"/>
          <w:szCs w:val="20"/>
          <w:color w:val="auto"/>
        </w:rPr>
      </w:pPr>
    </w:p>
    <w:p>
      <w:pPr>
        <w:ind w:firstLine="401"/>
        <w:spacing w:after="0" w:line="235" w:lineRule="auto"/>
        <w:rPr>
          <w:sz w:val="20"/>
          <w:szCs w:val="20"/>
          <w:color w:val="auto"/>
        </w:rPr>
      </w:pPr>
      <w:r>
        <w:rPr>
          <w:rFonts w:ascii="Arial" w:cs="Arial" w:eastAsia="Arial" w:hAnsi="Arial"/>
          <w:sz w:val="18"/>
          <w:szCs w:val="18"/>
          <w:b w:val="1"/>
          <w:bCs w:val="1"/>
          <w:color w:val="auto"/>
        </w:rPr>
        <w:t>Code Section 162(m)</w:t>
      </w:r>
      <w:r>
        <w:rPr>
          <w:rFonts w:ascii="Arial" w:cs="Arial" w:eastAsia="Arial" w:hAnsi="Arial"/>
          <w:sz w:val="18"/>
          <w:szCs w:val="18"/>
          <w:color w:val="auto"/>
        </w:rPr>
        <w:t>. Pursuant to Code Section 162(m), the annual compensation paid to an individual who is a “covered employee” is</w:t>
      </w:r>
      <w:r>
        <w:rPr>
          <w:rFonts w:ascii="Arial" w:cs="Arial" w:eastAsia="Arial" w:hAnsi="Arial"/>
          <w:sz w:val="18"/>
          <w:szCs w:val="18"/>
          <w:b w:val="1"/>
          <w:bCs w:val="1"/>
          <w:color w:val="auto"/>
        </w:rPr>
        <w:t xml:space="preserve"> </w:t>
      </w:r>
      <w:r>
        <w:rPr>
          <w:rFonts w:ascii="Arial" w:cs="Arial" w:eastAsia="Arial" w:hAnsi="Arial"/>
          <w:sz w:val="18"/>
          <w:szCs w:val="18"/>
          <w:color w:val="auto"/>
        </w:rPr>
        <w:t>not deductible to the extent it exceeds $1 million. The Tax Cut and Jobs Act, signed into law on December 22, 2017 (the Tax Act), amended Code Section 162(m), effective for tax years beginning after December 31, 2017, (i) to expand the definition of a “covered employee” to include any person who was the Chief Executive Officer or the Chief Financial Officer at any time during the year and the three most highly compensated officers (other than the Chief Executive Officer or the Chief Financial Officer) who were employed at any time during the year whether or not the compensation is reported in the Summary Compensation Table included in our proxy statement for our Annual Meeting of Shareholders; (ii) to treat any individual who is considered a covered employee at any time during a tax year beginning after December 31, 2017, as remaining a covered employee permanently; and (iii) to eliminate the performance-based compensation exception to the $1 million deduction limit (with a transition provision continuing the performance-based exception for certain compensation covered by a written binding contract in existence on November 2, 2017).</w:t>
      </w:r>
    </w:p>
    <w:p>
      <w:pPr>
        <w:spacing w:after="0" w:line="74" w:lineRule="exact"/>
        <w:rPr>
          <w:sz w:val="20"/>
          <w:szCs w:val="20"/>
          <w:color w:val="auto"/>
        </w:rPr>
      </w:pPr>
    </w:p>
    <w:p>
      <w:pPr>
        <w:ind w:firstLine="401"/>
        <w:spacing w:after="0" w:line="241" w:lineRule="auto"/>
        <w:rPr>
          <w:sz w:val="20"/>
          <w:szCs w:val="20"/>
          <w:color w:val="auto"/>
        </w:rPr>
      </w:pPr>
      <w:r>
        <w:rPr>
          <w:rFonts w:ascii="Arial" w:cs="Arial" w:eastAsia="Arial" w:hAnsi="Arial"/>
          <w:sz w:val="18"/>
          <w:szCs w:val="18"/>
          <w:b w:val="1"/>
          <w:bCs w:val="1"/>
          <w:color w:val="auto"/>
        </w:rPr>
        <w:t>Excise Tax on Parachute Payments</w:t>
      </w:r>
      <w:r>
        <w:rPr>
          <w:rFonts w:ascii="Arial" w:cs="Arial" w:eastAsia="Arial" w:hAnsi="Arial"/>
          <w:sz w:val="18"/>
          <w:szCs w:val="18"/>
          <w:color w:val="auto"/>
        </w:rPr>
        <w:t>. Unless otherwise provided in a separate agreement between a participant and the Company, if,</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a participant, the acceleration of the vesting of an award or the payment of cash in exchange for all or part of an award, together with any other payments such participant has the right to receive from the Company, would constitute a “parachute payment” then the payments to such</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98"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participant will be reduced to the largest amount as will result in no portion of such payments being subject to the excise tax imposed by Code Section 4999. Such reduction, however, will only be made if the aggregate amount of the payments after such reduction exceeds the difference between the amount of such payments absent such reduction minus the aggregate amount of the excise tax imposed under Code Section</w:t>
      </w:r>
    </w:p>
    <w:p>
      <w:pPr>
        <w:spacing w:after="0" w:line="2" w:lineRule="exact"/>
        <w:rPr>
          <w:sz w:val="20"/>
          <w:szCs w:val="20"/>
          <w:color w:val="auto"/>
        </w:rPr>
      </w:pPr>
    </w:p>
    <w:p>
      <w:pPr>
        <w:jc w:val="both"/>
        <w:ind w:right="100"/>
        <w:spacing w:after="0" w:line="236" w:lineRule="auto"/>
        <w:rPr>
          <w:sz w:val="20"/>
          <w:szCs w:val="20"/>
          <w:color w:val="auto"/>
        </w:rPr>
      </w:pPr>
      <w:r>
        <w:rPr>
          <w:rFonts w:ascii="Arial" w:cs="Arial" w:eastAsia="Arial" w:hAnsi="Arial"/>
          <w:sz w:val="18"/>
          <w:szCs w:val="18"/>
          <w:color w:val="auto"/>
        </w:rPr>
        <w:t>4999 attributable to any such excess parachute payments. If such provisions are applicable and if an employee will be subject to a 20% excise tax on any “excess parachute payment” pursuant to Code Section 4999, we will be denied a deduction with respect to such excess parachute payment pursuant to Code Section 280G.</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New Plan Benefits</w:t>
      </w:r>
    </w:p>
    <w:p>
      <w:pPr>
        <w:spacing w:after="0" w:line="127" w:lineRule="exact"/>
        <w:rPr>
          <w:sz w:val="20"/>
          <w:szCs w:val="20"/>
          <w:color w:val="auto"/>
        </w:rPr>
      </w:pPr>
    </w:p>
    <w:p>
      <w:pPr>
        <w:ind w:right="100" w:firstLine="401"/>
        <w:spacing w:after="0" w:line="234" w:lineRule="auto"/>
        <w:rPr>
          <w:sz w:val="20"/>
          <w:szCs w:val="20"/>
          <w:color w:val="auto"/>
        </w:rPr>
      </w:pPr>
      <w:r>
        <w:rPr>
          <w:rFonts w:ascii="Arial" w:cs="Arial" w:eastAsia="Arial" w:hAnsi="Arial"/>
          <w:sz w:val="18"/>
          <w:szCs w:val="18"/>
          <w:color w:val="auto"/>
        </w:rPr>
        <w:t>No awards have been granted under the 2022 Plan. Other than the automatic grant of stock awards and stock options to our non-employee directors as described in more detail under the heading “Summary of 2022 Plan Features—Non-Employee Director Awards”, it presently is not possible to determine the benefits or amounts that will be received by or allocated to participants under the 2022 Plan or would have been received by or allocated to participants for the last completed fiscal year if the 2022 Plan then had been in effect because awards under the 2022 Plan will be made at the discretion of the Committee.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9320" w:type="dxa"/>
            <w:vAlign w:val="bottom"/>
            <w:shd w:val="clear" w:color="auto" w:fill="C00000"/>
          </w:tcPr>
          <w:p>
            <w:pPr>
              <w:jc w:val="center"/>
              <w:ind w:left="720"/>
              <w:spacing w:after="0"/>
              <w:rPr>
                <w:sz w:val="20"/>
                <w:szCs w:val="20"/>
                <w:color w:val="auto"/>
              </w:rPr>
            </w:pPr>
            <w:r>
              <w:rPr>
                <w:rFonts w:ascii="Arial" w:cs="Arial" w:eastAsia="Arial" w:hAnsi="Arial"/>
                <w:sz w:val="21"/>
                <w:szCs w:val="21"/>
                <w:b w:val="1"/>
                <w:bCs w:val="1"/>
                <w:color w:val="FFFFFF"/>
              </w:rPr>
              <w:t>The Board of Directors Recommends a Vote FOR Approval of</w:t>
            </w:r>
          </w:p>
        </w:tc>
        <w:tc>
          <w:tcPr>
            <w:tcW w:w="1920" w:type="dxa"/>
            <w:vAlign w:val="bottom"/>
            <w:vMerge w:val="restart"/>
            <w:shd w:val="clear" w:color="auto" w:fill="C00000"/>
          </w:tcPr>
          <w:p>
            <w:pPr>
              <w:ind w:left="1160"/>
              <w:spacing w:after="0" w:line="501" w:lineRule="exact"/>
              <w:rPr>
                <w:sz w:val="20"/>
                <w:szCs w:val="20"/>
                <w:color w:val="auto"/>
              </w:rPr>
            </w:pPr>
            <w:r>
              <w:rPr>
                <w:rFonts w:ascii="MS PGothic" w:cs="MS PGothic" w:eastAsia="MS PGothic" w:hAnsi="MS PGothic"/>
                <w:sz w:val="50"/>
                <w:szCs w:val="50"/>
                <w:color w:val="auto"/>
                <w:highlight w:val="white"/>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5"/>
        </w:trPr>
        <w:tc>
          <w:tcPr>
            <w:tcW w:w="9320" w:type="dxa"/>
            <w:vAlign w:val="bottom"/>
            <w:shd w:val="clear" w:color="auto" w:fill="C00000"/>
          </w:tcPr>
          <w:p>
            <w:pPr>
              <w:jc w:val="center"/>
              <w:ind w:left="720"/>
              <w:spacing w:after="0"/>
              <w:rPr>
                <w:sz w:val="20"/>
                <w:szCs w:val="20"/>
                <w:color w:val="auto"/>
              </w:rPr>
            </w:pPr>
            <w:r>
              <w:rPr>
                <w:rFonts w:ascii="Arial" w:cs="Arial" w:eastAsia="Arial" w:hAnsi="Arial"/>
                <w:sz w:val="21"/>
                <w:szCs w:val="21"/>
                <w:b w:val="1"/>
                <w:bCs w:val="1"/>
                <w:color w:val="FFFFFF"/>
              </w:rPr>
              <w:t>The Toro Company 2022 Equity and Incentive Plan.</w:t>
            </w:r>
          </w:p>
        </w:tc>
        <w:tc>
          <w:tcPr>
            <w:tcW w:w="1920" w:type="dxa"/>
            <w:vAlign w:val="bottom"/>
            <w:vMerge w:val="continue"/>
            <w:shd w:val="clear" w:color="auto" w:fill="C00000"/>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0"/>
        </w:trPr>
        <w:tc>
          <w:tcPr>
            <w:tcW w:w="9320" w:type="dxa"/>
            <w:vAlign w:val="bottom"/>
          </w:tcPr>
          <w:p>
            <w:pPr>
              <w:jc w:val="right"/>
              <w:ind w:right="3500"/>
              <w:spacing w:after="0"/>
              <w:rPr>
                <w:sz w:val="20"/>
                <w:szCs w:val="20"/>
                <w:color w:val="auto"/>
              </w:rPr>
            </w:pPr>
            <w:r>
              <w:rPr>
                <w:rFonts w:ascii="Arial" w:cs="Arial" w:eastAsia="Arial" w:hAnsi="Arial"/>
                <w:sz w:val="18"/>
                <w:szCs w:val="18"/>
                <w:color w:val="auto"/>
              </w:rPr>
              <w:t>42</w:t>
            </w: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9320" w:type="dxa"/>
            <w:vAlign w:val="bottom"/>
            <w:tcBorders>
              <w:bottom w:val="single" w:sz="8" w:color="9A9A9A"/>
            </w:tcBorders>
          </w:tcPr>
          <w:p>
            <w:pPr>
              <w:spacing w:after="0"/>
              <w:rPr>
                <w:sz w:val="8"/>
                <w:szCs w:val="8"/>
                <w:color w:val="auto"/>
              </w:rPr>
            </w:pPr>
          </w:p>
        </w:tc>
        <w:tc>
          <w:tcPr>
            <w:tcW w:w="19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134225" cy="2025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4225" cy="202565"/>
                    </a:xfrm>
                    <a:prstGeom prst="rect">
                      <a:avLst/>
                    </a:prstGeom>
                    <a:noFill/>
                  </pic:spPr>
                </pic:pic>
              </a:graphicData>
            </a:graphic>
          </wp:anchor>
        </w:drawing>
      </w:r>
    </w:p>
    <w:p>
      <w:pPr>
        <w:spacing w:after="0" w:line="193" w:lineRule="exact"/>
        <w:rPr>
          <w:sz w:val="20"/>
          <w:szCs w:val="20"/>
          <w:color w:val="auto"/>
        </w:rPr>
      </w:pPr>
    </w:p>
    <w:p>
      <w:pPr>
        <w:ind w:left="4140"/>
        <w:spacing w:after="0"/>
        <w:rPr>
          <w:sz w:val="20"/>
          <w:szCs w:val="20"/>
          <w:color w:val="auto"/>
        </w:rPr>
      </w:pPr>
      <w:r>
        <w:rPr>
          <w:rFonts w:ascii="Arial" w:cs="Arial" w:eastAsia="Arial" w:hAnsi="Arial"/>
          <w:sz w:val="21"/>
          <w:szCs w:val="21"/>
          <w:b w:val="1"/>
          <w:bCs w:val="1"/>
          <w:color w:val="FFFFFF"/>
        </w:rPr>
        <w:t>EXECUTIVE COMPENSATION</w:t>
      </w:r>
    </w:p>
    <w:p>
      <w:pPr>
        <w:spacing w:after="0" w:line="255"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Compensation &amp; Human Resources Committee Report</w:t>
      </w:r>
    </w:p>
    <w:p>
      <w:pPr>
        <w:spacing w:after="0" w:line="127" w:lineRule="exact"/>
        <w:rPr>
          <w:sz w:val="20"/>
          <w:szCs w:val="20"/>
          <w:color w:val="auto"/>
        </w:rPr>
      </w:pPr>
    </w:p>
    <w:p>
      <w:pPr>
        <w:ind w:right="320" w:firstLine="401"/>
        <w:spacing w:after="0" w:line="236" w:lineRule="auto"/>
        <w:rPr>
          <w:sz w:val="20"/>
          <w:szCs w:val="20"/>
          <w:color w:val="auto"/>
        </w:rPr>
      </w:pPr>
      <w:r>
        <w:rPr>
          <w:rFonts w:ascii="Arial" w:cs="Arial" w:eastAsia="Arial" w:hAnsi="Arial"/>
          <w:sz w:val="18"/>
          <w:szCs w:val="18"/>
          <w:color w:val="auto"/>
        </w:rPr>
        <w:t>The Compensation &amp; Human Resources Committee has reviewed and discussed the “Compensation Discussion and Analysis” with Management and, based on such review and discussions, recommended to the Board that the “Compensation Discussion and Analysis” be included in this proxy statement and in our Annual Report on Form 10-K for the fiscal year ended October 31, 2021.</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C00000"/>
        </w:rPr>
        <w:t>Compensation &amp; Human Resources Committee:</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James C. O‘Rourke (Chair)</w:t>
      </w:r>
    </w:p>
    <w:p>
      <w:pPr>
        <w:jc w:val="center"/>
        <w:ind w:right="-19"/>
        <w:spacing w:after="0" w:line="231" w:lineRule="auto"/>
        <w:rPr>
          <w:sz w:val="20"/>
          <w:szCs w:val="20"/>
          <w:color w:val="auto"/>
        </w:rPr>
      </w:pPr>
      <w:r>
        <w:rPr>
          <w:rFonts w:ascii="Arial" w:cs="Arial" w:eastAsia="Arial" w:hAnsi="Arial"/>
          <w:sz w:val="18"/>
          <w:szCs w:val="18"/>
          <w:color w:val="auto"/>
        </w:rPr>
        <w:t>Jeffrey M. Ettinger</w:t>
      </w:r>
    </w:p>
    <w:p>
      <w:pPr>
        <w:jc w:val="center"/>
        <w:ind w:right="-19"/>
        <w:spacing w:after="0" w:line="231" w:lineRule="auto"/>
        <w:rPr>
          <w:sz w:val="20"/>
          <w:szCs w:val="20"/>
          <w:color w:val="auto"/>
        </w:rPr>
      </w:pPr>
      <w:r>
        <w:rPr>
          <w:rFonts w:ascii="Arial" w:cs="Arial" w:eastAsia="Arial" w:hAnsi="Arial"/>
          <w:sz w:val="18"/>
          <w:szCs w:val="18"/>
          <w:color w:val="auto"/>
        </w:rPr>
        <w:t>D. Christian Koch</w:t>
      </w:r>
    </w:p>
    <w:p>
      <w:pPr>
        <w:jc w:val="center"/>
        <w:ind w:right="-19"/>
        <w:spacing w:after="0"/>
        <w:rPr>
          <w:sz w:val="20"/>
          <w:szCs w:val="20"/>
          <w:color w:val="auto"/>
        </w:rPr>
      </w:pPr>
      <w:r>
        <w:rPr>
          <w:rFonts w:ascii="Arial" w:cs="Arial" w:eastAsia="Arial" w:hAnsi="Arial"/>
          <w:sz w:val="18"/>
          <w:szCs w:val="18"/>
          <w:color w:val="auto"/>
        </w:rPr>
        <w:t>Joyce A. Mullen</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Compensation Discussion and Analysis</w:t>
      </w:r>
    </w:p>
    <w:p>
      <w:pPr>
        <w:spacing w:after="0" w:line="105" w:lineRule="exact"/>
        <w:rPr>
          <w:sz w:val="20"/>
          <w:szCs w:val="20"/>
          <w:color w:val="auto"/>
        </w:rPr>
      </w:pPr>
    </w:p>
    <w:p>
      <w:pPr>
        <w:jc w:val="both"/>
        <w:ind w:right="360" w:firstLine="401"/>
        <w:spacing w:after="0" w:line="247"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In this Compensation Discussion and Analysis, or CD&amp;A, we describe key principles and approaches used to determine</w:t>
      </w:r>
      <w:r>
        <w:rPr>
          <w:rFonts w:ascii="Arial" w:cs="Arial" w:eastAsia="Arial" w:hAnsi="Arial"/>
          <w:sz w:val="18"/>
          <w:szCs w:val="18"/>
          <w:b w:val="1"/>
          <w:bCs w:val="1"/>
          <w:color w:val="auto"/>
        </w:rPr>
        <w:t xml:space="preserve"> </w:t>
      </w:r>
      <w:r>
        <w:rPr>
          <w:rFonts w:ascii="Arial" w:cs="Arial" w:eastAsia="Arial" w:hAnsi="Arial"/>
          <w:sz w:val="18"/>
          <w:szCs w:val="18"/>
          <w:color w:val="auto"/>
        </w:rPr>
        <w:t>elements of compensation paid or awarded to and earned by the following named executive officers whose compensation is set forth in the “Summary Compensation Table”:</w:t>
      </w:r>
    </w:p>
    <w:p>
      <w:pPr>
        <w:spacing w:after="0" w:line="34" w:lineRule="exact"/>
        <w:rPr>
          <w:sz w:val="20"/>
          <w:szCs w:val="20"/>
          <w:color w:val="auto"/>
        </w:rPr>
      </w:pPr>
    </w:p>
    <w:p>
      <w:pPr>
        <w:ind w:left="800" w:hanging="395"/>
        <w:spacing w:after="0"/>
        <w:tabs>
          <w:tab w:leader="none" w:pos="800" w:val="left"/>
        </w:tabs>
        <w:numPr>
          <w:ilvl w:val="0"/>
          <w:numId w:val="46"/>
        </w:numPr>
        <w:rPr>
          <w:rFonts w:ascii="Arial" w:cs="Arial" w:eastAsia="Arial" w:hAnsi="Arial"/>
          <w:sz w:val="16"/>
          <w:szCs w:val="16"/>
          <w:color w:val="auto"/>
        </w:rPr>
      </w:pPr>
      <w:r>
        <w:rPr>
          <w:rFonts w:ascii="Arial" w:cs="Arial" w:eastAsia="Arial" w:hAnsi="Arial"/>
          <w:sz w:val="18"/>
          <w:szCs w:val="18"/>
          <w:color w:val="auto"/>
        </w:rPr>
        <w:t>Richard M. Olson, Chairman of the Board, President and CEO;</w:t>
      </w:r>
    </w:p>
    <w:p>
      <w:pPr>
        <w:spacing w:after="0" w:line="45" w:lineRule="exact"/>
        <w:rPr>
          <w:rFonts w:ascii="Arial" w:cs="Arial" w:eastAsia="Arial" w:hAnsi="Arial"/>
          <w:sz w:val="16"/>
          <w:szCs w:val="16"/>
          <w:color w:val="auto"/>
        </w:rPr>
      </w:pPr>
    </w:p>
    <w:p>
      <w:pPr>
        <w:ind w:left="800" w:hanging="395"/>
        <w:spacing w:after="0"/>
        <w:tabs>
          <w:tab w:leader="none" w:pos="800" w:val="left"/>
        </w:tabs>
        <w:numPr>
          <w:ilvl w:val="0"/>
          <w:numId w:val="46"/>
        </w:numPr>
        <w:rPr>
          <w:rFonts w:ascii="Arial" w:cs="Arial" w:eastAsia="Arial" w:hAnsi="Arial"/>
          <w:sz w:val="16"/>
          <w:szCs w:val="16"/>
          <w:color w:val="auto"/>
        </w:rPr>
      </w:pPr>
      <w:r>
        <w:rPr>
          <w:rFonts w:ascii="Arial" w:cs="Arial" w:eastAsia="Arial" w:hAnsi="Arial"/>
          <w:sz w:val="18"/>
          <w:szCs w:val="18"/>
          <w:color w:val="auto"/>
        </w:rPr>
        <w:t>Renee J. Peterson, Vice President and Chief Financial Officer;</w:t>
      </w:r>
    </w:p>
    <w:p>
      <w:pPr>
        <w:spacing w:after="0" w:line="45" w:lineRule="exact"/>
        <w:rPr>
          <w:rFonts w:ascii="Arial" w:cs="Arial" w:eastAsia="Arial" w:hAnsi="Arial"/>
          <w:sz w:val="16"/>
          <w:szCs w:val="16"/>
          <w:color w:val="auto"/>
        </w:rPr>
      </w:pPr>
    </w:p>
    <w:p>
      <w:pPr>
        <w:ind w:left="800" w:hanging="395"/>
        <w:spacing w:after="0"/>
        <w:tabs>
          <w:tab w:leader="none" w:pos="800" w:val="left"/>
        </w:tabs>
        <w:numPr>
          <w:ilvl w:val="0"/>
          <w:numId w:val="46"/>
        </w:numPr>
        <w:rPr>
          <w:rFonts w:ascii="Arial" w:cs="Arial" w:eastAsia="Arial" w:hAnsi="Arial"/>
          <w:sz w:val="16"/>
          <w:szCs w:val="16"/>
          <w:color w:val="auto"/>
        </w:rPr>
      </w:pPr>
      <w:r>
        <w:rPr>
          <w:rFonts w:ascii="Arial" w:cs="Arial" w:eastAsia="Arial" w:hAnsi="Arial"/>
          <w:sz w:val="18"/>
          <w:szCs w:val="18"/>
          <w:color w:val="auto"/>
        </w:rPr>
        <w:t>Richard W. Rodier, Group Vice President, Construction, Contractor and Residential Businesses;</w:t>
      </w:r>
    </w:p>
    <w:p>
      <w:pPr>
        <w:spacing w:after="0" w:line="45" w:lineRule="exact"/>
        <w:rPr>
          <w:rFonts w:ascii="Arial" w:cs="Arial" w:eastAsia="Arial" w:hAnsi="Arial"/>
          <w:sz w:val="16"/>
          <w:szCs w:val="16"/>
          <w:color w:val="auto"/>
        </w:rPr>
      </w:pPr>
    </w:p>
    <w:p>
      <w:pPr>
        <w:ind w:left="800" w:hanging="395"/>
        <w:spacing w:after="0"/>
        <w:tabs>
          <w:tab w:leader="none" w:pos="800" w:val="left"/>
        </w:tabs>
        <w:numPr>
          <w:ilvl w:val="0"/>
          <w:numId w:val="46"/>
        </w:numPr>
        <w:rPr>
          <w:rFonts w:ascii="Arial" w:cs="Arial" w:eastAsia="Arial" w:hAnsi="Arial"/>
          <w:sz w:val="16"/>
          <w:szCs w:val="16"/>
          <w:color w:val="auto"/>
        </w:rPr>
      </w:pPr>
      <w:r>
        <w:rPr>
          <w:rFonts w:ascii="Arial" w:cs="Arial" w:eastAsia="Arial" w:hAnsi="Arial"/>
          <w:sz w:val="18"/>
          <w:szCs w:val="18"/>
          <w:color w:val="auto"/>
        </w:rPr>
        <w:t>Amy E. Dahl, Vice President, Human Resources and General Counsel; and</w:t>
      </w:r>
    </w:p>
    <w:p>
      <w:pPr>
        <w:spacing w:after="0" w:line="45" w:lineRule="exact"/>
        <w:rPr>
          <w:rFonts w:ascii="Arial" w:cs="Arial" w:eastAsia="Arial" w:hAnsi="Arial"/>
          <w:sz w:val="16"/>
          <w:szCs w:val="16"/>
          <w:color w:val="auto"/>
        </w:rPr>
      </w:pPr>
    </w:p>
    <w:p>
      <w:pPr>
        <w:ind w:left="800" w:hanging="395"/>
        <w:spacing w:after="0"/>
        <w:tabs>
          <w:tab w:leader="none" w:pos="800" w:val="left"/>
        </w:tabs>
        <w:numPr>
          <w:ilvl w:val="0"/>
          <w:numId w:val="46"/>
        </w:numPr>
        <w:rPr>
          <w:rFonts w:ascii="Arial" w:cs="Arial" w:eastAsia="Arial" w:hAnsi="Arial"/>
          <w:sz w:val="16"/>
          <w:szCs w:val="16"/>
          <w:color w:val="auto"/>
        </w:rPr>
      </w:pPr>
      <w:r>
        <w:rPr>
          <w:rFonts w:ascii="Arial" w:cs="Arial" w:eastAsia="Arial" w:hAnsi="Arial"/>
          <w:sz w:val="18"/>
          <w:szCs w:val="18"/>
          <w:color w:val="auto"/>
        </w:rPr>
        <w:t>Bradley A. Hamilton, Group Vice President, Commercial, International, Ventrac and Irrigation Businesses.</w:t>
      </w:r>
    </w:p>
    <w:p>
      <w:pPr>
        <w:spacing w:after="0" w:line="99" w:lineRule="exact"/>
        <w:rPr>
          <w:sz w:val="20"/>
          <w:szCs w:val="20"/>
          <w:color w:val="auto"/>
        </w:rPr>
      </w:pPr>
    </w:p>
    <w:p>
      <w:pPr>
        <w:ind w:right="60" w:firstLine="401"/>
        <w:spacing w:after="0" w:line="255" w:lineRule="auto"/>
        <w:rPr>
          <w:sz w:val="20"/>
          <w:szCs w:val="20"/>
          <w:color w:val="auto"/>
        </w:rPr>
      </w:pPr>
      <w:r>
        <w:rPr>
          <w:rFonts w:ascii="Arial" w:cs="Arial" w:eastAsia="Arial" w:hAnsi="Arial"/>
          <w:sz w:val="17"/>
          <w:szCs w:val="17"/>
          <w:color w:val="auto"/>
        </w:rPr>
        <w:t>This CD&amp;A should be read in conjunction with the accompanying compensation tables, corresponding footnotes and narrative discussion, as they provide information and context to the compensation disclosures. Additionally, this CD&amp;A should be read in conjunction with our advisory vote on executive compensation, which can be found under “Proposal Three—Advisory Approval of our Executive Compensation.”</w:t>
      </w:r>
    </w:p>
    <w:p>
      <w:pPr>
        <w:spacing w:after="0" w:line="60" w:lineRule="exact"/>
        <w:rPr>
          <w:sz w:val="20"/>
          <w:szCs w:val="20"/>
          <w:color w:val="auto"/>
        </w:rPr>
      </w:pPr>
    </w:p>
    <w:p>
      <w:pPr>
        <w:ind w:right="240" w:firstLine="401"/>
        <w:spacing w:after="0" w:line="247" w:lineRule="auto"/>
        <w:rPr>
          <w:sz w:val="20"/>
          <w:szCs w:val="20"/>
          <w:color w:val="auto"/>
        </w:rPr>
      </w:pPr>
      <w:r>
        <w:rPr>
          <w:rFonts w:ascii="Arial" w:cs="Arial" w:eastAsia="Arial" w:hAnsi="Arial"/>
          <w:sz w:val="18"/>
          <w:szCs w:val="18"/>
          <w:b w:val="1"/>
          <w:bCs w:val="1"/>
          <w:i w:val="1"/>
          <w:iCs w:val="1"/>
          <w:color w:val="auto"/>
        </w:rPr>
        <w:t xml:space="preserve">Fiscal 2021 Financial and Other Highlights. </w:t>
      </w:r>
      <w:r>
        <w:rPr>
          <w:rFonts w:ascii="Arial" w:cs="Arial" w:eastAsia="Arial" w:hAnsi="Arial"/>
          <w:sz w:val="18"/>
          <w:szCs w:val="18"/>
          <w:color w:val="auto"/>
        </w:rPr>
        <w:t>We remain focused on executing our enterprise strategic priorities of accelerating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profitable growth, driving productivity and operational excellence, and empowering people. Despite the continued challenges and uncertainty we faced in fiscal 2021, we, among other things:</w:t>
      </w:r>
    </w:p>
    <w:p>
      <w:pPr>
        <w:spacing w:after="0" w:line="34" w:lineRule="exact"/>
        <w:rPr>
          <w:sz w:val="20"/>
          <w:szCs w:val="20"/>
          <w:color w:val="auto"/>
        </w:rPr>
      </w:pPr>
    </w:p>
    <w:p>
      <w:pPr>
        <w:ind w:left="800" w:hanging="395"/>
        <w:spacing w:after="0"/>
        <w:tabs>
          <w:tab w:leader="none" w:pos="800" w:val="left"/>
        </w:tabs>
        <w:numPr>
          <w:ilvl w:val="0"/>
          <w:numId w:val="47"/>
        </w:numPr>
        <w:rPr>
          <w:rFonts w:ascii="Arial" w:cs="Arial" w:eastAsia="Arial" w:hAnsi="Arial"/>
          <w:sz w:val="16"/>
          <w:szCs w:val="16"/>
          <w:color w:val="auto"/>
        </w:rPr>
      </w:pPr>
      <w:r>
        <w:rPr>
          <w:rFonts w:ascii="Arial" w:cs="Arial" w:eastAsia="Arial" w:hAnsi="Arial"/>
          <w:sz w:val="18"/>
          <w:szCs w:val="18"/>
          <w:color w:val="auto"/>
        </w:rPr>
        <w:t>achieved fiscal 2021 net sales of $3.96 billion, up 17.2% from fiscal 2020;</w:t>
      </w:r>
    </w:p>
    <w:p>
      <w:pPr>
        <w:spacing w:after="0" w:line="45" w:lineRule="exact"/>
        <w:rPr>
          <w:rFonts w:ascii="Arial" w:cs="Arial" w:eastAsia="Arial" w:hAnsi="Arial"/>
          <w:sz w:val="16"/>
          <w:szCs w:val="16"/>
          <w:color w:val="auto"/>
        </w:rPr>
      </w:pPr>
    </w:p>
    <w:p>
      <w:pPr>
        <w:ind w:left="800" w:hanging="395"/>
        <w:spacing w:after="0"/>
        <w:tabs>
          <w:tab w:leader="none" w:pos="800" w:val="left"/>
        </w:tabs>
        <w:numPr>
          <w:ilvl w:val="0"/>
          <w:numId w:val="47"/>
        </w:numPr>
        <w:rPr>
          <w:rFonts w:ascii="Arial" w:cs="Arial" w:eastAsia="Arial" w:hAnsi="Arial"/>
          <w:sz w:val="16"/>
          <w:szCs w:val="16"/>
          <w:color w:val="auto"/>
        </w:rPr>
      </w:pPr>
      <w:r>
        <w:rPr>
          <w:rFonts w:ascii="Arial" w:cs="Arial" w:eastAsia="Arial" w:hAnsi="Arial"/>
          <w:sz w:val="18"/>
          <w:szCs w:val="18"/>
          <w:color w:val="auto"/>
        </w:rPr>
        <w:t>achieved reported diluted earnings per share, or EPS, of $3.78 per share, up 24.8% from fiscal 2020;</w:t>
      </w:r>
    </w:p>
    <w:p>
      <w:pPr>
        <w:spacing w:after="0" w:line="45" w:lineRule="exact"/>
        <w:rPr>
          <w:rFonts w:ascii="Arial" w:cs="Arial" w:eastAsia="Arial" w:hAnsi="Arial"/>
          <w:sz w:val="16"/>
          <w:szCs w:val="16"/>
          <w:color w:val="auto"/>
        </w:rPr>
      </w:pPr>
    </w:p>
    <w:p>
      <w:pPr>
        <w:ind w:left="800" w:hanging="395"/>
        <w:spacing w:after="0"/>
        <w:tabs>
          <w:tab w:leader="none" w:pos="800" w:val="left"/>
        </w:tabs>
        <w:numPr>
          <w:ilvl w:val="0"/>
          <w:numId w:val="47"/>
        </w:numPr>
        <w:rPr>
          <w:rFonts w:ascii="Arial" w:cs="Arial" w:eastAsia="Arial" w:hAnsi="Arial"/>
          <w:sz w:val="16"/>
          <w:szCs w:val="16"/>
          <w:color w:val="auto"/>
        </w:rPr>
      </w:pPr>
      <w:r>
        <w:rPr>
          <w:rFonts w:ascii="Arial" w:cs="Arial" w:eastAsia="Arial" w:hAnsi="Arial"/>
          <w:sz w:val="18"/>
          <w:szCs w:val="18"/>
          <w:color w:val="auto"/>
        </w:rPr>
        <w:t>achieved professional segment net sales of $2.93 billion, up 16.1% from fiscal 2020;</w:t>
      </w:r>
    </w:p>
    <w:p>
      <w:pPr>
        <w:spacing w:after="0" w:line="45" w:lineRule="exact"/>
        <w:rPr>
          <w:rFonts w:ascii="Arial" w:cs="Arial" w:eastAsia="Arial" w:hAnsi="Arial"/>
          <w:sz w:val="16"/>
          <w:szCs w:val="16"/>
          <w:color w:val="auto"/>
        </w:rPr>
      </w:pPr>
    </w:p>
    <w:p>
      <w:pPr>
        <w:ind w:left="800" w:hanging="395"/>
        <w:spacing w:after="0"/>
        <w:tabs>
          <w:tab w:leader="none" w:pos="800" w:val="left"/>
        </w:tabs>
        <w:numPr>
          <w:ilvl w:val="0"/>
          <w:numId w:val="47"/>
        </w:numPr>
        <w:rPr>
          <w:rFonts w:ascii="Arial" w:cs="Arial" w:eastAsia="Arial" w:hAnsi="Arial"/>
          <w:sz w:val="16"/>
          <w:szCs w:val="16"/>
          <w:color w:val="auto"/>
        </w:rPr>
      </w:pPr>
      <w:r>
        <w:rPr>
          <w:rFonts w:ascii="Arial" w:cs="Arial" w:eastAsia="Arial" w:hAnsi="Arial"/>
          <w:sz w:val="18"/>
          <w:szCs w:val="18"/>
          <w:color w:val="auto"/>
        </w:rPr>
        <w:t>achieved residential segment net sales of $1.0 billion, up 23.1% from fiscal 2020;</w:t>
      </w:r>
    </w:p>
    <w:p>
      <w:pPr>
        <w:spacing w:after="0" w:line="45" w:lineRule="exact"/>
        <w:rPr>
          <w:rFonts w:ascii="Arial" w:cs="Arial" w:eastAsia="Arial" w:hAnsi="Arial"/>
          <w:sz w:val="16"/>
          <w:szCs w:val="16"/>
          <w:color w:val="auto"/>
        </w:rPr>
      </w:pPr>
    </w:p>
    <w:p>
      <w:pPr>
        <w:ind w:left="800" w:hanging="395"/>
        <w:spacing w:after="0"/>
        <w:tabs>
          <w:tab w:leader="none" w:pos="800" w:val="left"/>
        </w:tabs>
        <w:numPr>
          <w:ilvl w:val="0"/>
          <w:numId w:val="47"/>
        </w:numPr>
        <w:rPr>
          <w:rFonts w:ascii="Arial" w:cs="Arial" w:eastAsia="Arial" w:hAnsi="Arial"/>
          <w:sz w:val="16"/>
          <w:szCs w:val="16"/>
          <w:color w:val="auto"/>
        </w:rPr>
      </w:pPr>
      <w:r>
        <w:rPr>
          <w:rFonts w:ascii="Arial" w:cs="Arial" w:eastAsia="Arial" w:hAnsi="Arial"/>
          <w:sz w:val="18"/>
          <w:szCs w:val="18"/>
          <w:color w:val="auto"/>
        </w:rPr>
        <w:t>improved SG&amp;A expense by 190 basis points;</w:t>
      </w:r>
    </w:p>
    <w:p>
      <w:pPr>
        <w:spacing w:after="0" w:line="45" w:lineRule="exact"/>
        <w:rPr>
          <w:rFonts w:ascii="Arial" w:cs="Arial" w:eastAsia="Arial" w:hAnsi="Arial"/>
          <w:sz w:val="16"/>
          <w:szCs w:val="16"/>
          <w:color w:val="auto"/>
        </w:rPr>
      </w:pPr>
    </w:p>
    <w:p>
      <w:pPr>
        <w:ind w:left="800" w:hanging="395"/>
        <w:spacing w:after="0"/>
        <w:tabs>
          <w:tab w:leader="none" w:pos="800" w:val="left"/>
        </w:tabs>
        <w:numPr>
          <w:ilvl w:val="0"/>
          <w:numId w:val="47"/>
        </w:numPr>
        <w:rPr>
          <w:rFonts w:ascii="Arial" w:cs="Arial" w:eastAsia="Arial" w:hAnsi="Arial"/>
          <w:sz w:val="16"/>
          <w:szCs w:val="16"/>
          <w:color w:val="auto"/>
        </w:rPr>
      </w:pPr>
      <w:r>
        <w:rPr>
          <w:rFonts w:ascii="Arial" w:cs="Arial" w:eastAsia="Arial" w:hAnsi="Arial"/>
          <w:sz w:val="18"/>
          <w:szCs w:val="18"/>
          <w:color w:val="auto"/>
        </w:rPr>
        <w:t>returned $414.7 million of cash to our shareholders through a combination of quarterly cash dividends and share repurchases; and</w:t>
      </w:r>
    </w:p>
    <w:p>
      <w:pPr>
        <w:spacing w:after="0" w:line="45" w:lineRule="exact"/>
        <w:rPr>
          <w:rFonts w:ascii="Arial" w:cs="Arial" w:eastAsia="Arial" w:hAnsi="Arial"/>
          <w:sz w:val="16"/>
          <w:szCs w:val="16"/>
          <w:color w:val="auto"/>
        </w:rPr>
      </w:pPr>
    </w:p>
    <w:p>
      <w:pPr>
        <w:ind w:left="800" w:hanging="395"/>
        <w:spacing w:after="0" w:line="238" w:lineRule="auto"/>
        <w:tabs>
          <w:tab w:leader="none" w:pos="800" w:val="left"/>
        </w:tabs>
        <w:numPr>
          <w:ilvl w:val="0"/>
          <w:numId w:val="47"/>
        </w:numPr>
        <w:rPr>
          <w:rFonts w:ascii="Arial" w:cs="Arial" w:eastAsia="Arial" w:hAnsi="Arial"/>
          <w:sz w:val="16"/>
          <w:szCs w:val="16"/>
          <w:color w:val="auto"/>
        </w:rPr>
      </w:pPr>
      <w:r>
        <w:rPr>
          <w:rFonts w:ascii="Arial" w:cs="Arial" w:eastAsia="Arial" w:hAnsi="Arial"/>
          <w:sz w:val="18"/>
          <w:szCs w:val="18"/>
          <w:color w:val="auto"/>
        </w:rPr>
        <w:t>continued our commitment to maintaining the health, safety and well-being of our employees, servicing our customers and supporting our communities.</w:t>
      </w:r>
    </w:p>
    <w:p>
      <w:pPr>
        <w:spacing w:after="0" w:line="73" w:lineRule="exact"/>
        <w:rPr>
          <w:sz w:val="20"/>
          <w:szCs w:val="20"/>
          <w:color w:val="auto"/>
        </w:rPr>
      </w:pPr>
    </w:p>
    <w:p>
      <w:pPr>
        <w:ind w:right="200" w:firstLine="401"/>
        <w:spacing w:after="0" w:line="241" w:lineRule="auto"/>
        <w:rPr>
          <w:sz w:val="20"/>
          <w:szCs w:val="20"/>
          <w:color w:val="auto"/>
        </w:rPr>
      </w:pPr>
      <w:r>
        <w:rPr>
          <w:rFonts w:ascii="Arial" w:cs="Arial" w:eastAsia="Arial" w:hAnsi="Arial"/>
          <w:sz w:val="18"/>
          <w:szCs w:val="18"/>
          <w:b w:val="1"/>
          <w:bCs w:val="1"/>
          <w:i w:val="1"/>
          <w:iCs w:val="1"/>
          <w:color w:val="auto"/>
        </w:rPr>
        <w:t>Executive Compensation Program Objectives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guiding compensation philosophy is to maintain an executive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 that allows us to attract, retain, motivate and reward highly qualified and talented executive officers who will enable us to execute on our strategic priorities, perform better than our competitors and drive long-term shareholder value. The following core principles provide a framework for our executive compensation program:</w:t>
      </w:r>
    </w:p>
    <w:p>
      <w:pPr>
        <w:spacing w:after="0" w:line="42" w:lineRule="exact"/>
        <w:rPr>
          <w:sz w:val="20"/>
          <w:szCs w:val="20"/>
          <w:color w:val="auto"/>
        </w:rPr>
      </w:pPr>
    </w:p>
    <w:p>
      <w:pPr>
        <w:ind w:left="800" w:hanging="395"/>
        <w:spacing w:after="0"/>
        <w:tabs>
          <w:tab w:leader="none" w:pos="800" w:val="left"/>
        </w:tabs>
        <w:numPr>
          <w:ilvl w:val="0"/>
          <w:numId w:val="48"/>
        </w:numPr>
        <w:rPr>
          <w:rFonts w:ascii="Arial" w:cs="Arial" w:eastAsia="Arial" w:hAnsi="Arial"/>
          <w:sz w:val="16"/>
          <w:szCs w:val="16"/>
          <w:color w:val="auto"/>
        </w:rPr>
      </w:pPr>
      <w:r>
        <w:rPr>
          <w:rFonts w:ascii="Arial" w:cs="Arial" w:eastAsia="Arial" w:hAnsi="Arial"/>
          <w:sz w:val="18"/>
          <w:szCs w:val="18"/>
          <w:color w:val="auto"/>
        </w:rPr>
        <w:t>Align interests of executive officers with shareholder interests;</w:t>
      </w:r>
    </w:p>
    <w:p>
      <w:pPr>
        <w:spacing w:after="0" w:line="45" w:lineRule="exact"/>
        <w:rPr>
          <w:rFonts w:ascii="Arial" w:cs="Arial" w:eastAsia="Arial" w:hAnsi="Arial"/>
          <w:sz w:val="16"/>
          <w:szCs w:val="16"/>
          <w:color w:val="auto"/>
        </w:rPr>
      </w:pPr>
    </w:p>
    <w:p>
      <w:pPr>
        <w:ind w:left="800" w:hanging="395"/>
        <w:spacing w:after="0"/>
        <w:tabs>
          <w:tab w:leader="none" w:pos="800" w:val="left"/>
        </w:tabs>
        <w:numPr>
          <w:ilvl w:val="0"/>
          <w:numId w:val="48"/>
        </w:numPr>
        <w:rPr>
          <w:rFonts w:ascii="Arial" w:cs="Arial" w:eastAsia="Arial" w:hAnsi="Arial"/>
          <w:sz w:val="16"/>
          <w:szCs w:val="16"/>
          <w:color w:val="auto"/>
        </w:rPr>
      </w:pPr>
      <w:r>
        <w:rPr>
          <w:rFonts w:ascii="Arial" w:cs="Arial" w:eastAsia="Arial" w:hAnsi="Arial"/>
          <w:sz w:val="18"/>
          <w:szCs w:val="18"/>
          <w:color w:val="auto"/>
        </w:rPr>
        <w:t>Link pay to performance; and</w:t>
      </w:r>
    </w:p>
    <w:p>
      <w:pPr>
        <w:spacing w:after="0" w:line="45" w:lineRule="exact"/>
        <w:rPr>
          <w:rFonts w:ascii="Arial" w:cs="Arial" w:eastAsia="Arial" w:hAnsi="Arial"/>
          <w:sz w:val="16"/>
          <w:szCs w:val="16"/>
          <w:color w:val="auto"/>
        </w:rPr>
      </w:pPr>
    </w:p>
    <w:p>
      <w:pPr>
        <w:ind w:left="800" w:hanging="395"/>
        <w:spacing w:after="0"/>
        <w:tabs>
          <w:tab w:leader="none" w:pos="800" w:val="left"/>
        </w:tabs>
        <w:numPr>
          <w:ilvl w:val="0"/>
          <w:numId w:val="48"/>
        </w:numPr>
        <w:rPr>
          <w:rFonts w:ascii="Arial" w:cs="Arial" w:eastAsia="Arial" w:hAnsi="Arial"/>
          <w:sz w:val="16"/>
          <w:szCs w:val="16"/>
          <w:color w:val="auto"/>
        </w:rPr>
      </w:pPr>
      <w:r>
        <w:rPr>
          <w:rFonts w:ascii="Arial" w:cs="Arial" w:eastAsia="Arial" w:hAnsi="Arial"/>
          <w:sz w:val="18"/>
          <w:szCs w:val="18"/>
          <w:color w:val="auto"/>
        </w:rPr>
        <w:t>Provide competitive target total direct compensation opportunities.</w:t>
      </w:r>
    </w:p>
    <w:p>
      <w:pPr>
        <w:spacing w:after="0" w:line="77" w:lineRule="exact"/>
        <w:rPr>
          <w:sz w:val="20"/>
          <w:szCs w:val="20"/>
          <w:color w:val="auto"/>
        </w:rPr>
      </w:pPr>
    </w:p>
    <w:p>
      <w:pPr>
        <w:ind w:right="80" w:firstLine="401"/>
        <w:spacing w:after="0" w:line="247" w:lineRule="auto"/>
        <w:rPr>
          <w:sz w:val="20"/>
          <w:szCs w:val="20"/>
          <w:color w:val="auto"/>
        </w:rPr>
      </w:pPr>
      <w:r>
        <w:rPr>
          <w:rFonts w:ascii="Arial" w:cs="Arial" w:eastAsia="Arial" w:hAnsi="Arial"/>
          <w:sz w:val="18"/>
          <w:szCs w:val="18"/>
          <w:b w:val="1"/>
          <w:bCs w:val="1"/>
          <w:i w:val="1"/>
          <w:iCs w:val="1"/>
          <w:color w:val="auto"/>
        </w:rPr>
        <w:t xml:space="preserve">Highlights of Compensation Practices. </w:t>
      </w:r>
      <w:r>
        <w:rPr>
          <w:rFonts w:ascii="Arial" w:cs="Arial" w:eastAsia="Arial" w:hAnsi="Arial"/>
          <w:sz w:val="18"/>
          <w:szCs w:val="18"/>
          <w:color w:val="auto"/>
        </w:rPr>
        <w:t>At our 2021 Annual Meeting of Shareholders, our shareholders had the opportunity to vote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advisory say-on-pay proposal and over 93% of the votes cast were in favor of such proposal. The Compensation &amp; Human Resources Committee believes that such results affirmed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98"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shareholder support of our approach to executive compensation and did not believe it was necessary to, and, therefore, did not, make any significant structural changes to our executive compensation program in fiscal 2021.</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FFFFFF"/>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-124460</wp:posOffset>
            </wp:positionV>
            <wp:extent cx="7108825" cy="1606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08825" cy="160655"/>
                    </a:xfrm>
                    <a:prstGeom prst="rect">
                      <a:avLst/>
                    </a:prstGeom>
                    <a:noFill/>
                  </pic:spPr>
                </pic:pic>
              </a:graphicData>
            </a:graphic>
          </wp:anchor>
        </w:drawing>
      </w:r>
    </w:p>
    <w:p>
      <w:pPr>
        <w:ind w:left="420" w:hanging="414"/>
        <w:spacing w:after="0" w:line="216" w:lineRule="auto"/>
        <w:tabs>
          <w:tab w:leader="none" w:pos="420" w:val="left"/>
        </w:tabs>
        <w:numPr>
          <w:ilvl w:val="0"/>
          <w:numId w:val="49"/>
        </w:numPr>
        <w:rPr>
          <w:rFonts w:ascii="MS PGothic" w:cs="MS PGothic" w:eastAsia="MS PGothic" w:hAnsi="MS PGothic"/>
          <w:sz w:val="35"/>
          <w:szCs w:val="35"/>
          <w:color w:val="auto"/>
          <w:vertAlign w:val="superscript"/>
          <w:shd w:val="clear" w:color="auto" w:fill="C00000"/>
        </w:rPr>
      </w:pPr>
      <w:r>
        <w:rPr>
          <w:rFonts w:ascii="Arial" w:cs="Arial" w:eastAsia="Arial" w:hAnsi="Arial"/>
          <w:sz w:val="16"/>
          <w:szCs w:val="16"/>
          <w:color w:val="auto"/>
        </w:rPr>
        <w:t>We link a substantial portion of total executive compensation directly to performance.</w:t>
      </w:r>
    </w:p>
    <w:p>
      <w:pPr>
        <w:spacing w:after="0" w:line="87" w:lineRule="exact"/>
        <w:rPr>
          <w:rFonts w:ascii="MS PGothic" w:cs="MS PGothic" w:eastAsia="MS PGothic" w:hAnsi="MS PGothic"/>
          <w:sz w:val="35"/>
          <w:szCs w:val="35"/>
          <w:color w:val="auto"/>
          <w:vertAlign w:val="superscript"/>
          <w:shd w:val="clear" w:color="auto" w:fill="C00000"/>
        </w:rPr>
      </w:pPr>
    </w:p>
    <w:p>
      <w:pPr>
        <w:ind w:left="420" w:hanging="414"/>
        <w:spacing w:after="0" w:line="184" w:lineRule="auto"/>
        <w:tabs>
          <w:tab w:leader="none" w:pos="420" w:val="left"/>
        </w:tabs>
        <w:numPr>
          <w:ilvl w:val="0"/>
          <w:numId w:val="49"/>
        </w:numPr>
        <w:rPr>
          <w:rFonts w:ascii="MS PGothic" w:cs="MS PGothic" w:eastAsia="MS PGothic" w:hAnsi="MS PGothic"/>
          <w:sz w:val="25"/>
          <w:szCs w:val="25"/>
          <w:color w:val="auto"/>
          <w:vertAlign w:val="superscript"/>
          <w:shd w:val="clear" w:color="auto" w:fill="C00000"/>
        </w:rPr>
      </w:pPr>
      <w:r>
        <w:rPr>
          <w:rFonts w:ascii="Arial" w:cs="Arial" w:eastAsia="Arial" w:hAnsi="Arial"/>
          <w:sz w:val="13"/>
          <w:szCs w:val="13"/>
          <w:color w:val="auto"/>
        </w:rPr>
        <w:t>We utilize a mix of performance measures in our incentive plans.</w:t>
      </w:r>
    </w:p>
    <w:p>
      <w:pPr>
        <w:spacing w:after="0" w:line="87" w:lineRule="exact"/>
        <w:rPr>
          <w:rFonts w:ascii="MS PGothic" w:cs="MS PGothic" w:eastAsia="MS PGothic" w:hAnsi="MS PGothic"/>
          <w:sz w:val="25"/>
          <w:szCs w:val="25"/>
          <w:color w:val="auto"/>
          <w:vertAlign w:val="superscript"/>
          <w:shd w:val="clear" w:color="auto" w:fill="C00000"/>
        </w:rPr>
      </w:pPr>
    </w:p>
    <w:p>
      <w:pPr>
        <w:ind w:left="420" w:hanging="414"/>
        <w:spacing w:after="0" w:line="184" w:lineRule="auto"/>
        <w:tabs>
          <w:tab w:leader="none" w:pos="420" w:val="left"/>
        </w:tabs>
        <w:numPr>
          <w:ilvl w:val="0"/>
          <w:numId w:val="49"/>
        </w:numPr>
        <w:rPr>
          <w:rFonts w:ascii="MS PGothic" w:cs="MS PGothic" w:eastAsia="MS PGothic" w:hAnsi="MS PGothic"/>
          <w:sz w:val="25"/>
          <w:szCs w:val="25"/>
          <w:color w:val="auto"/>
          <w:vertAlign w:val="superscript"/>
          <w:shd w:val="clear" w:color="auto" w:fill="C00000"/>
        </w:rPr>
      </w:pPr>
      <w:r>
        <w:rPr>
          <w:rFonts w:ascii="Arial" w:cs="Arial" w:eastAsia="Arial" w:hAnsi="Arial"/>
          <w:sz w:val="13"/>
          <w:szCs w:val="13"/>
          <w:color w:val="auto"/>
        </w:rPr>
        <w:t>We establish threshold levels of performance and we cap payouts at 200% of the target award.</w:t>
      </w:r>
    </w:p>
    <w:p>
      <w:pPr>
        <w:spacing w:after="0" w:line="87" w:lineRule="exact"/>
        <w:rPr>
          <w:rFonts w:ascii="MS PGothic" w:cs="MS PGothic" w:eastAsia="MS PGothic" w:hAnsi="MS PGothic"/>
          <w:sz w:val="25"/>
          <w:szCs w:val="25"/>
          <w:color w:val="auto"/>
          <w:vertAlign w:val="superscript"/>
          <w:shd w:val="clear" w:color="auto" w:fill="C00000"/>
        </w:rPr>
      </w:pPr>
    </w:p>
    <w:p>
      <w:pPr>
        <w:ind w:left="420" w:hanging="414"/>
        <w:spacing w:after="0" w:line="184" w:lineRule="auto"/>
        <w:tabs>
          <w:tab w:leader="none" w:pos="420" w:val="left"/>
        </w:tabs>
        <w:numPr>
          <w:ilvl w:val="0"/>
          <w:numId w:val="49"/>
        </w:numPr>
        <w:rPr>
          <w:rFonts w:ascii="MS PGothic" w:cs="MS PGothic" w:eastAsia="MS PGothic" w:hAnsi="MS PGothic"/>
          <w:sz w:val="25"/>
          <w:szCs w:val="25"/>
          <w:color w:val="auto"/>
          <w:vertAlign w:val="superscript"/>
          <w:shd w:val="clear" w:color="auto" w:fill="C00000"/>
        </w:rPr>
      </w:pPr>
      <w:r>
        <w:rPr>
          <w:rFonts w:ascii="Arial" w:cs="Arial" w:eastAsia="Arial" w:hAnsi="Arial"/>
          <w:sz w:val="13"/>
          <w:szCs w:val="13"/>
          <w:color w:val="auto"/>
        </w:rPr>
        <w:t>We utilize three-year performance share awards in which payouts vary based on performance against three-year performance goals.</w:t>
      </w:r>
    </w:p>
    <w:p>
      <w:pPr>
        <w:spacing w:after="0" w:line="87" w:lineRule="exact"/>
        <w:rPr>
          <w:rFonts w:ascii="MS PGothic" w:cs="MS PGothic" w:eastAsia="MS PGothic" w:hAnsi="MS PGothic"/>
          <w:sz w:val="25"/>
          <w:szCs w:val="25"/>
          <w:color w:val="auto"/>
          <w:vertAlign w:val="superscript"/>
          <w:shd w:val="clear" w:color="auto" w:fill="C00000"/>
        </w:rPr>
      </w:pPr>
    </w:p>
    <w:p>
      <w:pPr>
        <w:ind w:left="420" w:hanging="414"/>
        <w:spacing w:after="0" w:line="184" w:lineRule="auto"/>
        <w:tabs>
          <w:tab w:leader="none" w:pos="420" w:val="left"/>
        </w:tabs>
        <w:numPr>
          <w:ilvl w:val="0"/>
          <w:numId w:val="49"/>
        </w:numPr>
        <w:rPr>
          <w:rFonts w:ascii="MS PGothic" w:cs="MS PGothic" w:eastAsia="MS PGothic" w:hAnsi="MS PGothic"/>
          <w:sz w:val="25"/>
          <w:szCs w:val="25"/>
          <w:color w:val="auto"/>
          <w:vertAlign w:val="superscript"/>
          <w:shd w:val="clear" w:color="auto" w:fill="C00000"/>
        </w:rPr>
      </w:pPr>
      <w:r>
        <w:rPr>
          <w:rFonts w:ascii="Arial" w:cs="Arial" w:eastAsia="Arial" w:hAnsi="Arial"/>
          <w:sz w:val="13"/>
          <w:szCs w:val="13"/>
          <w:color w:val="auto"/>
        </w:rPr>
        <w:t>We utilize stock options, the value of which is contingent upon long-term stock price performance.</w:t>
      </w:r>
    </w:p>
    <w:p>
      <w:pPr>
        <w:spacing w:after="0" w:line="87" w:lineRule="exact"/>
        <w:rPr>
          <w:rFonts w:ascii="MS PGothic" w:cs="MS PGothic" w:eastAsia="MS PGothic" w:hAnsi="MS PGothic"/>
          <w:sz w:val="25"/>
          <w:szCs w:val="25"/>
          <w:color w:val="auto"/>
          <w:vertAlign w:val="superscript"/>
          <w:shd w:val="clear" w:color="auto" w:fill="C00000"/>
        </w:rPr>
      </w:pPr>
    </w:p>
    <w:p>
      <w:pPr>
        <w:ind w:left="420" w:hanging="414"/>
        <w:spacing w:after="0" w:line="184" w:lineRule="auto"/>
        <w:tabs>
          <w:tab w:leader="none" w:pos="420" w:val="left"/>
        </w:tabs>
        <w:numPr>
          <w:ilvl w:val="0"/>
          <w:numId w:val="49"/>
        </w:numPr>
        <w:rPr>
          <w:rFonts w:ascii="MS PGothic" w:cs="MS PGothic" w:eastAsia="MS PGothic" w:hAnsi="MS PGothic"/>
          <w:sz w:val="25"/>
          <w:szCs w:val="25"/>
          <w:color w:val="auto"/>
          <w:vertAlign w:val="superscript"/>
          <w:shd w:val="clear" w:color="auto" w:fill="C00000"/>
        </w:rPr>
      </w:pPr>
      <w:r>
        <w:rPr>
          <w:rFonts w:ascii="Arial" w:cs="Arial" w:eastAsia="Arial" w:hAnsi="Arial"/>
          <w:sz w:val="13"/>
          <w:szCs w:val="13"/>
          <w:color w:val="auto"/>
        </w:rPr>
        <w:t>We maintain minimum vesting requirement for our time-based equity awards.</w:t>
      </w:r>
    </w:p>
    <w:p>
      <w:pPr>
        <w:spacing w:after="0" w:line="87" w:lineRule="exact"/>
        <w:rPr>
          <w:rFonts w:ascii="MS PGothic" w:cs="MS PGothic" w:eastAsia="MS PGothic" w:hAnsi="MS PGothic"/>
          <w:sz w:val="25"/>
          <w:szCs w:val="25"/>
          <w:color w:val="auto"/>
          <w:vertAlign w:val="superscript"/>
          <w:shd w:val="clear" w:color="auto" w:fill="C00000"/>
        </w:rPr>
      </w:pPr>
    </w:p>
    <w:p>
      <w:pPr>
        <w:ind w:left="420" w:hanging="414"/>
        <w:spacing w:after="0" w:line="184" w:lineRule="auto"/>
        <w:tabs>
          <w:tab w:leader="none" w:pos="420" w:val="left"/>
        </w:tabs>
        <w:numPr>
          <w:ilvl w:val="0"/>
          <w:numId w:val="49"/>
        </w:numPr>
        <w:rPr>
          <w:rFonts w:ascii="MS PGothic" w:cs="MS PGothic" w:eastAsia="MS PGothic" w:hAnsi="MS PGothic"/>
          <w:sz w:val="25"/>
          <w:szCs w:val="25"/>
          <w:color w:val="auto"/>
          <w:vertAlign w:val="superscript"/>
          <w:shd w:val="clear" w:color="auto" w:fill="C00000"/>
        </w:rPr>
      </w:pPr>
      <w:r>
        <w:rPr>
          <w:rFonts w:ascii="Arial" w:cs="Arial" w:eastAsia="Arial" w:hAnsi="Arial"/>
          <w:sz w:val="13"/>
          <w:szCs w:val="13"/>
          <w:color w:val="auto"/>
        </w:rPr>
        <w:t>We maintain stock ownership guidelines for our executive officers.</w:t>
      </w:r>
    </w:p>
    <w:p>
      <w:pPr>
        <w:spacing w:after="0" w:line="87" w:lineRule="exact"/>
        <w:rPr>
          <w:rFonts w:ascii="MS PGothic" w:cs="MS PGothic" w:eastAsia="MS PGothic" w:hAnsi="MS PGothic"/>
          <w:sz w:val="25"/>
          <w:szCs w:val="25"/>
          <w:color w:val="auto"/>
          <w:vertAlign w:val="superscript"/>
          <w:shd w:val="clear" w:color="auto" w:fill="C00000"/>
        </w:rPr>
      </w:pPr>
    </w:p>
    <w:p>
      <w:pPr>
        <w:ind w:left="420" w:hanging="414"/>
        <w:spacing w:after="0" w:line="184" w:lineRule="auto"/>
        <w:tabs>
          <w:tab w:leader="none" w:pos="420" w:val="left"/>
        </w:tabs>
        <w:numPr>
          <w:ilvl w:val="0"/>
          <w:numId w:val="49"/>
        </w:numPr>
        <w:rPr>
          <w:rFonts w:ascii="MS PGothic" w:cs="MS PGothic" w:eastAsia="MS PGothic" w:hAnsi="MS PGothic"/>
          <w:sz w:val="25"/>
          <w:szCs w:val="25"/>
          <w:color w:val="auto"/>
          <w:vertAlign w:val="superscript"/>
          <w:shd w:val="clear" w:color="auto" w:fill="C00000"/>
        </w:rPr>
      </w:pPr>
      <w:r>
        <w:rPr>
          <w:rFonts w:ascii="Arial" w:cs="Arial" w:eastAsia="Arial" w:hAnsi="Arial"/>
          <w:sz w:val="13"/>
          <w:szCs w:val="13"/>
          <w:color w:val="auto"/>
        </w:rPr>
        <w:t>We include a clawback policy and clawback provisions.</w:t>
      </w:r>
    </w:p>
    <w:p>
      <w:pPr>
        <w:spacing w:after="0" w:line="87" w:lineRule="exact"/>
        <w:rPr>
          <w:rFonts w:ascii="MS PGothic" w:cs="MS PGothic" w:eastAsia="MS PGothic" w:hAnsi="MS PGothic"/>
          <w:sz w:val="25"/>
          <w:szCs w:val="25"/>
          <w:color w:val="auto"/>
          <w:vertAlign w:val="superscript"/>
          <w:shd w:val="clear" w:color="auto" w:fill="C00000"/>
        </w:rPr>
      </w:pPr>
    </w:p>
    <w:p>
      <w:pPr>
        <w:ind w:left="420" w:hanging="414"/>
        <w:spacing w:after="0" w:line="184" w:lineRule="auto"/>
        <w:tabs>
          <w:tab w:leader="none" w:pos="420" w:val="left"/>
        </w:tabs>
        <w:numPr>
          <w:ilvl w:val="0"/>
          <w:numId w:val="49"/>
        </w:numPr>
        <w:rPr>
          <w:rFonts w:ascii="MS PGothic" w:cs="MS PGothic" w:eastAsia="MS PGothic" w:hAnsi="MS PGothic"/>
          <w:sz w:val="25"/>
          <w:szCs w:val="25"/>
          <w:color w:val="auto"/>
          <w:vertAlign w:val="superscript"/>
          <w:shd w:val="clear" w:color="auto" w:fill="C00000"/>
        </w:rPr>
      </w:pPr>
      <w:r>
        <w:rPr>
          <w:rFonts w:ascii="Arial" w:cs="Arial" w:eastAsia="Arial" w:hAnsi="Arial"/>
          <w:sz w:val="13"/>
          <w:szCs w:val="13"/>
          <w:color w:val="auto"/>
        </w:rPr>
        <w:t>We have an independent Compensation &amp; Human Resources Committee which is advised by an independent external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88265</wp:posOffset>
            </wp:positionV>
            <wp:extent cx="7108825" cy="1606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08825" cy="160655"/>
                    </a:xfrm>
                    <a:prstGeom prst="rect">
                      <a:avLst/>
                    </a:prstGeom>
                    <a:noFill/>
                  </pic:spPr>
                </pic:pic>
              </a:graphicData>
            </a:graphic>
          </wp:anchor>
        </w:drawing>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FFFFFF"/>
        </w:rPr>
        <w:t>What We Don’t Do:</w:t>
      </w:r>
    </w:p>
    <w:p>
      <w:pPr>
        <w:spacing w:after="0" w:line="10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No repricing or exchange of any equity awards without shareholder approval.</w:t>
      </w:r>
    </w:p>
    <w:p>
      <w:pPr>
        <w:spacing w:after="0" w:line="9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No individual executive employment agreements.</w:t>
      </w:r>
    </w:p>
    <w:p>
      <w:pPr>
        <w:spacing w:after="0" w:line="9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No excessive perquisites.</w:t>
      </w:r>
    </w:p>
    <w:p>
      <w:pPr>
        <w:spacing w:after="0" w:line="9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No gross-up payments.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 hedging or pledging of TTC securities by our executive officers.</w:t>
      </w:r>
    </w:p>
    <w:p>
      <w:pPr>
        <w:spacing w:after="0" w:line="103" w:lineRule="exact"/>
        <w:rPr>
          <w:sz w:val="20"/>
          <w:szCs w:val="20"/>
          <w:color w:val="auto"/>
        </w:rPr>
      </w:pPr>
    </w:p>
    <w:p>
      <w:pPr>
        <w:ind w:right="100" w:firstLine="401"/>
        <w:spacing w:after="0" w:line="247" w:lineRule="auto"/>
        <w:rPr>
          <w:sz w:val="20"/>
          <w:szCs w:val="20"/>
          <w:color w:val="auto"/>
        </w:rPr>
      </w:pPr>
      <w:r>
        <w:rPr>
          <w:rFonts w:ascii="Arial" w:cs="Arial" w:eastAsia="Arial" w:hAnsi="Arial"/>
          <w:sz w:val="18"/>
          <w:szCs w:val="18"/>
          <w:b w:val="1"/>
          <w:bCs w:val="1"/>
          <w:i w:val="1"/>
          <w:iCs w:val="1"/>
          <w:color w:val="auto"/>
        </w:rPr>
        <w:t xml:space="preserve">Pay Levels/Mix. </w:t>
      </w:r>
      <w:r>
        <w:rPr>
          <w:rFonts w:ascii="Arial" w:cs="Arial" w:eastAsia="Arial" w:hAnsi="Arial"/>
          <w:sz w:val="18"/>
          <w:szCs w:val="18"/>
          <w:color w:val="auto"/>
        </w:rPr>
        <w:t>A significant portion of our executive officers’ target total direct compensation is comprised of short- and long-term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variable performance-based, or at risk, compensation to directly link their pay to performance. Generally, higher level executive positions have a higher level of pay that is performance-based. For fiscal 2021:</w:t>
      </w:r>
    </w:p>
    <w:p>
      <w:pPr>
        <w:spacing w:after="0" w:line="80" w:lineRule="exact"/>
        <w:rPr>
          <w:sz w:val="20"/>
          <w:szCs w:val="20"/>
          <w:color w:val="auto"/>
        </w:rPr>
      </w:pPr>
    </w:p>
    <w:p>
      <w:pPr>
        <w:ind w:left="800" w:hanging="395"/>
        <w:spacing w:after="0"/>
        <w:tabs>
          <w:tab w:leader="none" w:pos="800" w:val="left"/>
        </w:tabs>
        <w:numPr>
          <w:ilvl w:val="0"/>
          <w:numId w:val="50"/>
        </w:numPr>
        <w:rPr>
          <w:rFonts w:ascii="Arial" w:cs="Arial" w:eastAsia="Arial" w:hAnsi="Arial"/>
          <w:sz w:val="16"/>
          <w:szCs w:val="16"/>
          <w:color w:val="auto"/>
        </w:rPr>
      </w:pPr>
      <w:r>
        <w:rPr>
          <w:rFonts w:ascii="Arial" w:cs="Arial" w:eastAsia="Arial" w:hAnsi="Arial"/>
          <w:sz w:val="19"/>
          <w:szCs w:val="19"/>
          <w:color w:val="auto"/>
        </w:rPr>
        <w:t>84</w:t>
      </w:r>
      <w:r>
        <w:rPr>
          <w:rFonts w:ascii="Arial" w:cs="Arial" w:eastAsia="Arial" w:hAnsi="Arial"/>
          <w:sz w:val="17"/>
          <w:szCs w:val="17"/>
          <w:color w:val="auto"/>
        </w:rPr>
        <w:t>% of the target total direct compensation for our Chairman and CEO was performance-based, and</w:t>
      </w:r>
    </w:p>
    <w:p>
      <w:pPr>
        <w:spacing w:after="0" w:line="47" w:lineRule="exact"/>
        <w:rPr>
          <w:rFonts w:ascii="Arial" w:cs="Arial" w:eastAsia="Arial" w:hAnsi="Arial"/>
          <w:sz w:val="16"/>
          <w:szCs w:val="16"/>
          <w:color w:val="auto"/>
        </w:rPr>
      </w:pPr>
    </w:p>
    <w:p>
      <w:pPr>
        <w:ind w:left="800" w:hanging="395"/>
        <w:spacing w:after="0"/>
        <w:tabs>
          <w:tab w:leader="none" w:pos="800" w:val="left"/>
        </w:tabs>
        <w:numPr>
          <w:ilvl w:val="0"/>
          <w:numId w:val="50"/>
        </w:numPr>
        <w:rPr>
          <w:rFonts w:ascii="Arial" w:cs="Arial" w:eastAsia="Arial" w:hAnsi="Arial"/>
          <w:sz w:val="16"/>
          <w:szCs w:val="16"/>
          <w:color w:val="auto"/>
        </w:rPr>
      </w:pPr>
      <w:r>
        <w:rPr>
          <w:rFonts w:ascii="Arial" w:cs="Arial" w:eastAsia="Arial" w:hAnsi="Arial"/>
          <w:sz w:val="19"/>
          <w:szCs w:val="19"/>
          <w:color w:val="auto"/>
        </w:rPr>
        <w:t>70</w:t>
      </w:r>
      <w:r>
        <w:rPr>
          <w:rFonts w:ascii="Arial" w:cs="Arial" w:eastAsia="Arial" w:hAnsi="Arial"/>
          <w:sz w:val="17"/>
          <w:szCs w:val="17"/>
          <w:color w:val="auto"/>
        </w:rPr>
        <w:t>% of the target total direct compensation for our other named executive officers was performance-based.</w:t>
      </w:r>
    </w:p>
    <w:p>
      <w:pPr>
        <w:spacing w:after="0" w:line="95" w:lineRule="exact"/>
        <w:rPr>
          <w:sz w:val="20"/>
          <w:szCs w:val="20"/>
          <w:color w:val="auto"/>
        </w:rPr>
      </w:pPr>
    </w:p>
    <w:p>
      <w:pPr>
        <w:ind w:firstLine="401"/>
        <w:spacing w:after="0" w:line="234" w:lineRule="auto"/>
        <w:rPr>
          <w:sz w:val="20"/>
          <w:szCs w:val="20"/>
          <w:color w:val="auto"/>
        </w:rPr>
      </w:pPr>
      <w:r>
        <w:rPr>
          <w:rFonts w:ascii="Arial" w:cs="Arial" w:eastAsia="Arial" w:hAnsi="Arial"/>
          <w:sz w:val="18"/>
          <w:szCs w:val="18"/>
          <w:color w:val="auto"/>
        </w:rPr>
        <w:t>Short-term variable compensation is in the form of annual cash incentive awards. Long-term variable compensation is 50% in the form of three-year performance share awards and 50% stock options that vest over three years. We target pay opportunities within a competitive range of the market 50</w:t>
      </w:r>
      <w:r>
        <w:rPr>
          <w:rFonts w:ascii="Arial" w:cs="Arial" w:eastAsia="Arial" w:hAnsi="Arial"/>
          <w:sz w:val="15"/>
          <w:szCs w:val="15"/>
          <w:color w:val="auto"/>
        </w:rPr>
        <w:t>th</w:t>
      </w:r>
      <w:r>
        <w:rPr>
          <w:rFonts w:ascii="Arial" w:cs="Arial" w:eastAsia="Arial" w:hAnsi="Arial"/>
          <w:sz w:val="18"/>
          <w:szCs w:val="18"/>
          <w:color w:val="auto"/>
        </w:rPr>
        <w:t xml:space="preserve"> percentile for each element of compensation and in total; however, variance around the market 50</w:t>
      </w:r>
      <w:r>
        <w:rPr>
          <w:rFonts w:ascii="Arial" w:cs="Arial" w:eastAsia="Arial" w:hAnsi="Arial"/>
          <w:sz w:val="15"/>
          <w:szCs w:val="15"/>
          <w:color w:val="auto"/>
        </w:rPr>
        <w:t>th</w:t>
      </w:r>
      <w:r>
        <w:rPr>
          <w:rFonts w:ascii="Arial" w:cs="Arial" w:eastAsia="Arial" w:hAnsi="Arial"/>
          <w:sz w:val="18"/>
          <w:szCs w:val="18"/>
          <w:color w:val="auto"/>
        </w:rPr>
        <w:t xml:space="preserve"> percentile is dependent on a number of factors as discussed below under the “Role of Management” in “How We Make Compensation Decisions.” We also provide our executive officers with modest perquisites and market competitive retirement and benefit plans.</w:t>
      </w:r>
    </w:p>
    <w:p>
      <w:pPr>
        <w:sectPr>
          <w:pgSz w:w="11900" w:h="16838" w:orient="portrait"/>
          <w:cols w:equalWidth="0" w:num="1">
            <w:col w:w="11220"/>
          </w:cols>
          <w:pgMar w:left="320" w:top="140" w:right="359" w:bottom="1440" w:gutter="0" w:footer="0" w:header="0"/>
        </w:sectPr>
      </w:pPr>
    </w:p>
    <w:p>
      <w:pPr>
        <w:spacing w:after="0" w:line="91"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C00000"/>
        </w:rPr>
        <w:t>Chairman and CEO</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5"/>
          <w:szCs w:val="15"/>
          <w:b w:val="1"/>
          <w:bCs w:val="1"/>
          <w:color w:val="C00000"/>
        </w:rPr>
        <w:t>Target Total Direct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671195</wp:posOffset>
            </wp:positionH>
            <wp:positionV relativeFrom="paragraph">
              <wp:posOffset>7620</wp:posOffset>
            </wp:positionV>
            <wp:extent cx="2321560" cy="17811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321560" cy="1781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jc w:val="center"/>
        <w:ind w:right="1800"/>
        <w:spacing w:after="0"/>
        <w:rPr>
          <w:sz w:val="20"/>
          <w:szCs w:val="20"/>
          <w:color w:val="auto"/>
        </w:rPr>
      </w:pPr>
      <w:r>
        <w:rPr>
          <w:rFonts w:ascii="Arial" w:cs="Arial" w:eastAsia="Arial" w:hAnsi="Arial"/>
          <w:sz w:val="16"/>
          <w:szCs w:val="16"/>
          <w:b w:val="1"/>
          <w:bCs w:val="1"/>
          <w:color w:val="C00000"/>
        </w:rPr>
        <w:t>Other Named Executive Officers</w:t>
      </w:r>
    </w:p>
    <w:p>
      <w:pPr>
        <w:spacing w:after="0" w:line="22" w:lineRule="exact"/>
        <w:rPr>
          <w:sz w:val="20"/>
          <w:szCs w:val="20"/>
          <w:color w:val="auto"/>
        </w:rPr>
      </w:pPr>
    </w:p>
    <w:p>
      <w:pPr>
        <w:jc w:val="center"/>
        <w:ind w:right="1800"/>
        <w:spacing w:after="0"/>
        <w:rPr>
          <w:sz w:val="20"/>
          <w:szCs w:val="20"/>
          <w:color w:val="auto"/>
        </w:rPr>
      </w:pPr>
      <w:r>
        <w:rPr>
          <w:rFonts w:ascii="Arial" w:cs="Arial" w:eastAsia="Arial" w:hAnsi="Arial"/>
          <w:sz w:val="15"/>
          <w:szCs w:val="15"/>
          <w:b w:val="1"/>
          <w:bCs w:val="1"/>
          <w:color w:val="C00000"/>
        </w:rPr>
        <w:t>Target Total Direct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7620</wp:posOffset>
            </wp:positionV>
            <wp:extent cx="2254250" cy="17811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254250" cy="17811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60" w:space="720"/>
            <w:col w:w="4640"/>
          </w:cols>
          <w:pgMar w:left="320" w:top="1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57785</wp:posOffset>
            </wp:positionV>
            <wp:extent cx="717677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89" w:lineRule="exact"/>
        <w:rPr>
          <w:sz w:val="20"/>
          <w:szCs w:val="20"/>
          <w:color w:val="auto"/>
        </w:rPr>
      </w:pPr>
    </w:p>
    <w:p>
      <w:pPr>
        <w:jc w:val="both"/>
        <w:ind w:right="120" w:firstLine="401"/>
        <w:spacing w:after="0" w:line="247" w:lineRule="auto"/>
        <w:rPr>
          <w:sz w:val="20"/>
          <w:szCs w:val="20"/>
          <w:color w:val="auto"/>
        </w:rPr>
      </w:pPr>
      <w:r>
        <w:rPr>
          <w:rFonts w:ascii="Arial" w:cs="Arial" w:eastAsia="Arial" w:hAnsi="Arial"/>
          <w:sz w:val="18"/>
          <w:szCs w:val="18"/>
          <w:b w:val="1"/>
          <w:bCs w:val="1"/>
          <w:i w:val="1"/>
          <w:iCs w:val="1"/>
          <w:color w:val="auto"/>
        </w:rPr>
        <w:t xml:space="preserve">Annual Cash Incentives. </w:t>
      </w:r>
      <w:r>
        <w:rPr>
          <w:rFonts w:ascii="Arial" w:cs="Arial" w:eastAsia="Arial" w:hAnsi="Arial"/>
          <w:sz w:val="18"/>
          <w:szCs w:val="18"/>
          <w:color w:val="auto"/>
        </w:rPr>
        <w:t>As described in more detail under “Annual Cash Incentives,” our corporate performance for our annual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incentive exceeded target levels for each performance measure. The corporate performance payout for our fiscal 2021 annual cash incentives was 167.0% of target:</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Corporate:</w:t>
            </w:r>
          </w:p>
        </w:tc>
        <w:tc>
          <w:tcPr>
            <w:tcW w:w="1680" w:type="dxa"/>
            <w:vAlign w:val="bottom"/>
            <w:shd w:val="clear" w:color="auto" w:fill="C00000"/>
          </w:tcPr>
          <w:p>
            <w:pPr>
              <w:jc w:val="center"/>
              <w:ind w:left="249"/>
              <w:spacing w:after="0"/>
              <w:rPr>
                <w:sz w:val="20"/>
                <w:szCs w:val="20"/>
                <w:color w:val="auto"/>
              </w:rPr>
            </w:pPr>
            <w:r>
              <w:rPr>
                <w:rFonts w:ascii="Arial" w:cs="Arial" w:eastAsia="Arial" w:hAnsi="Arial"/>
                <w:sz w:val="14"/>
                <w:szCs w:val="14"/>
                <w:b w:val="1"/>
                <w:bCs w:val="1"/>
                <w:color w:val="FFFFFF"/>
              </w:rPr>
              <w:t>Threshold</w:t>
            </w:r>
          </w:p>
        </w:tc>
        <w:tc>
          <w:tcPr>
            <w:tcW w:w="140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w w:val="98"/>
              </w:rPr>
              <w:t>Target</w:t>
            </w:r>
          </w:p>
        </w:tc>
        <w:tc>
          <w:tcPr>
            <w:tcW w:w="1540" w:type="dxa"/>
            <w:vAlign w:val="bottom"/>
            <w:shd w:val="clear" w:color="auto" w:fill="C00000"/>
          </w:tcPr>
          <w:p>
            <w:pPr>
              <w:jc w:val="center"/>
              <w:ind w:right="69"/>
              <w:spacing w:after="0"/>
              <w:rPr>
                <w:sz w:val="20"/>
                <w:szCs w:val="20"/>
                <w:color w:val="auto"/>
              </w:rPr>
            </w:pPr>
            <w:r>
              <w:rPr>
                <w:rFonts w:ascii="Arial" w:cs="Arial" w:eastAsia="Arial" w:hAnsi="Arial"/>
                <w:sz w:val="14"/>
                <w:szCs w:val="14"/>
                <w:b w:val="1"/>
                <w:bCs w:val="1"/>
                <w:color w:val="FFFFFF"/>
                <w:w w:val="99"/>
              </w:rPr>
              <w:t>Maximum</w:t>
            </w:r>
          </w:p>
        </w:tc>
        <w:tc>
          <w:tcPr>
            <w:tcW w:w="2800" w:type="dxa"/>
            <w:vAlign w:val="bottom"/>
            <w:shd w:val="clear" w:color="auto" w:fill="C00000"/>
          </w:tcPr>
          <w:p>
            <w:pPr>
              <w:spacing w:after="0"/>
              <w:rPr>
                <w:sz w:val="14"/>
                <w:szCs w:val="14"/>
                <w:color w:val="auto"/>
              </w:rPr>
            </w:pPr>
          </w:p>
        </w:tc>
      </w:tr>
      <w:tr>
        <w:trPr>
          <w:trHeight w:val="173"/>
        </w:trPr>
        <w:tc>
          <w:tcPr>
            <w:tcW w:w="382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Fiscal 2021 Performance Measures</w:t>
            </w:r>
          </w:p>
        </w:tc>
        <w:tc>
          <w:tcPr>
            <w:tcW w:w="1680" w:type="dxa"/>
            <w:vAlign w:val="bottom"/>
            <w:shd w:val="clear" w:color="auto" w:fill="C00000"/>
          </w:tcPr>
          <w:p>
            <w:pPr>
              <w:jc w:val="center"/>
              <w:ind w:left="249"/>
              <w:spacing w:after="0"/>
              <w:rPr>
                <w:sz w:val="20"/>
                <w:szCs w:val="20"/>
                <w:color w:val="auto"/>
              </w:rPr>
            </w:pPr>
            <w:r>
              <w:rPr>
                <w:rFonts w:ascii="Arial" w:cs="Arial" w:eastAsia="Arial" w:hAnsi="Arial"/>
                <w:sz w:val="14"/>
                <w:szCs w:val="14"/>
                <w:b w:val="1"/>
                <w:bCs w:val="1"/>
                <w:color w:val="FFFFFF"/>
              </w:rPr>
              <w:t>(40% payout)</w:t>
            </w:r>
          </w:p>
        </w:tc>
        <w:tc>
          <w:tcPr>
            <w:tcW w:w="140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(100% payout)</w:t>
            </w:r>
          </w:p>
        </w:tc>
        <w:tc>
          <w:tcPr>
            <w:tcW w:w="1540" w:type="dxa"/>
            <w:vAlign w:val="bottom"/>
            <w:shd w:val="clear" w:color="auto" w:fill="C00000"/>
          </w:tcPr>
          <w:p>
            <w:pPr>
              <w:jc w:val="center"/>
              <w:ind w:right="69"/>
              <w:spacing w:after="0"/>
              <w:rPr>
                <w:sz w:val="20"/>
                <w:szCs w:val="20"/>
                <w:color w:val="auto"/>
              </w:rPr>
            </w:pPr>
            <w:r>
              <w:rPr>
                <w:rFonts w:ascii="Arial" w:cs="Arial" w:eastAsia="Arial" w:hAnsi="Arial"/>
                <w:sz w:val="14"/>
                <w:szCs w:val="14"/>
                <w:b w:val="1"/>
                <w:bCs w:val="1"/>
                <w:color w:val="FFFFFF"/>
              </w:rPr>
              <w:t>(200% payout)</w:t>
            </w:r>
          </w:p>
        </w:tc>
        <w:tc>
          <w:tcPr>
            <w:tcW w:w="2800" w:type="dxa"/>
            <w:vAlign w:val="bottom"/>
            <w:shd w:val="clear" w:color="auto" w:fill="C00000"/>
          </w:tcPr>
          <w:p>
            <w:pPr>
              <w:jc w:val="center"/>
              <w:ind w:right="9"/>
              <w:spacing w:after="0"/>
              <w:rPr>
                <w:sz w:val="20"/>
                <w:szCs w:val="20"/>
                <w:color w:val="auto"/>
              </w:rPr>
            </w:pPr>
            <w:r>
              <w:rPr>
                <w:rFonts w:ascii="Arial" w:cs="Arial" w:eastAsia="Arial" w:hAnsi="Arial"/>
                <w:sz w:val="14"/>
                <w:szCs w:val="14"/>
                <w:b w:val="1"/>
                <w:bCs w:val="1"/>
                <w:color w:val="FFFFFF"/>
              </w:rPr>
              <w:t>Actual</w:t>
            </w:r>
          </w:p>
        </w:tc>
      </w:tr>
      <w:tr>
        <w:trPr>
          <w:trHeight w:val="178"/>
        </w:trPr>
        <w:tc>
          <w:tcPr>
            <w:tcW w:w="38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800" w:type="dxa"/>
            <w:vAlign w:val="bottom"/>
          </w:tcPr>
          <w:p>
            <w:pPr>
              <w:jc w:val="center"/>
              <w:ind w:right="9"/>
              <w:spacing w:after="0"/>
              <w:rPr>
                <w:sz w:val="20"/>
                <w:szCs w:val="20"/>
                <w:color w:val="auto"/>
              </w:rPr>
            </w:pPr>
            <w:r>
              <w:rPr>
                <w:rFonts w:ascii="Arial" w:cs="Arial" w:eastAsia="Arial" w:hAnsi="Arial"/>
                <w:sz w:val="14"/>
                <w:szCs w:val="14"/>
                <w:color w:val="auto"/>
              </w:rPr>
              <w:t>$3.62</w:t>
            </w:r>
          </w:p>
        </w:tc>
      </w:tr>
      <w:tr>
        <w:trPr>
          <w:trHeight w:val="155"/>
        </w:trPr>
        <w:tc>
          <w:tcPr>
            <w:tcW w:w="3820" w:type="dxa"/>
            <w:vAlign w:val="bottom"/>
          </w:tcPr>
          <w:p>
            <w:pPr>
              <w:spacing w:after="0" w:line="155" w:lineRule="exact"/>
              <w:rPr>
                <w:sz w:val="20"/>
                <w:szCs w:val="20"/>
                <w:color w:val="auto"/>
              </w:rPr>
            </w:pPr>
            <w:r>
              <w:rPr>
                <w:rFonts w:ascii="Arial" w:cs="Arial" w:eastAsia="Arial" w:hAnsi="Arial"/>
                <w:sz w:val="14"/>
                <w:szCs w:val="14"/>
                <w:color w:val="auto"/>
              </w:rPr>
              <w:t>50% diluted net adjusted EPS*</w:t>
            </w:r>
          </w:p>
        </w:tc>
        <w:tc>
          <w:tcPr>
            <w:tcW w:w="1680" w:type="dxa"/>
            <w:vAlign w:val="bottom"/>
          </w:tcPr>
          <w:p>
            <w:pPr>
              <w:jc w:val="center"/>
              <w:ind w:left="249"/>
              <w:spacing w:after="0" w:line="155" w:lineRule="exact"/>
              <w:rPr>
                <w:sz w:val="20"/>
                <w:szCs w:val="20"/>
                <w:color w:val="auto"/>
              </w:rPr>
            </w:pPr>
            <w:r>
              <w:rPr>
                <w:rFonts w:ascii="Arial" w:cs="Arial" w:eastAsia="Arial" w:hAnsi="Arial"/>
                <w:sz w:val="14"/>
                <w:szCs w:val="14"/>
                <w:color w:val="auto"/>
              </w:rPr>
              <w:t>$2.71</w:t>
            </w:r>
          </w:p>
        </w:tc>
        <w:tc>
          <w:tcPr>
            <w:tcW w:w="1400" w:type="dxa"/>
            <w:vAlign w:val="bottom"/>
          </w:tcPr>
          <w:p>
            <w:pPr>
              <w:jc w:val="center"/>
              <w:spacing w:after="0" w:line="155" w:lineRule="exact"/>
              <w:rPr>
                <w:sz w:val="20"/>
                <w:szCs w:val="20"/>
                <w:color w:val="auto"/>
              </w:rPr>
            </w:pPr>
            <w:r>
              <w:rPr>
                <w:rFonts w:ascii="Arial" w:cs="Arial" w:eastAsia="Arial" w:hAnsi="Arial"/>
                <w:sz w:val="14"/>
                <w:szCs w:val="14"/>
                <w:color w:val="auto"/>
                <w:w w:val="96"/>
              </w:rPr>
              <w:t>$3.39</w:t>
            </w:r>
          </w:p>
        </w:tc>
        <w:tc>
          <w:tcPr>
            <w:tcW w:w="1540" w:type="dxa"/>
            <w:vAlign w:val="bottom"/>
          </w:tcPr>
          <w:p>
            <w:pPr>
              <w:jc w:val="center"/>
              <w:ind w:right="69"/>
              <w:spacing w:after="0" w:line="155" w:lineRule="exact"/>
              <w:rPr>
                <w:sz w:val="20"/>
                <w:szCs w:val="20"/>
                <w:color w:val="auto"/>
              </w:rPr>
            </w:pPr>
            <w:r>
              <w:rPr>
                <w:rFonts w:ascii="Arial" w:cs="Arial" w:eastAsia="Arial" w:hAnsi="Arial"/>
                <w:sz w:val="14"/>
                <w:szCs w:val="14"/>
                <w:color w:val="auto"/>
              </w:rPr>
              <w:t>$4.07</w:t>
            </w:r>
          </w:p>
        </w:tc>
        <w:tc>
          <w:tcPr>
            <w:tcW w:w="2800" w:type="dxa"/>
            <w:vAlign w:val="bottom"/>
          </w:tcPr>
          <w:p>
            <w:pPr>
              <w:jc w:val="center"/>
              <w:ind w:right="9"/>
              <w:spacing w:after="0" w:line="155" w:lineRule="exact"/>
              <w:rPr>
                <w:sz w:val="20"/>
                <w:szCs w:val="20"/>
                <w:color w:val="auto"/>
              </w:rPr>
            </w:pPr>
            <w:r>
              <w:rPr>
                <w:rFonts w:ascii="Arial" w:cs="Arial" w:eastAsia="Arial" w:hAnsi="Arial"/>
                <w:sz w:val="14"/>
                <w:szCs w:val="14"/>
                <w:color w:val="auto"/>
              </w:rPr>
              <w:t>(between target and maximum)</w:t>
            </w:r>
          </w:p>
        </w:tc>
      </w:tr>
      <w:tr>
        <w:trPr>
          <w:trHeight w:val="178"/>
        </w:trPr>
        <w:tc>
          <w:tcPr>
            <w:tcW w:w="3820" w:type="dxa"/>
            <w:vAlign w:val="bottom"/>
            <w:shd w:val="clear" w:color="auto" w:fill="D9D9D9"/>
          </w:tcPr>
          <w:p>
            <w:pPr>
              <w:spacing w:after="0"/>
              <w:rPr>
                <w:sz w:val="15"/>
                <w:szCs w:val="15"/>
                <w:color w:val="auto"/>
              </w:rPr>
            </w:pPr>
          </w:p>
        </w:tc>
        <w:tc>
          <w:tcPr>
            <w:tcW w:w="1680" w:type="dxa"/>
            <w:vAlign w:val="bottom"/>
            <w:shd w:val="clear" w:color="auto" w:fill="D9D9D9"/>
          </w:tcPr>
          <w:p>
            <w:pPr>
              <w:spacing w:after="0"/>
              <w:rPr>
                <w:sz w:val="15"/>
                <w:szCs w:val="15"/>
                <w:color w:val="auto"/>
              </w:rPr>
            </w:pPr>
          </w:p>
        </w:tc>
        <w:tc>
          <w:tcPr>
            <w:tcW w:w="1400" w:type="dxa"/>
            <w:vAlign w:val="bottom"/>
            <w:shd w:val="clear" w:color="auto" w:fill="D9D9D9"/>
          </w:tcPr>
          <w:p>
            <w:pPr>
              <w:spacing w:after="0"/>
              <w:rPr>
                <w:sz w:val="15"/>
                <w:szCs w:val="15"/>
                <w:color w:val="auto"/>
              </w:rPr>
            </w:pPr>
          </w:p>
        </w:tc>
        <w:tc>
          <w:tcPr>
            <w:tcW w:w="1540" w:type="dxa"/>
            <w:vAlign w:val="bottom"/>
            <w:shd w:val="clear" w:color="auto" w:fill="D9D9D9"/>
          </w:tcPr>
          <w:p>
            <w:pPr>
              <w:spacing w:after="0"/>
              <w:rPr>
                <w:sz w:val="15"/>
                <w:szCs w:val="15"/>
                <w:color w:val="auto"/>
              </w:rPr>
            </w:pPr>
          </w:p>
        </w:tc>
        <w:tc>
          <w:tcPr>
            <w:tcW w:w="2800" w:type="dxa"/>
            <w:vAlign w:val="bottom"/>
            <w:shd w:val="clear" w:color="auto" w:fill="D9D9D9"/>
          </w:tcPr>
          <w:p>
            <w:pPr>
              <w:jc w:val="center"/>
              <w:ind w:right="9"/>
              <w:spacing w:after="0"/>
              <w:rPr>
                <w:sz w:val="20"/>
                <w:szCs w:val="20"/>
                <w:color w:val="auto"/>
              </w:rPr>
            </w:pPr>
            <w:r>
              <w:rPr>
                <w:rFonts w:ascii="Arial" w:cs="Arial" w:eastAsia="Arial" w:hAnsi="Arial"/>
                <w:sz w:val="14"/>
                <w:szCs w:val="14"/>
                <w:color w:val="auto"/>
              </w:rPr>
              <w:t>17.2%</w:t>
            </w:r>
          </w:p>
        </w:tc>
      </w:tr>
      <w:tr>
        <w:trPr>
          <w:trHeight w:val="155"/>
        </w:trPr>
        <w:tc>
          <w:tcPr>
            <w:tcW w:w="3820" w:type="dxa"/>
            <w:vAlign w:val="bottom"/>
            <w:shd w:val="clear" w:color="auto" w:fill="D9D9D9"/>
          </w:tcPr>
          <w:p>
            <w:pPr>
              <w:spacing w:after="0" w:line="155" w:lineRule="exact"/>
              <w:rPr>
                <w:sz w:val="20"/>
                <w:szCs w:val="20"/>
                <w:color w:val="auto"/>
              </w:rPr>
            </w:pPr>
            <w:r>
              <w:rPr>
                <w:rFonts w:ascii="Arial" w:cs="Arial" w:eastAsia="Arial" w:hAnsi="Arial"/>
                <w:sz w:val="14"/>
                <w:szCs w:val="14"/>
                <w:color w:val="auto"/>
              </w:rPr>
              <w:t>30% corporate revenue growth</w:t>
            </w:r>
          </w:p>
        </w:tc>
        <w:tc>
          <w:tcPr>
            <w:tcW w:w="1680" w:type="dxa"/>
            <w:vAlign w:val="bottom"/>
            <w:shd w:val="clear" w:color="auto" w:fill="D9D9D9"/>
          </w:tcPr>
          <w:p>
            <w:pPr>
              <w:jc w:val="center"/>
              <w:ind w:left="249"/>
              <w:spacing w:after="0" w:line="155" w:lineRule="exact"/>
              <w:rPr>
                <w:sz w:val="20"/>
                <w:szCs w:val="20"/>
                <w:color w:val="auto"/>
              </w:rPr>
            </w:pPr>
            <w:r>
              <w:rPr>
                <w:rFonts w:ascii="Arial" w:cs="Arial" w:eastAsia="Arial" w:hAnsi="Arial"/>
                <w:sz w:val="14"/>
                <w:szCs w:val="14"/>
                <w:color w:val="auto"/>
              </w:rPr>
              <w:t>5.8%</w:t>
            </w:r>
          </w:p>
        </w:tc>
        <w:tc>
          <w:tcPr>
            <w:tcW w:w="1400" w:type="dxa"/>
            <w:vAlign w:val="bottom"/>
            <w:shd w:val="clear" w:color="auto" w:fill="D9D9D9"/>
          </w:tcPr>
          <w:p>
            <w:pPr>
              <w:jc w:val="center"/>
              <w:spacing w:after="0" w:line="155" w:lineRule="exact"/>
              <w:rPr>
                <w:sz w:val="20"/>
                <w:szCs w:val="20"/>
                <w:color w:val="auto"/>
              </w:rPr>
            </w:pPr>
            <w:r>
              <w:rPr>
                <w:rFonts w:ascii="Arial" w:cs="Arial" w:eastAsia="Arial" w:hAnsi="Arial"/>
                <w:sz w:val="14"/>
                <w:szCs w:val="14"/>
                <w:color w:val="auto"/>
              </w:rPr>
              <w:t>8.8%</w:t>
            </w:r>
          </w:p>
        </w:tc>
        <w:tc>
          <w:tcPr>
            <w:tcW w:w="1540" w:type="dxa"/>
            <w:vAlign w:val="bottom"/>
            <w:shd w:val="clear" w:color="auto" w:fill="D9D9D9"/>
          </w:tcPr>
          <w:p>
            <w:pPr>
              <w:jc w:val="center"/>
              <w:ind w:right="69"/>
              <w:spacing w:after="0" w:line="155" w:lineRule="exact"/>
              <w:rPr>
                <w:sz w:val="20"/>
                <w:szCs w:val="20"/>
                <w:color w:val="auto"/>
              </w:rPr>
            </w:pPr>
            <w:r>
              <w:rPr>
                <w:rFonts w:ascii="Arial" w:cs="Arial" w:eastAsia="Arial" w:hAnsi="Arial"/>
                <w:sz w:val="14"/>
                <w:szCs w:val="14"/>
                <w:color w:val="auto"/>
              </w:rPr>
              <w:t>11.8%</w:t>
            </w:r>
          </w:p>
        </w:tc>
        <w:tc>
          <w:tcPr>
            <w:tcW w:w="2800" w:type="dxa"/>
            <w:vAlign w:val="bottom"/>
            <w:shd w:val="clear" w:color="auto" w:fill="D9D9D9"/>
          </w:tcPr>
          <w:p>
            <w:pPr>
              <w:jc w:val="center"/>
              <w:ind w:right="9"/>
              <w:spacing w:after="0" w:line="155" w:lineRule="exact"/>
              <w:rPr>
                <w:sz w:val="20"/>
                <w:szCs w:val="20"/>
                <w:color w:val="auto"/>
              </w:rPr>
            </w:pPr>
            <w:r>
              <w:rPr>
                <w:rFonts w:ascii="Arial" w:cs="Arial" w:eastAsia="Arial" w:hAnsi="Arial"/>
                <w:sz w:val="14"/>
                <w:szCs w:val="14"/>
                <w:color w:val="auto"/>
                <w:w w:val="99"/>
              </w:rPr>
              <w:t>(above maximum)</w:t>
            </w:r>
          </w:p>
        </w:tc>
      </w:tr>
      <w:tr>
        <w:trPr>
          <w:trHeight w:val="178"/>
        </w:trPr>
        <w:tc>
          <w:tcPr>
            <w:tcW w:w="38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800" w:type="dxa"/>
            <w:vAlign w:val="bottom"/>
          </w:tcPr>
          <w:p>
            <w:pPr>
              <w:jc w:val="center"/>
              <w:ind w:right="9"/>
              <w:spacing w:after="0"/>
              <w:rPr>
                <w:sz w:val="20"/>
                <w:szCs w:val="20"/>
                <w:color w:val="auto"/>
              </w:rPr>
            </w:pPr>
            <w:r>
              <w:rPr>
                <w:rFonts w:ascii="Arial" w:cs="Arial" w:eastAsia="Arial" w:hAnsi="Arial"/>
                <w:sz w:val="14"/>
                <w:szCs w:val="14"/>
                <w:color w:val="auto"/>
              </w:rPr>
              <w:t>14.80%</w:t>
            </w:r>
          </w:p>
        </w:tc>
      </w:tr>
      <w:tr>
        <w:trPr>
          <w:trHeight w:val="155"/>
        </w:trPr>
        <w:tc>
          <w:tcPr>
            <w:tcW w:w="3820" w:type="dxa"/>
            <w:vAlign w:val="bottom"/>
          </w:tcPr>
          <w:p>
            <w:pPr>
              <w:spacing w:after="0" w:line="155" w:lineRule="exact"/>
              <w:rPr>
                <w:sz w:val="20"/>
                <w:szCs w:val="20"/>
                <w:color w:val="auto"/>
              </w:rPr>
            </w:pPr>
            <w:r>
              <w:rPr>
                <w:rFonts w:ascii="Arial" w:cs="Arial" w:eastAsia="Arial" w:hAnsi="Arial"/>
                <w:sz w:val="14"/>
                <w:szCs w:val="14"/>
                <w:color w:val="auto"/>
              </w:rPr>
              <w:t>20% corporate working capital as a percent of sales</w:t>
            </w:r>
          </w:p>
        </w:tc>
        <w:tc>
          <w:tcPr>
            <w:tcW w:w="1680" w:type="dxa"/>
            <w:vAlign w:val="bottom"/>
          </w:tcPr>
          <w:p>
            <w:pPr>
              <w:jc w:val="center"/>
              <w:ind w:left="249"/>
              <w:spacing w:after="0" w:line="155" w:lineRule="exact"/>
              <w:rPr>
                <w:sz w:val="20"/>
                <w:szCs w:val="20"/>
                <w:color w:val="auto"/>
              </w:rPr>
            </w:pPr>
            <w:r>
              <w:rPr>
                <w:rFonts w:ascii="Arial" w:cs="Arial" w:eastAsia="Arial" w:hAnsi="Arial"/>
                <w:sz w:val="14"/>
                <w:szCs w:val="14"/>
                <w:color w:val="auto"/>
              </w:rPr>
              <w:t>22.76%</w:t>
            </w:r>
          </w:p>
        </w:tc>
        <w:tc>
          <w:tcPr>
            <w:tcW w:w="1400" w:type="dxa"/>
            <w:vAlign w:val="bottom"/>
          </w:tcPr>
          <w:p>
            <w:pPr>
              <w:jc w:val="center"/>
              <w:spacing w:after="0" w:line="155" w:lineRule="exact"/>
              <w:rPr>
                <w:sz w:val="20"/>
                <w:szCs w:val="20"/>
                <w:color w:val="auto"/>
              </w:rPr>
            </w:pPr>
            <w:r>
              <w:rPr>
                <w:rFonts w:ascii="Arial" w:cs="Arial" w:eastAsia="Arial" w:hAnsi="Arial"/>
                <w:sz w:val="14"/>
                <w:szCs w:val="14"/>
                <w:color w:val="auto"/>
              </w:rPr>
              <w:t>19.79%</w:t>
            </w:r>
          </w:p>
        </w:tc>
        <w:tc>
          <w:tcPr>
            <w:tcW w:w="1540" w:type="dxa"/>
            <w:vAlign w:val="bottom"/>
          </w:tcPr>
          <w:p>
            <w:pPr>
              <w:jc w:val="center"/>
              <w:ind w:right="69"/>
              <w:spacing w:after="0" w:line="155" w:lineRule="exact"/>
              <w:rPr>
                <w:sz w:val="20"/>
                <w:szCs w:val="20"/>
                <w:color w:val="auto"/>
              </w:rPr>
            </w:pPr>
            <w:r>
              <w:rPr>
                <w:rFonts w:ascii="Arial" w:cs="Arial" w:eastAsia="Arial" w:hAnsi="Arial"/>
                <w:sz w:val="14"/>
                <w:szCs w:val="14"/>
                <w:color w:val="auto"/>
              </w:rPr>
              <w:t>16.82%</w:t>
            </w:r>
          </w:p>
        </w:tc>
        <w:tc>
          <w:tcPr>
            <w:tcW w:w="2800" w:type="dxa"/>
            <w:vAlign w:val="bottom"/>
          </w:tcPr>
          <w:p>
            <w:pPr>
              <w:jc w:val="center"/>
              <w:ind w:right="9"/>
              <w:spacing w:after="0" w:line="155" w:lineRule="exact"/>
              <w:rPr>
                <w:sz w:val="20"/>
                <w:szCs w:val="20"/>
                <w:color w:val="auto"/>
              </w:rPr>
            </w:pPr>
            <w:r>
              <w:rPr>
                <w:rFonts w:ascii="Arial" w:cs="Arial" w:eastAsia="Arial" w:hAnsi="Arial"/>
                <w:sz w:val="14"/>
                <w:szCs w:val="14"/>
                <w:color w:val="auto"/>
                <w:w w:val="99"/>
              </w:rPr>
              <w:t>(above maximum)</w:t>
            </w:r>
          </w:p>
        </w:tc>
      </w:tr>
      <w:tr>
        <w:trPr>
          <w:trHeight w:val="226"/>
        </w:trPr>
        <w:tc>
          <w:tcPr>
            <w:tcW w:w="3820" w:type="dxa"/>
            <w:vAlign w:val="bottom"/>
            <w:shd w:val="clear" w:color="auto" w:fill="D9D9D9"/>
          </w:tcPr>
          <w:p>
            <w:pPr>
              <w:spacing w:after="0"/>
              <w:rPr>
                <w:sz w:val="20"/>
                <w:szCs w:val="20"/>
                <w:color w:val="auto"/>
              </w:rPr>
            </w:pPr>
            <w:r>
              <w:rPr>
                <w:rFonts w:ascii="Arial" w:cs="Arial" w:eastAsia="Arial" w:hAnsi="Arial"/>
                <w:sz w:val="14"/>
                <w:szCs w:val="14"/>
                <w:b w:val="1"/>
                <w:bCs w:val="1"/>
                <w:color w:val="auto"/>
              </w:rPr>
              <w:t>Corporate performance payout</w:t>
            </w:r>
          </w:p>
        </w:tc>
        <w:tc>
          <w:tcPr>
            <w:tcW w:w="1680" w:type="dxa"/>
            <w:vAlign w:val="bottom"/>
            <w:shd w:val="clear" w:color="auto" w:fill="D9D9D9"/>
          </w:tcPr>
          <w:p>
            <w:pPr>
              <w:spacing w:after="0"/>
              <w:rPr>
                <w:sz w:val="19"/>
                <w:szCs w:val="19"/>
                <w:color w:val="auto"/>
              </w:rPr>
            </w:pPr>
          </w:p>
        </w:tc>
        <w:tc>
          <w:tcPr>
            <w:tcW w:w="1400" w:type="dxa"/>
            <w:vAlign w:val="bottom"/>
            <w:shd w:val="clear" w:color="auto" w:fill="D9D9D9"/>
          </w:tcPr>
          <w:p>
            <w:pPr>
              <w:spacing w:after="0"/>
              <w:rPr>
                <w:sz w:val="19"/>
                <w:szCs w:val="19"/>
                <w:color w:val="auto"/>
              </w:rPr>
            </w:pPr>
          </w:p>
        </w:tc>
        <w:tc>
          <w:tcPr>
            <w:tcW w:w="1540" w:type="dxa"/>
            <w:vAlign w:val="bottom"/>
            <w:shd w:val="clear" w:color="auto" w:fill="D9D9D9"/>
          </w:tcPr>
          <w:p>
            <w:pPr>
              <w:spacing w:after="0"/>
              <w:rPr>
                <w:sz w:val="19"/>
                <w:szCs w:val="19"/>
                <w:color w:val="auto"/>
              </w:rPr>
            </w:pPr>
          </w:p>
        </w:tc>
        <w:tc>
          <w:tcPr>
            <w:tcW w:w="2800" w:type="dxa"/>
            <w:vAlign w:val="bottom"/>
            <w:shd w:val="clear" w:color="auto" w:fill="D9D9D9"/>
          </w:tcPr>
          <w:p>
            <w:pPr>
              <w:jc w:val="center"/>
              <w:ind w:right="9"/>
              <w:spacing w:after="0"/>
              <w:rPr>
                <w:sz w:val="20"/>
                <w:szCs w:val="20"/>
                <w:color w:val="auto"/>
              </w:rPr>
            </w:pPr>
            <w:r>
              <w:rPr>
                <w:rFonts w:ascii="Arial" w:cs="Arial" w:eastAsia="Arial" w:hAnsi="Arial"/>
                <w:sz w:val="14"/>
                <w:szCs w:val="14"/>
                <w:b w:val="1"/>
                <w:bCs w:val="1"/>
                <w:color w:val="auto"/>
              </w:rPr>
              <w:t>167.0% of target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67310</wp:posOffset>
            </wp:positionV>
            <wp:extent cx="203454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034540" cy="8255"/>
                    </a:xfrm>
                    <a:prstGeom prst="rect">
                      <a:avLst/>
                    </a:prstGeom>
                    <a:noFill/>
                  </pic:spPr>
                </pic:pic>
              </a:graphicData>
            </a:graphic>
          </wp:anchor>
        </w:drawing>
      </w:r>
    </w:p>
    <w:p>
      <w:pPr>
        <w:spacing w:after="0" w:line="155" w:lineRule="exact"/>
        <w:rPr>
          <w:sz w:val="20"/>
          <w:szCs w:val="20"/>
          <w:color w:val="auto"/>
        </w:rPr>
      </w:pPr>
    </w:p>
    <w:p>
      <w:pPr>
        <w:ind w:left="200" w:right="540" w:hanging="194"/>
        <w:spacing w:after="0" w:line="253" w:lineRule="auto"/>
        <w:tabs>
          <w:tab w:leader="none" w:pos="2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Non-GAAP financial measure. See the investor presentation for fiscal year ended October 31, 2021 for definition and reconciliation to GAAP financial measure.</w:t>
      </w:r>
    </w:p>
    <w:p>
      <w:pPr>
        <w:spacing w:after="0" w:line="66" w:lineRule="exact"/>
        <w:rPr>
          <w:sz w:val="20"/>
          <w:szCs w:val="20"/>
          <w:color w:val="auto"/>
        </w:rPr>
      </w:pPr>
    </w:p>
    <w:p>
      <w:pPr>
        <w:ind w:right="120" w:firstLine="401"/>
        <w:spacing w:after="0" w:line="238" w:lineRule="auto"/>
        <w:rPr>
          <w:sz w:val="20"/>
          <w:szCs w:val="20"/>
          <w:color w:val="auto"/>
        </w:rPr>
      </w:pPr>
      <w:r>
        <w:rPr>
          <w:rFonts w:ascii="Arial" w:cs="Arial" w:eastAsia="Arial" w:hAnsi="Arial"/>
          <w:sz w:val="18"/>
          <w:szCs w:val="18"/>
          <w:b w:val="1"/>
          <w:bCs w:val="1"/>
          <w:i w:val="1"/>
          <w:iCs w:val="1"/>
          <w:color w:val="auto"/>
        </w:rPr>
        <w:t xml:space="preserve">Long-Term Incentives. </w:t>
      </w:r>
      <w:r>
        <w:rPr>
          <w:rFonts w:ascii="Arial" w:cs="Arial" w:eastAsia="Arial" w:hAnsi="Arial"/>
          <w:sz w:val="18"/>
          <w:szCs w:val="18"/>
          <w:color w:val="auto"/>
        </w:rPr>
        <w:t>As described in more detail under “Long-Term Incentives—Performance Measures for the Performance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Ending in Fiscal 2021,” the three-year cumulative corporate performance for our three-year performance share awards is adjusted to reflect predefined adjustment events, which for fiscal 2019 to fiscal 2021 resulted in the exclusion of all financial impacts related to the acquisition of Venture Products, Inc. in March 2020. In addition, we did not adjust our performance measures or goals which were set at the beginning of fiscal 2019 as a result of the COVID-19 pandemic. The payout for our fiscal 2019 to fiscal 2021 performance share awards was 74.0% of target:</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Fiscal 2019 to Fiscal 2021</w:t>
            </w:r>
          </w:p>
        </w:tc>
        <w:tc>
          <w:tcPr>
            <w:tcW w:w="1300" w:type="dxa"/>
            <w:vAlign w:val="bottom"/>
            <w:shd w:val="clear" w:color="auto" w:fill="C00000"/>
          </w:tcPr>
          <w:p>
            <w:pPr>
              <w:jc w:val="right"/>
              <w:ind w:right="429"/>
              <w:spacing w:after="0"/>
              <w:rPr>
                <w:sz w:val="20"/>
                <w:szCs w:val="20"/>
                <w:color w:val="auto"/>
              </w:rPr>
            </w:pPr>
            <w:r>
              <w:rPr>
                <w:rFonts w:ascii="Arial" w:cs="Arial" w:eastAsia="Arial" w:hAnsi="Arial"/>
                <w:sz w:val="14"/>
                <w:szCs w:val="14"/>
                <w:b w:val="1"/>
                <w:bCs w:val="1"/>
                <w:color w:val="FFFFFF"/>
              </w:rPr>
              <w:t>Threshold</w:t>
            </w:r>
          </w:p>
        </w:tc>
        <w:tc>
          <w:tcPr>
            <w:tcW w:w="1500" w:type="dxa"/>
            <w:vAlign w:val="bottom"/>
            <w:shd w:val="clear" w:color="auto" w:fill="C00000"/>
          </w:tcPr>
          <w:p>
            <w:pPr>
              <w:jc w:val="right"/>
              <w:ind w:right="549"/>
              <w:spacing w:after="0"/>
              <w:rPr>
                <w:sz w:val="20"/>
                <w:szCs w:val="20"/>
                <w:color w:val="auto"/>
              </w:rPr>
            </w:pPr>
            <w:r>
              <w:rPr>
                <w:rFonts w:ascii="Arial" w:cs="Arial" w:eastAsia="Arial" w:hAnsi="Arial"/>
                <w:sz w:val="14"/>
                <w:szCs w:val="14"/>
                <w:b w:val="1"/>
                <w:bCs w:val="1"/>
                <w:color w:val="FFFFFF"/>
              </w:rPr>
              <w:t>Target</w:t>
            </w:r>
          </w:p>
        </w:tc>
        <w:tc>
          <w:tcPr>
            <w:tcW w:w="1640" w:type="dxa"/>
            <w:vAlign w:val="bottom"/>
            <w:shd w:val="clear" w:color="auto" w:fill="C00000"/>
          </w:tcPr>
          <w:p>
            <w:pPr>
              <w:jc w:val="right"/>
              <w:ind w:right="589"/>
              <w:spacing w:after="0"/>
              <w:rPr>
                <w:sz w:val="20"/>
                <w:szCs w:val="20"/>
                <w:color w:val="auto"/>
              </w:rPr>
            </w:pPr>
            <w:r>
              <w:rPr>
                <w:rFonts w:ascii="Arial" w:cs="Arial" w:eastAsia="Arial" w:hAnsi="Arial"/>
                <w:sz w:val="14"/>
                <w:szCs w:val="14"/>
                <w:b w:val="1"/>
                <w:bCs w:val="1"/>
                <w:color w:val="FFFFFF"/>
              </w:rPr>
              <w:t>Maximum</w:t>
            </w:r>
          </w:p>
        </w:tc>
        <w:tc>
          <w:tcPr>
            <w:tcW w:w="2840" w:type="dxa"/>
            <w:vAlign w:val="bottom"/>
            <w:shd w:val="clear" w:color="auto" w:fill="C00000"/>
          </w:tcPr>
          <w:p>
            <w:pPr>
              <w:spacing w:after="0"/>
              <w:rPr>
                <w:sz w:val="14"/>
                <w:szCs w:val="14"/>
                <w:color w:val="auto"/>
              </w:rPr>
            </w:pPr>
          </w:p>
        </w:tc>
      </w:tr>
      <w:tr>
        <w:trPr>
          <w:trHeight w:val="173"/>
        </w:trPr>
        <w:tc>
          <w:tcPr>
            <w:tcW w:w="396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Performance Measures</w:t>
            </w:r>
          </w:p>
        </w:tc>
        <w:tc>
          <w:tcPr>
            <w:tcW w:w="1300" w:type="dxa"/>
            <w:vAlign w:val="bottom"/>
            <w:shd w:val="clear" w:color="auto" w:fill="C00000"/>
          </w:tcPr>
          <w:p>
            <w:pPr>
              <w:jc w:val="right"/>
              <w:ind w:right="329"/>
              <w:spacing w:after="0"/>
              <w:rPr>
                <w:sz w:val="20"/>
                <w:szCs w:val="20"/>
                <w:color w:val="auto"/>
              </w:rPr>
            </w:pPr>
            <w:r>
              <w:rPr>
                <w:rFonts w:ascii="Arial" w:cs="Arial" w:eastAsia="Arial" w:hAnsi="Arial"/>
                <w:sz w:val="14"/>
                <w:szCs w:val="14"/>
                <w:b w:val="1"/>
                <w:bCs w:val="1"/>
                <w:color w:val="FFFFFF"/>
              </w:rPr>
              <w:t>(40% payout)</w:t>
            </w:r>
          </w:p>
        </w:tc>
        <w:tc>
          <w:tcPr>
            <w:tcW w:w="1500" w:type="dxa"/>
            <w:vAlign w:val="bottom"/>
            <w:shd w:val="clear" w:color="auto" w:fill="C00000"/>
          </w:tcPr>
          <w:p>
            <w:pPr>
              <w:jc w:val="right"/>
              <w:ind w:right="289"/>
              <w:spacing w:after="0"/>
              <w:rPr>
                <w:sz w:val="20"/>
                <w:szCs w:val="20"/>
                <w:color w:val="auto"/>
              </w:rPr>
            </w:pPr>
            <w:r>
              <w:rPr>
                <w:rFonts w:ascii="Arial" w:cs="Arial" w:eastAsia="Arial" w:hAnsi="Arial"/>
                <w:sz w:val="14"/>
                <w:szCs w:val="14"/>
                <w:b w:val="1"/>
                <w:bCs w:val="1"/>
                <w:color w:val="FFFFFF"/>
              </w:rPr>
              <w:t>(100% payout)</w:t>
            </w:r>
          </w:p>
        </w:tc>
        <w:tc>
          <w:tcPr>
            <w:tcW w:w="1640" w:type="dxa"/>
            <w:vAlign w:val="bottom"/>
            <w:shd w:val="clear" w:color="auto" w:fill="C00000"/>
          </w:tcPr>
          <w:p>
            <w:pPr>
              <w:jc w:val="right"/>
              <w:ind w:right="449"/>
              <w:spacing w:after="0"/>
              <w:rPr>
                <w:sz w:val="20"/>
                <w:szCs w:val="20"/>
                <w:color w:val="auto"/>
              </w:rPr>
            </w:pPr>
            <w:r>
              <w:rPr>
                <w:rFonts w:ascii="Arial" w:cs="Arial" w:eastAsia="Arial" w:hAnsi="Arial"/>
                <w:sz w:val="14"/>
                <w:szCs w:val="14"/>
                <w:b w:val="1"/>
                <w:bCs w:val="1"/>
                <w:color w:val="FFFFFF"/>
              </w:rPr>
              <w:t>(200% payout)</w:t>
            </w:r>
          </w:p>
        </w:tc>
        <w:tc>
          <w:tcPr>
            <w:tcW w:w="2840" w:type="dxa"/>
            <w:vAlign w:val="bottom"/>
            <w:shd w:val="clear" w:color="auto" w:fill="C00000"/>
          </w:tcPr>
          <w:p>
            <w:pPr>
              <w:jc w:val="center"/>
              <w:ind w:right="129"/>
              <w:spacing w:after="0"/>
              <w:rPr>
                <w:sz w:val="20"/>
                <w:szCs w:val="20"/>
                <w:color w:val="auto"/>
              </w:rPr>
            </w:pPr>
            <w:r>
              <w:rPr>
                <w:rFonts w:ascii="Arial" w:cs="Arial" w:eastAsia="Arial" w:hAnsi="Arial"/>
                <w:sz w:val="14"/>
                <w:szCs w:val="14"/>
                <w:b w:val="1"/>
                <w:bCs w:val="1"/>
                <w:color w:val="FFFFFF"/>
              </w:rPr>
              <w:t>Actual</w:t>
            </w:r>
          </w:p>
        </w:tc>
      </w:tr>
      <w:tr>
        <w:trPr>
          <w:trHeight w:val="178"/>
        </w:trPr>
        <w:tc>
          <w:tcPr>
            <w:tcW w:w="3960" w:type="dxa"/>
            <w:vAlign w:val="bottom"/>
          </w:tcPr>
          <w:p>
            <w:pPr>
              <w:spacing w:after="0"/>
              <w:rPr>
                <w:sz w:val="20"/>
                <w:szCs w:val="20"/>
                <w:color w:val="auto"/>
              </w:rPr>
            </w:pPr>
            <w:r>
              <w:rPr>
                <w:rFonts w:ascii="Arial" w:cs="Arial" w:eastAsia="Arial" w:hAnsi="Arial"/>
                <w:sz w:val="14"/>
                <w:szCs w:val="14"/>
                <w:color w:val="auto"/>
              </w:rPr>
              <w:t>50% cumulative corporate net income plus</w:t>
            </w:r>
          </w:p>
        </w:tc>
        <w:tc>
          <w:tcPr>
            <w:tcW w:w="1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840" w:type="dxa"/>
            <w:vAlign w:val="bottom"/>
          </w:tcPr>
          <w:p>
            <w:pPr>
              <w:jc w:val="center"/>
              <w:ind w:right="109"/>
              <w:spacing w:after="0"/>
              <w:rPr>
                <w:sz w:val="20"/>
                <w:szCs w:val="20"/>
                <w:color w:val="auto"/>
              </w:rPr>
            </w:pPr>
            <w:r>
              <w:rPr>
                <w:rFonts w:ascii="Arial" w:cs="Arial" w:eastAsia="Arial" w:hAnsi="Arial"/>
                <w:sz w:val="14"/>
                <w:szCs w:val="14"/>
                <w:color w:val="auto"/>
                <w:w w:val="99"/>
              </w:rPr>
              <w:t>$1,093,333</w:t>
            </w:r>
          </w:p>
        </w:tc>
      </w:tr>
      <w:tr>
        <w:trPr>
          <w:trHeight w:val="155"/>
        </w:trPr>
        <w:tc>
          <w:tcPr>
            <w:tcW w:w="3960" w:type="dxa"/>
            <w:vAlign w:val="bottom"/>
          </w:tcPr>
          <w:p>
            <w:pPr>
              <w:ind w:left="120"/>
              <w:spacing w:after="0" w:line="155" w:lineRule="exact"/>
              <w:rPr>
                <w:sz w:val="20"/>
                <w:szCs w:val="20"/>
                <w:color w:val="auto"/>
              </w:rPr>
            </w:pPr>
            <w:r>
              <w:rPr>
                <w:rFonts w:ascii="Arial" w:cs="Arial" w:eastAsia="Arial" w:hAnsi="Arial"/>
                <w:sz w:val="14"/>
                <w:szCs w:val="14"/>
                <w:color w:val="auto"/>
              </w:rPr>
              <w:t>after-tax interest (in thousands)*</w:t>
            </w:r>
          </w:p>
        </w:tc>
        <w:tc>
          <w:tcPr>
            <w:tcW w:w="1300" w:type="dxa"/>
            <w:vAlign w:val="bottom"/>
          </w:tcPr>
          <w:p>
            <w:pPr>
              <w:jc w:val="right"/>
              <w:ind w:right="109"/>
              <w:spacing w:after="0" w:line="155" w:lineRule="exact"/>
              <w:rPr>
                <w:sz w:val="20"/>
                <w:szCs w:val="20"/>
                <w:color w:val="auto"/>
              </w:rPr>
            </w:pPr>
            <w:r>
              <w:rPr>
                <w:rFonts w:ascii="Arial" w:cs="Arial" w:eastAsia="Arial" w:hAnsi="Arial"/>
                <w:sz w:val="14"/>
                <w:szCs w:val="14"/>
                <w:color w:val="auto"/>
              </w:rPr>
              <w:t>$997,434</w:t>
            </w:r>
          </w:p>
        </w:tc>
        <w:tc>
          <w:tcPr>
            <w:tcW w:w="1500" w:type="dxa"/>
            <w:vAlign w:val="bottom"/>
          </w:tcPr>
          <w:p>
            <w:pPr>
              <w:jc w:val="right"/>
              <w:ind w:right="109"/>
              <w:spacing w:after="0" w:line="155" w:lineRule="exact"/>
              <w:rPr>
                <w:sz w:val="20"/>
                <w:szCs w:val="20"/>
                <w:color w:val="auto"/>
              </w:rPr>
            </w:pPr>
            <w:r>
              <w:rPr>
                <w:rFonts w:ascii="Arial" w:cs="Arial" w:eastAsia="Arial" w:hAnsi="Arial"/>
                <w:sz w:val="14"/>
                <w:szCs w:val="14"/>
                <w:color w:val="auto"/>
              </w:rPr>
              <w:t>$1,246,792</w:t>
            </w:r>
          </w:p>
        </w:tc>
        <w:tc>
          <w:tcPr>
            <w:tcW w:w="1640" w:type="dxa"/>
            <w:vAlign w:val="bottom"/>
          </w:tcPr>
          <w:p>
            <w:pPr>
              <w:jc w:val="right"/>
              <w:ind w:right="269"/>
              <w:spacing w:after="0" w:line="155" w:lineRule="exact"/>
              <w:rPr>
                <w:sz w:val="20"/>
                <w:szCs w:val="20"/>
                <w:color w:val="auto"/>
              </w:rPr>
            </w:pPr>
            <w:r>
              <w:rPr>
                <w:rFonts w:ascii="Arial" w:cs="Arial" w:eastAsia="Arial" w:hAnsi="Arial"/>
                <w:sz w:val="14"/>
                <w:szCs w:val="14"/>
                <w:color w:val="auto"/>
              </w:rPr>
              <w:t>$1,496,151</w:t>
            </w:r>
          </w:p>
        </w:tc>
        <w:tc>
          <w:tcPr>
            <w:tcW w:w="2840" w:type="dxa"/>
            <w:vAlign w:val="bottom"/>
          </w:tcPr>
          <w:p>
            <w:pPr>
              <w:jc w:val="center"/>
              <w:ind w:right="109"/>
              <w:spacing w:after="0" w:line="155" w:lineRule="exact"/>
              <w:rPr>
                <w:sz w:val="20"/>
                <w:szCs w:val="20"/>
                <w:color w:val="auto"/>
              </w:rPr>
            </w:pPr>
            <w:r>
              <w:rPr>
                <w:rFonts w:ascii="Arial" w:cs="Arial" w:eastAsia="Arial" w:hAnsi="Arial"/>
                <w:sz w:val="14"/>
                <w:szCs w:val="14"/>
                <w:color w:val="auto"/>
              </w:rPr>
              <w:t>(between threshold and target)</w:t>
            </w:r>
          </w:p>
        </w:tc>
      </w:tr>
      <w:tr>
        <w:trPr>
          <w:trHeight w:val="178"/>
        </w:trPr>
        <w:tc>
          <w:tcPr>
            <w:tcW w:w="3960" w:type="dxa"/>
            <w:vAlign w:val="bottom"/>
            <w:shd w:val="clear" w:color="auto" w:fill="D9D9D9"/>
          </w:tcPr>
          <w:p>
            <w:pPr>
              <w:spacing w:after="0"/>
              <w:rPr>
                <w:sz w:val="20"/>
                <w:szCs w:val="20"/>
                <w:color w:val="auto"/>
              </w:rPr>
            </w:pPr>
            <w:r>
              <w:rPr>
                <w:rFonts w:ascii="Arial" w:cs="Arial" w:eastAsia="Arial" w:hAnsi="Arial"/>
                <w:sz w:val="14"/>
                <w:szCs w:val="14"/>
                <w:color w:val="auto"/>
              </w:rPr>
              <w:t>20% cumulative corporate revenue</w:t>
            </w:r>
          </w:p>
        </w:tc>
        <w:tc>
          <w:tcPr>
            <w:tcW w:w="1300" w:type="dxa"/>
            <w:vAlign w:val="bottom"/>
            <w:shd w:val="clear" w:color="auto" w:fill="D9D9D9"/>
          </w:tcPr>
          <w:p>
            <w:pPr>
              <w:spacing w:after="0"/>
              <w:rPr>
                <w:sz w:val="15"/>
                <w:szCs w:val="15"/>
                <w:color w:val="auto"/>
              </w:rPr>
            </w:pPr>
          </w:p>
        </w:tc>
        <w:tc>
          <w:tcPr>
            <w:tcW w:w="1500" w:type="dxa"/>
            <w:vAlign w:val="bottom"/>
            <w:shd w:val="clear" w:color="auto" w:fill="D9D9D9"/>
          </w:tcPr>
          <w:p>
            <w:pPr>
              <w:spacing w:after="0"/>
              <w:rPr>
                <w:sz w:val="15"/>
                <w:szCs w:val="15"/>
                <w:color w:val="auto"/>
              </w:rPr>
            </w:pPr>
          </w:p>
        </w:tc>
        <w:tc>
          <w:tcPr>
            <w:tcW w:w="1640" w:type="dxa"/>
            <w:vAlign w:val="bottom"/>
            <w:shd w:val="clear" w:color="auto" w:fill="D9D9D9"/>
          </w:tcPr>
          <w:p>
            <w:pPr>
              <w:spacing w:after="0"/>
              <w:rPr>
                <w:sz w:val="15"/>
                <w:szCs w:val="15"/>
                <w:color w:val="auto"/>
              </w:rPr>
            </w:pPr>
          </w:p>
        </w:tc>
        <w:tc>
          <w:tcPr>
            <w:tcW w:w="2840" w:type="dxa"/>
            <w:vAlign w:val="bottom"/>
            <w:shd w:val="clear" w:color="auto" w:fill="D9D9D9"/>
          </w:tcPr>
          <w:p>
            <w:pPr>
              <w:jc w:val="center"/>
              <w:ind w:right="109"/>
              <w:spacing w:after="0"/>
              <w:rPr>
                <w:sz w:val="20"/>
                <w:szCs w:val="20"/>
                <w:color w:val="auto"/>
              </w:rPr>
            </w:pPr>
            <w:r>
              <w:rPr>
                <w:rFonts w:ascii="Arial" w:cs="Arial" w:eastAsia="Arial" w:hAnsi="Arial"/>
                <w:sz w:val="14"/>
                <w:szCs w:val="14"/>
                <w:color w:val="auto"/>
              </w:rPr>
              <w:t>$10,308,898</w:t>
            </w:r>
          </w:p>
        </w:tc>
      </w:tr>
      <w:tr>
        <w:trPr>
          <w:trHeight w:val="155"/>
        </w:trPr>
        <w:tc>
          <w:tcPr>
            <w:tcW w:w="3960" w:type="dxa"/>
            <w:vAlign w:val="bottom"/>
            <w:shd w:val="clear" w:color="auto" w:fill="D9D9D9"/>
          </w:tcPr>
          <w:p>
            <w:pPr>
              <w:ind w:left="120"/>
              <w:spacing w:after="0" w:line="155" w:lineRule="exact"/>
              <w:rPr>
                <w:sz w:val="20"/>
                <w:szCs w:val="20"/>
                <w:color w:val="auto"/>
              </w:rPr>
            </w:pPr>
            <w:r>
              <w:rPr>
                <w:rFonts w:ascii="Arial" w:cs="Arial" w:eastAsia="Arial" w:hAnsi="Arial"/>
                <w:sz w:val="14"/>
                <w:szCs w:val="14"/>
                <w:color w:val="auto"/>
              </w:rPr>
              <w:t>(in thousands)</w:t>
            </w:r>
          </w:p>
        </w:tc>
        <w:tc>
          <w:tcPr>
            <w:tcW w:w="1300" w:type="dxa"/>
            <w:vAlign w:val="bottom"/>
            <w:shd w:val="clear" w:color="auto" w:fill="D9D9D9"/>
          </w:tcPr>
          <w:p>
            <w:pPr>
              <w:jc w:val="right"/>
              <w:ind w:right="109"/>
              <w:spacing w:after="0" w:line="155" w:lineRule="exact"/>
              <w:rPr>
                <w:sz w:val="20"/>
                <w:szCs w:val="20"/>
                <w:color w:val="auto"/>
              </w:rPr>
            </w:pPr>
            <w:r>
              <w:rPr>
                <w:rFonts w:ascii="Arial" w:cs="Arial" w:eastAsia="Arial" w:hAnsi="Arial"/>
                <w:sz w:val="14"/>
                <w:szCs w:val="14"/>
                <w:color w:val="auto"/>
              </w:rPr>
              <w:t>$10,149,788</w:t>
            </w:r>
          </w:p>
        </w:tc>
        <w:tc>
          <w:tcPr>
            <w:tcW w:w="1500" w:type="dxa"/>
            <w:vAlign w:val="bottom"/>
            <w:shd w:val="clear" w:color="auto" w:fill="D9D9D9"/>
          </w:tcPr>
          <w:p>
            <w:pPr>
              <w:jc w:val="right"/>
              <w:ind w:right="109"/>
              <w:spacing w:after="0" w:line="155" w:lineRule="exact"/>
              <w:rPr>
                <w:sz w:val="20"/>
                <w:szCs w:val="20"/>
                <w:color w:val="auto"/>
              </w:rPr>
            </w:pPr>
            <w:r>
              <w:rPr>
                <w:rFonts w:ascii="Arial" w:cs="Arial" w:eastAsia="Arial" w:hAnsi="Arial"/>
                <w:sz w:val="14"/>
                <w:szCs w:val="14"/>
                <w:color w:val="auto"/>
              </w:rPr>
              <w:t>$10,797,676</w:t>
            </w:r>
          </w:p>
        </w:tc>
        <w:tc>
          <w:tcPr>
            <w:tcW w:w="1640" w:type="dxa"/>
            <w:vAlign w:val="bottom"/>
            <w:shd w:val="clear" w:color="auto" w:fill="D9D9D9"/>
          </w:tcPr>
          <w:p>
            <w:pPr>
              <w:jc w:val="right"/>
              <w:ind w:right="269"/>
              <w:spacing w:after="0" w:line="155" w:lineRule="exact"/>
              <w:rPr>
                <w:sz w:val="20"/>
                <w:szCs w:val="20"/>
                <w:color w:val="auto"/>
              </w:rPr>
            </w:pPr>
            <w:r>
              <w:rPr>
                <w:rFonts w:ascii="Arial" w:cs="Arial" w:eastAsia="Arial" w:hAnsi="Arial"/>
                <w:sz w:val="14"/>
                <w:szCs w:val="14"/>
                <w:color w:val="auto"/>
              </w:rPr>
              <w:t>$11,445,506</w:t>
            </w:r>
          </w:p>
        </w:tc>
        <w:tc>
          <w:tcPr>
            <w:tcW w:w="2840" w:type="dxa"/>
            <w:vAlign w:val="bottom"/>
            <w:shd w:val="clear" w:color="auto" w:fill="D9D9D9"/>
          </w:tcPr>
          <w:p>
            <w:pPr>
              <w:jc w:val="center"/>
              <w:ind w:right="109"/>
              <w:spacing w:after="0" w:line="155" w:lineRule="exact"/>
              <w:rPr>
                <w:sz w:val="20"/>
                <w:szCs w:val="20"/>
                <w:color w:val="auto"/>
              </w:rPr>
            </w:pPr>
            <w:r>
              <w:rPr>
                <w:rFonts w:ascii="Arial" w:cs="Arial" w:eastAsia="Arial" w:hAnsi="Arial"/>
                <w:sz w:val="14"/>
                <w:szCs w:val="14"/>
                <w:color w:val="auto"/>
              </w:rPr>
              <w:t>(between threshold and target)</w:t>
            </w:r>
          </w:p>
        </w:tc>
      </w:tr>
      <w:tr>
        <w:trPr>
          <w:trHeight w:val="178"/>
        </w:trPr>
        <w:tc>
          <w:tcPr>
            <w:tcW w:w="3960" w:type="dxa"/>
            <w:vAlign w:val="bottom"/>
          </w:tcPr>
          <w:p>
            <w:pPr>
              <w:spacing w:after="0"/>
              <w:rPr>
                <w:sz w:val="20"/>
                <w:szCs w:val="20"/>
                <w:color w:val="auto"/>
              </w:rPr>
            </w:pPr>
            <w:r>
              <w:rPr>
                <w:rFonts w:ascii="Arial" w:cs="Arial" w:eastAsia="Arial" w:hAnsi="Arial"/>
                <w:sz w:val="14"/>
                <w:szCs w:val="14"/>
                <w:color w:val="auto"/>
              </w:rPr>
              <w:t>30% cumulative corporate average</w:t>
            </w:r>
          </w:p>
        </w:tc>
        <w:tc>
          <w:tcPr>
            <w:tcW w:w="1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840" w:type="dxa"/>
            <w:vAlign w:val="bottom"/>
          </w:tcPr>
          <w:p>
            <w:pPr>
              <w:jc w:val="center"/>
              <w:ind w:right="129"/>
              <w:spacing w:after="0"/>
              <w:rPr>
                <w:sz w:val="20"/>
                <w:szCs w:val="20"/>
                <w:color w:val="auto"/>
              </w:rPr>
            </w:pPr>
            <w:r>
              <w:rPr>
                <w:rFonts w:ascii="Arial" w:cs="Arial" w:eastAsia="Arial" w:hAnsi="Arial"/>
                <w:sz w:val="14"/>
                <w:szCs w:val="14"/>
                <w:color w:val="auto"/>
              </w:rPr>
              <w:t>5.30248</w:t>
            </w:r>
          </w:p>
        </w:tc>
      </w:tr>
      <w:tr>
        <w:trPr>
          <w:trHeight w:val="155"/>
        </w:trPr>
        <w:tc>
          <w:tcPr>
            <w:tcW w:w="3960" w:type="dxa"/>
            <w:vAlign w:val="bottom"/>
          </w:tcPr>
          <w:p>
            <w:pPr>
              <w:ind w:left="120"/>
              <w:spacing w:after="0" w:line="155" w:lineRule="exact"/>
              <w:rPr>
                <w:sz w:val="20"/>
                <w:szCs w:val="20"/>
                <w:color w:val="auto"/>
              </w:rPr>
            </w:pPr>
            <w:r>
              <w:rPr>
                <w:rFonts w:ascii="Arial" w:cs="Arial" w:eastAsia="Arial" w:hAnsi="Arial"/>
                <w:sz w:val="14"/>
                <w:szCs w:val="14"/>
                <w:color w:val="auto"/>
              </w:rPr>
              <w:t>net assets turns**</w:t>
            </w:r>
          </w:p>
        </w:tc>
        <w:tc>
          <w:tcPr>
            <w:tcW w:w="1300" w:type="dxa"/>
            <w:vAlign w:val="bottom"/>
          </w:tcPr>
          <w:p>
            <w:pPr>
              <w:jc w:val="right"/>
              <w:ind w:right="109"/>
              <w:spacing w:after="0" w:line="155" w:lineRule="exact"/>
              <w:rPr>
                <w:sz w:val="20"/>
                <w:szCs w:val="20"/>
                <w:color w:val="auto"/>
              </w:rPr>
            </w:pPr>
            <w:r>
              <w:rPr>
                <w:rFonts w:ascii="Arial" w:cs="Arial" w:eastAsia="Arial" w:hAnsi="Arial"/>
                <w:sz w:val="14"/>
                <w:szCs w:val="14"/>
                <w:color w:val="auto"/>
              </w:rPr>
              <w:t>4.48840</w:t>
            </w:r>
          </w:p>
        </w:tc>
        <w:tc>
          <w:tcPr>
            <w:tcW w:w="1500" w:type="dxa"/>
            <w:vAlign w:val="bottom"/>
          </w:tcPr>
          <w:p>
            <w:pPr>
              <w:jc w:val="right"/>
              <w:ind w:right="109"/>
              <w:spacing w:after="0" w:line="155" w:lineRule="exact"/>
              <w:rPr>
                <w:sz w:val="20"/>
                <w:szCs w:val="20"/>
                <w:color w:val="auto"/>
              </w:rPr>
            </w:pPr>
            <w:r>
              <w:rPr>
                <w:rFonts w:ascii="Arial" w:cs="Arial" w:eastAsia="Arial" w:hAnsi="Arial"/>
                <w:sz w:val="14"/>
                <w:szCs w:val="14"/>
                <w:color w:val="auto"/>
              </w:rPr>
              <w:t>5.28047</w:t>
            </w:r>
          </w:p>
        </w:tc>
        <w:tc>
          <w:tcPr>
            <w:tcW w:w="1640" w:type="dxa"/>
            <w:vAlign w:val="bottom"/>
          </w:tcPr>
          <w:p>
            <w:pPr>
              <w:jc w:val="right"/>
              <w:ind w:right="269"/>
              <w:spacing w:after="0" w:line="155" w:lineRule="exact"/>
              <w:rPr>
                <w:sz w:val="20"/>
                <w:szCs w:val="20"/>
                <w:color w:val="auto"/>
              </w:rPr>
            </w:pPr>
            <w:r>
              <w:rPr>
                <w:rFonts w:ascii="Arial" w:cs="Arial" w:eastAsia="Arial" w:hAnsi="Arial"/>
                <w:sz w:val="14"/>
                <w:szCs w:val="14"/>
                <w:color w:val="auto"/>
              </w:rPr>
              <w:t>6.07254</w:t>
            </w:r>
          </w:p>
        </w:tc>
        <w:tc>
          <w:tcPr>
            <w:tcW w:w="2840" w:type="dxa"/>
            <w:vAlign w:val="bottom"/>
          </w:tcPr>
          <w:p>
            <w:pPr>
              <w:jc w:val="center"/>
              <w:ind w:right="129"/>
              <w:spacing w:after="0" w:line="155" w:lineRule="exact"/>
              <w:rPr>
                <w:sz w:val="20"/>
                <w:szCs w:val="20"/>
                <w:color w:val="auto"/>
              </w:rPr>
            </w:pPr>
            <w:r>
              <w:rPr>
                <w:rFonts w:ascii="Arial" w:cs="Arial" w:eastAsia="Arial" w:hAnsi="Arial"/>
                <w:sz w:val="14"/>
                <w:szCs w:val="14"/>
                <w:color w:val="auto"/>
              </w:rPr>
              <w:t>(between target and maximum)</w:t>
            </w:r>
          </w:p>
        </w:tc>
      </w:tr>
      <w:tr>
        <w:trPr>
          <w:trHeight w:val="173"/>
        </w:trPr>
        <w:tc>
          <w:tcPr>
            <w:tcW w:w="3960" w:type="dxa"/>
            <w:vAlign w:val="bottom"/>
            <w:shd w:val="clear" w:color="auto" w:fill="D9D9D9"/>
          </w:tcPr>
          <w:p>
            <w:pPr>
              <w:spacing w:after="0"/>
              <w:rPr>
                <w:sz w:val="20"/>
                <w:szCs w:val="20"/>
                <w:color w:val="auto"/>
              </w:rPr>
            </w:pPr>
            <w:r>
              <w:rPr>
                <w:rFonts w:ascii="Arial" w:cs="Arial" w:eastAsia="Arial" w:hAnsi="Arial"/>
                <w:sz w:val="14"/>
                <w:szCs w:val="14"/>
                <w:b w:val="1"/>
                <w:bCs w:val="1"/>
                <w:color w:val="auto"/>
              </w:rPr>
              <w:t>Fiscal 2019 to fiscal 2021 performance share award payout</w:t>
            </w:r>
          </w:p>
        </w:tc>
        <w:tc>
          <w:tcPr>
            <w:tcW w:w="1300" w:type="dxa"/>
            <w:vAlign w:val="bottom"/>
            <w:shd w:val="clear" w:color="auto" w:fill="D9D9D9"/>
          </w:tcPr>
          <w:p>
            <w:pPr>
              <w:spacing w:after="0"/>
              <w:rPr>
                <w:sz w:val="15"/>
                <w:szCs w:val="15"/>
                <w:color w:val="auto"/>
              </w:rPr>
            </w:pPr>
          </w:p>
        </w:tc>
        <w:tc>
          <w:tcPr>
            <w:tcW w:w="1500" w:type="dxa"/>
            <w:vAlign w:val="bottom"/>
            <w:shd w:val="clear" w:color="auto" w:fill="D9D9D9"/>
          </w:tcPr>
          <w:p>
            <w:pPr>
              <w:spacing w:after="0"/>
              <w:rPr>
                <w:sz w:val="15"/>
                <w:szCs w:val="15"/>
                <w:color w:val="auto"/>
              </w:rPr>
            </w:pPr>
          </w:p>
        </w:tc>
        <w:tc>
          <w:tcPr>
            <w:tcW w:w="1640" w:type="dxa"/>
            <w:vAlign w:val="bottom"/>
            <w:shd w:val="clear" w:color="auto" w:fill="D9D9D9"/>
          </w:tcPr>
          <w:p>
            <w:pPr>
              <w:spacing w:after="0"/>
              <w:rPr>
                <w:sz w:val="15"/>
                <w:szCs w:val="15"/>
                <w:color w:val="auto"/>
              </w:rPr>
            </w:pPr>
          </w:p>
        </w:tc>
        <w:tc>
          <w:tcPr>
            <w:tcW w:w="2840" w:type="dxa"/>
            <w:vAlign w:val="bottom"/>
            <w:shd w:val="clear" w:color="auto" w:fill="D9D9D9"/>
          </w:tcPr>
          <w:p>
            <w:pPr>
              <w:jc w:val="center"/>
              <w:ind w:right="129"/>
              <w:spacing w:after="0"/>
              <w:rPr>
                <w:sz w:val="20"/>
                <w:szCs w:val="20"/>
                <w:color w:val="auto"/>
              </w:rPr>
            </w:pPr>
            <w:r>
              <w:rPr>
                <w:rFonts w:ascii="Arial" w:cs="Arial" w:eastAsia="Arial" w:hAnsi="Arial"/>
                <w:sz w:val="14"/>
                <w:szCs w:val="14"/>
                <w:b w:val="1"/>
                <w:bCs w:val="1"/>
                <w:color w:val="auto"/>
              </w:rPr>
              <w:t>74.0% of target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76200</wp:posOffset>
            </wp:positionV>
            <wp:extent cx="203454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034540" cy="8255"/>
                    </a:xfrm>
                    <a:prstGeom prst="rect">
                      <a:avLst/>
                    </a:prstGeom>
                    <a:noFill/>
                  </pic:spPr>
                </pic:pic>
              </a:graphicData>
            </a:graphic>
          </wp:anchor>
        </w:drawing>
      </w:r>
    </w:p>
    <w:p>
      <w:pPr>
        <w:spacing w:after="0" w:line="168" w:lineRule="exact"/>
        <w:rPr>
          <w:sz w:val="20"/>
          <w:szCs w:val="20"/>
          <w:color w:val="auto"/>
        </w:rPr>
      </w:pPr>
    </w:p>
    <w:p>
      <w:pPr>
        <w:ind w:left="200" w:hanging="194"/>
        <w:spacing w:after="0"/>
        <w:tabs>
          <w:tab w:leader="none" w:pos="2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Cumulative corporate net income plus after-tax interest is defined as net earnings plus interest expense, net of taxes.</w:t>
      </w:r>
    </w:p>
    <w:p>
      <w:pPr>
        <w:spacing w:after="0" w:line="55" w:lineRule="exact"/>
        <w:rPr>
          <w:rFonts w:ascii="Arial" w:cs="Arial" w:eastAsia="Arial" w:hAnsi="Arial"/>
          <w:sz w:val="16"/>
          <w:szCs w:val="16"/>
          <w:color w:val="auto"/>
        </w:rPr>
      </w:pPr>
    </w:p>
    <w:p>
      <w:pPr>
        <w:ind w:left="200" w:right="160" w:hanging="190"/>
        <w:spacing w:after="0" w:line="248" w:lineRule="auto"/>
        <w:tabs>
          <w:tab w:leader="none" w:pos="171" w:val="left"/>
        </w:tabs>
        <w:numPr>
          <w:ilvl w:val="1"/>
          <w:numId w:val="52"/>
        </w:numPr>
        <w:rPr>
          <w:rFonts w:ascii="Arial" w:cs="Arial" w:eastAsia="Arial" w:hAnsi="Arial"/>
          <w:sz w:val="16"/>
          <w:szCs w:val="16"/>
          <w:color w:val="auto"/>
        </w:rPr>
      </w:pPr>
      <w:r>
        <w:rPr>
          <w:rFonts w:ascii="Arial" w:cs="Arial" w:eastAsia="Arial" w:hAnsi="Arial"/>
          <w:sz w:val="16"/>
          <w:szCs w:val="16"/>
          <w:color w:val="auto"/>
        </w:rPr>
        <w:t>Corporate average net assets turns is defined as total cost of goods sold divided by the twelve month average of net assets less the twelve month average of cash and cash equivalents. Net assets is defined as the fiscal year monthly average of total assets less accounts payables, accrued liabilities, income taxes and other long-term liabilities.</w:t>
      </w:r>
    </w:p>
    <w:p>
      <w:pPr>
        <w:spacing w:after="0" w:line="70" w:lineRule="exact"/>
        <w:rPr>
          <w:sz w:val="20"/>
          <w:szCs w:val="20"/>
          <w:color w:val="auto"/>
        </w:rPr>
      </w:pPr>
    </w:p>
    <w:p>
      <w:pPr>
        <w:ind w:right="220" w:firstLine="401"/>
        <w:spacing w:after="0" w:line="241" w:lineRule="auto"/>
        <w:rPr>
          <w:sz w:val="20"/>
          <w:szCs w:val="20"/>
          <w:color w:val="auto"/>
        </w:rPr>
      </w:pPr>
      <w:r>
        <w:rPr>
          <w:rFonts w:ascii="Arial" w:cs="Arial" w:eastAsia="Arial" w:hAnsi="Arial"/>
          <w:sz w:val="18"/>
          <w:szCs w:val="18"/>
          <w:b w:val="1"/>
          <w:bCs w:val="1"/>
          <w:color w:val="auto"/>
        </w:rPr>
        <w:t xml:space="preserve">How We Make Compensation Decisions. </w:t>
      </w:r>
      <w:r>
        <w:rPr>
          <w:rFonts w:ascii="Arial" w:cs="Arial" w:eastAsia="Arial" w:hAnsi="Arial"/>
          <w:sz w:val="18"/>
          <w:szCs w:val="18"/>
          <w:color w:val="auto"/>
        </w:rPr>
        <w:t>There are several elements to our executive officer compensation decision-making, which</w:t>
      </w:r>
      <w:r>
        <w:rPr>
          <w:rFonts w:ascii="Arial" w:cs="Arial" w:eastAsia="Arial" w:hAnsi="Arial"/>
          <w:sz w:val="18"/>
          <w:szCs w:val="18"/>
          <w:b w:val="1"/>
          <w:bCs w:val="1"/>
          <w:color w:val="auto"/>
        </w:rPr>
        <w:t xml:space="preserve"> </w:t>
      </w:r>
      <w:r>
        <w:rPr>
          <w:rFonts w:ascii="Arial" w:cs="Arial" w:eastAsia="Arial" w:hAnsi="Arial"/>
          <w:sz w:val="18"/>
          <w:szCs w:val="18"/>
          <w:color w:val="auto"/>
        </w:rPr>
        <w:t>we believe allow us to most effectively implement our established compensation philosophy. The Compensation &amp; Human Resources Committee, its independent external compensation consultant and Management all have a role in the decision-making process for executive officer compensation. These roles are described below:</w:t>
      </w:r>
    </w:p>
    <w:p>
      <w:pPr>
        <w:spacing w:after="0" w:line="73" w:lineRule="exact"/>
        <w:rPr>
          <w:sz w:val="20"/>
          <w:szCs w:val="20"/>
          <w:color w:val="auto"/>
        </w:rPr>
      </w:pPr>
    </w:p>
    <w:p>
      <w:pPr>
        <w:ind w:right="20" w:firstLine="401"/>
        <w:spacing w:after="0" w:line="241" w:lineRule="auto"/>
        <w:rPr>
          <w:sz w:val="20"/>
          <w:szCs w:val="20"/>
          <w:color w:val="auto"/>
        </w:rPr>
      </w:pPr>
      <w:r>
        <w:rPr>
          <w:rFonts w:ascii="Arial" w:cs="Arial" w:eastAsia="Arial" w:hAnsi="Arial"/>
          <w:sz w:val="18"/>
          <w:szCs w:val="18"/>
          <w:b w:val="1"/>
          <w:bCs w:val="1"/>
          <w:i w:val="1"/>
          <w:iCs w:val="1"/>
          <w:color w:val="auto"/>
        </w:rPr>
        <w:t xml:space="preserve">Role of the Compensation &amp; Human Resources Committee. </w:t>
      </w:r>
      <w:r>
        <w:rPr>
          <w:rFonts w:ascii="Arial" w:cs="Arial" w:eastAsia="Arial" w:hAnsi="Arial"/>
          <w:sz w:val="18"/>
          <w:szCs w:val="18"/>
          <w:color w:val="auto"/>
        </w:rPr>
        <w:t>The Compensation &amp; Human Resources Committee, which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comprised solely of independent directors, oversees our executive compensation program. Within its duties, the Committee approves compensation for each of our executive officers. In addition, compensation approved by the Committee for our Chairman and CEO is submitted to the independent directors of the Board for ratification. In doing so, the Committee:</w:t>
      </w:r>
    </w:p>
    <w:p>
      <w:pPr>
        <w:spacing w:after="0" w:line="95" w:lineRule="exact"/>
        <w:rPr>
          <w:sz w:val="20"/>
          <w:szCs w:val="20"/>
          <w:color w:val="auto"/>
        </w:rPr>
      </w:pPr>
    </w:p>
    <w:p>
      <w:pPr>
        <w:ind w:left="800" w:right="260" w:hanging="395"/>
        <w:spacing w:after="0" w:line="238" w:lineRule="auto"/>
        <w:tabs>
          <w:tab w:leader="none" w:pos="800" w:val="left"/>
        </w:tabs>
        <w:numPr>
          <w:ilvl w:val="0"/>
          <w:numId w:val="53"/>
        </w:numPr>
        <w:rPr>
          <w:rFonts w:ascii="Arial" w:cs="Arial" w:eastAsia="Arial" w:hAnsi="Arial"/>
          <w:sz w:val="16"/>
          <w:szCs w:val="16"/>
          <w:color w:val="auto"/>
        </w:rPr>
      </w:pPr>
      <w:r>
        <w:rPr>
          <w:rFonts w:ascii="Arial" w:cs="Arial" w:eastAsia="Arial" w:hAnsi="Arial"/>
          <w:sz w:val="18"/>
          <w:szCs w:val="18"/>
          <w:color w:val="auto"/>
        </w:rPr>
        <w:t>Approves the total direct executive compensation package for each executive officer, including his or her base salary, annual cash incentive award and long-term incentive awards;</w:t>
      </w:r>
    </w:p>
    <w:p>
      <w:pPr>
        <w:spacing w:after="0" w:line="41" w:lineRule="exact"/>
        <w:rPr>
          <w:rFonts w:ascii="Arial" w:cs="Arial" w:eastAsia="Arial" w:hAnsi="Arial"/>
          <w:sz w:val="16"/>
          <w:szCs w:val="16"/>
          <w:color w:val="auto"/>
        </w:rPr>
      </w:pPr>
    </w:p>
    <w:p>
      <w:pPr>
        <w:ind w:left="800" w:right="40" w:hanging="395"/>
        <w:spacing w:after="0" w:line="238" w:lineRule="auto"/>
        <w:tabs>
          <w:tab w:leader="none" w:pos="800" w:val="left"/>
        </w:tabs>
        <w:numPr>
          <w:ilvl w:val="0"/>
          <w:numId w:val="53"/>
        </w:numPr>
        <w:rPr>
          <w:rFonts w:ascii="Arial" w:cs="Arial" w:eastAsia="Arial" w:hAnsi="Arial"/>
          <w:sz w:val="16"/>
          <w:szCs w:val="16"/>
          <w:color w:val="auto"/>
        </w:rPr>
      </w:pPr>
      <w:r>
        <w:rPr>
          <w:rFonts w:ascii="Arial" w:cs="Arial" w:eastAsia="Arial" w:hAnsi="Arial"/>
          <w:sz w:val="18"/>
          <w:szCs w:val="18"/>
          <w:color w:val="auto"/>
        </w:rPr>
        <w:t>Reviews and approves corporate, division and plant financial performance measures, weightings, goals and performance adjustment events, if any, related to our annual and long-term incentive awards;</w:t>
      </w:r>
    </w:p>
    <w:p>
      <w:pPr>
        <w:spacing w:after="0" w:line="41" w:lineRule="exact"/>
        <w:rPr>
          <w:rFonts w:ascii="Arial" w:cs="Arial" w:eastAsia="Arial" w:hAnsi="Arial"/>
          <w:sz w:val="16"/>
          <w:szCs w:val="16"/>
          <w:color w:val="auto"/>
        </w:rPr>
      </w:pPr>
    </w:p>
    <w:p>
      <w:pPr>
        <w:ind w:left="800" w:hanging="395"/>
        <w:spacing w:after="0"/>
        <w:tabs>
          <w:tab w:leader="none" w:pos="800" w:val="left"/>
        </w:tabs>
        <w:numPr>
          <w:ilvl w:val="0"/>
          <w:numId w:val="53"/>
        </w:numPr>
        <w:rPr>
          <w:rFonts w:ascii="Arial" w:cs="Arial" w:eastAsia="Arial" w:hAnsi="Arial"/>
          <w:sz w:val="16"/>
          <w:szCs w:val="16"/>
          <w:color w:val="auto"/>
        </w:rPr>
      </w:pPr>
      <w:r>
        <w:rPr>
          <w:rFonts w:ascii="Arial" w:cs="Arial" w:eastAsia="Arial" w:hAnsi="Arial"/>
          <w:sz w:val="18"/>
          <w:szCs w:val="18"/>
          <w:color w:val="auto"/>
        </w:rPr>
        <w:t>Reviews and approves annual cash incentive award payouts and long-term performance share award payouts;</w:t>
      </w:r>
    </w:p>
    <w:p>
      <w:pPr>
        <w:spacing w:after="0" w:line="45" w:lineRule="exact"/>
        <w:rPr>
          <w:rFonts w:ascii="Arial" w:cs="Arial" w:eastAsia="Arial" w:hAnsi="Arial"/>
          <w:sz w:val="16"/>
          <w:szCs w:val="16"/>
          <w:color w:val="auto"/>
        </w:rPr>
      </w:pPr>
    </w:p>
    <w:p>
      <w:pPr>
        <w:ind w:left="800" w:hanging="395"/>
        <w:spacing w:after="0"/>
        <w:tabs>
          <w:tab w:leader="none" w:pos="800" w:val="left"/>
        </w:tabs>
        <w:numPr>
          <w:ilvl w:val="0"/>
          <w:numId w:val="53"/>
        </w:numPr>
        <w:rPr>
          <w:rFonts w:ascii="Arial" w:cs="Arial" w:eastAsia="Arial" w:hAnsi="Arial"/>
          <w:sz w:val="16"/>
          <w:szCs w:val="16"/>
          <w:color w:val="auto"/>
        </w:rPr>
      </w:pPr>
      <w:r>
        <w:rPr>
          <w:rFonts w:ascii="Arial" w:cs="Arial" w:eastAsia="Arial" w:hAnsi="Arial"/>
          <w:sz w:val="18"/>
          <w:szCs w:val="18"/>
          <w:color w:val="auto"/>
        </w:rPr>
        <w:t>Evaluates market competitiveness of each of our executive officer’s compensation (in total and by each individual element);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97" w:lineRule="exact"/>
        <w:rPr>
          <w:sz w:val="20"/>
          <w:szCs w:val="20"/>
          <w:color w:val="auto"/>
        </w:rPr>
      </w:pPr>
    </w:p>
    <w:p>
      <w:pPr>
        <w:ind w:left="800" w:hanging="395"/>
        <w:spacing w:after="0"/>
        <w:tabs>
          <w:tab w:leader="none" w:pos="800" w:val="left"/>
        </w:tabs>
        <w:numPr>
          <w:ilvl w:val="0"/>
          <w:numId w:val="54"/>
        </w:numPr>
        <w:rPr>
          <w:rFonts w:ascii="Arial" w:cs="Arial" w:eastAsia="Arial" w:hAnsi="Arial"/>
          <w:sz w:val="16"/>
          <w:szCs w:val="16"/>
          <w:color w:val="auto"/>
        </w:rPr>
      </w:pPr>
      <w:r>
        <w:rPr>
          <w:rFonts w:ascii="Arial" w:cs="Arial" w:eastAsia="Arial" w:hAnsi="Arial"/>
          <w:sz w:val="18"/>
          <w:szCs w:val="18"/>
          <w:color w:val="auto"/>
        </w:rPr>
        <w:t>Evaluates proposed changes to other elements of our executive compensation program; and</w:t>
      </w:r>
    </w:p>
    <w:p>
      <w:pPr>
        <w:spacing w:after="0" w:line="45" w:lineRule="exact"/>
        <w:rPr>
          <w:rFonts w:ascii="Arial" w:cs="Arial" w:eastAsia="Arial" w:hAnsi="Arial"/>
          <w:sz w:val="16"/>
          <w:szCs w:val="16"/>
          <w:color w:val="auto"/>
        </w:rPr>
      </w:pPr>
    </w:p>
    <w:p>
      <w:pPr>
        <w:ind w:left="800" w:hanging="395"/>
        <w:spacing w:after="0"/>
        <w:tabs>
          <w:tab w:leader="none" w:pos="800" w:val="left"/>
        </w:tabs>
        <w:numPr>
          <w:ilvl w:val="0"/>
          <w:numId w:val="54"/>
        </w:numPr>
        <w:rPr>
          <w:rFonts w:ascii="Arial" w:cs="Arial" w:eastAsia="Arial" w:hAnsi="Arial"/>
          <w:sz w:val="16"/>
          <w:szCs w:val="16"/>
          <w:color w:val="auto"/>
        </w:rPr>
      </w:pPr>
      <w:r>
        <w:rPr>
          <w:rFonts w:ascii="Arial" w:cs="Arial" w:eastAsia="Arial" w:hAnsi="Arial"/>
          <w:sz w:val="18"/>
          <w:szCs w:val="18"/>
          <w:color w:val="auto"/>
        </w:rPr>
        <w:t>Approves any executive officer compensation changes in connection with merger and acquisition transactions.</w:t>
      </w:r>
    </w:p>
    <w:p>
      <w:pPr>
        <w:spacing w:after="0" w:line="99" w:lineRule="exact"/>
        <w:rPr>
          <w:sz w:val="20"/>
          <w:szCs w:val="20"/>
          <w:color w:val="auto"/>
        </w:rPr>
      </w:pPr>
    </w:p>
    <w:p>
      <w:pPr>
        <w:ind w:right="200" w:firstLine="401"/>
        <w:spacing w:after="0" w:line="236" w:lineRule="auto"/>
        <w:rPr>
          <w:sz w:val="20"/>
          <w:szCs w:val="20"/>
          <w:color w:val="auto"/>
        </w:rPr>
      </w:pPr>
      <w:r>
        <w:rPr>
          <w:rFonts w:ascii="Arial" w:cs="Arial" w:eastAsia="Arial" w:hAnsi="Arial"/>
          <w:sz w:val="18"/>
          <w:szCs w:val="18"/>
          <w:color w:val="auto"/>
        </w:rPr>
        <w:t>During fiscal 2021, the Committee received input from Willis Towers Watson, its independent external compensation consultant, and our Management, including our Chairman and CEO, Vice President, Human Resources and General Counsel and our Managing Director, Total Rewards and Employee Services.</w:t>
      </w:r>
    </w:p>
    <w:p>
      <w:pPr>
        <w:spacing w:after="0" w:line="72" w:lineRule="exact"/>
        <w:rPr>
          <w:sz w:val="20"/>
          <w:szCs w:val="20"/>
          <w:color w:val="auto"/>
        </w:rPr>
      </w:pPr>
    </w:p>
    <w:p>
      <w:pPr>
        <w:ind w:right="300" w:firstLine="401"/>
        <w:spacing w:after="0" w:line="292" w:lineRule="auto"/>
        <w:rPr>
          <w:sz w:val="20"/>
          <w:szCs w:val="20"/>
          <w:color w:val="auto"/>
        </w:rPr>
      </w:pPr>
      <w:r>
        <w:rPr>
          <w:rFonts w:ascii="Arial" w:cs="Arial" w:eastAsia="Arial" w:hAnsi="Arial"/>
          <w:sz w:val="17"/>
          <w:szCs w:val="17"/>
          <w:b w:val="1"/>
          <w:bCs w:val="1"/>
          <w:i w:val="1"/>
          <w:iCs w:val="1"/>
          <w:color w:val="auto"/>
        </w:rPr>
        <w:t xml:space="preserve">Role of the Independent External Compensation Consultant. </w:t>
      </w:r>
      <w:r>
        <w:rPr>
          <w:rFonts w:ascii="Arial" w:cs="Arial" w:eastAsia="Arial" w:hAnsi="Arial"/>
          <w:sz w:val="17"/>
          <w:szCs w:val="17"/>
          <w:color w:val="auto"/>
        </w:rPr>
        <w:t>The Committee has sole authority to hire consultants, approve their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fees and determine the nature and scope of their work. The Committee may replace consultants or hire additional consultants at any time.</w:t>
      </w:r>
    </w:p>
    <w:p>
      <w:pPr>
        <w:spacing w:after="0" w:line="52" w:lineRule="exact"/>
        <w:rPr>
          <w:sz w:val="20"/>
          <w:szCs w:val="20"/>
          <w:color w:val="auto"/>
        </w:rPr>
      </w:pPr>
    </w:p>
    <w:p>
      <w:pPr>
        <w:ind w:firstLine="401"/>
        <w:spacing w:after="0" w:line="247" w:lineRule="auto"/>
        <w:rPr>
          <w:sz w:val="20"/>
          <w:szCs w:val="20"/>
          <w:color w:val="auto"/>
        </w:rPr>
      </w:pPr>
      <w:r>
        <w:rPr>
          <w:rFonts w:ascii="Arial" w:cs="Arial" w:eastAsia="Arial" w:hAnsi="Arial"/>
          <w:sz w:val="17"/>
          <w:szCs w:val="17"/>
          <w:color w:val="auto"/>
        </w:rPr>
        <w:t>A representative from Willis Towers Watson attended three Committee meetings in fiscal 2021, including attendance in executive session without Management present. During fiscal 2021, Willis Towers Watson reviewed and discussed executive compensation structure and trends with Management and the Committee and provided market data for all of our executive officers, including our named executive officers, along with a comparison of those executive officers’ current base salaries, target total cash compensation and total direct compensation to the market 25</w:t>
      </w:r>
      <w:r>
        <w:rPr>
          <w:rFonts w:ascii="Arial" w:cs="Arial" w:eastAsia="Arial" w:hAnsi="Arial"/>
          <w:sz w:val="14"/>
          <w:szCs w:val="14"/>
          <w:color w:val="auto"/>
        </w:rPr>
        <w:t>th</w:t>
      </w:r>
      <w:r>
        <w:rPr>
          <w:rFonts w:ascii="Arial" w:cs="Arial" w:eastAsia="Arial" w:hAnsi="Arial"/>
          <w:sz w:val="17"/>
          <w:szCs w:val="17"/>
          <w:color w:val="auto"/>
        </w:rPr>
        <w:t>, 50</w:t>
      </w:r>
      <w:r>
        <w:rPr>
          <w:rFonts w:ascii="Arial" w:cs="Arial" w:eastAsia="Arial" w:hAnsi="Arial"/>
          <w:sz w:val="14"/>
          <w:szCs w:val="14"/>
          <w:color w:val="auto"/>
        </w:rPr>
        <w:t>th</w:t>
      </w:r>
      <w:r>
        <w:rPr>
          <w:rFonts w:ascii="Arial" w:cs="Arial" w:eastAsia="Arial" w:hAnsi="Arial"/>
          <w:sz w:val="17"/>
          <w:szCs w:val="17"/>
          <w:color w:val="auto"/>
        </w:rPr>
        <w:t xml:space="preserve"> and 75</w:t>
      </w:r>
      <w:r>
        <w:rPr>
          <w:rFonts w:ascii="Arial" w:cs="Arial" w:eastAsia="Arial" w:hAnsi="Arial"/>
          <w:sz w:val="14"/>
          <w:szCs w:val="14"/>
          <w:color w:val="auto"/>
        </w:rPr>
        <w:t>th</w:t>
      </w:r>
      <w:r>
        <w:rPr>
          <w:rFonts w:ascii="Arial" w:cs="Arial" w:eastAsia="Arial" w:hAnsi="Arial"/>
          <w:sz w:val="17"/>
          <w:szCs w:val="17"/>
          <w:color w:val="auto"/>
        </w:rPr>
        <w:t xml:space="preserve"> percentiles. Additionally, during fiscal 2021, Willis Towers Watson reviewed executive officer compensation recommendations made by Management in advance of applicable Committee meetings, participated in discussions at the Committee meetings regarding those recommendations and provided consulting services related to the 2022 Plan, including reviewing and preparing plan documents and performing data review and modeling. Willis Towers Watson is engaged by the Committee from time to time to perform other compensation consulting services, which in fiscal 2021 included a review of non-employee director compensation, an assessment of risk as it relates to our incentive plans, compensation consulting services relating to incentive plan performance measures, equity compensation mix, and marketplace practices.</w:t>
      </w:r>
    </w:p>
    <w:p>
      <w:pPr>
        <w:spacing w:after="0" w:line="67" w:lineRule="exact"/>
        <w:rPr>
          <w:sz w:val="20"/>
          <w:szCs w:val="20"/>
          <w:color w:val="auto"/>
        </w:rPr>
      </w:pPr>
    </w:p>
    <w:p>
      <w:pPr>
        <w:ind w:right="280" w:firstLine="401"/>
        <w:spacing w:after="0" w:line="254" w:lineRule="auto"/>
        <w:rPr>
          <w:sz w:val="20"/>
          <w:szCs w:val="20"/>
          <w:color w:val="auto"/>
        </w:rPr>
      </w:pPr>
      <w:r>
        <w:rPr>
          <w:rFonts w:ascii="Arial" w:cs="Arial" w:eastAsia="Arial" w:hAnsi="Arial"/>
          <w:sz w:val="17"/>
          <w:szCs w:val="17"/>
          <w:b w:val="1"/>
          <w:bCs w:val="1"/>
          <w:i w:val="1"/>
          <w:iCs w:val="1"/>
          <w:color w:val="auto"/>
        </w:rPr>
        <w:t xml:space="preserve">Role of Management. </w:t>
      </w:r>
      <w:r>
        <w:rPr>
          <w:rFonts w:ascii="Arial" w:cs="Arial" w:eastAsia="Arial" w:hAnsi="Arial"/>
          <w:sz w:val="17"/>
          <w:szCs w:val="17"/>
          <w:color w:val="auto"/>
        </w:rPr>
        <w:t>Management’s role is to provide current compensation information and information regarding executive officer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duties and responsibilities to Willis Towers Watson and provide analysis and recommendations on executive officer compensation to the Committee based on the comparison to market; the executive’s level of professional experience; the executive’s duties and responsibilities, including as a result of the completion and/or integration of significant acquisitions; individual performance; future potential; tenure in the position; corporate and/or division performance, as applicable; internal pay comparisons; and outside market factors, including general economic conditions. None of our executive officers provides input or recommendations with respect to his or her own compensation.</w:t>
      </w:r>
    </w:p>
    <w:p>
      <w:pPr>
        <w:spacing w:after="0" w:line="62" w:lineRule="exact"/>
        <w:rPr>
          <w:sz w:val="20"/>
          <w:szCs w:val="20"/>
          <w:color w:val="auto"/>
        </w:rPr>
      </w:pPr>
    </w:p>
    <w:p>
      <w:pPr>
        <w:ind w:right="120" w:firstLine="401"/>
        <w:spacing w:after="0" w:line="236" w:lineRule="auto"/>
        <w:rPr>
          <w:sz w:val="20"/>
          <w:szCs w:val="20"/>
          <w:color w:val="auto"/>
        </w:rPr>
      </w:pPr>
      <w:r>
        <w:rPr>
          <w:rFonts w:ascii="Arial" w:cs="Arial" w:eastAsia="Arial" w:hAnsi="Arial"/>
          <w:sz w:val="18"/>
          <w:szCs w:val="18"/>
          <w:b w:val="1"/>
          <w:bCs w:val="1"/>
          <w:i w:val="1"/>
          <w:iCs w:val="1"/>
          <w:color w:val="auto"/>
        </w:rPr>
        <w:t xml:space="preserve">Use of Market Data and Target Positioning. </w:t>
      </w:r>
      <w:r>
        <w:rPr>
          <w:rFonts w:ascii="Arial" w:cs="Arial" w:eastAsia="Arial" w:hAnsi="Arial"/>
          <w:sz w:val="18"/>
          <w:szCs w:val="18"/>
          <w:color w:val="auto"/>
        </w:rPr>
        <w:t>Since one of the objectives of our executive compensation program is to provide 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competitive compensation opportunities, the Committee uses market data provided by Willis Towers Watson to help evaluate and make compensation decisions. Market data, which is size-adjusted, is provided by Willis Towers Watson through its executive compensation database, which includes roughly 500 participating companies. We believe that the market for our executive officer talent is not limited to the manufacturing industry; therefore, we do not focus specifically on manufacturing companies within the database, nor do we identify a separate group of peer companies within the manufacturing industry for executive compensation purposes. The market data provided by Willis Towers Watson was in aggregate form and, therefore, individual data for participating companies in the survey was not considered when determining executive officer compensation in total or for any individual officer or element.</w:t>
      </w:r>
    </w:p>
    <w:p>
      <w:pPr>
        <w:spacing w:after="0" w:line="96" w:lineRule="exact"/>
        <w:rPr>
          <w:sz w:val="20"/>
          <w:szCs w:val="20"/>
          <w:color w:val="auto"/>
        </w:rPr>
      </w:pPr>
    </w:p>
    <w:p>
      <w:pPr>
        <w:ind w:right="340" w:firstLine="401"/>
        <w:spacing w:after="0" w:line="238" w:lineRule="auto"/>
        <w:rPr>
          <w:sz w:val="20"/>
          <w:szCs w:val="20"/>
          <w:color w:val="auto"/>
        </w:rPr>
      </w:pPr>
      <w:r>
        <w:rPr>
          <w:rFonts w:ascii="Arial" w:cs="Arial" w:eastAsia="Arial" w:hAnsi="Arial"/>
          <w:sz w:val="18"/>
          <w:szCs w:val="18"/>
          <w:color w:val="auto"/>
        </w:rPr>
        <w:t>We typically target pay opportunities within a competitive range of the market 50th percentile for each element of compensation and in total; however, variance around the market 50th percentile is dependent on multiple factors.</w:t>
      </w:r>
    </w:p>
    <w:p>
      <w:pPr>
        <w:spacing w:after="0" w:line="73" w:lineRule="exact"/>
        <w:rPr>
          <w:sz w:val="20"/>
          <w:szCs w:val="20"/>
          <w:color w:val="auto"/>
        </w:rPr>
      </w:pPr>
    </w:p>
    <w:p>
      <w:pPr>
        <w:ind w:right="240" w:firstLine="401"/>
        <w:spacing w:after="0" w:line="241" w:lineRule="auto"/>
        <w:rPr>
          <w:sz w:val="20"/>
          <w:szCs w:val="20"/>
          <w:color w:val="auto"/>
        </w:rPr>
      </w:pPr>
      <w:r>
        <w:rPr>
          <w:rFonts w:ascii="Arial" w:cs="Arial" w:eastAsia="Arial" w:hAnsi="Arial"/>
          <w:sz w:val="18"/>
          <w:szCs w:val="18"/>
          <w:b w:val="1"/>
          <w:bCs w:val="1"/>
          <w:color w:val="auto"/>
        </w:rPr>
        <w:t xml:space="preserve">Elements of Our Executive Compensation Program. </w:t>
      </w:r>
      <w:r>
        <w:rPr>
          <w:rFonts w:ascii="Arial" w:cs="Arial" w:eastAsia="Arial" w:hAnsi="Arial"/>
          <w:sz w:val="18"/>
          <w:szCs w:val="18"/>
          <w:color w:val="auto"/>
        </w:rPr>
        <w:t>During fiscal 2021, our executive compensation program consisted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key elements: base salary, annual cash incentive, long-term incentives in the form of performance share awards and stock options, health and welfare benefits, retirement plans and perquisites. The following table provides some of the key characteristics of and purpose for each element along with key actions taken during fiscal 2021.</w:t>
      </w:r>
    </w:p>
    <w:p>
      <w:pPr>
        <w:spacing w:after="0" w:line="96" w:lineRule="exact"/>
        <w:rPr>
          <w:sz w:val="20"/>
          <w:szCs w:val="20"/>
          <w:color w:val="auto"/>
        </w:rPr>
      </w:pPr>
    </w:p>
    <w:p>
      <w:pPr>
        <w:ind w:left="40"/>
        <w:spacing w:after="0"/>
        <w:tabs>
          <w:tab w:leader="none" w:pos="2040" w:val="left"/>
          <w:tab w:leader="none" w:pos="5400" w:val="left"/>
          <w:tab w:leader="none" w:pos="8420" w:val="left"/>
        </w:tabs>
        <w:rPr>
          <w:sz w:val="20"/>
          <w:szCs w:val="20"/>
          <w:color w:val="auto"/>
        </w:rPr>
      </w:pPr>
      <w:r>
        <w:rPr>
          <w:rFonts w:ascii="Arial" w:cs="Arial" w:eastAsia="Arial" w:hAnsi="Arial"/>
          <w:sz w:val="14"/>
          <w:szCs w:val="14"/>
          <w:b w:val="1"/>
          <w:bCs w:val="1"/>
          <w:color w:val="FFFFFF"/>
        </w:rPr>
        <w:t>Element</w:t>
      </w:r>
      <w:r>
        <w:rPr>
          <w:sz w:val="20"/>
          <w:szCs w:val="20"/>
          <w:color w:val="auto"/>
        </w:rPr>
        <w:tab/>
      </w:r>
      <w:r>
        <w:rPr>
          <w:rFonts w:ascii="Arial" w:cs="Arial" w:eastAsia="Arial" w:hAnsi="Arial"/>
          <w:sz w:val="14"/>
          <w:szCs w:val="14"/>
          <w:b w:val="1"/>
          <w:bCs w:val="1"/>
          <w:color w:val="FFFFFF"/>
        </w:rPr>
        <w:t>Key Characteristics</w:t>
      </w:r>
      <w:r>
        <w:rPr>
          <w:sz w:val="20"/>
          <w:szCs w:val="20"/>
          <w:color w:val="auto"/>
        </w:rPr>
        <w:tab/>
      </w:r>
      <w:r>
        <w:rPr>
          <w:rFonts w:ascii="Arial" w:cs="Arial" w:eastAsia="Arial" w:hAnsi="Arial"/>
          <w:sz w:val="14"/>
          <w:szCs w:val="14"/>
          <w:b w:val="1"/>
          <w:bCs w:val="1"/>
          <w:color w:val="FFFFFF"/>
        </w:rPr>
        <w:t>Purpose</w:t>
      </w:r>
      <w:r>
        <w:rPr>
          <w:sz w:val="20"/>
          <w:szCs w:val="20"/>
          <w:color w:val="auto"/>
        </w:rPr>
        <w:tab/>
      </w:r>
      <w:r>
        <w:rPr>
          <w:rFonts w:ascii="Arial" w:cs="Arial" w:eastAsia="Arial" w:hAnsi="Arial"/>
          <w:sz w:val="14"/>
          <w:szCs w:val="14"/>
          <w:b w:val="1"/>
          <w:bCs w:val="1"/>
          <w:color w:val="FFFFFF"/>
        </w:rPr>
        <w:t>Key Fiscal 2021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-101600</wp:posOffset>
            </wp:positionV>
            <wp:extent cx="7134225" cy="1263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4225" cy="12636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p>
      <w:pPr>
        <w:spacing w:after="0" w:line="54" w:lineRule="exact"/>
        <w:rPr>
          <w:sz w:val="20"/>
          <w:szCs w:val="20"/>
          <w:color w:val="auto"/>
        </w:rPr>
      </w:pPr>
    </w:p>
    <w:p>
      <w:pPr>
        <w:ind w:left="40"/>
        <w:spacing w:after="0"/>
        <w:tabs>
          <w:tab w:leader="none" w:pos="1300" w:val="left"/>
          <w:tab w:leader="none" w:pos="4160" w:val="left"/>
        </w:tabs>
        <w:rPr>
          <w:sz w:val="20"/>
          <w:szCs w:val="20"/>
          <w:color w:val="auto"/>
        </w:rPr>
      </w:pPr>
      <w:r>
        <w:rPr>
          <w:rFonts w:ascii="Arial" w:cs="Arial" w:eastAsia="Arial" w:hAnsi="Arial"/>
          <w:sz w:val="16"/>
          <w:szCs w:val="16"/>
          <w:color w:val="auto"/>
        </w:rPr>
        <w:t>Base Salary</w:t>
      </w:r>
      <w:r>
        <w:rPr>
          <w:sz w:val="20"/>
          <w:szCs w:val="20"/>
          <w:color w:val="auto"/>
        </w:rPr>
        <w:tab/>
      </w:r>
      <w:r>
        <w:rPr>
          <w:rFonts w:ascii="Arial" w:cs="Arial" w:eastAsia="Arial" w:hAnsi="Arial"/>
          <w:sz w:val="16"/>
          <w:szCs w:val="16"/>
          <w:color w:val="auto"/>
        </w:rPr>
        <w:t>A fixed amount, paid in cash and</w:t>
      </w:r>
      <w:r>
        <w:rPr>
          <w:sz w:val="20"/>
          <w:szCs w:val="20"/>
          <w:color w:val="auto"/>
        </w:rPr>
        <w:tab/>
      </w:r>
      <w:r>
        <w:rPr>
          <w:rFonts w:ascii="Arial" w:cs="Arial" w:eastAsia="Arial" w:hAnsi="Arial"/>
          <w:sz w:val="15"/>
          <w:szCs w:val="15"/>
          <w:color w:val="auto"/>
        </w:rPr>
        <w:t>Provide a source of fixed income that is</w:t>
      </w:r>
    </w:p>
    <w:p>
      <w:pPr>
        <w:spacing w:after="0" w:line="2" w:lineRule="exact"/>
        <w:rPr>
          <w:sz w:val="20"/>
          <w:szCs w:val="20"/>
          <w:color w:val="auto"/>
        </w:rPr>
      </w:pPr>
    </w:p>
    <w:p>
      <w:pPr>
        <w:jc w:val="right"/>
        <w:spacing w:after="0"/>
        <w:tabs>
          <w:tab w:leader="none" w:pos="2960" w:val="left"/>
        </w:tabs>
        <w:rPr>
          <w:sz w:val="20"/>
          <w:szCs w:val="20"/>
          <w:color w:val="auto"/>
        </w:rPr>
      </w:pPr>
      <w:r>
        <w:rPr>
          <w:rFonts w:ascii="Arial" w:cs="Arial" w:eastAsia="Arial" w:hAnsi="Arial"/>
          <w:sz w:val="16"/>
          <w:szCs w:val="16"/>
          <w:color w:val="auto"/>
        </w:rPr>
        <w:t>reviewed annually and,</w:t>
      </w:r>
      <w:r>
        <w:rPr>
          <w:sz w:val="20"/>
          <w:szCs w:val="20"/>
          <w:color w:val="auto"/>
        </w:rPr>
        <w:tab/>
      </w:r>
      <w:r>
        <w:rPr>
          <w:rFonts w:ascii="Arial" w:cs="Arial" w:eastAsia="Arial" w:hAnsi="Arial"/>
          <w:sz w:val="15"/>
          <w:szCs w:val="15"/>
          <w:color w:val="auto"/>
        </w:rPr>
        <w:t>market competitive and reflects scope and</w:t>
      </w:r>
    </w:p>
    <w:p>
      <w:pPr>
        <w:spacing w:after="0" w:line="2" w:lineRule="exact"/>
        <w:rPr>
          <w:sz w:val="20"/>
          <w:szCs w:val="20"/>
          <w:color w:val="auto"/>
        </w:rPr>
      </w:pPr>
    </w:p>
    <w:p>
      <w:pPr>
        <w:ind w:left="1320"/>
        <w:spacing w:after="0"/>
        <w:tabs>
          <w:tab w:leader="none" w:pos="4160" w:val="left"/>
        </w:tabs>
        <w:rPr>
          <w:sz w:val="20"/>
          <w:szCs w:val="20"/>
          <w:color w:val="auto"/>
        </w:rPr>
      </w:pPr>
      <w:r>
        <w:rPr>
          <w:rFonts w:ascii="Arial" w:cs="Arial" w:eastAsia="Arial" w:hAnsi="Arial"/>
          <w:sz w:val="16"/>
          <w:szCs w:val="16"/>
          <w:color w:val="auto"/>
        </w:rPr>
        <w:t>if appropriate, adjusted.</w:t>
      </w:r>
      <w:r>
        <w:rPr>
          <w:sz w:val="20"/>
          <w:szCs w:val="20"/>
          <w:color w:val="auto"/>
        </w:rPr>
        <w:tab/>
      </w:r>
      <w:r>
        <w:rPr>
          <w:rFonts w:ascii="Arial" w:cs="Arial" w:eastAsia="Arial" w:hAnsi="Arial"/>
          <w:sz w:val="16"/>
          <w:szCs w:val="16"/>
          <w:color w:val="auto"/>
        </w:rPr>
        <w:t>responsibility of the position held.</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right="400"/>
        <w:spacing w:after="0" w:line="253" w:lineRule="auto"/>
        <w:rPr>
          <w:sz w:val="20"/>
          <w:szCs w:val="20"/>
          <w:color w:val="auto"/>
        </w:rPr>
      </w:pPr>
      <w:r>
        <w:rPr>
          <w:rFonts w:ascii="Arial" w:cs="Arial" w:eastAsia="Arial" w:hAnsi="Arial"/>
          <w:sz w:val="16"/>
          <w:szCs w:val="16"/>
          <w:color w:val="auto"/>
        </w:rPr>
        <w:t>All of our named executive officers received salary increases ranging from 3.4% to 5.4%.</w:t>
      </w:r>
    </w:p>
    <w:p>
      <w:pPr>
        <w:spacing w:after="0" w:line="368" w:lineRule="exact"/>
        <w:rPr>
          <w:sz w:val="20"/>
          <w:szCs w:val="20"/>
          <w:color w:val="auto"/>
        </w:rPr>
      </w:pPr>
    </w:p>
    <w:p>
      <w:pPr>
        <w:sectPr>
          <w:pgSz w:w="11900" w:h="16838" w:orient="portrait"/>
          <w:cols w:equalWidth="0" w:num="2">
            <w:col w:w="7160" w:space="120"/>
            <w:col w:w="3960"/>
          </w:cols>
          <w:pgMar w:left="320" w:top="140" w:right="339" w:bottom="1440" w:gutter="0" w:footer="0" w:header="0"/>
          <w:type w:val="continuous"/>
        </w:sectPr>
      </w:pPr>
    </w:p>
    <w:p>
      <w:pPr>
        <w:spacing w:after="0" w:line="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57785</wp:posOffset>
            </wp:positionV>
            <wp:extent cx="717677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59" w:name="page60"/>
    <w:bookmarkEnd w:id="59"/>
    <w:p>
      <w:pPr>
        <w:spacing w:after="0"/>
        <w:rPr>
          <w:rFonts w:ascii="Arial" w:cs="Arial" w:eastAsia="Arial" w:hAnsi="Arial"/>
          <w:sz w:val="18"/>
          <w:szCs w:val="18"/>
          <w:color w:val="0000EE"/>
        </w:rPr>
      </w:pPr>
      <w:hyperlink w:anchor="page7">
        <w:r>
          <w:rPr>
            <w:rFonts w:ascii="Arial" w:cs="Arial" w:eastAsia="Arial" w:hAnsi="Arial"/>
            <w:sz w:val="18"/>
            <w:szCs w:val="18"/>
            <w:color w:val="0000EE"/>
          </w:rPr>
          <w:t>Table of Contents</w:t>
        </w:r>
      </w:hyperlink>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140" w:type="dxa"/>
            <w:vAlign w:val="bottom"/>
            <w:shd w:val="clear" w:color="auto" w:fill="C00000"/>
          </w:tcPr>
          <w:p>
            <w:pPr>
              <w:ind w:left="40"/>
              <w:spacing w:after="0"/>
              <w:rPr>
                <w:sz w:val="20"/>
                <w:szCs w:val="20"/>
                <w:color w:val="auto"/>
              </w:rPr>
            </w:pPr>
            <w:r>
              <w:rPr>
                <w:rFonts w:ascii="Arial" w:cs="Arial" w:eastAsia="Arial" w:hAnsi="Arial"/>
                <w:sz w:val="14"/>
                <w:szCs w:val="14"/>
                <w:b w:val="1"/>
                <w:bCs w:val="1"/>
                <w:color w:val="FFFFFF"/>
              </w:rPr>
              <w:t>Element</w:t>
            </w:r>
          </w:p>
        </w:tc>
        <w:tc>
          <w:tcPr>
            <w:tcW w:w="2940" w:type="dxa"/>
            <w:vAlign w:val="bottom"/>
            <w:shd w:val="clear" w:color="auto" w:fill="C00000"/>
          </w:tcPr>
          <w:p>
            <w:pPr>
              <w:ind w:left="920"/>
              <w:spacing w:after="0"/>
              <w:rPr>
                <w:sz w:val="20"/>
                <w:szCs w:val="20"/>
                <w:color w:val="auto"/>
              </w:rPr>
            </w:pPr>
            <w:r>
              <w:rPr>
                <w:rFonts w:ascii="Arial" w:cs="Arial" w:eastAsia="Arial" w:hAnsi="Arial"/>
                <w:sz w:val="14"/>
                <w:szCs w:val="14"/>
                <w:b w:val="1"/>
                <w:bCs w:val="1"/>
                <w:color w:val="FFFFFF"/>
              </w:rPr>
              <w:t>Key Characteristics</w:t>
            </w:r>
          </w:p>
        </w:tc>
        <w:tc>
          <w:tcPr>
            <w:tcW w:w="3140" w:type="dxa"/>
            <w:vAlign w:val="bottom"/>
            <w:shd w:val="clear" w:color="auto" w:fill="C00000"/>
          </w:tcPr>
          <w:p>
            <w:pPr>
              <w:ind w:left="1340"/>
              <w:spacing w:after="0"/>
              <w:rPr>
                <w:sz w:val="20"/>
                <w:szCs w:val="20"/>
                <w:color w:val="auto"/>
              </w:rPr>
            </w:pPr>
            <w:r>
              <w:rPr>
                <w:rFonts w:ascii="Arial" w:cs="Arial" w:eastAsia="Arial" w:hAnsi="Arial"/>
                <w:sz w:val="14"/>
                <w:szCs w:val="14"/>
                <w:b w:val="1"/>
                <w:bCs w:val="1"/>
                <w:color w:val="FFFFFF"/>
              </w:rPr>
              <w:t>Purpose</w:t>
            </w:r>
          </w:p>
        </w:tc>
        <w:tc>
          <w:tcPr>
            <w:tcW w:w="4020" w:type="dxa"/>
            <w:vAlign w:val="bottom"/>
            <w:shd w:val="clear" w:color="auto" w:fill="C00000"/>
          </w:tcPr>
          <w:p>
            <w:pPr>
              <w:ind w:left="1220"/>
              <w:spacing w:after="0"/>
              <w:rPr>
                <w:sz w:val="20"/>
                <w:szCs w:val="20"/>
                <w:color w:val="auto"/>
              </w:rPr>
            </w:pPr>
            <w:r>
              <w:rPr>
                <w:rFonts w:ascii="Arial" w:cs="Arial" w:eastAsia="Arial" w:hAnsi="Arial"/>
                <w:sz w:val="14"/>
                <w:szCs w:val="14"/>
                <w:b w:val="1"/>
                <w:bCs w:val="1"/>
                <w:color w:val="FFFFFF"/>
              </w:rPr>
              <w:t>Key Fiscal 2021 Actions</w:t>
            </w:r>
          </w:p>
        </w:tc>
      </w:tr>
      <w:tr>
        <w:trPr>
          <w:trHeight w:val="188"/>
        </w:trPr>
        <w:tc>
          <w:tcPr>
            <w:tcW w:w="1140" w:type="dxa"/>
            <w:vAlign w:val="bottom"/>
            <w:shd w:val="clear" w:color="auto" w:fill="D9D9D9"/>
          </w:tcPr>
          <w:p>
            <w:pPr>
              <w:ind w:left="40"/>
              <w:spacing w:after="0"/>
              <w:rPr>
                <w:sz w:val="20"/>
                <w:szCs w:val="20"/>
                <w:color w:val="auto"/>
              </w:rPr>
            </w:pPr>
            <w:r>
              <w:rPr>
                <w:rFonts w:ascii="Arial" w:cs="Arial" w:eastAsia="Arial" w:hAnsi="Arial"/>
                <w:sz w:val="16"/>
                <w:szCs w:val="16"/>
                <w:color w:val="auto"/>
              </w:rPr>
              <w:t>Annual Cash</w:t>
            </w:r>
          </w:p>
        </w:tc>
        <w:tc>
          <w:tcPr>
            <w:tcW w:w="2940" w:type="dxa"/>
            <w:vAlign w:val="bottom"/>
            <w:shd w:val="clear" w:color="auto" w:fill="D9D9D9"/>
          </w:tcPr>
          <w:p>
            <w:pPr>
              <w:ind w:left="180"/>
              <w:spacing w:after="0"/>
              <w:rPr>
                <w:sz w:val="20"/>
                <w:szCs w:val="20"/>
                <w:color w:val="auto"/>
              </w:rPr>
            </w:pPr>
            <w:r>
              <w:rPr>
                <w:rFonts w:ascii="Arial" w:cs="Arial" w:eastAsia="Arial" w:hAnsi="Arial"/>
                <w:sz w:val="16"/>
                <w:szCs w:val="16"/>
                <w:color w:val="auto"/>
              </w:rPr>
              <w:t>A variable, short-term element of</w:t>
            </w:r>
          </w:p>
        </w:tc>
        <w:tc>
          <w:tcPr>
            <w:tcW w:w="3140" w:type="dxa"/>
            <w:vAlign w:val="bottom"/>
            <w:shd w:val="clear" w:color="auto" w:fill="D9D9D9"/>
          </w:tcPr>
          <w:p>
            <w:pPr>
              <w:ind w:left="100"/>
              <w:spacing w:after="0"/>
              <w:rPr>
                <w:sz w:val="20"/>
                <w:szCs w:val="20"/>
                <w:color w:val="auto"/>
              </w:rPr>
            </w:pPr>
            <w:r>
              <w:rPr>
                <w:rFonts w:ascii="Arial" w:cs="Arial" w:eastAsia="Arial" w:hAnsi="Arial"/>
                <w:sz w:val="16"/>
                <w:szCs w:val="16"/>
                <w:color w:val="auto"/>
              </w:rPr>
              <w:t>Motivate and reward our executive officers</w:t>
            </w:r>
          </w:p>
        </w:tc>
        <w:tc>
          <w:tcPr>
            <w:tcW w:w="4020" w:type="dxa"/>
            <w:vAlign w:val="bottom"/>
            <w:shd w:val="clear" w:color="auto" w:fill="D9D9D9"/>
          </w:tcPr>
          <w:p>
            <w:pPr>
              <w:ind w:left="60"/>
              <w:spacing w:after="0"/>
              <w:rPr>
                <w:sz w:val="20"/>
                <w:szCs w:val="20"/>
                <w:color w:val="auto"/>
              </w:rPr>
            </w:pPr>
            <w:r>
              <w:rPr>
                <w:rFonts w:ascii="Arial" w:cs="Arial" w:eastAsia="Arial" w:hAnsi="Arial"/>
                <w:sz w:val="16"/>
                <w:szCs w:val="16"/>
                <w:color w:val="auto"/>
              </w:rPr>
              <w:t>At the beginning of fiscal 2021, target awards as a</w:t>
            </w:r>
          </w:p>
        </w:tc>
      </w:tr>
      <w:tr>
        <w:trPr>
          <w:trHeight w:val="186"/>
        </w:trPr>
        <w:tc>
          <w:tcPr>
            <w:tcW w:w="1140" w:type="dxa"/>
            <w:vAlign w:val="bottom"/>
            <w:shd w:val="clear" w:color="auto" w:fill="D9D9D9"/>
          </w:tcPr>
          <w:p>
            <w:pPr>
              <w:ind w:left="40"/>
              <w:spacing w:after="0"/>
              <w:rPr>
                <w:sz w:val="20"/>
                <w:szCs w:val="20"/>
                <w:color w:val="auto"/>
              </w:rPr>
            </w:pPr>
            <w:r>
              <w:rPr>
                <w:rFonts w:ascii="Arial" w:cs="Arial" w:eastAsia="Arial" w:hAnsi="Arial"/>
                <w:sz w:val="16"/>
                <w:szCs w:val="16"/>
                <w:color w:val="auto"/>
              </w:rPr>
              <w:t>Incentive</w:t>
            </w:r>
          </w:p>
        </w:tc>
        <w:tc>
          <w:tcPr>
            <w:tcW w:w="2940" w:type="dxa"/>
            <w:vAlign w:val="bottom"/>
            <w:shd w:val="clear" w:color="auto" w:fill="D9D9D9"/>
          </w:tcPr>
          <w:p>
            <w:pPr>
              <w:ind w:left="180"/>
              <w:spacing w:after="0"/>
              <w:rPr>
                <w:sz w:val="20"/>
                <w:szCs w:val="20"/>
                <w:color w:val="auto"/>
              </w:rPr>
            </w:pPr>
            <w:r>
              <w:rPr>
                <w:rFonts w:ascii="Arial" w:cs="Arial" w:eastAsia="Arial" w:hAnsi="Arial"/>
                <w:sz w:val="16"/>
                <w:szCs w:val="16"/>
                <w:color w:val="auto"/>
              </w:rPr>
              <w:t>compensation, payable in cash based</w:t>
            </w:r>
          </w:p>
        </w:tc>
        <w:tc>
          <w:tcPr>
            <w:tcW w:w="3140" w:type="dxa"/>
            <w:vAlign w:val="bottom"/>
            <w:shd w:val="clear" w:color="auto" w:fill="D9D9D9"/>
          </w:tcPr>
          <w:p>
            <w:pPr>
              <w:ind w:left="100"/>
              <w:spacing w:after="0"/>
              <w:rPr>
                <w:sz w:val="20"/>
                <w:szCs w:val="20"/>
                <w:color w:val="auto"/>
              </w:rPr>
            </w:pPr>
            <w:r>
              <w:rPr>
                <w:rFonts w:ascii="Arial" w:cs="Arial" w:eastAsia="Arial" w:hAnsi="Arial"/>
                <w:sz w:val="16"/>
                <w:szCs w:val="16"/>
                <w:color w:val="auto"/>
              </w:rPr>
              <w:t>for achievement of annual financial goals</w:t>
            </w:r>
          </w:p>
        </w:tc>
        <w:tc>
          <w:tcPr>
            <w:tcW w:w="4020" w:type="dxa"/>
            <w:vAlign w:val="bottom"/>
            <w:shd w:val="clear" w:color="auto" w:fill="D9D9D9"/>
          </w:tcPr>
          <w:p>
            <w:pPr>
              <w:ind w:left="60"/>
              <w:spacing w:after="0"/>
              <w:rPr>
                <w:sz w:val="20"/>
                <w:szCs w:val="20"/>
                <w:color w:val="auto"/>
              </w:rPr>
            </w:pPr>
            <w:r>
              <w:rPr>
                <w:rFonts w:ascii="Arial" w:cs="Arial" w:eastAsia="Arial" w:hAnsi="Arial"/>
                <w:sz w:val="16"/>
                <w:szCs w:val="16"/>
                <w:color w:val="auto"/>
              </w:rPr>
              <w:t>percent of base salary for named executive officers</w:t>
            </w:r>
          </w:p>
        </w:tc>
      </w:tr>
      <w:tr>
        <w:trPr>
          <w:trHeight w:val="186"/>
        </w:trPr>
        <w:tc>
          <w:tcPr>
            <w:tcW w:w="1140" w:type="dxa"/>
            <w:vAlign w:val="bottom"/>
            <w:shd w:val="clear" w:color="auto" w:fill="D9D9D9"/>
          </w:tcPr>
          <w:p>
            <w:pPr>
              <w:spacing w:after="0"/>
              <w:rPr>
                <w:sz w:val="16"/>
                <w:szCs w:val="16"/>
                <w:color w:val="auto"/>
              </w:rPr>
            </w:pPr>
          </w:p>
        </w:tc>
        <w:tc>
          <w:tcPr>
            <w:tcW w:w="2940" w:type="dxa"/>
            <w:vAlign w:val="bottom"/>
            <w:shd w:val="clear" w:color="auto" w:fill="D9D9D9"/>
          </w:tcPr>
          <w:p>
            <w:pPr>
              <w:ind w:left="180"/>
              <w:spacing w:after="0"/>
              <w:rPr>
                <w:sz w:val="20"/>
                <w:szCs w:val="20"/>
                <w:color w:val="auto"/>
              </w:rPr>
            </w:pPr>
            <w:r>
              <w:rPr>
                <w:rFonts w:ascii="Arial" w:cs="Arial" w:eastAsia="Arial" w:hAnsi="Arial"/>
                <w:sz w:val="16"/>
                <w:szCs w:val="16"/>
                <w:color w:val="auto"/>
              </w:rPr>
              <w:t>on achievement of pre-established</w:t>
            </w:r>
          </w:p>
        </w:tc>
        <w:tc>
          <w:tcPr>
            <w:tcW w:w="3140" w:type="dxa"/>
            <w:vAlign w:val="bottom"/>
            <w:shd w:val="clear" w:color="auto" w:fill="D9D9D9"/>
          </w:tcPr>
          <w:p>
            <w:pPr>
              <w:ind w:left="100"/>
              <w:spacing w:after="0"/>
              <w:rPr>
                <w:sz w:val="20"/>
                <w:szCs w:val="20"/>
                <w:color w:val="auto"/>
              </w:rPr>
            </w:pPr>
            <w:r>
              <w:rPr>
                <w:rFonts w:ascii="Arial" w:cs="Arial" w:eastAsia="Arial" w:hAnsi="Arial"/>
                <w:sz w:val="16"/>
                <w:szCs w:val="16"/>
                <w:color w:val="auto"/>
              </w:rPr>
              <w:t>intended to drive overall company and</w:t>
            </w:r>
          </w:p>
        </w:tc>
        <w:tc>
          <w:tcPr>
            <w:tcW w:w="4020" w:type="dxa"/>
            <w:vAlign w:val="bottom"/>
            <w:shd w:val="clear" w:color="auto" w:fill="D9D9D9"/>
          </w:tcPr>
          <w:p>
            <w:pPr>
              <w:ind w:left="60"/>
              <w:spacing w:after="0"/>
              <w:rPr>
                <w:sz w:val="20"/>
                <w:szCs w:val="20"/>
                <w:color w:val="auto"/>
              </w:rPr>
            </w:pPr>
            <w:r>
              <w:rPr>
                <w:rFonts w:ascii="Arial" w:cs="Arial" w:eastAsia="Arial" w:hAnsi="Arial"/>
                <w:sz w:val="16"/>
                <w:szCs w:val="16"/>
                <w:color w:val="auto"/>
              </w:rPr>
              <w:t>were established at 60% to 120% of fiscal year base</w:t>
            </w:r>
          </w:p>
        </w:tc>
      </w:tr>
      <w:tr>
        <w:trPr>
          <w:trHeight w:val="199"/>
        </w:trPr>
        <w:tc>
          <w:tcPr>
            <w:tcW w:w="1140" w:type="dxa"/>
            <w:vAlign w:val="bottom"/>
            <w:shd w:val="clear" w:color="auto" w:fill="D9D9D9"/>
          </w:tcPr>
          <w:p>
            <w:pPr>
              <w:spacing w:after="0"/>
              <w:rPr>
                <w:sz w:val="17"/>
                <w:szCs w:val="17"/>
                <w:color w:val="auto"/>
              </w:rPr>
            </w:pPr>
          </w:p>
        </w:tc>
        <w:tc>
          <w:tcPr>
            <w:tcW w:w="2940" w:type="dxa"/>
            <w:vAlign w:val="bottom"/>
            <w:shd w:val="clear" w:color="auto" w:fill="D9D9D9"/>
          </w:tcPr>
          <w:p>
            <w:pPr>
              <w:ind w:left="180"/>
              <w:spacing w:after="0"/>
              <w:rPr>
                <w:sz w:val="20"/>
                <w:szCs w:val="20"/>
                <w:color w:val="auto"/>
              </w:rPr>
            </w:pPr>
            <w:r>
              <w:rPr>
                <w:rFonts w:ascii="Arial" w:cs="Arial" w:eastAsia="Arial" w:hAnsi="Arial"/>
                <w:sz w:val="16"/>
                <w:szCs w:val="16"/>
                <w:color w:val="auto"/>
              </w:rPr>
              <w:t>annual corporate financial goals and,</w:t>
            </w:r>
          </w:p>
        </w:tc>
        <w:tc>
          <w:tcPr>
            <w:tcW w:w="3140" w:type="dxa"/>
            <w:vAlign w:val="bottom"/>
            <w:shd w:val="clear" w:color="auto" w:fill="D9D9D9"/>
          </w:tcPr>
          <w:p>
            <w:pPr>
              <w:ind w:left="100"/>
              <w:spacing w:after="0"/>
              <w:rPr>
                <w:sz w:val="20"/>
                <w:szCs w:val="20"/>
                <w:color w:val="auto"/>
              </w:rPr>
            </w:pPr>
            <w:r>
              <w:rPr>
                <w:rFonts w:ascii="Arial" w:cs="Arial" w:eastAsia="Arial" w:hAnsi="Arial"/>
                <w:sz w:val="16"/>
                <w:szCs w:val="16"/>
                <w:color w:val="auto"/>
              </w:rPr>
              <w:t>division and/or business performance.</w:t>
            </w:r>
          </w:p>
        </w:tc>
        <w:tc>
          <w:tcPr>
            <w:tcW w:w="4020" w:type="dxa"/>
            <w:vAlign w:val="bottom"/>
            <w:shd w:val="clear" w:color="auto" w:fill="D9D9D9"/>
          </w:tcPr>
          <w:p>
            <w:pPr>
              <w:ind w:left="60"/>
              <w:spacing w:after="0"/>
              <w:rPr>
                <w:sz w:val="20"/>
                <w:szCs w:val="20"/>
                <w:color w:val="auto"/>
              </w:rPr>
            </w:pPr>
            <w:r>
              <w:rPr>
                <w:rFonts w:ascii="Arial" w:cs="Arial" w:eastAsia="Arial" w:hAnsi="Arial"/>
                <w:sz w:val="16"/>
                <w:szCs w:val="16"/>
                <w:color w:val="auto"/>
              </w:rPr>
              <w:t>salary earnings.</w:t>
            </w:r>
          </w:p>
        </w:tc>
      </w:tr>
      <w:tr>
        <w:trPr>
          <w:trHeight w:val="186"/>
        </w:trPr>
        <w:tc>
          <w:tcPr>
            <w:tcW w:w="1140" w:type="dxa"/>
            <w:vAlign w:val="bottom"/>
            <w:shd w:val="clear" w:color="auto" w:fill="D9D9D9"/>
          </w:tcPr>
          <w:p>
            <w:pPr>
              <w:spacing w:after="0"/>
              <w:rPr>
                <w:sz w:val="16"/>
                <w:szCs w:val="16"/>
                <w:color w:val="auto"/>
              </w:rPr>
            </w:pPr>
          </w:p>
        </w:tc>
        <w:tc>
          <w:tcPr>
            <w:tcW w:w="2940" w:type="dxa"/>
            <w:vAlign w:val="bottom"/>
            <w:shd w:val="clear" w:color="auto" w:fill="D9D9D9"/>
          </w:tcPr>
          <w:p>
            <w:pPr>
              <w:ind w:left="180"/>
              <w:spacing w:after="0"/>
              <w:rPr>
                <w:sz w:val="20"/>
                <w:szCs w:val="20"/>
                <w:color w:val="auto"/>
              </w:rPr>
            </w:pPr>
            <w:r>
              <w:rPr>
                <w:rFonts w:ascii="Arial" w:cs="Arial" w:eastAsia="Arial" w:hAnsi="Arial"/>
                <w:sz w:val="16"/>
                <w:szCs w:val="16"/>
                <w:color w:val="auto"/>
              </w:rPr>
              <w:t>for division participants, division</w:t>
            </w:r>
          </w:p>
        </w:tc>
        <w:tc>
          <w:tcPr>
            <w:tcW w:w="3140" w:type="dxa"/>
            <w:vAlign w:val="bottom"/>
            <w:shd w:val="clear" w:color="auto" w:fill="D9D9D9"/>
          </w:tcPr>
          <w:p>
            <w:pPr>
              <w:spacing w:after="0"/>
              <w:rPr>
                <w:sz w:val="16"/>
                <w:szCs w:val="16"/>
                <w:color w:val="auto"/>
              </w:rPr>
            </w:pPr>
          </w:p>
        </w:tc>
        <w:tc>
          <w:tcPr>
            <w:tcW w:w="4020" w:type="dxa"/>
            <w:vAlign w:val="bottom"/>
            <w:shd w:val="clear" w:color="auto" w:fill="D9D9D9"/>
          </w:tcPr>
          <w:p>
            <w:pPr>
              <w:ind w:left="60"/>
              <w:spacing w:after="0"/>
              <w:rPr>
                <w:sz w:val="20"/>
                <w:szCs w:val="20"/>
                <w:color w:val="auto"/>
              </w:rPr>
            </w:pPr>
            <w:r>
              <w:rPr>
                <w:rFonts w:ascii="Arial" w:cs="Arial" w:eastAsia="Arial" w:hAnsi="Arial"/>
                <w:sz w:val="16"/>
                <w:szCs w:val="16"/>
                <w:color w:val="auto"/>
              </w:rPr>
              <w:t>Corporate performance measures and weightings were</w:t>
            </w:r>
          </w:p>
        </w:tc>
      </w:tr>
      <w:tr>
        <w:trPr>
          <w:trHeight w:val="224"/>
        </w:trPr>
        <w:tc>
          <w:tcPr>
            <w:tcW w:w="1140" w:type="dxa"/>
            <w:vAlign w:val="bottom"/>
            <w:shd w:val="clear" w:color="auto" w:fill="D9D9D9"/>
          </w:tcPr>
          <w:p>
            <w:pPr>
              <w:spacing w:after="0"/>
              <w:rPr>
                <w:sz w:val="19"/>
                <w:szCs w:val="19"/>
                <w:color w:val="auto"/>
              </w:rPr>
            </w:pPr>
          </w:p>
        </w:tc>
        <w:tc>
          <w:tcPr>
            <w:tcW w:w="2940" w:type="dxa"/>
            <w:vAlign w:val="bottom"/>
            <w:shd w:val="clear" w:color="auto" w:fill="D9D9D9"/>
          </w:tcPr>
          <w:p>
            <w:pPr>
              <w:ind w:left="180"/>
              <w:spacing w:after="0"/>
              <w:rPr>
                <w:sz w:val="20"/>
                <w:szCs w:val="20"/>
                <w:color w:val="auto"/>
              </w:rPr>
            </w:pPr>
            <w:r>
              <w:rPr>
                <w:rFonts w:ascii="Arial" w:cs="Arial" w:eastAsia="Arial" w:hAnsi="Arial"/>
                <w:sz w:val="16"/>
                <w:szCs w:val="16"/>
                <w:color w:val="auto"/>
              </w:rPr>
              <w:t>financial goals.</w:t>
            </w:r>
          </w:p>
        </w:tc>
        <w:tc>
          <w:tcPr>
            <w:tcW w:w="3140" w:type="dxa"/>
            <w:vAlign w:val="bottom"/>
            <w:shd w:val="clear" w:color="auto" w:fill="D9D9D9"/>
          </w:tcPr>
          <w:p>
            <w:pPr>
              <w:spacing w:after="0"/>
              <w:rPr>
                <w:sz w:val="19"/>
                <w:szCs w:val="19"/>
                <w:color w:val="auto"/>
              </w:rPr>
            </w:pPr>
          </w:p>
        </w:tc>
        <w:tc>
          <w:tcPr>
            <w:tcW w:w="4020" w:type="dxa"/>
            <w:vAlign w:val="bottom"/>
            <w:shd w:val="clear" w:color="auto" w:fill="D9D9D9"/>
          </w:tcPr>
          <w:p>
            <w:pPr>
              <w:ind w:left="60"/>
              <w:spacing w:after="0"/>
              <w:rPr>
                <w:sz w:val="20"/>
                <w:szCs w:val="20"/>
                <w:color w:val="auto"/>
              </w:rPr>
            </w:pPr>
            <w:r>
              <w:rPr>
                <w:rFonts w:ascii="Arial" w:cs="Arial" w:eastAsia="Arial" w:hAnsi="Arial"/>
                <w:sz w:val="16"/>
                <w:szCs w:val="16"/>
                <w:color w:val="auto"/>
              </w:rPr>
              <w:t>established for all of our named executive officers.</w:t>
            </w:r>
          </w:p>
        </w:tc>
      </w:tr>
    </w:tbl>
    <w:p>
      <w:pPr>
        <w:spacing w:after="0" w:line="15" w:lineRule="exact"/>
        <w:rPr>
          <w:sz w:val="20"/>
          <w:szCs w:val="20"/>
          <w:color w:val="auto"/>
        </w:rPr>
      </w:pPr>
    </w:p>
    <w:p>
      <w:pPr>
        <w:sectPr>
          <w:pgSz w:w="11900" w:h="16838" w:orient="portrait"/>
          <w:cols w:equalWidth="0" w:num="1">
            <w:col w:w="11240"/>
          </w:cols>
          <w:pgMar w:left="320" w:top="105" w:right="339" w:bottom="1440" w:gutter="0" w:footer="0" w:header="0"/>
        </w:sectPr>
      </w:pPr>
    </w:p>
    <w:p>
      <w:pPr>
        <w:ind w:left="40"/>
        <w:spacing w:after="0"/>
        <w:tabs>
          <w:tab w:leader="none" w:pos="1300" w:val="left"/>
        </w:tabs>
        <w:rPr>
          <w:sz w:val="20"/>
          <w:szCs w:val="20"/>
          <w:color w:val="auto"/>
        </w:rPr>
      </w:pPr>
      <w:r>
        <w:rPr>
          <w:rFonts w:ascii="Arial" w:cs="Arial" w:eastAsia="Arial" w:hAnsi="Arial"/>
          <w:sz w:val="16"/>
          <w:szCs w:val="16"/>
          <w:color w:val="auto"/>
        </w:rPr>
        <w:t>Long-Term</w:t>
      </w:r>
      <w:r>
        <w:rPr>
          <w:sz w:val="20"/>
          <w:szCs w:val="20"/>
          <w:color w:val="auto"/>
        </w:rPr>
        <w:tab/>
      </w:r>
      <w:r>
        <w:rPr>
          <w:rFonts w:ascii="Arial" w:cs="Arial" w:eastAsia="Arial" w:hAnsi="Arial"/>
          <w:sz w:val="15"/>
          <w:szCs w:val="15"/>
          <w:color w:val="auto"/>
        </w:rPr>
        <w:t>A variable, long-term element of</w:t>
      </w:r>
    </w:p>
    <w:p>
      <w:pPr>
        <w:spacing w:after="0" w:line="2" w:lineRule="exact"/>
        <w:rPr>
          <w:sz w:val="20"/>
          <w:szCs w:val="20"/>
          <w:color w:val="auto"/>
        </w:rPr>
      </w:pPr>
    </w:p>
    <w:p>
      <w:pPr>
        <w:ind w:left="40"/>
        <w:spacing w:after="0"/>
        <w:tabs>
          <w:tab w:leader="none" w:pos="1300" w:val="left"/>
        </w:tabs>
        <w:rPr>
          <w:sz w:val="20"/>
          <w:szCs w:val="20"/>
          <w:color w:val="auto"/>
        </w:rPr>
      </w:pPr>
      <w:r>
        <w:rPr>
          <w:rFonts w:ascii="Arial" w:cs="Arial" w:eastAsia="Arial" w:hAnsi="Arial"/>
          <w:sz w:val="16"/>
          <w:szCs w:val="16"/>
          <w:color w:val="auto"/>
        </w:rPr>
        <w:t>Incentives</w:t>
      </w:r>
      <w:r>
        <w:rPr>
          <w:sz w:val="20"/>
          <w:szCs w:val="20"/>
          <w:color w:val="auto"/>
        </w:rPr>
        <w:tab/>
      </w:r>
      <w:r>
        <w:rPr>
          <w:rFonts w:ascii="Arial" w:cs="Arial" w:eastAsia="Arial" w:hAnsi="Arial"/>
          <w:sz w:val="16"/>
          <w:szCs w:val="16"/>
          <w:color w:val="auto"/>
        </w:rPr>
        <w:t>compensation, provided in the form of</w:t>
      </w:r>
    </w:p>
    <w:p>
      <w:pPr>
        <w:spacing w:after="0" w:line="2" w:lineRule="exact"/>
        <w:rPr>
          <w:sz w:val="20"/>
          <w:szCs w:val="20"/>
          <w:color w:val="auto"/>
        </w:rPr>
      </w:pPr>
    </w:p>
    <w:p>
      <w:pPr>
        <w:ind w:left="1320"/>
        <w:spacing w:after="0" w:line="244" w:lineRule="auto"/>
        <w:rPr>
          <w:sz w:val="20"/>
          <w:szCs w:val="20"/>
          <w:color w:val="auto"/>
        </w:rPr>
      </w:pPr>
      <w:r>
        <w:rPr>
          <w:rFonts w:ascii="Arial" w:cs="Arial" w:eastAsia="Arial" w:hAnsi="Arial"/>
          <w:sz w:val="16"/>
          <w:szCs w:val="16"/>
          <w:color w:val="auto"/>
        </w:rPr>
        <w:t>performance share awards and stock options. Performance share awards are payable based on achievement of cumulative financial goals after three years and are paid in shares of our common stock. Stock options are time-based and vest no more frequently than ratably over three years.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Align the interests of our executive officers All of our named executive officers were granted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with our shareholders; encourage focus on performance share awards and stock options.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long-term company financial performance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measures that are deemed strategically</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and operationally important to our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Company; promote retention of our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executive officers; and encourage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significant ownership of our common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stock.</w:t>
      </w:r>
    </w:p>
    <w:p>
      <w:pPr>
        <w:spacing w:after="0" w:line="214" w:lineRule="exact"/>
        <w:rPr>
          <w:sz w:val="20"/>
          <w:szCs w:val="20"/>
          <w:color w:val="auto"/>
        </w:rPr>
      </w:pPr>
    </w:p>
    <w:p>
      <w:pPr>
        <w:sectPr>
          <w:pgSz w:w="11900" w:h="16838" w:orient="portrait"/>
          <w:cols w:equalWidth="0" w:num="2">
            <w:col w:w="4120" w:space="60"/>
            <w:col w:w="7060"/>
          </w:cols>
          <w:pgMar w:left="320" w:top="105" w:right="339" w:bottom="1440" w:gutter="0" w:footer="0" w:header="0"/>
          <w:type w:val="continuous"/>
        </w:sectPr>
      </w:pPr>
    </w:p>
    <w:tbl>
      <w:tblPr>
        <w:tblLayout w:type="fixed"/>
        <w:tblInd w:w="0" w:type="dxa"/>
        <w:tblCellMar>
          <w:top w:w="0" w:type="dxa"/>
          <w:left w:w="0" w:type="dxa"/>
          <w:bottom w:w="0" w:type="dxa"/>
          <w:right w:w="0" w:type="dxa"/>
        </w:tblCellMar>
      </w:tblPr>
      <w:tr>
        <w:trPr>
          <w:trHeight w:val="186"/>
        </w:trPr>
        <w:tc>
          <w:tcPr>
            <w:tcW w:w="1260" w:type="dxa"/>
            <w:vAlign w:val="bottom"/>
            <w:shd w:val="clear" w:color="auto" w:fill="D9D9D9"/>
          </w:tcPr>
          <w:p>
            <w:pPr>
              <w:ind w:left="40"/>
              <w:spacing w:after="0"/>
              <w:rPr>
                <w:sz w:val="20"/>
                <w:szCs w:val="20"/>
                <w:color w:val="auto"/>
              </w:rPr>
            </w:pPr>
            <w:r>
              <w:rPr>
                <w:rFonts w:ascii="Arial" w:cs="Arial" w:eastAsia="Arial" w:hAnsi="Arial"/>
                <w:sz w:val="16"/>
                <w:szCs w:val="16"/>
                <w:color w:val="auto"/>
              </w:rPr>
              <w:t>Health and</w:t>
            </w:r>
          </w:p>
        </w:tc>
        <w:tc>
          <w:tcPr>
            <w:tcW w:w="2880" w:type="dxa"/>
            <w:vAlign w:val="bottom"/>
            <w:shd w:val="clear" w:color="auto" w:fill="D9D9D9"/>
          </w:tcPr>
          <w:p>
            <w:pPr>
              <w:ind w:left="60"/>
              <w:spacing w:after="0"/>
              <w:rPr>
                <w:sz w:val="20"/>
                <w:szCs w:val="20"/>
                <w:color w:val="auto"/>
              </w:rPr>
            </w:pPr>
            <w:r>
              <w:rPr>
                <w:rFonts w:ascii="Arial" w:cs="Arial" w:eastAsia="Arial" w:hAnsi="Arial"/>
                <w:sz w:val="16"/>
                <w:szCs w:val="16"/>
                <w:color w:val="auto"/>
              </w:rPr>
              <w:t>Includes medical and dental insurance;</w:t>
            </w:r>
          </w:p>
        </w:tc>
        <w:tc>
          <w:tcPr>
            <w:tcW w:w="2960" w:type="dxa"/>
            <w:vAlign w:val="bottom"/>
            <w:shd w:val="clear" w:color="auto" w:fill="D9D9D9"/>
          </w:tcPr>
          <w:p>
            <w:pPr>
              <w:ind w:left="40"/>
              <w:spacing w:after="0"/>
              <w:rPr>
                <w:sz w:val="20"/>
                <w:szCs w:val="20"/>
                <w:color w:val="auto"/>
              </w:rPr>
            </w:pPr>
            <w:r>
              <w:rPr>
                <w:rFonts w:ascii="Arial" w:cs="Arial" w:eastAsia="Arial" w:hAnsi="Arial"/>
                <w:sz w:val="16"/>
                <w:szCs w:val="16"/>
                <w:color w:val="auto"/>
              </w:rPr>
              <w:t>Provide competitive health and welfare</w:t>
            </w:r>
          </w:p>
        </w:tc>
        <w:tc>
          <w:tcPr>
            <w:tcW w:w="4140" w:type="dxa"/>
            <w:vAlign w:val="bottom"/>
            <w:shd w:val="clear" w:color="auto" w:fill="D9D9D9"/>
          </w:tcPr>
          <w:p>
            <w:pPr>
              <w:ind w:left="180"/>
              <w:spacing w:after="0"/>
              <w:rPr>
                <w:sz w:val="20"/>
                <w:szCs w:val="20"/>
                <w:color w:val="auto"/>
              </w:rPr>
            </w:pPr>
            <w:r>
              <w:rPr>
                <w:rFonts w:ascii="Arial" w:cs="Arial" w:eastAsia="Arial" w:hAnsi="Arial"/>
                <w:sz w:val="16"/>
                <w:szCs w:val="16"/>
                <w:color w:val="auto"/>
              </w:rPr>
              <w:t>Although no significant changes were made to our</w:t>
            </w:r>
          </w:p>
        </w:tc>
      </w:tr>
      <w:tr>
        <w:trPr>
          <w:trHeight w:val="186"/>
        </w:trPr>
        <w:tc>
          <w:tcPr>
            <w:tcW w:w="1260" w:type="dxa"/>
            <w:vAlign w:val="bottom"/>
            <w:shd w:val="clear" w:color="auto" w:fill="D9D9D9"/>
          </w:tcPr>
          <w:p>
            <w:pPr>
              <w:ind w:left="40"/>
              <w:spacing w:after="0"/>
              <w:rPr>
                <w:sz w:val="20"/>
                <w:szCs w:val="20"/>
                <w:color w:val="auto"/>
              </w:rPr>
            </w:pPr>
            <w:r>
              <w:rPr>
                <w:rFonts w:ascii="Arial" w:cs="Arial" w:eastAsia="Arial" w:hAnsi="Arial"/>
                <w:sz w:val="16"/>
                <w:szCs w:val="16"/>
                <w:color w:val="auto"/>
              </w:rPr>
              <w:t>Welfare Benefits</w:t>
            </w:r>
          </w:p>
        </w:tc>
        <w:tc>
          <w:tcPr>
            <w:tcW w:w="2880" w:type="dxa"/>
            <w:vAlign w:val="bottom"/>
            <w:shd w:val="clear" w:color="auto" w:fill="D9D9D9"/>
          </w:tcPr>
          <w:p>
            <w:pPr>
              <w:ind w:left="60"/>
              <w:spacing w:after="0"/>
              <w:rPr>
                <w:sz w:val="20"/>
                <w:szCs w:val="20"/>
                <w:color w:val="auto"/>
              </w:rPr>
            </w:pPr>
            <w:r>
              <w:rPr>
                <w:rFonts w:ascii="Arial" w:cs="Arial" w:eastAsia="Arial" w:hAnsi="Arial"/>
                <w:sz w:val="16"/>
                <w:szCs w:val="16"/>
                <w:color w:val="auto"/>
              </w:rPr>
              <w:t>life, accidental death and</w:t>
            </w:r>
          </w:p>
        </w:tc>
        <w:tc>
          <w:tcPr>
            <w:tcW w:w="2960" w:type="dxa"/>
            <w:vAlign w:val="bottom"/>
            <w:shd w:val="clear" w:color="auto" w:fill="D9D9D9"/>
          </w:tcPr>
          <w:p>
            <w:pPr>
              <w:ind w:left="40"/>
              <w:spacing w:after="0"/>
              <w:rPr>
                <w:sz w:val="20"/>
                <w:szCs w:val="20"/>
                <w:color w:val="auto"/>
              </w:rPr>
            </w:pPr>
            <w:r>
              <w:rPr>
                <w:rFonts w:ascii="Arial" w:cs="Arial" w:eastAsia="Arial" w:hAnsi="Arial"/>
                <w:sz w:val="16"/>
                <w:szCs w:val="16"/>
                <w:color w:val="auto"/>
              </w:rPr>
              <w:t>benefits.</w:t>
            </w:r>
          </w:p>
        </w:tc>
        <w:tc>
          <w:tcPr>
            <w:tcW w:w="4140" w:type="dxa"/>
            <w:vAlign w:val="bottom"/>
            <w:shd w:val="clear" w:color="auto" w:fill="D9D9D9"/>
          </w:tcPr>
          <w:p>
            <w:pPr>
              <w:ind w:left="180"/>
              <w:spacing w:after="0"/>
              <w:rPr>
                <w:sz w:val="20"/>
                <w:szCs w:val="20"/>
                <w:color w:val="auto"/>
              </w:rPr>
            </w:pPr>
            <w:r>
              <w:rPr>
                <w:rFonts w:ascii="Arial" w:cs="Arial" w:eastAsia="Arial" w:hAnsi="Arial"/>
                <w:sz w:val="16"/>
                <w:szCs w:val="16"/>
                <w:color w:val="auto"/>
              </w:rPr>
              <w:t>health and welfare benefits in 2021, we continued to</w:t>
            </w:r>
          </w:p>
        </w:tc>
      </w:tr>
      <w:tr>
        <w:trPr>
          <w:trHeight w:val="186"/>
        </w:trPr>
        <w:tc>
          <w:tcPr>
            <w:tcW w:w="1260" w:type="dxa"/>
            <w:vAlign w:val="bottom"/>
            <w:shd w:val="clear" w:color="auto" w:fill="D9D9D9"/>
          </w:tcPr>
          <w:p>
            <w:pPr>
              <w:spacing w:after="0"/>
              <w:rPr>
                <w:sz w:val="16"/>
                <w:szCs w:val="16"/>
                <w:color w:val="auto"/>
              </w:rPr>
            </w:pPr>
          </w:p>
        </w:tc>
        <w:tc>
          <w:tcPr>
            <w:tcW w:w="2880" w:type="dxa"/>
            <w:vAlign w:val="bottom"/>
            <w:shd w:val="clear" w:color="auto" w:fill="D9D9D9"/>
          </w:tcPr>
          <w:p>
            <w:pPr>
              <w:ind w:left="60"/>
              <w:spacing w:after="0"/>
              <w:rPr>
                <w:sz w:val="20"/>
                <w:szCs w:val="20"/>
                <w:color w:val="auto"/>
              </w:rPr>
            </w:pPr>
            <w:r>
              <w:rPr>
                <w:rFonts w:ascii="Arial" w:cs="Arial" w:eastAsia="Arial" w:hAnsi="Arial"/>
                <w:sz w:val="16"/>
                <w:szCs w:val="16"/>
                <w:color w:val="auto"/>
              </w:rPr>
              <w:t>dismemberment insurance; and</w:t>
            </w:r>
          </w:p>
        </w:tc>
        <w:tc>
          <w:tcPr>
            <w:tcW w:w="2960" w:type="dxa"/>
            <w:vAlign w:val="bottom"/>
            <w:shd w:val="clear" w:color="auto" w:fill="D9D9D9"/>
          </w:tcPr>
          <w:p>
            <w:pPr>
              <w:spacing w:after="0"/>
              <w:rPr>
                <w:sz w:val="16"/>
                <w:szCs w:val="16"/>
                <w:color w:val="auto"/>
              </w:rPr>
            </w:pPr>
          </w:p>
        </w:tc>
        <w:tc>
          <w:tcPr>
            <w:tcW w:w="4140" w:type="dxa"/>
            <w:vAlign w:val="bottom"/>
            <w:shd w:val="clear" w:color="auto" w:fill="D9D9D9"/>
          </w:tcPr>
          <w:p>
            <w:pPr>
              <w:ind w:left="180"/>
              <w:spacing w:after="0"/>
              <w:rPr>
                <w:sz w:val="20"/>
                <w:szCs w:val="20"/>
                <w:color w:val="auto"/>
              </w:rPr>
            </w:pPr>
            <w:r>
              <w:rPr>
                <w:rFonts w:ascii="Arial" w:cs="Arial" w:eastAsia="Arial" w:hAnsi="Arial"/>
                <w:sz w:val="16"/>
                <w:szCs w:val="16"/>
                <w:color w:val="auto"/>
              </w:rPr>
              <w:t>offer fully covered virtual doctor visits without a co-pay</w:t>
            </w:r>
          </w:p>
        </w:tc>
      </w:tr>
      <w:tr>
        <w:trPr>
          <w:trHeight w:val="186"/>
        </w:trPr>
        <w:tc>
          <w:tcPr>
            <w:tcW w:w="1260" w:type="dxa"/>
            <w:vAlign w:val="bottom"/>
            <w:shd w:val="clear" w:color="auto" w:fill="D9D9D9"/>
          </w:tcPr>
          <w:p>
            <w:pPr>
              <w:spacing w:after="0"/>
              <w:rPr>
                <w:sz w:val="16"/>
                <w:szCs w:val="16"/>
                <w:color w:val="auto"/>
              </w:rPr>
            </w:pPr>
          </w:p>
        </w:tc>
        <w:tc>
          <w:tcPr>
            <w:tcW w:w="2880" w:type="dxa"/>
            <w:vAlign w:val="bottom"/>
            <w:shd w:val="clear" w:color="auto" w:fill="D9D9D9"/>
          </w:tcPr>
          <w:p>
            <w:pPr>
              <w:ind w:left="60"/>
              <w:spacing w:after="0"/>
              <w:rPr>
                <w:sz w:val="20"/>
                <w:szCs w:val="20"/>
                <w:color w:val="auto"/>
              </w:rPr>
            </w:pPr>
            <w:r>
              <w:rPr>
                <w:rFonts w:ascii="Arial" w:cs="Arial" w:eastAsia="Arial" w:hAnsi="Arial"/>
                <w:sz w:val="16"/>
                <w:szCs w:val="16"/>
                <w:color w:val="auto"/>
              </w:rPr>
              <w:t>disability insurance.</w:t>
            </w:r>
          </w:p>
        </w:tc>
        <w:tc>
          <w:tcPr>
            <w:tcW w:w="2960" w:type="dxa"/>
            <w:vAlign w:val="bottom"/>
            <w:shd w:val="clear" w:color="auto" w:fill="D9D9D9"/>
          </w:tcPr>
          <w:p>
            <w:pPr>
              <w:spacing w:after="0"/>
              <w:rPr>
                <w:sz w:val="16"/>
                <w:szCs w:val="16"/>
                <w:color w:val="auto"/>
              </w:rPr>
            </w:pPr>
          </w:p>
        </w:tc>
        <w:tc>
          <w:tcPr>
            <w:tcW w:w="4140" w:type="dxa"/>
            <w:vAlign w:val="bottom"/>
            <w:shd w:val="clear" w:color="auto" w:fill="D9D9D9"/>
          </w:tcPr>
          <w:p>
            <w:pPr>
              <w:ind w:left="180"/>
              <w:spacing w:after="0"/>
              <w:rPr>
                <w:sz w:val="20"/>
                <w:szCs w:val="20"/>
                <w:color w:val="auto"/>
              </w:rPr>
            </w:pPr>
            <w:r>
              <w:rPr>
                <w:rFonts w:ascii="Arial" w:cs="Arial" w:eastAsia="Arial" w:hAnsi="Arial"/>
                <w:sz w:val="16"/>
                <w:szCs w:val="16"/>
                <w:color w:val="auto"/>
              </w:rPr>
              <w:t>and did not increase our medical or dental premiums</w:t>
            </w:r>
          </w:p>
        </w:tc>
      </w:tr>
      <w:tr>
        <w:trPr>
          <w:trHeight w:val="184"/>
        </w:trPr>
        <w:tc>
          <w:tcPr>
            <w:tcW w:w="1260" w:type="dxa"/>
            <w:vAlign w:val="bottom"/>
            <w:shd w:val="clear" w:color="auto" w:fill="D9D9D9"/>
          </w:tcPr>
          <w:p>
            <w:pPr>
              <w:spacing w:after="0"/>
              <w:rPr>
                <w:sz w:val="16"/>
                <w:szCs w:val="16"/>
                <w:color w:val="auto"/>
              </w:rPr>
            </w:pPr>
          </w:p>
        </w:tc>
        <w:tc>
          <w:tcPr>
            <w:tcW w:w="2880" w:type="dxa"/>
            <w:vAlign w:val="bottom"/>
            <w:shd w:val="clear" w:color="auto" w:fill="D9D9D9"/>
          </w:tcPr>
          <w:p>
            <w:pPr>
              <w:spacing w:after="0"/>
              <w:rPr>
                <w:sz w:val="16"/>
                <w:szCs w:val="16"/>
                <w:color w:val="auto"/>
              </w:rPr>
            </w:pPr>
          </w:p>
        </w:tc>
        <w:tc>
          <w:tcPr>
            <w:tcW w:w="2960" w:type="dxa"/>
            <w:vAlign w:val="bottom"/>
            <w:shd w:val="clear" w:color="auto" w:fill="D9D9D9"/>
          </w:tcPr>
          <w:p>
            <w:pPr>
              <w:spacing w:after="0"/>
              <w:rPr>
                <w:sz w:val="16"/>
                <w:szCs w:val="16"/>
                <w:color w:val="auto"/>
              </w:rPr>
            </w:pPr>
          </w:p>
        </w:tc>
        <w:tc>
          <w:tcPr>
            <w:tcW w:w="4140" w:type="dxa"/>
            <w:vAlign w:val="bottom"/>
            <w:shd w:val="clear" w:color="auto" w:fill="D9D9D9"/>
          </w:tcPr>
          <w:p>
            <w:pPr>
              <w:ind w:left="180"/>
              <w:spacing w:after="0"/>
              <w:rPr>
                <w:sz w:val="20"/>
                <w:szCs w:val="20"/>
                <w:color w:val="auto"/>
              </w:rPr>
            </w:pPr>
            <w:r>
              <w:rPr>
                <w:rFonts w:ascii="Arial" w:cs="Arial" w:eastAsia="Arial" w:hAnsi="Arial"/>
                <w:sz w:val="16"/>
                <w:szCs w:val="16"/>
                <w:color w:val="auto"/>
              </w:rPr>
              <w:t>for calendar year 2021.</w:t>
            </w:r>
          </w:p>
        </w:tc>
      </w:tr>
    </w:tbl>
    <w:p>
      <w:pPr>
        <w:spacing w:after="0" w:line="15" w:lineRule="exact"/>
        <w:rPr>
          <w:sz w:val="20"/>
          <w:szCs w:val="20"/>
          <w:color w:val="auto"/>
        </w:rPr>
      </w:pPr>
    </w:p>
    <w:p>
      <w:pPr>
        <w:sectPr>
          <w:pgSz w:w="11900" w:h="16838" w:orient="portrait"/>
          <w:cols w:equalWidth="0" w:num="1">
            <w:col w:w="11240"/>
          </w:cols>
          <w:pgMar w:left="320" w:top="105" w:right="339" w:bottom="1440" w:gutter="0" w:footer="0" w:header="0"/>
          <w:type w:val="continuous"/>
        </w:sectPr>
      </w:pPr>
    </w:p>
    <w:p>
      <w:pPr>
        <w:ind w:left="40"/>
        <w:spacing w:after="0"/>
        <w:tabs>
          <w:tab w:leader="none" w:pos="4160" w:val="left"/>
        </w:tabs>
        <w:rPr>
          <w:sz w:val="20"/>
          <w:szCs w:val="20"/>
          <w:color w:val="auto"/>
        </w:rPr>
      </w:pPr>
      <w:r>
        <w:rPr>
          <w:rFonts w:ascii="Arial" w:cs="Arial" w:eastAsia="Arial" w:hAnsi="Arial"/>
          <w:sz w:val="16"/>
          <w:szCs w:val="16"/>
          <w:color w:val="auto"/>
        </w:rPr>
        <w:t>Retirement Plans Includes a defined contribution</w:t>
      </w:r>
      <w:r>
        <w:rPr>
          <w:sz w:val="20"/>
          <w:szCs w:val="20"/>
          <w:color w:val="auto"/>
        </w:rPr>
        <w:tab/>
      </w:r>
      <w:r>
        <w:rPr>
          <w:rFonts w:ascii="Arial" w:cs="Arial" w:eastAsia="Arial" w:hAnsi="Arial"/>
          <w:sz w:val="15"/>
          <w:szCs w:val="15"/>
          <w:color w:val="auto"/>
        </w:rPr>
        <w:t>Provide an opportunity for employees to</w:t>
      </w:r>
    </w:p>
    <w:p>
      <w:pPr>
        <w:spacing w:after="0" w:line="2"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retirement plan and certain nonqualified save and prepare financially for retirement.</w:t>
      </w:r>
    </w:p>
    <w:p>
      <w:pPr>
        <w:spacing w:after="0" w:line="14"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retirement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225" cy="7346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4225" cy="734695"/>
                    </a:xfrm>
                    <a:prstGeom prst="rect">
                      <a:avLst/>
                    </a:prstGeom>
                    <a:noFill/>
                  </pic:spPr>
                </pic:pic>
              </a:graphicData>
            </a:graphic>
          </wp:anchor>
        </w:drawing>
      </w:r>
    </w:p>
    <w:p>
      <w:pPr>
        <w:spacing w:after="0" w:line="22" w:lineRule="exact"/>
        <w:rPr>
          <w:sz w:val="20"/>
          <w:szCs w:val="20"/>
          <w:color w:val="auto"/>
        </w:rPr>
      </w:pPr>
    </w:p>
    <w:p>
      <w:pPr>
        <w:ind w:left="40"/>
        <w:spacing w:after="0"/>
        <w:tabs>
          <w:tab w:leader="none" w:pos="1300" w:val="left"/>
        </w:tabs>
        <w:rPr>
          <w:sz w:val="20"/>
          <w:szCs w:val="20"/>
          <w:color w:val="auto"/>
        </w:rPr>
      </w:pPr>
      <w:r>
        <w:rPr>
          <w:rFonts w:ascii="Arial" w:cs="Arial" w:eastAsia="Arial" w:hAnsi="Arial"/>
          <w:sz w:val="16"/>
          <w:szCs w:val="16"/>
          <w:color w:val="auto"/>
        </w:rPr>
        <w:t>Perquisites</w:t>
      </w:r>
      <w:r>
        <w:rPr>
          <w:sz w:val="20"/>
          <w:szCs w:val="20"/>
          <w:color w:val="auto"/>
        </w:rPr>
        <w:tab/>
      </w:r>
      <w:r>
        <w:rPr>
          <w:rFonts w:ascii="Arial" w:cs="Arial" w:eastAsia="Arial" w:hAnsi="Arial"/>
          <w:sz w:val="16"/>
          <w:szCs w:val="16"/>
          <w:color w:val="auto"/>
        </w:rPr>
        <w:t>Includes a financial planning allowance, Assist in promoting the personal financial</w:t>
      </w:r>
    </w:p>
    <w:p>
      <w:pPr>
        <w:spacing w:after="0" w:line="2" w:lineRule="exact"/>
        <w:rPr>
          <w:sz w:val="20"/>
          <w:szCs w:val="20"/>
          <w:color w:val="auto"/>
        </w:rPr>
      </w:pPr>
    </w:p>
    <w:p>
      <w:pPr>
        <w:ind w:left="1320"/>
        <w:spacing w:after="0"/>
        <w:tabs>
          <w:tab w:leader="none" w:pos="4160" w:val="left"/>
        </w:tabs>
        <w:rPr>
          <w:sz w:val="20"/>
          <w:szCs w:val="20"/>
          <w:color w:val="auto"/>
        </w:rPr>
      </w:pPr>
      <w:r>
        <w:rPr>
          <w:rFonts w:ascii="Arial" w:cs="Arial" w:eastAsia="Arial" w:hAnsi="Arial"/>
          <w:sz w:val="16"/>
          <w:szCs w:val="16"/>
          <w:color w:val="auto"/>
        </w:rPr>
        <w:t>Company products, company-leased</w:t>
      </w:r>
      <w:r>
        <w:rPr>
          <w:sz w:val="20"/>
          <w:szCs w:val="20"/>
          <w:color w:val="auto"/>
        </w:rPr>
        <w:tab/>
      </w:r>
      <w:r>
        <w:rPr>
          <w:rFonts w:ascii="Arial" w:cs="Arial" w:eastAsia="Arial" w:hAnsi="Arial"/>
          <w:sz w:val="15"/>
          <w:szCs w:val="15"/>
          <w:color w:val="auto"/>
        </w:rPr>
        <w:t>security of our executive officers; promote</w:t>
      </w:r>
    </w:p>
    <w:p>
      <w:pPr>
        <w:spacing w:after="0" w:line="2" w:lineRule="exact"/>
        <w:rPr>
          <w:sz w:val="20"/>
          <w:szCs w:val="20"/>
          <w:color w:val="auto"/>
        </w:rPr>
      </w:pPr>
    </w:p>
    <w:p>
      <w:pPr>
        <w:ind w:left="1320"/>
        <w:spacing w:after="0"/>
        <w:tabs>
          <w:tab w:leader="none" w:pos="4160" w:val="left"/>
        </w:tabs>
        <w:rPr>
          <w:sz w:val="20"/>
          <w:szCs w:val="20"/>
          <w:color w:val="auto"/>
        </w:rPr>
      </w:pPr>
      <w:r>
        <w:rPr>
          <w:rFonts w:ascii="Arial" w:cs="Arial" w:eastAsia="Arial" w:hAnsi="Arial"/>
          <w:sz w:val="16"/>
          <w:szCs w:val="16"/>
          <w:color w:val="auto"/>
        </w:rPr>
        <w:t>automobile, and executive physical.</w:t>
      </w:r>
      <w:r>
        <w:rPr>
          <w:sz w:val="20"/>
          <w:szCs w:val="20"/>
          <w:color w:val="auto"/>
        </w:rPr>
        <w:tab/>
      </w:r>
      <w:r>
        <w:rPr>
          <w:rFonts w:ascii="Arial" w:cs="Arial" w:eastAsia="Arial" w:hAnsi="Arial"/>
          <w:sz w:val="16"/>
          <w:szCs w:val="16"/>
          <w:color w:val="auto"/>
        </w:rPr>
        <w:t>personal use of our products by our</w:t>
      </w:r>
    </w:p>
    <w:p>
      <w:pPr>
        <w:spacing w:after="0" w:line="2"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executive officers and the attraction,</w:t>
      </w:r>
    </w:p>
    <w:p>
      <w:pPr>
        <w:spacing w:after="0" w:line="2"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retention and wellbeing of our executive</w:t>
      </w:r>
    </w:p>
    <w:p>
      <w:pPr>
        <w:spacing w:after="0" w:line="2"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officers.</w:t>
      </w:r>
    </w:p>
    <w:p>
      <w:pPr>
        <w:spacing w:after="0" w:line="20" w:lineRule="exact"/>
        <w:rPr>
          <w:sz w:val="20"/>
          <w:szCs w:val="20"/>
          <w:color w:val="auto"/>
        </w:rPr>
      </w:pPr>
      <w:r>
        <w:rPr>
          <w:sz w:val="20"/>
          <w:szCs w:val="20"/>
          <w:color w:val="auto"/>
        </w:rPr>
        <w:br w:type="column"/>
      </w:r>
    </w:p>
    <w:p>
      <w:pPr>
        <w:ind w:right="80"/>
        <w:spacing w:after="0" w:line="248" w:lineRule="auto"/>
        <w:rPr>
          <w:sz w:val="20"/>
          <w:szCs w:val="20"/>
          <w:color w:val="auto"/>
        </w:rPr>
      </w:pPr>
      <w:r>
        <w:rPr>
          <w:rFonts w:ascii="Arial" w:cs="Arial" w:eastAsia="Arial" w:hAnsi="Arial"/>
          <w:sz w:val="16"/>
          <w:szCs w:val="16"/>
          <w:color w:val="auto"/>
        </w:rPr>
        <w:t>For calendar year 2021, we made a discretionary investment fund contribution to the defined contribution retirement plan.</w:t>
      </w:r>
    </w:p>
    <w:p>
      <w:pPr>
        <w:spacing w:after="0" w:line="28" w:lineRule="exact"/>
        <w:rPr>
          <w:sz w:val="20"/>
          <w:szCs w:val="20"/>
          <w:color w:val="auto"/>
        </w:rPr>
      </w:pPr>
    </w:p>
    <w:p>
      <w:pPr>
        <w:ind w:right="300"/>
        <w:spacing w:after="0" w:line="253" w:lineRule="auto"/>
        <w:rPr>
          <w:sz w:val="20"/>
          <w:szCs w:val="20"/>
          <w:color w:val="auto"/>
        </w:rPr>
      </w:pPr>
      <w:r>
        <w:rPr>
          <w:rFonts w:ascii="Arial" w:cs="Arial" w:eastAsia="Arial" w:hAnsi="Arial"/>
          <w:sz w:val="16"/>
          <w:szCs w:val="16"/>
          <w:color w:val="auto"/>
        </w:rPr>
        <w:t>No significant changes were made to perquisites for fiscal 2021.</w:t>
      </w:r>
    </w:p>
    <w:p>
      <w:pPr>
        <w:spacing w:after="0" w:line="858" w:lineRule="exact"/>
        <w:rPr>
          <w:sz w:val="20"/>
          <w:szCs w:val="20"/>
          <w:color w:val="auto"/>
        </w:rPr>
      </w:pPr>
    </w:p>
    <w:p>
      <w:pPr>
        <w:sectPr>
          <w:pgSz w:w="11900" w:h="16838" w:orient="portrait"/>
          <w:cols w:equalWidth="0" w:num="2">
            <w:col w:w="7200" w:space="80"/>
            <w:col w:w="3960"/>
          </w:cols>
          <w:pgMar w:left="320" w:top="105" w:right="339" w:bottom="1440" w:gutter="0" w:footer="0" w:header="0"/>
          <w:type w:val="continuous"/>
        </w:sectPr>
      </w:pPr>
    </w:p>
    <w:p>
      <w:pPr>
        <w:ind w:right="40" w:firstLine="401"/>
        <w:spacing w:after="0" w:line="238" w:lineRule="auto"/>
        <w:rPr>
          <w:sz w:val="20"/>
          <w:szCs w:val="20"/>
          <w:color w:val="auto"/>
        </w:rPr>
      </w:pPr>
      <w:r>
        <w:rPr>
          <w:rFonts w:ascii="Arial" w:cs="Arial" w:eastAsia="Arial" w:hAnsi="Arial"/>
          <w:sz w:val="18"/>
          <w:szCs w:val="18"/>
          <w:color w:val="auto"/>
        </w:rPr>
        <w:t>We describe each key element of our executive compensation program in more detail in the following pages, along with the compensation decisions made in fiscal 2021.</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Base Salary.</w:t>
      </w:r>
    </w:p>
    <w:p>
      <w:pPr>
        <w:spacing w:after="0" w:line="103" w:lineRule="exact"/>
        <w:rPr>
          <w:sz w:val="20"/>
          <w:szCs w:val="20"/>
          <w:color w:val="auto"/>
        </w:rPr>
      </w:pPr>
    </w:p>
    <w:p>
      <w:pPr>
        <w:ind w:firstLine="401"/>
        <w:spacing w:after="0"/>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We review base salaries for our executive officers on an annual basis to ensure that they remain market competitive and reflect</w:t>
      </w:r>
      <w:r>
        <w:rPr>
          <w:rFonts w:ascii="Arial" w:cs="Arial" w:eastAsia="Arial" w:hAnsi="Arial"/>
          <w:sz w:val="18"/>
          <w:szCs w:val="18"/>
          <w:i w:val="1"/>
          <w:iCs w:val="1"/>
          <w:color w:val="auto"/>
        </w:rPr>
        <w:t xml:space="preserve"> </w:t>
      </w:r>
      <w:r>
        <w:rPr>
          <w:rFonts w:ascii="Arial" w:cs="Arial" w:eastAsia="Arial" w:hAnsi="Arial"/>
          <w:sz w:val="18"/>
          <w:szCs w:val="18"/>
          <w:color w:val="auto"/>
        </w:rPr>
        <w:t>the scope and responsibility of their positions. Base salaries for our executive officers are reviewed and discussed at the regular meeting of the Compensation &amp; Human Resources Committee held in November or December of each year. Additionally, base salaries for executive officers are periodically reviewed upon a significant change in an executive officer’s responsibilities or role.</w:t>
      </w:r>
    </w:p>
    <w:p>
      <w:pPr>
        <w:spacing w:after="0" w:line="76" w:lineRule="exact"/>
        <w:rPr>
          <w:sz w:val="20"/>
          <w:szCs w:val="20"/>
          <w:color w:val="auto"/>
        </w:rPr>
      </w:pPr>
    </w:p>
    <w:p>
      <w:pPr>
        <w:ind w:right="260" w:firstLine="401"/>
        <w:spacing w:after="0"/>
        <w:rPr>
          <w:sz w:val="20"/>
          <w:szCs w:val="20"/>
          <w:color w:val="auto"/>
        </w:rPr>
      </w:pPr>
      <w:r>
        <w:rPr>
          <w:rFonts w:ascii="Arial" w:cs="Arial" w:eastAsia="Arial" w:hAnsi="Arial"/>
          <w:sz w:val="18"/>
          <w:szCs w:val="18"/>
          <w:i w:val="1"/>
          <w:iCs w:val="1"/>
          <w:color w:val="auto"/>
        </w:rPr>
        <w:t xml:space="preserve">Discussion and Analysis. </w:t>
      </w:r>
      <w:r>
        <w:rPr>
          <w:rFonts w:ascii="Arial" w:cs="Arial" w:eastAsia="Arial" w:hAnsi="Arial"/>
          <w:sz w:val="18"/>
          <w:szCs w:val="18"/>
          <w:color w:val="auto"/>
        </w:rPr>
        <w:t>When we recommended new base salaries for our named executive officers, the following factors were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considered: current base salary; positioning relative to competitive market data; scope and complexity of the position; experience; tenure; historical and current levels of function, division, and individual performance; future potential; and internal pay comparisons. The new annual base salaries and the percent increase over the previous base salaries are provided in the table below.</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99" w:lineRule="exact"/>
        <w:rPr>
          <w:sz w:val="20"/>
          <w:szCs w:val="20"/>
          <w:color w:val="auto"/>
        </w:rPr>
      </w:pPr>
    </w:p>
    <w:tbl>
      <w:tblPr>
        <w:tblLayout w:type="fixed"/>
        <w:tblInd w:w="1420" w:type="dxa"/>
        <w:tblCellMar>
          <w:top w:w="0" w:type="dxa"/>
          <w:left w:w="0" w:type="dxa"/>
          <w:bottom w:w="0" w:type="dxa"/>
          <w:right w:w="0" w:type="dxa"/>
        </w:tblCellMar>
      </w:tblPr>
      <w:tr>
        <w:trPr>
          <w:trHeight w:val="173"/>
        </w:trPr>
        <w:tc>
          <w:tcPr>
            <w:tcW w:w="2360" w:type="dxa"/>
            <w:vAlign w:val="bottom"/>
            <w:shd w:val="clear" w:color="auto" w:fill="C00000"/>
          </w:tcPr>
          <w:p>
            <w:pPr>
              <w:spacing w:after="0"/>
              <w:rPr>
                <w:sz w:val="15"/>
                <w:szCs w:val="15"/>
                <w:color w:val="auto"/>
              </w:rPr>
            </w:pPr>
          </w:p>
        </w:tc>
        <w:tc>
          <w:tcPr>
            <w:tcW w:w="3580" w:type="dxa"/>
            <w:vAlign w:val="bottom"/>
            <w:shd w:val="clear" w:color="auto" w:fill="C00000"/>
          </w:tcPr>
          <w:p>
            <w:pPr>
              <w:jc w:val="right"/>
              <w:ind w:right="124"/>
              <w:spacing w:after="0"/>
              <w:rPr>
                <w:sz w:val="20"/>
                <w:szCs w:val="20"/>
                <w:color w:val="auto"/>
              </w:rPr>
            </w:pPr>
            <w:r>
              <w:rPr>
                <w:rFonts w:ascii="Arial" w:cs="Arial" w:eastAsia="Arial" w:hAnsi="Arial"/>
                <w:sz w:val="14"/>
                <w:szCs w:val="14"/>
                <w:b w:val="1"/>
                <w:bCs w:val="1"/>
                <w:color w:val="FFFFFF"/>
              </w:rPr>
              <w:t>New Base Salary as of March</w:t>
            </w:r>
          </w:p>
        </w:tc>
        <w:tc>
          <w:tcPr>
            <w:tcW w:w="24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Percent Increase over Previous</w:t>
            </w:r>
          </w:p>
        </w:tc>
        <w:tc>
          <w:tcPr>
            <w:tcW w:w="0" w:type="dxa"/>
            <w:vAlign w:val="bottom"/>
          </w:tcPr>
          <w:p>
            <w:pPr>
              <w:spacing w:after="0"/>
              <w:rPr>
                <w:sz w:val="1"/>
                <w:szCs w:val="1"/>
                <w:color w:val="auto"/>
              </w:rPr>
            </w:pPr>
          </w:p>
        </w:tc>
      </w:tr>
      <w:tr>
        <w:trPr>
          <w:trHeight w:val="186"/>
        </w:trPr>
        <w:tc>
          <w:tcPr>
            <w:tcW w:w="2360" w:type="dxa"/>
            <w:vAlign w:val="bottom"/>
            <w:vMerge w:val="restart"/>
            <w:shd w:val="clear" w:color="auto" w:fill="C00000"/>
          </w:tcPr>
          <w:p>
            <w:pPr>
              <w:spacing w:after="0"/>
              <w:rPr>
                <w:sz w:val="20"/>
                <w:szCs w:val="20"/>
                <w:color w:val="auto"/>
              </w:rPr>
            </w:pPr>
            <w:r>
              <w:rPr>
                <w:rFonts w:ascii="Arial" w:cs="Arial" w:eastAsia="Arial" w:hAnsi="Arial"/>
                <w:sz w:val="14"/>
                <w:szCs w:val="14"/>
                <w:b w:val="1"/>
                <w:bCs w:val="1"/>
                <w:color w:val="FFFFFF"/>
              </w:rPr>
              <w:t>Name</w:t>
            </w:r>
          </w:p>
        </w:tc>
        <w:tc>
          <w:tcPr>
            <w:tcW w:w="3580" w:type="dxa"/>
            <w:vAlign w:val="bottom"/>
            <w:shd w:val="clear" w:color="auto" w:fill="C00000"/>
          </w:tcPr>
          <w:p>
            <w:pPr>
              <w:jc w:val="right"/>
              <w:ind w:right="864"/>
              <w:spacing w:after="0"/>
              <w:rPr>
                <w:sz w:val="20"/>
                <w:szCs w:val="20"/>
                <w:color w:val="auto"/>
              </w:rPr>
            </w:pPr>
            <w:r>
              <w:rPr>
                <w:rFonts w:ascii="Arial" w:cs="Arial" w:eastAsia="Arial" w:hAnsi="Arial"/>
                <w:sz w:val="14"/>
                <w:szCs w:val="14"/>
                <w:b w:val="1"/>
                <w:bCs w:val="1"/>
                <w:color w:val="FFFFFF"/>
              </w:rPr>
              <w:t>1, 2021</w:t>
            </w:r>
          </w:p>
        </w:tc>
        <w:tc>
          <w:tcPr>
            <w:tcW w:w="24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Base Salary</w:t>
            </w:r>
          </w:p>
        </w:tc>
        <w:tc>
          <w:tcPr>
            <w:tcW w:w="0" w:type="dxa"/>
            <w:vAlign w:val="bottom"/>
          </w:tcPr>
          <w:p>
            <w:pPr>
              <w:spacing w:after="0"/>
              <w:rPr>
                <w:sz w:val="1"/>
                <w:szCs w:val="1"/>
                <w:color w:val="auto"/>
              </w:rPr>
            </w:pPr>
          </w:p>
        </w:tc>
      </w:tr>
      <w:tr>
        <w:trPr>
          <w:trHeight w:val="186"/>
        </w:trPr>
        <w:tc>
          <w:tcPr>
            <w:tcW w:w="2360" w:type="dxa"/>
            <w:vAlign w:val="bottom"/>
            <w:vMerge w:val="continue"/>
            <w:shd w:val="clear" w:color="auto" w:fill="C00000"/>
          </w:tcPr>
          <w:p>
            <w:pPr>
              <w:spacing w:after="0"/>
              <w:rPr>
                <w:sz w:val="16"/>
                <w:szCs w:val="16"/>
                <w:color w:val="auto"/>
              </w:rPr>
            </w:pPr>
          </w:p>
        </w:tc>
        <w:tc>
          <w:tcPr>
            <w:tcW w:w="3580" w:type="dxa"/>
            <w:vAlign w:val="bottom"/>
            <w:shd w:val="clear" w:color="auto" w:fill="C00000"/>
          </w:tcPr>
          <w:p>
            <w:pPr>
              <w:jc w:val="right"/>
              <w:ind w:right="1004"/>
              <w:spacing w:after="0"/>
              <w:rPr>
                <w:sz w:val="20"/>
                <w:szCs w:val="20"/>
                <w:color w:val="auto"/>
              </w:rPr>
            </w:pPr>
            <w:r>
              <w:rPr>
                <w:rFonts w:ascii="Arial" w:cs="Arial" w:eastAsia="Arial" w:hAnsi="Arial"/>
                <w:sz w:val="14"/>
                <w:szCs w:val="14"/>
                <w:b w:val="1"/>
                <w:bCs w:val="1"/>
                <w:color w:val="FFFFFF"/>
              </w:rPr>
              <w:t>($)</w:t>
            </w:r>
          </w:p>
        </w:tc>
        <w:tc>
          <w:tcPr>
            <w:tcW w:w="24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6"/>
                <w:szCs w:val="16"/>
                <w:color w:val="auto"/>
              </w:rPr>
              <w:t>Mr. Olson</w:t>
            </w:r>
          </w:p>
        </w:tc>
        <w:tc>
          <w:tcPr>
            <w:tcW w:w="3580" w:type="dxa"/>
            <w:vAlign w:val="bottom"/>
          </w:tcPr>
          <w:p>
            <w:pPr>
              <w:jc w:val="right"/>
              <w:ind w:right="104"/>
              <w:spacing w:after="0"/>
              <w:rPr>
                <w:sz w:val="20"/>
                <w:szCs w:val="20"/>
                <w:color w:val="auto"/>
              </w:rPr>
            </w:pPr>
            <w:r>
              <w:rPr>
                <w:rFonts w:ascii="Arial" w:cs="Arial" w:eastAsia="Arial" w:hAnsi="Arial"/>
                <w:sz w:val="16"/>
                <w:szCs w:val="16"/>
                <w:color w:val="auto"/>
              </w:rPr>
              <w:t>1,060,000</w:t>
            </w:r>
          </w:p>
        </w:tc>
        <w:tc>
          <w:tcPr>
            <w:tcW w:w="2480" w:type="dxa"/>
            <w:vAlign w:val="bottom"/>
          </w:tcPr>
          <w:p>
            <w:pPr>
              <w:jc w:val="right"/>
              <w:ind w:right="44"/>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49"/>
        </w:trPr>
        <w:tc>
          <w:tcPr>
            <w:tcW w:w="2360" w:type="dxa"/>
            <w:vAlign w:val="bottom"/>
            <w:shd w:val="clear" w:color="auto" w:fill="D9D9D9"/>
          </w:tcPr>
          <w:p>
            <w:pPr>
              <w:spacing w:after="0"/>
              <w:rPr>
                <w:sz w:val="20"/>
                <w:szCs w:val="20"/>
                <w:color w:val="auto"/>
              </w:rPr>
            </w:pPr>
            <w:r>
              <w:rPr>
                <w:rFonts w:ascii="Arial" w:cs="Arial" w:eastAsia="Arial" w:hAnsi="Arial"/>
                <w:sz w:val="16"/>
                <w:szCs w:val="16"/>
                <w:color w:val="auto"/>
              </w:rPr>
              <w:t>Ms. Peterson</w:t>
            </w:r>
          </w:p>
        </w:tc>
        <w:tc>
          <w:tcPr>
            <w:tcW w:w="3580" w:type="dxa"/>
            <w:vAlign w:val="bottom"/>
            <w:shd w:val="clear" w:color="auto" w:fill="D9D9D9"/>
          </w:tcPr>
          <w:p>
            <w:pPr>
              <w:jc w:val="right"/>
              <w:ind w:right="104"/>
              <w:spacing w:after="0"/>
              <w:rPr>
                <w:sz w:val="20"/>
                <w:szCs w:val="20"/>
                <w:color w:val="auto"/>
              </w:rPr>
            </w:pPr>
            <w:r>
              <w:rPr>
                <w:rFonts w:ascii="Arial" w:cs="Arial" w:eastAsia="Arial" w:hAnsi="Arial"/>
                <w:sz w:val="16"/>
                <w:szCs w:val="16"/>
                <w:color w:val="auto"/>
              </w:rPr>
              <w:t>575,000</w:t>
            </w:r>
          </w:p>
        </w:tc>
        <w:tc>
          <w:tcPr>
            <w:tcW w:w="2480" w:type="dxa"/>
            <w:vAlign w:val="bottom"/>
            <w:shd w:val="clear" w:color="auto" w:fill="D9D9D9"/>
          </w:tcPr>
          <w:p>
            <w:pPr>
              <w:jc w:val="right"/>
              <w:ind w:right="44"/>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6"/>
                <w:szCs w:val="16"/>
                <w:color w:val="auto"/>
              </w:rPr>
              <w:t>Mr. Rodier</w:t>
            </w:r>
          </w:p>
        </w:tc>
        <w:tc>
          <w:tcPr>
            <w:tcW w:w="3580" w:type="dxa"/>
            <w:vAlign w:val="bottom"/>
          </w:tcPr>
          <w:p>
            <w:pPr>
              <w:jc w:val="right"/>
              <w:ind w:right="104"/>
              <w:spacing w:after="0"/>
              <w:rPr>
                <w:sz w:val="20"/>
                <w:szCs w:val="20"/>
                <w:color w:val="auto"/>
              </w:rPr>
            </w:pPr>
            <w:r>
              <w:rPr>
                <w:rFonts w:ascii="Arial" w:cs="Arial" w:eastAsia="Arial" w:hAnsi="Arial"/>
                <w:sz w:val="16"/>
                <w:szCs w:val="16"/>
                <w:color w:val="auto"/>
              </w:rPr>
              <w:t>525,000</w:t>
            </w:r>
          </w:p>
        </w:tc>
        <w:tc>
          <w:tcPr>
            <w:tcW w:w="2480" w:type="dxa"/>
            <w:vAlign w:val="bottom"/>
          </w:tcPr>
          <w:p>
            <w:pPr>
              <w:jc w:val="right"/>
              <w:ind w:right="44"/>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49"/>
        </w:trPr>
        <w:tc>
          <w:tcPr>
            <w:tcW w:w="2360" w:type="dxa"/>
            <w:vAlign w:val="bottom"/>
            <w:shd w:val="clear" w:color="auto" w:fill="D9D9D9"/>
          </w:tcPr>
          <w:p>
            <w:pPr>
              <w:spacing w:after="0"/>
              <w:rPr>
                <w:sz w:val="20"/>
                <w:szCs w:val="20"/>
                <w:color w:val="auto"/>
              </w:rPr>
            </w:pPr>
            <w:r>
              <w:rPr>
                <w:rFonts w:ascii="Arial" w:cs="Arial" w:eastAsia="Arial" w:hAnsi="Arial"/>
                <w:sz w:val="16"/>
                <w:szCs w:val="16"/>
                <w:color w:val="auto"/>
              </w:rPr>
              <w:t>Ms. Dahl</w:t>
            </w:r>
          </w:p>
        </w:tc>
        <w:tc>
          <w:tcPr>
            <w:tcW w:w="3580" w:type="dxa"/>
            <w:vAlign w:val="bottom"/>
            <w:shd w:val="clear" w:color="auto" w:fill="D9D9D9"/>
          </w:tcPr>
          <w:p>
            <w:pPr>
              <w:jc w:val="right"/>
              <w:ind w:right="104"/>
              <w:spacing w:after="0"/>
              <w:rPr>
                <w:sz w:val="20"/>
                <w:szCs w:val="20"/>
                <w:color w:val="auto"/>
              </w:rPr>
            </w:pPr>
            <w:r>
              <w:rPr>
                <w:rFonts w:ascii="Arial" w:cs="Arial" w:eastAsia="Arial" w:hAnsi="Arial"/>
                <w:sz w:val="16"/>
                <w:szCs w:val="16"/>
                <w:color w:val="auto"/>
              </w:rPr>
              <w:t>490,000</w:t>
            </w:r>
          </w:p>
        </w:tc>
        <w:tc>
          <w:tcPr>
            <w:tcW w:w="2480" w:type="dxa"/>
            <w:vAlign w:val="bottom"/>
            <w:shd w:val="clear" w:color="auto" w:fill="D9D9D9"/>
          </w:tcPr>
          <w:p>
            <w:pPr>
              <w:jc w:val="right"/>
              <w:ind w:right="44"/>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21"/>
        </w:trPr>
        <w:tc>
          <w:tcPr>
            <w:tcW w:w="2360" w:type="dxa"/>
            <w:vAlign w:val="bottom"/>
          </w:tcPr>
          <w:p>
            <w:pPr>
              <w:spacing w:after="0"/>
              <w:rPr>
                <w:sz w:val="20"/>
                <w:szCs w:val="20"/>
                <w:color w:val="auto"/>
              </w:rPr>
            </w:pPr>
            <w:r>
              <w:rPr>
                <w:rFonts w:ascii="Arial" w:cs="Arial" w:eastAsia="Arial" w:hAnsi="Arial"/>
                <w:sz w:val="16"/>
                <w:szCs w:val="16"/>
                <w:color w:val="auto"/>
              </w:rPr>
              <w:t>Mr. Hamilton</w:t>
            </w:r>
          </w:p>
        </w:tc>
        <w:tc>
          <w:tcPr>
            <w:tcW w:w="3580" w:type="dxa"/>
            <w:vAlign w:val="bottom"/>
          </w:tcPr>
          <w:p>
            <w:pPr>
              <w:jc w:val="right"/>
              <w:ind w:right="104"/>
              <w:spacing w:after="0"/>
              <w:rPr>
                <w:sz w:val="20"/>
                <w:szCs w:val="20"/>
                <w:color w:val="auto"/>
              </w:rPr>
            </w:pPr>
            <w:r>
              <w:rPr>
                <w:rFonts w:ascii="Arial" w:cs="Arial" w:eastAsia="Arial" w:hAnsi="Arial"/>
                <w:sz w:val="16"/>
                <w:szCs w:val="16"/>
                <w:color w:val="auto"/>
              </w:rPr>
              <w:t>437,000</w:t>
            </w:r>
          </w:p>
        </w:tc>
        <w:tc>
          <w:tcPr>
            <w:tcW w:w="2480" w:type="dxa"/>
            <w:vAlign w:val="bottom"/>
          </w:tcPr>
          <w:p>
            <w:pPr>
              <w:jc w:val="right"/>
              <w:ind w:right="44"/>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bl>
    <w:p>
      <w:pPr>
        <w:spacing w:after="0" w:line="124" w:lineRule="exact"/>
        <w:rPr>
          <w:sz w:val="20"/>
          <w:szCs w:val="20"/>
          <w:color w:val="auto"/>
        </w:rPr>
      </w:pPr>
    </w:p>
    <w:p>
      <w:pPr>
        <w:ind w:right="20" w:firstLine="401"/>
        <w:spacing w:after="0" w:line="233" w:lineRule="auto"/>
        <w:rPr>
          <w:sz w:val="20"/>
          <w:szCs w:val="20"/>
          <w:color w:val="auto"/>
        </w:rPr>
      </w:pPr>
      <w:r>
        <w:rPr>
          <w:rFonts w:ascii="Arial" w:cs="Arial" w:eastAsia="Arial" w:hAnsi="Arial"/>
          <w:sz w:val="18"/>
          <w:szCs w:val="18"/>
          <w:color w:val="auto"/>
        </w:rPr>
        <w:t>On November 1, 2020, the beginning of our fiscal year, annual base salaries for all named executive officers were restored to the level at which they had been prior to reductions that went into effect in March 2020. Those reductions were 30% for Mr. Olson and 20% for all other named executive officers. At its December 2020 meeting, the Compensation &amp; Human Resources Committee established base salaries for all named executive officers that were effective as of March 1, 2021; previously base salaries were effective as of the beginning of November. This change was made to align the timing of base salary adjustments for executive officers with the general timing of base salary adjustments for the company’s office salaried employees.</w:t>
      </w:r>
    </w:p>
    <w:p>
      <w:pPr>
        <w:spacing w:after="0" w:line="97" w:lineRule="exact"/>
        <w:rPr>
          <w:sz w:val="20"/>
          <w:szCs w:val="20"/>
          <w:color w:val="auto"/>
        </w:rPr>
      </w:pPr>
    </w:p>
    <w:p>
      <w:pPr>
        <w:ind w:firstLine="401"/>
        <w:spacing w:after="0" w:line="235" w:lineRule="auto"/>
        <w:rPr>
          <w:sz w:val="20"/>
          <w:szCs w:val="20"/>
          <w:color w:val="auto"/>
        </w:rPr>
      </w:pPr>
      <w:r>
        <w:rPr>
          <w:rFonts w:ascii="Arial" w:cs="Arial" w:eastAsia="Arial" w:hAnsi="Arial"/>
          <w:sz w:val="18"/>
          <w:szCs w:val="18"/>
          <w:color w:val="auto"/>
        </w:rPr>
        <w:t>Base salary levels and increases for the named executive officers were reflective of all the factors described previously and all resulting base salaries are within 10% of the market 50</w:t>
      </w:r>
      <w:r>
        <w:rPr>
          <w:rFonts w:ascii="Arial" w:cs="Arial" w:eastAsia="Arial" w:hAnsi="Arial"/>
          <w:sz w:val="15"/>
          <w:szCs w:val="15"/>
          <w:color w:val="auto"/>
        </w:rPr>
        <w:t>th</w:t>
      </w:r>
      <w:r>
        <w:rPr>
          <w:rFonts w:ascii="Arial" w:cs="Arial" w:eastAsia="Arial" w:hAnsi="Arial"/>
          <w:sz w:val="18"/>
          <w:szCs w:val="18"/>
          <w:color w:val="auto"/>
        </w:rPr>
        <w:t xml:space="preserve"> percentile. Additionally, when determining the percent increases, some consideration was given to the fact that executive officers had been subject to previous reductions and that the effective date of the annual increase for fiscal 2021 and going forward was moved from November to March.</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Annual Cash Incentives.</w:t>
      </w:r>
    </w:p>
    <w:p>
      <w:pPr>
        <w:spacing w:after="0" w:line="103" w:lineRule="exact"/>
        <w:rPr>
          <w:sz w:val="20"/>
          <w:szCs w:val="20"/>
          <w:color w:val="auto"/>
        </w:rPr>
      </w:pPr>
    </w:p>
    <w:p>
      <w:pPr>
        <w:ind w:right="100" w:firstLine="401"/>
        <w:spacing w:after="0" w:line="244"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To help ensure we meet our compensation program objective of linking pay to performance, we provide the opportunity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to earn an annual cash incentive, which is designed to motivate attainment and reward accomplishment of annual financial goals. This is done by establishing financial goals that link to our annual financial plan.</w:t>
      </w:r>
    </w:p>
    <w:p>
      <w:pPr>
        <w:spacing w:after="0" w:line="91" w:lineRule="exact"/>
        <w:rPr>
          <w:sz w:val="20"/>
          <w:szCs w:val="20"/>
          <w:color w:val="auto"/>
        </w:rPr>
      </w:pPr>
    </w:p>
    <w:p>
      <w:pPr>
        <w:ind w:right="40" w:firstLine="401"/>
        <w:spacing w:after="0" w:line="246" w:lineRule="auto"/>
        <w:rPr>
          <w:sz w:val="20"/>
          <w:szCs w:val="20"/>
          <w:color w:val="auto"/>
        </w:rPr>
      </w:pPr>
      <w:r>
        <w:rPr>
          <w:rFonts w:ascii="Arial" w:cs="Arial" w:eastAsia="Arial" w:hAnsi="Arial"/>
          <w:sz w:val="17"/>
          <w:szCs w:val="17"/>
          <w:color w:val="auto"/>
        </w:rPr>
        <w:t>At the beginning of each fiscal year, during its regular meeting held in November or December, the Compensation &amp; Human Resources Committee approves a target award expressed as a percentage of base salary for each executive officer. Additionally, the Committee approves specific performance measures, weightings, goals and performance adjustment events, if any, at the corporate and division and/or business level for the fiscal year. The performance measures are derived from a list of performance measures included in our 2010 Plan. For each performance measure, a threshold, target and maximum level of performance is defined, which have corresponding payout percentages. During the fiscal year, the Committee reviews progress against the pre-established goals. In addition, as needed during the fiscal year, the Committee reviews significant events that have occurred at our Company and assesses whether such events necessitate a change in target awards or performance measures, weightings and goals for any annual cash incentive award granted to our executive officers. Following the end of the fiscal year, at the Committee’s regular meeting held in November or December, Management presents a summary of, and the Committee certifies, actual performance as compared to the pre-established goals along with a corresponding payout percentage, which is expressed as a percent of target performance. Annual cash incentive awards are paid out to the executive officers in December.</w:t>
      </w:r>
    </w:p>
    <w:p>
      <w:pPr>
        <w:spacing w:after="0" w:line="78" w:lineRule="exact"/>
        <w:rPr>
          <w:sz w:val="20"/>
          <w:szCs w:val="20"/>
          <w:color w:val="auto"/>
        </w:rPr>
      </w:pPr>
    </w:p>
    <w:p>
      <w:pPr>
        <w:ind w:right="100" w:firstLine="401"/>
        <w:spacing w:after="0" w:line="234" w:lineRule="auto"/>
        <w:rPr>
          <w:sz w:val="20"/>
          <w:szCs w:val="20"/>
          <w:color w:val="auto"/>
        </w:rPr>
      </w:pPr>
      <w:r>
        <w:rPr>
          <w:rFonts w:ascii="Arial" w:cs="Arial" w:eastAsia="Arial" w:hAnsi="Arial"/>
          <w:sz w:val="18"/>
          <w:szCs w:val="18"/>
          <w:i w:val="1"/>
          <w:iCs w:val="1"/>
          <w:color w:val="auto"/>
        </w:rPr>
        <w:t>Target Awards</w:t>
      </w:r>
      <w:r>
        <w:rPr>
          <w:rFonts w:ascii="Arial" w:cs="Arial" w:eastAsia="Arial" w:hAnsi="Arial"/>
          <w:sz w:val="18"/>
          <w:szCs w:val="18"/>
          <w:color w:val="auto"/>
        </w:rPr>
        <w:t>. When determining the target award for each executive officer, the Committee reviews the market 50</w:t>
      </w:r>
      <w:r>
        <w:rPr>
          <w:rFonts w:ascii="Arial" w:cs="Arial" w:eastAsia="Arial" w:hAnsi="Arial"/>
          <w:sz w:val="15"/>
          <w:szCs w:val="15"/>
          <w:color w:val="auto"/>
        </w:rPr>
        <w:t>th</w:t>
      </w:r>
      <w:r>
        <w:rPr>
          <w:rFonts w:ascii="Arial" w:cs="Arial" w:eastAsia="Arial" w:hAnsi="Arial"/>
          <w:sz w:val="18"/>
          <w:szCs w:val="18"/>
          <w:i w:val="1"/>
          <w:iCs w:val="1"/>
          <w:color w:val="auto"/>
        </w:rPr>
        <w:t xml:space="preserve"> </w:t>
      </w:r>
      <w:r>
        <w:rPr>
          <w:rFonts w:ascii="Arial" w:cs="Arial" w:eastAsia="Arial" w:hAnsi="Arial"/>
          <w:sz w:val="18"/>
          <w:szCs w:val="18"/>
          <w:color w:val="auto"/>
        </w:rPr>
        <w:t>percentile for</w:t>
      </w:r>
      <w:r>
        <w:rPr>
          <w:rFonts w:ascii="Arial" w:cs="Arial" w:eastAsia="Arial" w:hAnsi="Arial"/>
          <w:sz w:val="18"/>
          <w:szCs w:val="18"/>
          <w:i w:val="1"/>
          <w:iCs w:val="1"/>
          <w:color w:val="auto"/>
        </w:rPr>
        <w:t xml:space="preserve"> </w:t>
      </w:r>
      <w:r>
        <w:rPr>
          <w:rFonts w:ascii="Arial" w:cs="Arial" w:eastAsia="Arial" w:hAnsi="Arial"/>
          <w:sz w:val="18"/>
          <w:szCs w:val="18"/>
          <w:color w:val="auto"/>
        </w:rPr>
        <w:t>target total cash compensation (sum of base salary and target annual cash incentive) for the position in which such executive officer serves. Our objective is that when we achieve target levels of performance for each measure, resulting total cash compensation paid to our executive officers is within a reasonable range of the market 50</w:t>
      </w:r>
      <w:r>
        <w:rPr>
          <w:rFonts w:ascii="Arial" w:cs="Arial" w:eastAsia="Arial" w:hAnsi="Arial"/>
          <w:sz w:val="15"/>
          <w:szCs w:val="15"/>
          <w:color w:val="auto"/>
        </w:rPr>
        <w:t>th</w:t>
      </w:r>
      <w:r>
        <w:rPr>
          <w:rFonts w:ascii="Arial" w:cs="Arial" w:eastAsia="Arial" w:hAnsi="Arial"/>
          <w:sz w:val="18"/>
          <w:szCs w:val="18"/>
          <w:color w:val="auto"/>
        </w:rPr>
        <w:t xml:space="preserve"> percentile. Actual total cash compensation will generally exceed the market 50</w:t>
      </w:r>
      <w:r>
        <w:rPr>
          <w:rFonts w:ascii="Arial" w:cs="Arial" w:eastAsia="Arial" w:hAnsi="Arial"/>
          <w:sz w:val="15"/>
          <w:szCs w:val="15"/>
          <w:color w:val="auto"/>
        </w:rPr>
        <w:t>th</w:t>
      </w:r>
      <w:r>
        <w:rPr>
          <w:rFonts w:ascii="Arial" w:cs="Arial" w:eastAsia="Arial" w:hAnsi="Arial"/>
          <w:sz w:val="18"/>
          <w:szCs w:val="18"/>
          <w:color w:val="auto"/>
        </w:rPr>
        <w:t xml:space="preserve"> percentile if actual performance for each measure exceeds the pre-established target annual financial goals and will generally be less than the market 50</w:t>
      </w:r>
      <w:r>
        <w:rPr>
          <w:rFonts w:ascii="Arial" w:cs="Arial" w:eastAsia="Arial" w:hAnsi="Arial"/>
          <w:sz w:val="15"/>
          <w:szCs w:val="15"/>
          <w:color w:val="auto"/>
        </w:rPr>
        <w:t>th</w:t>
      </w:r>
      <w:r>
        <w:rPr>
          <w:rFonts w:ascii="Arial" w:cs="Arial" w:eastAsia="Arial" w:hAnsi="Arial"/>
          <w:sz w:val="18"/>
          <w:szCs w:val="18"/>
          <w:color w:val="auto"/>
        </w:rPr>
        <w:t xml:space="preserve"> percentile if actual performance for each measure is below the pre-established target annual financial goals. In addition to considering the market data, the Committee also considers experience, tenure, scope and complexity of the executive officer’s position, individual contributions and performance, as well as internal pay equity. Actual awards can range from 0% (if threshold levels of performance are not met) to 200% of the target award (if maximum levels of performance are met for all of the performance measures) and the resulting competitiveness of total cash compensation will also vary accordingly.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98" w:lineRule="exact"/>
        <w:rPr>
          <w:sz w:val="20"/>
          <w:szCs w:val="20"/>
          <w:color w:val="auto"/>
        </w:rPr>
      </w:pPr>
    </w:p>
    <w:p>
      <w:pPr>
        <w:ind w:right="360" w:firstLine="401"/>
        <w:spacing w:after="0" w:line="238" w:lineRule="auto"/>
        <w:rPr>
          <w:sz w:val="20"/>
          <w:szCs w:val="20"/>
          <w:color w:val="auto"/>
        </w:rPr>
      </w:pPr>
      <w:r>
        <w:rPr>
          <w:rFonts w:ascii="Arial" w:cs="Arial" w:eastAsia="Arial" w:hAnsi="Arial"/>
          <w:sz w:val="18"/>
          <w:szCs w:val="18"/>
          <w:color w:val="auto"/>
        </w:rPr>
        <w:t>In December 2020, the Committee approved the fiscal 2021 target awards for our named executive officers. Those target awards, any change in the target award percentage, the resulting cash incentive award and target total cash compensation are provided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700" w:type="dxa"/>
            <w:vAlign w:val="bottom"/>
            <w:shd w:val="clear" w:color="auto" w:fill="C00000"/>
          </w:tcPr>
          <w:p>
            <w:pPr>
              <w:spacing w:after="0"/>
              <w:rPr>
                <w:sz w:val="14"/>
                <w:szCs w:val="14"/>
                <w:color w:val="auto"/>
              </w:rPr>
            </w:pPr>
          </w:p>
        </w:tc>
        <w:tc>
          <w:tcPr>
            <w:tcW w:w="2340" w:type="dxa"/>
            <w:vAlign w:val="bottom"/>
            <w:shd w:val="clear" w:color="auto" w:fill="C00000"/>
          </w:tcPr>
          <w:p>
            <w:pPr>
              <w:spacing w:after="0"/>
              <w:rPr>
                <w:sz w:val="14"/>
                <w:szCs w:val="14"/>
                <w:color w:val="auto"/>
              </w:rPr>
            </w:pPr>
          </w:p>
        </w:tc>
        <w:tc>
          <w:tcPr>
            <w:tcW w:w="1900" w:type="dxa"/>
            <w:vAlign w:val="bottom"/>
            <w:shd w:val="clear" w:color="auto" w:fill="C00000"/>
          </w:tcPr>
          <w:p>
            <w:pPr>
              <w:spacing w:after="0"/>
              <w:rPr>
                <w:sz w:val="14"/>
                <w:szCs w:val="14"/>
                <w:color w:val="auto"/>
              </w:rPr>
            </w:pPr>
          </w:p>
        </w:tc>
        <w:tc>
          <w:tcPr>
            <w:tcW w:w="1580" w:type="dxa"/>
            <w:vAlign w:val="bottom"/>
            <w:shd w:val="clear" w:color="auto" w:fill="C00000"/>
          </w:tcPr>
          <w:p>
            <w:pPr>
              <w:jc w:val="center"/>
              <w:ind w:right="248"/>
              <w:spacing w:after="0"/>
              <w:rPr>
                <w:sz w:val="20"/>
                <w:szCs w:val="20"/>
                <w:color w:val="auto"/>
              </w:rPr>
            </w:pPr>
            <w:r>
              <w:rPr>
                <w:rFonts w:ascii="Arial" w:cs="Arial" w:eastAsia="Arial" w:hAnsi="Arial"/>
                <w:sz w:val="12"/>
                <w:szCs w:val="12"/>
                <w:b w:val="1"/>
                <w:bCs w:val="1"/>
                <w:color w:val="FFFFFF"/>
              </w:rPr>
              <w:t>Fiscal 2021</w:t>
            </w:r>
          </w:p>
        </w:tc>
        <w:tc>
          <w:tcPr>
            <w:tcW w:w="2040" w:type="dxa"/>
            <w:vAlign w:val="bottom"/>
            <w:shd w:val="clear" w:color="auto" w:fill="C00000"/>
          </w:tcPr>
          <w:p>
            <w:pPr>
              <w:jc w:val="center"/>
              <w:ind w:right="268"/>
              <w:spacing w:after="0"/>
              <w:rPr>
                <w:sz w:val="20"/>
                <w:szCs w:val="20"/>
                <w:color w:val="auto"/>
              </w:rPr>
            </w:pPr>
            <w:r>
              <w:rPr>
                <w:rFonts w:ascii="Arial" w:cs="Arial" w:eastAsia="Arial" w:hAnsi="Arial"/>
                <w:sz w:val="12"/>
                <w:szCs w:val="12"/>
                <w:b w:val="1"/>
                <w:bCs w:val="1"/>
                <w:color w:val="FFFFFF"/>
              </w:rPr>
              <w:t>Fiscal 2021</w:t>
            </w:r>
          </w:p>
        </w:tc>
        <w:tc>
          <w:tcPr>
            <w:tcW w:w="1680" w:type="dxa"/>
            <w:vAlign w:val="bottom"/>
            <w:shd w:val="clear" w:color="auto" w:fill="C00000"/>
          </w:tcPr>
          <w:p>
            <w:pPr>
              <w:jc w:val="center"/>
              <w:ind w:right="28"/>
              <w:spacing w:after="0"/>
              <w:rPr>
                <w:sz w:val="20"/>
                <w:szCs w:val="20"/>
                <w:color w:val="auto"/>
              </w:rPr>
            </w:pPr>
            <w:r>
              <w:rPr>
                <w:rFonts w:ascii="Arial" w:cs="Arial" w:eastAsia="Arial" w:hAnsi="Arial"/>
                <w:sz w:val="12"/>
                <w:szCs w:val="12"/>
                <w:b w:val="1"/>
                <w:bCs w:val="1"/>
                <w:color w:val="FFFFFF"/>
              </w:rPr>
              <w:t>Fiscal 2021</w:t>
            </w:r>
          </w:p>
        </w:tc>
      </w:tr>
      <w:tr>
        <w:trPr>
          <w:trHeight w:val="146"/>
        </w:trPr>
        <w:tc>
          <w:tcPr>
            <w:tcW w:w="1700" w:type="dxa"/>
            <w:vAlign w:val="bottom"/>
            <w:shd w:val="clear" w:color="auto" w:fill="C00000"/>
          </w:tcPr>
          <w:p>
            <w:pPr>
              <w:spacing w:after="0"/>
              <w:rPr>
                <w:sz w:val="12"/>
                <w:szCs w:val="12"/>
                <w:color w:val="auto"/>
              </w:rPr>
            </w:pPr>
          </w:p>
        </w:tc>
        <w:tc>
          <w:tcPr>
            <w:tcW w:w="2340" w:type="dxa"/>
            <w:vAlign w:val="bottom"/>
            <w:shd w:val="clear" w:color="auto" w:fill="C00000"/>
          </w:tcPr>
          <w:p>
            <w:pPr>
              <w:jc w:val="center"/>
              <w:ind w:left="367"/>
              <w:spacing w:after="0"/>
              <w:rPr>
                <w:sz w:val="20"/>
                <w:szCs w:val="20"/>
                <w:color w:val="auto"/>
              </w:rPr>
            </w:pPr>
            <w:r>
              <w:rPr>
                <w:rFonts w:ascii="Arial" w:cs="Arial" w:eastAsia="Arial" w:hAnsi="Arial"/>
                <w:sz w:val="12"/>
                <w:szCs w:val="12"/>
                <w:b w:val="1"/>
                <w:bCs w:val="1"/>
                <w:color w:val="FFFFFF"/>
              </w:rPr>
              <w:t>Fiscal 2021</w:t>
            </w:r>
          </w:p>
        </w:tc>
        <w:tc>
          <w:tcPr>
            <w:tcW w:w="1900" w:type="dxa"/>
            <w:vAlign w:val="bottom"/>
            <w:shd w:val="clear" w:color="auto" w:fill="C00000"/>
          </w:tcPr>
          <w:p>
            <w:pPr>
              <w:jc w:val="center"/>
              <w:ind w:right="247"/>
              <w:spacing w:after="0"/>
              <w:rPr>
                <w:sz w:val="20"/>
                <w:szCs w:val="20"/>
                <w:color w:val="auto"/>
              </w:rPr>
            </w:pPr>
            <w:r>
              <w:rPr>
                <w:rFonts w:ascii="Arial" w:cs="Arial" w:eastAsia="Arial" w:hAnsi="Arial"/>
                <w:sz w:val="12"/>
                <w:szCs w:val="12"/>
                <w:b w:val="1"/>
                <w:bCs w:val="1"/>
                <w:color w:val="FFFFFF"/>
              </w:rPr>
              <w:t>Fiscal 2021</w:t>
            </w:r>
          </w:p>
        </w:tc>
        <w:tc>
          <w:tcPr>
            <w:tcW w:w="1580" w:type="dxa"/>
            <w:vAlign w:val="bottom"/>
            <w:shd w:val="clear" w:color="auto" w:fill="C00000"/>
          </w:tcPr>
          <w:p>
            <w:pPr>
              <w:jc w:val="center"/>
              <w:ind w:right="248"/>
              <w:spacing w:after="0"/>
              <w:rPr>
                <w:sz w:val="20"/>
                <w:szCs w:val="20"/>
                <w:color w:val="auto"/>
              </w:rPr>
            </w:pPr>
            <w:r>
              <w:rPr>
                <w:rFonts w:ascii="Arial" w:cs="Arial" w:eastAsia="Arial" w:hAnsi="Arial"/>
                <w:sz w:val="12"/>
                <w:szCs w:val="12"/>
                <w:b w:val="1"/>
                <w:bCs w:val="1"/>
                <w:color w:val="FFFFFF"/>
              </w:rPr>
              <w:t>Target Award</w:t>
            </w:r>
          </w:p>
        </w:tc>
        <w:tc>
          <w:tcPr>
            <w:tcW w:w="2040" w:type="dxa"/>
            <w:vAlign w:val="bottom"/>
            <w:shd w:val="clear" w:color="auto" w:fill="C00000"/>
          </w:tcPr>
          <w:p>
            <w:pPr>
              <w:jc w:val="center"/>
              <w:ind w:right="268"/>
              <w:spacing w:after="0"/>
              <w:rPr>
                <w:sz w:val="20"/>
                <w:szCs w:val="20"/>
                <w:color w:val="auto"/>
              </w:rPr>
            </w:pPr>
            <w:r>
              <w:rPr>
                <w:rFonts w:ascii="Arial" w:cs="Arial" w:eastAsia="Arial" w:hAnsi="Arial"/>
                <w:sz w:val="12"/>
                <w:szCs w:val="12"/>
                <w:b w:val="1"/>
                <w:bCs w:val="1"/>
                <w:color w:val="FFFFFF"/>
              </w:rPr>
              <w:t>Target Annual Cash</w:t>
            </w:r>
          </w:p>
        </w:tc>
        <w:tc>
          <w:tcPr>
            <w:tcW w:w="1680" w:type="dxa"/>
            <w:vAlign w:val="bottom"/>
            <w:shd w:val="clear" w:color="auto" w:fill="C00000"/>
          </w:tcPr>
          <w:p>
            <w:pPr>
              <w:jc w:val="center"/>
              <w:ind w:right="8"/>
              <w:spacing w:after="0"/>
              <w:rPr>
                <w:sz w:val="20"/>
                <w:szCs w:val="20"/>
                <w:color w:val="auto"/>
              </w:rPr>
            </w:pPr>
            <w:r>
              <w:rPr>
                <w:rFonts w:ascii="Arial" w:cs="Arial" w:eastAsia="Arial" w:hAnsi="Arial"/>
                <w:sz w:val="12"/>
                <w:szCs w:val="12"/>
                <w:b w:val="1"/>
                <w:bCs w:val="1"/>
                <w:color w:val="FFFFFF"/>
              </w:rPr>
              <w:t>Target Total Cash</w:t>
            </w:r>
          </w:p>
        </w:tc>
      </w:tr>
      <w:tr>
        <w:trPr>
          <w:trHeight w:val="146"/>
        </w:trPr>
        <w:tc>
          <w:tcPr>
            <w:tcW w:w="1700" w:type="dxa"/>
            <w:vAlign w:val="bottom"/>
            <w:shd w:val="clear" w:color="auto" w:fill="C00000"/>
          </w:tcPr>
          <w:p>
            <w:pPr>
              <w:spacing w:after="0"/>
              <w:rPr>
                <w:sz w:val="12"/>
                <w:szCs w:val="12"/>
                <w:color w:val="auto"/>
              </w:rPr>
            </w:pPr>
          </w:p>
        </w:tc>
        <w:tc>
          <w:tcPr>
            <w:tcW w:w="2340" w:type="dxa"/>
            <w:vAlign w:val="bottom"/>
            <w:shd w:val="clear" w:color="auto" w:fill="C00000"/>
          </w:tcPr>
          <w:p>
            <w:pPr>
              <w:jc w:val="center"/>
              <w:ind w:left="367"/>
              <w:spacing w:after="0"/>
              <w:rPr>
                <w:sz w:val="20"/>
                <w:szCs w:val="20"/>
                <w:color w:val="auto"/>
              </w:rPr>
            </w:pPr>
            <w:r>
              <w:rPr>
                <w:rFonts w:ascii="Arial" w:cs="Arial" w:eastAsia="Arial" w:hAnsi="Arial"/>
                <w:sz w:val="12"/>
                <w:szCs w:val="12"/>
                <w:b w:val="1"/>
                <w:bCs w:val="1"/>
                <w:color w:val="FFFFFF"/>
              </w:rPr>
              <w:t>Base Salary Earnings</w:t>
            </w:r>
          </w:p>
        </w:tc>
        <w:tc>
          <w:tcPr>
            <w:tcW w:w="1900" w:type="dxa"/>
            <w:vAlign w:val="bottom"/>
            <w:shd w:val="clear" w:color="auto" w:fill="C00000"/>
          </w:tcPr>
          <w:p>
            <w:pPr>
              <w:jc w:val="center"/>
              <w:ind w:right="267"/>
              <w:spacing w:after="0"/>
              <w:rPr>
                <w:sz w:val="20"/>
                <w:szCs w:val="20"/>
                <w:color w:val="auto"/>
              </w:rPr>
            </w:pPr>
            <w:r>
              <w:rPr>
                <w:rFonts w:ascii="Arial" w:cs="Arial" w:eastAsia="Arial" w:hAnsi="Arial"/>
                <w:sz w:val="12"/>
                <w:szCs w:val="12"/>
                <w:b w:val="1"/>
                <w:bCs w:val="1"/>
                <w:color w:val="FFFFFF"/>
              </w:rPr>
              <w:t>Award at Target</w:t>
            </w:r>
          </w:p>
        </w:tc>
        <w:tc>
          <w:tcPr>
            <w:tcW w:w="1580" w:type="dxa"/>
            <w:vAlign w:val="bottom"/>
            <w:shd w:val="clear" w:color="auto" w:fill="C00000"/>
          </w:tcPr>
          <w:p>
            <w:pPr>
              <w:jc w:val="center"/>
              <w:ind w:right="248"/>
              <w:spacing w:after="0"/>
              <w:rPr>
                <w:sz w:val="20"/>
                <w:szCs w:val="20"/>
                <w:color w:val="auto"/>
              </w:rPr>
            </w:pPr>
            <w:r>
              <w:rPr>
                <w:rFonts w:ascii="Arial" w:cs="Arial" w:eastAsia="Arial" w:hAnsi="Arial"/>
                <w:sz w:val="12"/>
                <w:szCs w:val="12"/>
                <w:b w:val="1"/>
                <w:bCs w:val="1"/>
                <w:color w:val="FFFFFF"/>
              </w:rPr>
              <w:t>Percentage</w:t>
            </w:r>
          </w:p>
        </w:tc>
        <w:tc>
          <w:tcPr>
            <w:tcW w:w="2040" w:type="dxa"/>
            <w:vAlign w:val="bottom"/>
            <w:shd w:val="clear" w:color="auto" w:fill="C00000"/>
          </w:tcPr>
          <w:p>
            <w:pPr>
              <w:jc w:val="center"/>
              <w:ind w:right="268"/>
              <w:spacing w:after="0"/>
              <w:rPr>
                <w:sz w:val="20"/>
                <w:szCs w:val="20"/>
                <w:color w:val="auto"/>
              </w:rPr>
            </w:pPr>
            <w:r>
              <w:rPr>
                <w:rFonts w:ascii="Arial" w:cs="Arial" w:eastAsia="Arial" w:hAnsi="Arial"/>
                <w:sz w:val="12"/>
                <w:szCs w:val="12"/>
                <w:b w:val="1"/>
                <w:bCs w:val="1"/>
                <w:color w:val="FFFFFF"/>
              </w:rPr>
              <w:t>Incentive Award</w:t>
            </w:r>
          </w:p>
        </w:tc>
        <w:tc>
          <w:tcPr>
            <w:tcW w:w="1680" w:type="dxa"/>
            <w:vAlign w:val="bottom"/>
            <w:shd w:val="clear" w:color="auto" w:fill="C00000"/>
          </w:tcPr>
          <w:p>
            <w:pPr>
              <w:jc w:val="center"/>
              <w:ind w:right="28"/>
              <w:spacing w:after="0"/>
              <w:rPr>
                <w:sz w:val="20"/>
                <w:szCs w:val="20"/>
                <w:color w:val="auto"/>
              </w:rPr>
            </w:pPr>
            <w:r>
              <w:rPr>
                <w:rFonts w:ascii="Arial" w:cs="Arial" w:eastAsia="Arial" w:hAnsi="Arial"/>
                <w:sz w:val="12"/>
                <w:szCs w:val="12"/>
                <w:b w:val="1"/>
                <w:bCs w:val="1"/>
                <w:color w:val="FFFFFF"/>
              </w:rPr>
              <w:t>Compensation</w:t>
            </w:r>
          </w:p>
        </w:tc>
      </w:tr>
      <w:tr>
        <w:trPr>
          <w:trHeight w:val="179"/>
        </w:trPr>
        <w:tc>
          <w:tcPr>
            <w:tcW w:w="1700" w:type="dxa"/>
            <w:vAlign w:val="bottom"/>
            <w:shd w:val="clear" w:color="auto" w:fill="C00000"/>
          </w:tcPr>
          <w:p>
            <w:pPr>
              <w:spacing w:after="0"/>
              <w:rPr>
                <w:sz w:val="20"/>
                <w:szCs w:val="20"/>
                <w:color w:val="auto"/>
              </w:rPr>
            </w:pPr>
            <w:r>
              <w:rPr>
                <w:rFonts w:ascii="Arial" w:cs="Arial" w:eastAsia="Arial" w:hAnsi="Arial"/>
                <w:sz w:val="12"/>
                <w:szCs w:val="12"/>
                <w:b w:val="1"/>
                <w:bCs w:val="1"/>
                <w:color w:val="FFFFFF"/>
              </w:rPr>
              <w:t>Name</w:t>
            </w:r>
          </w:p>
        </w:tc>
        <w:tc>
          <w:tcPr>
            <w:tcW w:w="2340" w:type="dxa"/>
            <w:vAlign w:val="bottom"/>
            <w:shd w:val="clear" w:color="auto" w:fill="C00000"/>
          </w:tcPr>
          <w:p>
            <w:pPr>
              <w:jc w:val="center"/>
              <w:ind w:left="347"/>
              <w:spacing w:after="0"/>
              <w:rPr>
                <w:sz w:val="20"/>
                <w:szCs w:val="20"/>
                <w:color w:val="auto"/>
              </w:rPr>
            </w:pPr>
            <w:r>
              <w:rPr>
                <w:rFonts w:ascii="Arial" w:cs="Arial" w:eastAsia="Arial" w:hAnsi="Arial"/>
                <w:sz w:val="12"/>
                <w:szCs w:val="12"/>
                <w:b w:val="1"/>
                <w:bCs w:val="1"/>
                <w:color w:val="FFFFFF"/>
              </w:rPr>
              <w:t>($)</w:t>
            </w:r>
          </w:p>
        </w:tc>
        <w:tc>
          <w:tcPr>
            <w:tcW w:w="1900" w:type="dxa"/>
            <w:vAlign w:val="bottom"/>
            <w:shd w:val="clear" w:color="auto" w:fill="C00000"/>
          </w:tcPr>
          <w:p>
            <w:pPr>
              <w:jc w:val="center"/>
              <w:ind w:right="247"/>
              <w:spacing w:after="0"/>
              <w:rPr>
                <w:sz w:val="20"/>
                <w:szCs w:val="20"/>
                <w:color w:val="auto"/>
              </w:rPr>
            </w:pPr>
            <w:r>
              <w:rPr>
                <w:rFonts w:ascii="Arial" w:cs="Arial" w:eastAsia="Arial" w:hAnsi="Arial"/>
                <w:sz w:val="12"/>
                <w:szCs w:val="12"/>
                <w:b w:val="1"/>
                <w:bCs w:val="1"/>
                <w:color w:val="FFFFFF"/>
              </w:rPr>
              <w:t>(% of base salary)</w:t>
            </w:r>
          </w:p>
        </w:tc>
        <w:tc>
          <w:tcPr>
            <w:tcW w:w="1580" w:type="dxa"/>
            <w:vAlign w:val="bottom"/>
            <w:shd w:val="clear" w:color="auto" w:fill="C00000"/>
          </w:tcPr>
          <w:p>
            <w:pPr>
              <w:jc w:val="center"/>
              <w:ind w:right="248"/>
              <w:spacing w:after="0"/>
              <w:rPr>
                <w:sz w:val="20"/>
                <w:szCs w:val="20"/>
                <w:color w:val="auto"/>
              </w:rPr>
            </w:pPr>
            <w:r>
              <w:rPr>
                <w:rFonts w:ascii="Arial" w:cs="Arial" w:eastAsia="Arial" w:hAnsi="Arial"/>
                <w:sz w:val="12"/>
                <w:szCs w:val="12"/>
                <w:b w:val="1"/>
                <w:bCs w:val="1"/>
                <w:color w:val="FFFFFF"/>
              </w:rPr>
              <w:t>Change</w:t>
            </w:r>
          </w:p>
        </w:tc>
        <w:tc>
          <w:tcPr>
            <w:tcW w:w="2040" w:type="dxa"/>
            <w:vAlign w:val="bottom"/>
            <w:shd w:val="clear" w:color="auto" w:fill="C00000"/>
          </w:tcPr>
          <w:p>
            <w:pPr>
              <w:jc w:val="center"/>
              <w:ind w:right="268"/>
              <w:spacing w:after="0"/>
              <w:rPr>
                <w:sz w:val="20"/>
                <w:szCs w:val="20"/>
                <w:color w:val="auto"/>
              </w:rPr>
            </w:pPr>
            <w:r>
              <w:rPr>
                <w:rFonts w:ascii="Arial" w:cs="Arial" w:eastAsia="Arial" w:hAnsi="Arial"/>
                <w:sz w:val="12"/>
                <w:szCs w:val="12"/>
                <w:b w:val="1"/>
                <w:bCs w:val="1"/>
                <w:color w:val="FFFFFF"/>
                <w:w w:val="95"/>
              </w:rPr>
              <w:t>($)</w:t>
            </w:r>
          </w:p>
        </w:tc>
        <w:tc>
          <w:tcPr>
            <w:tcW w:w="1680" w:type="dxa"/>
            <w:vAlign w:val="bottom"/>
            <w:shd w:val="clear" w:color="auto" w:fill="C00000"/>
          </w:tcPr>
          <w:p>
            <w:pPr>
              <w:jc w:val="center"/>
              <w:ind w:right="8"/>
              <w:spacing w:after="0"/>
              <w:rPr>
                <w:sz w:val="20"/>
                <w:szCs w:val="20"/>
                <w:color w:val="auto"/>
              </w:rPr>
            </w:pPr>
            <w:r>
              <w:rPr>
                <w:rFonts w:ascii="Arial" w:cs="Arial" w:eastAsia="Arial" w:hAnsi="Arial"/>
                <w:sz w:val="12"/>
                <w:szCs w:val="12"/>
                <w:b w:val="1"/>
                <w:bCs w:val="1"/>
                <w:color w:val="FFFFFF"/>
              </w:rPr>
              <w:t>($)</w:t>
            </w:r>
          </w:p>
        </w:tc>
      </w:tr>
      <w:tr>
        <w:trPr>
          <w:trHeight w:val="230"/>
        </w:trPr>
        <w:tc>
          <w:tcPr>
            <w:tcW w:w="1700" w:type="dxa"/>
            <w:vAlign w:val="bottom"/>
          </w:tcPr>
          <w:p>
            <w:pPr>
              <w:spacing w:after="0"/>
              <w:rPr>
                <w:sz w:val="20"/>
                <w:szCs w:val="20"/>
                <w:color w:val="auto"/>
              </w:rPr>
            </w:pPr>
            <w:r>
              <w:rPr>
                <w:rFonts w:ascii="Arial" w:cs="Arial" w:eastAsia="Arial" w:hAnsi="Arial"/>
                <w:sz w:val="16"/>
                <w:szCs w:val="16"/>
                <w:color w:val="auto"/>
              </w:rPr>
              <w:t>Mr. Olson</w:t>
            </w:r>
          </w:p>
        </w:tc>
        <w:tc>
          <w:tcPr>
            <w:tcW w:w="2340" w:type="dxa"/>
            <w:vAlign w:val="bottom"/>
          </w:tcPr>
          <w:p>
            <w:pPr>
              <w:jc w:val="right"/>
              <w:ind w:right="207"/>
              <w:spacing w:after="0"/>
              <w:rPr>
                <w:sz w:val="20"/>
                <w:szCs w:val="20"/>
                <w:color w:val="auto"/>
              </w:rPr>
            </w:pPr>
            <w:r>
              <w:rPr>
                <w:rFonts w:ascii="Arial" w:cs="Arial" w:eastAsia="Arial" w:hAnsi="Arial"/>
                <w:sz w:val="16"/>
                <w:szCs w:val="16"/>
                <w:color w:val="auto"/>
              </w:rPr>
              <w:t>1,045,930</w:t>
            </w:r>
          </w:p>
        </w:tc>
        <w:tc>
          <w:tcPr>
            <w:tcW w:w="1900" w:type="dxa"/>
            <w:vAlign w:val="bottom"/>
          </w:tcPr>
          <w:p>
            <w:pPr>
              <w:jc w:val="right"/>
              <w:ind w:right="187"/>
              <w:spacing w:after="0"/>
              <w:rPr>
                <w:sz w:val="20"/>
                <w:szCs w:val="20"/>
                <w:color w:val="auto"/>
              </w:rPr>
            </w:pPr>
            <w:r>
              <w:rPr>
                <w:rFonts w:ascii="Arial" w:cs="Arial" w:eastAsia="Arial" w:hAnsi="Arial"/>
                <w:sz w:val="16"/>
                <w:szCs w:val="16"/>
                <w:color w:val="auto"/>
              </w:rPr>
              <w:t>120%</w:t>
            </w:r>
          </w:p>
        </w:tc>
        <w:tc>
          <w:tcPr>
            <w:tcW w:w="1580" w:type="dxa"/>
            <w:vAlign w:val="bottom"/>
          </w:tcPr>
          <w:p>
            <w:pPr>
              <w:jc w:val="right"/>
              <w:ind w:right="188"/>
              <w:spacing w:after="0"/>
              <w:rPr>
                <w:sz w:val="20"/>
                <w:szCs w:val="20"/>
                <w:color w:val="auto"/>
              </w:rPr>
            </w:pPr>
            <w:r>
              <w:rPr>
                <w:rFonts w:ascii="Arial" w:cs="Arial" w:eastAsia="Arial" w:hAnsi="Arial"/>
                <w:sz w:val="16"/>
                <w:szCs w:val="16"/>
                <w:color w:val="auto"/>
              </w:rPr>
              <w:t>+5%</w:t>
            </w:r>
          </w:p>
        </w:tc>
        <w:tc>
          <w:tcPr>
            <w:tcW w:w="2040" w:type="dxa"/>
            <w:vAlign w:val="bottom"/>
          </w:tcPr>
          <w:p>
            <w:pPr>
              <w:jc w:val="right"/>
              <w:ind w:right="208"/>
              <w:spacing w:after="0"/>
              <w:rPr>
                <w:sz w:val="20"/>
                <w:szCs w:val="20"/>
                <w:color w:val="auto"/>
              </w:rPr>
            </w:pPr>
            <w:r>
              <w:rPr>
                <w:rFonts w:ascii="Arial" w:cs="Arial" w:eastAsia="Arial" w:hAnsi="Arial"/>
                <w:sz w:val="16"/>
                <w:szCs w:val="16"/>
                <w:color w:val="auto"/>
              </w:rPr>
              <w:t>1,255,116</w:t>
            </w:r>
          </w:p>
        </w:tc>
        <w:tc>
          <w:tcPr>
            <w:tcW w:w="1680" w:type="dxa"/>
            <w:vAlign w:val="bottom"/>
          </w:tcPr>
          <w:p>
            <w:pPr>
              <w:jc w:val="right"/>
              <w:spacing w:after="0"/>
              <w:rPr>
                <w:sz w:val="20"/>
                <w:szCs w:val="20"/>
                <w:color w:val="auto"/>
              </w:rPr>
            </w:pPr>
            <w:r>
              <w:rPr>
                <w:rFonts w:ascii="Arial" w:cs="Arial" w:eastAsia="Arial" w:hAnsi="Arial"/>
                <w:sz w:val="16"/>
                <w:szCs w:val="16"/>
                <w:color w:val="auto"/>
              </w:rPr>
              <w:t>2,301,046</w:t>
            </w:r>
          </w:p>
        </w:tc>
      </w:tr>
      <w:tr>
        <w:trPr>
          <w:trHeight w:val="249"/>
        </w:trPr>
        <w:tc>
          <w:tcPr>
            <w:tcW w:w="1700" w:type="dxa"/>
            <w:vAlign w:val="bottom"/>
            <w:shd w:val="clear" w:color="auto" w:fill="D9D9D9"/>
          </w:tcPr>
          <w:p>
            <w:pPr>
              <w:spacing w:after="0"/>
              <w:rPr>
                <w:sz w:val="20"/>
                <w:szCs w:val="20"/>
                <w:color w:val="auto"/>
              </w:rPr>
            </w:pPr>
            <w:r>
              <w:rPr>
                <w:rFonts w:ascii="Arial" w:cs="Arial" w:eastAsia="Arial" w:hAnsi="Arial"/>
                <w:sz w:val="16"/>
                <w:szCs w:val="16"/>
                <w:color w:val="auto"/>
              </w:rPr>
              <w:t>Ms. Peterson</w:t>
            </w:r>
          </w:p>
        </w:tc>
        <w:tc>
          <w:tcPr>
            <w:tcW w:w="2340" w:type="dxa"/>
            <w:vAlign w:val="bottom"/>
            <w:shd w:val="clear" w:color="auto" w:fill="D9D9D9"/>
          </w:tcPr>
          <w:p>
            <w:pPr>
              <w:jc w:val="right"/>
              <w:ind w:right="207"/>
              <w:spacing w:after="0"/>
              <w:rPr>
                <w:sz w:val="20"/>
                <w:szCs w:val="20"/>
                <w:color w:val="auto"/>
              </w:rPr>
            </w:pPr>
            <w:r>
              <w:rPr>
                <w:rFonts w:ascii="Arial" w:cs="Arial" w:eastAsia="Arial" w:hAnsi="Arial"/>
                <w:sz w:val="16"/>
                <w:szCs w:val="16"/>
                <w:color w:val="auto"/>
              </w:rPr>
              <w:t>566,066</w:t>
            </w:r>
          </w:p>
        </w:tc>
        <w:tc>
          <w:tcPr>
            <w:tcW w:w="1900" w:type="dxa"/>
            <w:vAlign w:val="bottom"/>
            <w:shd w:val="clear" w:color="auto" w:fill="D9D9D9"/>
          </w:tcPr>
          <w:p>
            <w:pPr>
              <w:jc w:val="right"/>
              <w:ind w:right="187"/>
              <w:spacing w:after="0"/>
              <w:rPr>
                <w:sz w:val="20"/>
                <w:szCs w:val="20"/>
                <w:color w:val="auto"/>
              </w:rPr>
            </w:pPr>
            <w:r>
              <w:rPr>
                <w:rFonts w:ascii="Arial" w:cs="Arial" w:eastAsia="Arial" w:hAnsi="Arial"/>
                <w:sz w:val="16"/>
                <w:szCs w:val="16"/>
                <w:color w:val="auto"/>
              </w:rPr>
              <w:t>80%</w:t>
            </w:r>
          </w:p>
        </w:tc>
        <w:tc>
          <w:tcPr>
            <w:tcW w:w="1580" w:type="dxa"/>
            <w:vAlign w:val="bottom"/>
            <w:shd w:val="clear" w:color="auto" w:fill="D9D9D9"/>
          </w:tcPr>
          <w:p>
            <w:pPr>
              <w:jc w:val="right"/>
              <w:ind w:right="188"/>
              <w:spacing w:after="0"/>
              <w:rPr>
                <w:sz w:val="20"/>
                <w:szCs w:val="20"/>
                <w:color w:val="auto"/>
              </w:rPr>
            </w:pPr>
            <w:r>
              <w:rPr>
                <w:rFonts w:ascii="Arial" w:cs="Arial" w:eastAsia="Arial" w:hAnsi="Arial"/>
                <w:sz w:val="16"/>
                <w:szCs w:val="16"/>
                <w:color w:val="auto"/>
              </w:rPr>
              <w:t>+5%</w:t>
            </w:r>
          </w:p>
        </w:tc>
        <w:tc>
          <w:tcPr>
            <w:tcW w:w="2040" w:type="dxa"/>
            <w:vAlign w:val="bottom"/>
            <w:shd w:val="clear" w:color="auto" w:fill="D9D9D9"/>
          </w:tcPr>
          <w:p>
            <w:pPr>
              <w:jc w:val="right"/>
              <w:ind w:right="208"/>
              <w:spacing w:after="0"/>
              <w:rPr>
                <w:sz w:val="20"/>
                <w:szCs w:val="20"/>
                <w:color w:val="auto"/>
              </w:rPr>
            </w:pPr>
            <w:r>
              <w:rPr>
                <w:rFonts w:ascii="Arial" w:cs="Arial" w:eastAsia="Arial" w:hAnsi="Arial"/>
                <w:sz w:val="16"/>
                <w:szCs w:val="16"/>
                <w:color w:val="auto"/>
              </w:rPr>
              <w:t>452,853</w:t>
            </w:r>
          </w:p>
        </w:tc>
        <w:tc>
          <w:tcPr>
            <w:tcW w:w="16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1,018,919</w:t>
            </w:r>
          </w:p>
        </w:tc>
      </w:tr>
      <w:tr>
        <w:trPr>
          <w:trHeight w:val="230"/>
        </w:trPr>
        <w:tc>
          <w:tcPr>
            <w:tcW w:w="1700" w:type="dxa"/>
            <w:vAlign w:val="bottom"/>
          </w:tcPr>
          <w:p>
            <w:pPr>
              <w:spacing w:after="0"/>
              <w:rPr>
                <w:sz w:val="20"/>
                <w:szCs w:val="20"/>
                <w:color w:val="auto"/>
              </w:rPr>
            </w:pPr>
            <w:r>
              <w:rPr>
                <w:rFonts w:ascii="Arial" w:cs="Arial" w:eastAsia="Arial" w:hAnsi="Arial"/>
                <w:sz w:val="16"/>
                <w:szCs w:val="16"/>
                <w:color w:val="auto"/>
              </w:rPr>
              <w:t>Mr. Rodier</w:t>
            </w:r>
          </w:p>
        </w:tc>
        <w:tc>
          <w:tcPr>
            <w:tcW w:w="2340" w:type="dxa"/>
            <w:vAlign w:val="bottom"/>
          </w:tcPr>
          <w:p>
            <w:pPr>
              <w:jc w:val="right"/>
              <w:ind w:right="207"/>
              <w:spacing w:after="0"/>
              <w:rPr>
                <w:sz w:val="20"/>
                <w:szCs w:val="20"/>
                <w:color w:val="auto"/>
              </w:rPr>
            </w:pPr>
            <w:r>
              <w:rPr>
                <w:rFonts w:ascii="Arial" w:cs="Arial" w:eastAsia="Arial" w:hAnsi="Arial"/>
                <w:sz w:val="16"/>
                <w:szCs w:val="16"/>
                <w:color w:val="auto"/>
              </w:rPr>
              <w:t>515,545</w:t>
            </w:r>
          </w:p>
        </w:tc>
        <w:tc>
          <w:tcPr>
            <w:tcW w:w="1900" w:type="dxa"/>
            <w:vAlign w:val="bottom"/>
          </w:tcPr>
          <w:p>
            <w:pPr>
              <w:jc w:val="right"/>
              <w:ind w:right="187"/>
              <w:spacing w:after="0"/>
              <w:rPr>
                <w:sz w:val="20"/>
                <w:szCs w:val="20"/>
                <w:color w:val="auto"/>
              </w:rPr>
            </w:pPr>
            <w:r>
              <w:rPr>
                <w:rFonts w:ascii="Arial" w:cs="Arial" w:eastAsia="Arial" w:hAnsi="Arial"/>
                <w:sz w:val="16"/>
                <w:szCs w:val="16"/>
                <w:color w:val="auto"/>
              </w:rPr>
              <w:t>70%</w:t>
            </w:r>
          </w:p>
        </w:tc>
        <w:tc>
          <w:tcPr>
            <w:tcW w:w="1580" w:type="dxa"/>
            <w:vAlign w:val="bottom"/>
          </w:tcPr>
          <w:p>
            <w:pPr>
              <w:jc w:val="right"/>
              <w:ind w:right="188"/>
              <w:spacing w:after="0"/>
              <w:rPr>
                <w:sz w:val="20"/>
                <w:szCs w:val="20"/>
                <w:color w:val="auto"/>
              </w:rPr>
            </w:pPr>
            <w:r>
              <w:rPr>
                <w:rFonts w:ascii="Arial" w:cs="Arial" w:eastAsia="Arial" w:hAnsi="Arial"/>
                <w:sz w:val="16"/>
                <w:szCs w:val="16"/>
                <w:color w:val="auto"/>
              </w:rPr>
              <w:t>No Change</w:t>
            </w:r>
          </w:p>
        </w:tc>
        <w:tc>
          <w:tcPr>
            <w:tcW w:w="2040" w:type="dxa"/>
            <w:vAlign w:val="bottom"/>
          </w:tcPr>
          <w:p>
            <w:pPr>
              <w:jc w:val="right"/>
              <w:ind w:right="208"/>
              <w:spacing w:after="0"/>
              <w:rPr>
                <w:sz w:val="20"/>
                <w:szCs w:val="20"/>
                <w:color w:val="auto"/>
              </w:rPr>
            </w:pPr>
            <w:r>
              <w:rPr>
                <w:rFonts w:ascii="Arial" w:cs="Arial" w:eastAsia="Arial" w:hAnsi="Arial"/>
                <w:sz w:val="16"/>
                <w:szCs w:val="16"/>
                <w:color w:val="auto"/>
              </w:rPr>
              <w:t>360,882</w:t>
            </w:r>
          </w:p>
        </w:tc>
        <w:tc>
          <w:tcPr>
            <w:tcW w:w="1680" w:type="dxa"/>
            <w:vAlign w:val="bottom"/>
          </w:tcPr>
          <w:p>
            <w:pPr>
              <w:jc w:val="right"/>
              <w:spacing w:after="0"/>
              <w:rPr>
                <w:sz w:val="20"/>
                <w:szCs w:val="20"/>
                <w:color w:val="auto"/>
              </w:rPr>
            </w:pPr>
            <w:r>
              <w:rPr>
                <w:rFonts w:ascii="Arial" w:cs="Arial" w:eastAsia="Arial" w:hAnsi="Arial"/>
                <w:sz w:val="16"/>
                <w:szCs w:val="16"/>
                <w:color w:val="auto"/>
              </w:rPr>
              <w:t>876,427</w:t>
            </w:r>
          </w:p>
        </w:tc>
      </w:tr>
      <w:tr>
        <w:trPr>
          <w:trHeight w:val="249"/>
        </w:trPr>
        <w:tc>
          <w:tcPr>
            <w:tcW w:w="1700" w:type="dxa"/>
            <w:vAlign w:val="bottom"/>
            <w:shd w:val="clear" w:color="auto" w:fill="D9D9D9"/>
          </w:tcPr>
          <w:p>
            <w:pPr>
              <w:spacing w:after="0"/>
              <w:rPr>
                <w:sz w:val="20"/>
                <w:szCs w:val="20"/>
                <w:color w:val="auto"/>
              </w:rPr>
            </w:pPr>
            <w:r>
              <w:rPr>
                <w:rFonts w:ascii="Arial" w:cs="Arial" w:eastAsia="Arial" w:hAnsi="Arial"/>
                <w:sz w:val="16"/>
                <w:szCs w:val="16"/>
                <w:color w:val="auto"/>
              </w:rPr>
              <w:t>Ms. Dahl</w:t>
            </w:r>
          </w:p>
        </w:tc>
        <w:tc>
          <w:tcPr>
            <w:tcW w:w="2340" w:type="dxa"/>
            <w:vAlign w:val="bottom"/>
            <w:shd w:val="clear" w:color="auto" w:fill="D9D9D9"/>
          </w:tcPr>
          <w:p>
            <w:pPr>
              <w:jc w:val="right"/>
              <w:ind w:right="207"/>
              <w:spacing w:after="0"/>
              <w:rPr>
                <w:sz w:val="20"/>
                <w:szCs w:val="20"/>
                <w:color w:val="auto"/>
              </w:rPr>
            </w:pPr>
            <w:r>
              <w:rPr>
                <w:rFonts w:ascii="Arial" w:cs="Arial" w:eastAsia="Arial" w:hAnsi="Arial"/>
                <w:sz w:val="16"/>
                <w:szCs w:val="16"/>
                <w:color w:val="auto"/>
              </w:rPr>
              <w:t>480,635</w:t>
            </w:r>
          </w:p>
        </w:tc>
        <w:tc>
          <w:tcPr>
            <w:tcW w:w="1900" w:type="dxa"/>
            <w:vAlign w:val="bottom"/>
            <w:shd w:val="clear" w:color="auto" w:fill="D9D9D9"/>
          </w:tcPr>
          <w:p>
            <w:pPr>
              <w:jc w:val="right"/>
              <w:ind w:right="187"/>
              <w:spacing w:after="0"/>
              <w:rPr>
                <w:sz w:val="20"/>
                <w:szCs w:val="20"/>
                <w:color w:val="auto"/>
              </w:rPr>
            </w:pPr>
            <w:r>
              <w:rPr>
                <w:rFonts w:ascii="Arial" w:cs="Arial" w:eastAsia="Arial" w:hAnsi="Arial"/>
                <w:sz w:val="16"/>
                <w:szCs w:val="16"/>
                <w:color w:val="auto"/>
              </w:rPr>
              <w:t>65%</w:t>
            </w:r>
          </w:p>
        </w:tc>
        <w:tc>
          <w:tcPr>
            <w:tcW w:w="1580" w:type="dxa"/>
            <w:vAlign w:val="bottom"/>
            <w:shd w:val="clear" w:color="auto" w:fill="D9D9D9"/>
          </w:tcPr>
          <w:p>
            <w:pPr>
              <w:jc w:val="right"/>
              <w:ind w:right="188"/>
              <w:spacing w:after="0"/>
              <w:rPr>
                <w:sz w:val="20"/>
                <w:szCs w:val="20"/>
                <w:color w:val="auto"/>
              </w:rPr>
            </w:pPr>
            <w:r>
              <w:rPr>
                <w:rFonts w:ascii="Arial" w:cs="Arial" w:eastAsia="Arial" w:hAnsi="Arial"/>
                <w:sz w:val="16"/>
                <w:szCs w:val="16"/>
                <w:color w:val="auto"/>
              </w:rPr>
              <w:t>+5%</w:t>
            </w:r>
          </w:p>
        </w:tc>
        <w:tc>
          <w:tcPr>
            <w:tcW w:w="2040" w:type="dxa"/>
            <w:vAlign w:val="bottom"/>
            <w:shd w:val="clear" w:color="auto" w:fill="D9D9D9"/>
          </w:tcPr>
          <w:p>
            <w:pPr>
              <w:jc w:val="right"/>
              <w:ind w:right="208"/>
              <w:spacing w:after="0"/>
              <w:rPr>
                <w:sz w:val="20"/>
                <w:szCs w:val="20"/>
                <w:color w:val="auto"/>
              </w:rPr>
            </w:pPr>
            <w:r>
              <w:rPr>
                <w:rFonts w:ascii="Arial" w:cs="Arial" w:eastAsia="Arial" w:hAnsi="Arial"/>
                <w:sz w:val="16"/>
                <w:szCs w:val="16"/>
                <w:color w:val="auto"/>
              </w:rPr>
              <w:t>312,413</w:t>
            </w:r>
          </w:p>
        </w:tc>
        <w:tc>
          <w:tcPr>
            <w:tcW w:w="16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793,048</w:t>
            </w:r>
          </w:p>
        </w:tc>
      </w:tr>
      <w:tr>
        <w:trPr>
          <w:trHeight w:val="221"/>
        </w:trPr>
        <w:tc>
          <w:tcPr>
            <w:tcW w:w="1700" w:type="dxa"/>
            <w:vAlign w:val="bottom"/>
          </w:tcPr>
          <w:p>
            <w:pPr>
              <w:spacing w:after="0"/>
              <w:rPr>
                <w:sz w:val="20"/>
                <w:szCs w:val="20"/>
                <w:color w:val="auto"/>
              </w:rPr>
            </w:pPr>
            <w:r>
              <w:rPr>
                <w:rFonts w:ascii="Arial" w:cs="Arial" w:eastAsia="Arial" w:hAnsi="Arial"/>
                <w:sz w:val="16"/>
                <w:szCs w:val="16"/>
                <w:color w:val="auto"/>
              </w:rPr>
              <w:t>Mr. Hamilton</w:t>
            </w:r>
          </w:p>
        </w:tc>
        <w:tc>
          <w:tcPr>
            <w:tcW w:w="2340" w:type="dxa"/>
            <w:vAlign w:val="bottom"/>
          </w:tcPr>
          <w:p>
            <w:pPr>
              <w:jc w:val="right"/>
              <w:ind w:right="207"/>
              <w:spacing w:after="0"/>
              <w:rPr>
                <w:sz w:val="20"/>
                <w:szCs w:val="20"/>
                <w:color w:val="auto"/>
              </w:rPr>
            </w:pPr>
            <w:r>
              <w:rPr>
                <w:rFonts w:ascii="Arial" w:cs="Arial" w:eastAsia="Arial" w:hAnsi="Arial"/>
                <w:sz w:val="16"/>
                <w:szCs w:val="16"/>
                <w:color w:val="auto"/>
              </w:rPr>
              <w:t>430,366</w:t>
            </w:r>
          </w:p>
        </w:tc>
        <w:tc>
          <w:tcPr>
            <w:tcW w:w="1900" w:type="dxa"/>
            <w:vAlign w:val="bottom"/>
          </w:tcPr>
          <w:p>
            <w:pPr>
              <w:jc w:val="right"/>
              <w:ind w:right="187"/>
              <w:spacing w:after="0"/>
              <w:rPr>
                <w:sz w:val="20"/>
                <w:szCs w:val="20"/>
                <w:color w:val="auto"/>
              </w:rPr>
            </w:pPr>
            <w:r>
              <w:rPr>
                <w:rFonts w:ascii="Arial" w:cs="Arial" w:eastAsia="Arial" w:hAnsi="Arial"/>
                <w:sz w:val="16"/>
                <w:szCs w:val="16"/>
                <w:color w:val="auto"/>
              </w:rPr>
              <w:t>60%</w:t>
            </w:r>
          </w:p>
        </w:tc>
        <w:tc>
          <w:tcPr>
            <w:tcW w:w="1580" w:type="dxa"/>
            <w:vAlign w:val="bottom"/>
          </w:tcPr>
          <w:p>
            <w:pPr>
              <w:jc w:val="right"/>
              <w:ind w:right="188"/>
              <w:spacing w:after="0"/>
              <w:rPr>
                <w:sz w:val="20"/>
                <w:szCs w:val="20"/>
                <w:color w:val="auto"/>
              </w:rPr>
            </w:pPr>
            <w:r>
              <w:rPr>
                <w:rFonts w:ascii="Arial" w:cs="Arial" w:eastAsia="Arial" w:hAnsi="Arial"/>
                <w:sz w:val="16"/>
                <w:szCs w:val="16"/>
                <w:color w:val="auto"/>
              </w:rPr>
              <w:t>No Change</w:t>
            </w:r>
          </w:p>
        </w:tc>
        <w:tc>
          <w:tcPr>
            <w:tcW w:w="2040" w:type="dxa"/>
            <w:vAlign w:val="bottom"/>
          </w:tcPr>
          <w:p>
            <w:pPr>
              <w:jc w:val="right"/>
              <w:ind w:right="208"/>
              <w:spacing w:after="0"/>
              <w:rPr>
                <w:sz w:val="20"/>
                <w:szCs w:val="20"/>
                <w:color w:val="auto"/>
              </w:rPr>
            </w:pPr>
            <w:r>
              <w:rPr>
                <w:rFonts w:ascii="Arial" w:cs="Arial" w:eastAsia="Arial" w:hAnsi="Arial"/>
                <w:sz w:val="16"/>
                <w:szCs w:val="16"/>
                <w:color w:val="auto"/>
              </w:rPr>
              <w:t>258,220</w:t>
            </w:r>
          </w:p>
        </w:tc>
        <w:tc>
          <w:tcPr>
            <w:tcW w:w="1680" w:type="dxa"/>
            <w:vAlign w:val="bottom"/>
          </w:tcPr>
          <w:p>
            <w:pPr>
              <w:jc w:val="right"/>
              <w:spacing w:after="0"/>
              <w:rPr>
                <w:sz w:val="20"/>
                <w:szCs w:val="20"/>
                <w:color w:val="auto"/>
              </w:rPr>
            </w:pPr>
            <w:r>
              <w:rPr>
                <w:rFonts w:ascii="Arial" w:cs="Arial" w:eastAsia="Arial" w:hAnsi="Arial"/>
                <w:sz w:val="16"/>
                <w:szCs w:val="16"/>
                <w:color w:val="auto"/>
              </w:rPr>
              <w:t>688,586</w:t>
            </w:r>
          </w:p>
        </w:tc>
      </w:tr>
    </w:tbl>
    <w:p>
      <w:pPr>
        <w:spacing w:after="0" w:line="124" w:lineRule="exact"/>
        <w:rPr>
          <w:sz w:val="20"/>
          <w:szCs w:val="20"/>
          <w:color w:val="auto"/>
        </w:rPr>
      </w:pPr>
    </w:p>
    <w:p>
      <w:pPr>
        <w:ind w:right="140" w:firstLine="401"/>
        <w:spacing w:after="0" w:line="233" w:lineRule="auto"/>
        <w:rPr>
          <w:sz w:val="20"/>
          <w:szCs w:val="20"/>
          <w:color w:val="auto"/>
        </w:rPr>
      </w:pPr>
      <w:r>
        <w:rPr>
          <w:rFonts w:ascii="Arial" w:cs="Arial" w:eastAsia="Arial" w:hAnsi="Arial"/>
          <w:sz w:val="18"/>
          <w:szCs w:val="18"/>
          <w:color w:val="auto"/>
        </w:rPr>
        <w:t>We believe that the fiscal 2021 target annual cash incentive awards that were established at the beginning of fiscal 2021 are within a reasonable range of market competitive annual cash incentive opportunities given all relevant factors described previously and that the differentiation of target awards among our named executive officers was appropriate given the scope and responsibility of their respective positions. The changes in the target award for Mr. Olson, Ms. Peterson, and Ms. Dahl were made to align their target total cash compensation closer to the market 50</w:t>
      </w:r>
      <w:r>
        <w:rPr>
          <w:rFonts w:ascii="Arial" w:cs="Arial" w:eastAsia="Arial" w:hAnsi="Arial"/>
          <w:sz w:val="15"/>
          <w:szCs w:val="15"/>
          <w:color w:val="auto"/>
        </w:rPr>
        <w:t>th</w:t>
      </w:r>
      <w:r>
        <w:rPr>
          <w:rFonts w:ascii="Arial" w:cs="Arial" w:eastAsia="Arial" w:hAnsi="Arial"/>
          <w:sz w:val="18"/>
          <w:szCs w:val="18"/>
          <w:color w:val="auto"/>
        </w:rPr>
        <w:t xml:space="preserve"> percentile. The Committee determined it was appropriate to keep the target awards for fiscal 2021 consistent with those in fiscal 2020 for Messrs. Rodier and Hamilton. Details regarding actual total cash compensation for fiscal 2021 can be found under “Annual Cash Incentives—Actual Cash Compensation Discussion and Analysis.”</w:t>
      </w:r>
    </w:p>
    <w:p>
      <w:pPr>
        <w:spacing w:after="0" w:line="78" w:lineRule="exact"/>
        <w:rPr>
          <w:sz w:val="20"/>
          <w:szCs w:val="20"/>
          <w:color w:val="auto"/>
        </w:rPr>
      </w:pPr>
    </w:p>
    <w:p>
      <w:pPr>
        <w:ind w:right="120" w:firstLine="401"/>
        <w:spacing w:after="0" w:line="237" w:lineRule="auto"/>
        <w:rPr>
          <w:sz w:val="20"/>
          <w:szCs w:val="20"/>
          <w:color w:val="auto"/>
        </w:rPr>
      </w:pPr>
      <w:r>
        <w:rPr>
          <w:rFonts w:ascii="Arial" w:cs="Arial" w:eastAsia="Arial" w:hAnsi="Arial"/>
          <w:sz w:val="18"/>
          <w:szCs w:val="18"/>
          <w:i w:val="1"/>
          <w:iCs w:val="1"/>
          <w:color w:val="auto"/>
        </w:rPr>
        <w:t xml:space="preserve">Performance Measures, Weightings and Goals. </w:t>
      </w:r>
      <w:r>
        <w:rPr>
          <w:rFonts w:ascii="Arial" w:cs="Arial" w:eastAsia="Arial" w:hAnsi="Arial"/>
          <w:sz w:val="18"/>
          <w:szCs w:val="18"/>
          <w:color w:val="auto"/>
        </w:rPr>
        <w:t>Each year, the Committee determines performance measures, weightings, goals and</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adjustment events, if any, for the annual cash incentive awards. We believe that in order to motivate our executive officers to achieve annual financial business goals, it is important to select performance measures designed to motivate our executive officers to achieve our annual financial plan, as well as drive shareholder value. Key elements of our annual financial plan for fiscal 2021 included profitability, revenue growth, and asset efficiency; and, accordingly, the performance measures for fiscal 2021 and their weightings were intended to support these key elements.</w:t>
      </w:r>
    </w:p>
    <w:p>
      <w:pPr>
        <w:spacing w:after="0" w:line="95" w:lineRule="exact"/>
        <w:rPr>
          <w:sz w:val="20"/>
          <w:szCs w:val="20"/>
          <w:color w:val="auto"/>
        </w:rPr>
      </w:pPr>
    </w:p>
    <w:p>
      <w:pPr>
        <w:ind w:right="260" w:firstLine="401"/>
        <w:spacing w:after="0" w:line="236" w:lineRule="auto"/>
        <w:rPr>
          <w:sz w:val="20"/>
          <w:szCs w:val="20"/>
          <w:color w:val="auto"/>
        </w:rPr>
      </w:pPr>
      <w:r>
        <w:rPr>
          <w:rFonts w:ascii="Arial" w:cs="Arial" w:eastAsia="Arial" w:hAnsi="Arial"/>
          <w:sz w:val="18"/>
          <w:szCs w:val="18"/>
          <w:color w:val="auto"/>
        </w:rPr>
        <w:t>Our executive officers with all corporate responsibilities for the full fiscal year, which includes all of our named executive officers, had 100% of their annual cash incentive tied to corporate performance to encourage an enterprise-wide performance perspective. The corporate performance measures and weightings established at the beginning of fiscal 2021,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60325</wp:posOffset>
            </wp:positionV>
            <wp:extent cx="5344160" cy="135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344160" cy="135255"/>
                    </a:xfrm>
                    <a:prstGeom prst="rect">
                      <a:avLst/>
                    </a:prstGeom>
                    <a:noFill/>
                  </pic:spPr>
                </pic:pic>
              </a:graphicData>
            </a:graphic>
          </wp:anchor>
        </w:drawing>
      </w:r>
    </w:p>
    <w:p>
      <w:pPr>
        <w:spacing w:after="0" w:line="88"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FFFFFF"/>
        </w:rPr>
        <w:t>Corporate Performance Measures</w:t>
      </w:r>
    </w:p>
    <w:p>
      <w:pPr>
        <w:spacing w:after="0" w:line="67"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50% diluted net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17145</wp:posOffset>
            </wp:positionV>
            <wp:extent cx="5344160" cy="1517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344160" cy="151765"/>
                    </a:xfrm>
                    <a:prstGeom prst="rect">
                      <a:avLst/>
                    </a:prstGeom>
                    <a:noFill/>
                  </pic:spPr>
                </pic:pic>
              </a:graphicData>
            </a:graphic>
          </wp:anchor>
        </w:drawing>
      </w:r>
    </w:p>
    <w:p>
      <w:pPr>
        <w:spacing w:after="0" w:line="35"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30% corporate revenue growth</w:t>
      </w:r>
    </w:p>
    <w:p>
      <w:pPr>
        <w:spacing w:after="0" w:line="55"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20% corporate working capital as a percent of sales</w:t>
      </w:r>
    </w:p>
    <w:p>
      <w:pPr>
        <w:spacing w:after="0" w:line="132" w:lineRule="exact"/>
        <w:rPr>
          <w:sz w:val="20"/>
          <w:szCs w:val="20"/>
          <w:color w:val="auto"/>
        </w:rPr>
      </w:pPr>
    </w:p>
    <w:p>
      <w:pPr>
        <w:ind w:right="60" w:firstLine="401"/>
        <w:spacing w:after="0" w:line="234" w:lineRule="auto"/>
        <w:rPr>
          <w:sz w:val="20"/>
          <w:szCs w:val="20"/>
          <w:color w:val="auto"/>
        </w:rPr>
      </w:pPr>
      <w:r>
        <w:rPr>
          <w:rFonts w:ascii="Arial" w:cs="Arial" w:eastAsia="Arial" w:hAnsi="Arial"/>
          <w:sz w:val="18"/>
          <w:szCs w:val="18"/>
          <w:color w:val="auto"/>
        </w:rPr>
        <w:t>At its meeting in December 2020, the Committee’s first meeting of fiscal 2021, threshold, target and maximum goals were established by the Committee for each corporate performance measure. Target levels of performance were established based on our annual financial plan, which takes into account our prior fiscal year actual financial results, our competitive situation and the general outlook for our business during the current fiscal year. Additionally, the diluted net adjusted EPS threshold goal, which was set at 80% of plan, must have been met in order for there to be any payout for corporate participants.</w:t>
      </w:r>
    </w:p>
    <w:p>
      <w:pPr>
        <w:spacing w:after="0" w:line="95" w:lineRule="exact"/>
        <w:rPr>
          <w:sz w:val="20"/>
          <w:szCs w:val="20"/>
          <w:color w:val="auto"/>
        </w:rPr>
      </w:pPr>
    </w:p>
    <w:p>
      <w:pPr>
        <w:ind w:right="380" w:firstLine="401"/>
        <w:spacing w:after="0" w:line="235" w:lineRule="auto"/>
        <w:rPr>
          <w:sz w:val="20"/>
          <w:szCs w:val="20"/>
          <w:color w:val="auto"/>
        </w:rPr>
      </w:pPr>
      <w:r>
        <w:rPr>
          <w:rFonts w:ascii="Arial" w:cs="Arial" w:eastAsia="Arial" w:hAnsi="Arial"/>
          <w:sz w:val="18"/>
          <w:szCs w:val="18"/>
          <w:color w:val="auto"/>
        </w:rPr>
        <w:t>As provided for and in accordance with our 2010 Plan, the Committee also established specific adjustment events for determining corporate performance payouts under the fiscal 2021 annual cash incentive awards. The impact of an acquisition on the fiscal 2021 annual cash incentive award payouts was determined by the size of the acquisition based on projected annual revenue for the first twelve months following the closing of an acquisition, as follows:</w:t>
      </w:r>
    </w:p>
    <w:p>
      <w:pPr>
        <w:spacing w:after="0" w:line="93" w:lineRule="exact"/>
        <w:rPr>
          <w:sz w:val="20"/>
          <w:szCs w:val="20"/>
          <w:color w:val="auto"/>
        </w:rPr>
      </w:pPr>
    </w:p>
    <w:p>
      <w:pPr>
        <w:ind w:left="800" w:right="220" w:hanging="395"/>
        <w:spacing w:after="0" w:line="238" w:lineRule="auto"/>
        <w:tabs>
          <w:tab w:leader="none" w:pos="800" w:val="left"/>
        </w:tabs>
        <w:numPr>
          <w:ilvl w:val="0"/>
          <w:numId w:val="55"/>
        </w:numPr>
        <w:rPr>
          <w:rFonts w:ascii="Arial" w:cs="Arial" w:eastAsia="Arial" w:hAnsi="Arial"/>
          <w:sz w:val="16"/>
          <w:szCs w:val="16"/>
          <w:color w:val="auto"/>
        </w:rPr>
      </w:pPr>
      <w:r>
        <w:rPr>
          <w:rFonts w:ascii="Arial" w:cs="Arial" w:eastAsia="Arial" w:hAnsi="Arial"/>
          <w:sz w:val="18"/>
          <w:szCs w:val="18"/>
          <w:color w:val="auto"/>
        </w:rPr>
        <w:t>The impact of any acquisition greater than $10 million was to be excluded from the payout calculation, unless such acquisition was included in the fiscal 2021 goals; and</w:t>
      </w:r>
    </w:p>
    <w:p>
      <w:pPr>
        <w:spacing w:after="0" w:line="41" w:lineRule="exact"/>
        <w:rPr>
          <w:rFonts w:ascii="Arial" w:cs="Arial" w:eastAsia="Arial" w:hAnsi="Arial"/>
          <w:sz w:val="16"/>
          <w:szCs w:val="16"/>
          <w:color w:val="auto"/>
        </w:rPr>
      </w:pPr>
    </w:p>
    <w:p>
      <w:pPr>
        <w:ind w:left="800" w:hanging="395"/>
        <w:spacing w:after="0"/>
        <w:tabs>
          <w:tab w:leader="none" w:pos="800" w:val="left"/>
        </w:tabs>
        <w:numPr>
          <w:ilvl w:val="0"/>
          <w:numId w:val="55"/>
        </w:numPr>
        <w:rPr>
          <w:rFonts w:ascii="Arial" w:cs="Arial" w:eastAsia="Arial" w:hAnsi="Arial"/>
          <w:sz w:val="16"/>
          <w:szCs w:val="16"/>
          <w:color w:val="auto"/>
        </w:rPr>
      </w:pPr>
      <w:r>
        <w:rPr>
          <w:rFonts w:ascii="Arial" w:cs="Arial" w:eastAsia="Arial" w:hAnsi="Arial"/>
          <w:sz w:val="18"/>
          <w:szCs w:val="18"/>
          <w:color w:val="auto"/>
        </w:rPr>
        <w:t>The impact of any acquisition less than $10 million was to be included in the payout calculation.</w:t>
      </w:r>
    </w:p>
    <w:p>
      <w:pPr>
        <w:spacing w:after="0" w:line="9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addition, any externally driven changes in accounting principles and standards were to be excluded if the cumulative net impact on the payout of all such accounting adjustments affected the award payout by more than 2%.</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80" w:lineRule="exact"/>
        <w:rPr>
          <w:sz w:val="20"/>
          <w:szCs w:val="20"/>
          <w:color w:val="auto"/>
        </w:rPr>
      </w:pPr>
    </w:p>
    <w:p>
      <w:pPr>
        <w:ind w:right="120" w:firstLine="401"/>
        <w:spacing w:after="0" w:line="258" w:lineRule="auto"/>
        <w:rPr>
          <w:sz w:val="20"/>
          <w:szCs w:val="20"/>
          <w:color w:val="auto"/>
        </w:rPr>
      </w:pPr>
      <w:r>
        <w:rPr>
          <w:rFonts w:ascii="Arial" w:cs="Arial" w:eastAsia="Arial" w:hAnsi="Arial"/>
          <w:sz w:val="18"/>
          <w:szCs w:val="18"/>
          <w:i w:val="1"/>
          <w:iCs w:val="1"/>
          <w:color w:val="auto"/>
        </w:rPr>
        <w:t xml:space="preserve">Corporate Performance Measures and Goals. </w:t>
      </w:r>
      <w:r>
        <w:rPr>
          <w:rFonts w:ascii="Arial" w:cs="Arial" w:eastAsia="Arial" w:hAnsi="Arial"/>
          <w:sz w:val="18"/>
          <w:szCs w:val="18"/>
          <w:color w:val="auto"/>
        </w:rPr>
        <w:t>The table below summarizes the fiscal 2021 corporate performance measures and goals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to our named executive officers.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820" w:type="dxa"/>
            <w:vAlign w:val="bottom"/>
            <w:shd w:val="clear" w:color="auto" w:fill="BE0000"/>
          </w:tcPr>
          <w:p>
            <w:pPr>
              <w:spacing w:after="0"/>
              <w:rPr>
                <w:sz w:val="20"/>
                <w:szCs w:val="20"/>
                <w:color w:val="auto"/>
              </w:rPr>
            </w:pPr>
            <w:r>
              <w:rPr>
                <w:rFonts w:ascii="Arial" w:cs="Arial" w:eastAsia="Arial" w:hAnsi="Arial"/>
                <w:sz w:val="14"/>
                <w:szCs w:val="14"/>
                <w:b w:val="1"/>
                <w:bCs w:val="1"/>
                <w:color w:val="FFFFFF"/>
              </w:rPr>
              <w:t>Corporate:</w:t>
            </w:r>
          </w:p>
        </w:tc>
        <w:tc>
          <w:tcPr>
            <w:tcW w:w="1660" w:type="dxa"/>
            <w:vAlign w:val="bottom"/>
            <w:shd w:val="clear" w:color="auto" w:fill="BE0000"/>
          </w:tcPr>
          <w:p>
            <w:pPr>
              <w:jc w:val="center"/>
              <w:ind w:left="269"/>
              <w:spacing w:after="0"/>
              <w:rPr>
                <w:sz w:val="20"/>
                <w:szCs w:val="20"/>
                <w:color w:val="auto"/>
              </w:rPr>
            </w:pPr>
            <w:r>
              <w:rPr>
                <w:rFonts w:ascii="Arial" w:cs="Arial" w:eastAsia="Arial" w:hAnsi="Arial"/>
                <w:sz w:val="14"/>
                <w:szCs w:val="14"/>
                <w:b w:val="1"/>
                <w:bCs w:val="1"/>
                <w:color w:val="FFFFFF"/>
              </w:rPr>
              <w:t>Threshold</w:t>
            </w:r>
          </w:p>
        </w:tc>
        <w:tc>
          <w:tcPr>
            <w:tcW w:w="1420" w:type="dxa"/>
            <w:vAlign w:val="bottom"/>
            <w:shd w:val="clear" w:color="auto" w:fill="BE0000"/>
          </w:tcPr>
          <w:p>
            <w:pPr>
              <w:jc w:val="center"/>
              <w:spacing w:after="0"/>
              <w:rPr>
                <w:sz w:val="20"/>
                <w:szCs w:val="20"/>
                <w:color w:val="auto"/>
              </w:rPr>
            </w:pPr>
            <w:r>
              <w:rPr>
                <w:rFonts w:ascii="Arial" w:cs="Arial" w:eastAsia="Arial" w:hAnsi="Arial"/>
                <w:sz w:val="14"/>
                <w:szCs w:val="14"/>
                <w:b w:val="1"/>
                <w:bCs w:val="1"/>
                <w:color w:val="FFFFFF"/>
                <w:w w:val="98"/>
              </w:rPr>
              <w:t>Target</w:t>
            </w:r>
          </w:p>
        </w:tc>
        <w:tc>
          <w:tcPr>
            <w:tcW w:w="1540" w:type="dxa"/>
            <w:vAlign w:val="bottom"/>
            <w:shd w:val="clear" w:color="auto" w:fill="BE0000"/>
          </w:tcPr>
          <w:p>
            <w:pPr>
              <w:jc w:val="center"/>
              <w:ind w:right="69"/>
              <w:spacing w:after="0"/>
              <w:rPr>
                <w:sz w:val="20"/>
                <w:szCs w:val="20"/>
                <w:color w:val="auto"/>
              </w:rPr>
            </w:pPr>
            <w:r>
              <w:rPr>
                <w:rFonts w:ascii="Arial" w:cs="Arial" w:eastAsia="Arial" w:hAnsi="Arial"/>
                <w:sz w:val="14"/>
                <w:szCs w:val="14"/>
                <w:b w:val="1"/>
                <w:bCs w:val="1"/>
                <w:color w:val="FFFFFF"/>
                <w:w w:val="99"/>
              </w:rPr>
              <w:t>Maximum</w:t>
            </w:r>
          </w:p>
        </w:tc>
        <w:tc>
          <w:tcPr>
            <w:tcW w:w="2800" w:type="dxa"/>
            <w:vAlign w:val="bottom"/>
            <w:vMerge w:val="restart"/>
            <w:shd w:val="clear" w:color="auto" w:fill="BE0000"/>
          </w:tcPr>
          <w:p>
            <w:pPr>
              <w:jc w:val="center"/>
              <w:ind w:right="9"/>
              <w:spacing w:after="0"/>
              <w:rPr>
                <w:sz w:val="20"/>
                <w:szCs w:val="20"/>
                <w:color w:val="auto"/>
              </w:rPr>
            </w:pPr>
            <w:r>
              <w:rPr>
                <w:rFonts w:ascii="Arial" w:cs="Arial" w:eastAsia="Arial" w:hAnsi="Arial"/>
                <w:sz w:val="14"/>
                <w:szCs w:val="14"/>
                <w:b w:val="1"/>
                <w:bCs w:val="1"/>
                <w:color w:val="FFFFFF"/>
              </w:rPr>
              <w:t>Actual</w:t>
            </w:r>
          </w:p>
        </w:tc>
        <w:tc>
          <w:tcPr>
            <w:tcW w:w="0" w:type="dxa"/>
            <w:vAlign w:val="bottom"/>
          </w:tcPr>
          <w:p>
            <w:pPr>
              <w:spacing w:after="0"/>
              <w:rPr>
                <w:sz w:val="1"/>
                <w:szCs w:val="1"/>
                <w:color w:val="auto"/>
              </w:rPr>
            </w:pPr>
          </w:p>
        </w:tc>
      </w:tr>
      <w:tr>
        <w:trPr>
          <w:trHeight w:val="186"/>
        </w:trPr>
        <w:tc>
          <w:tcPr>
            <w:tcW w:w="3820" w:type="dxa"/>
            <w:vAlign w:val="bottom"/>
            <w:shd w:val="clear" w:color="auto" w:fill="BE0000"/>
          </w:tcPr>
          <w:p>
            <w:pPr>
              <w:spacing w:after="0"/>
              <w:rPr>
                <w:sz w:val="20"/>
                <w:szCs w:val="20"/>
                <w:color w:val="auto"/>
              </w:rPr>
            </w:pPr>
            <w:r>
              <w:rPr>
                <w:rFonts w:ascii="Arial" w:cs="Arial" w:eastAsia="Arial" w:hAnsi="Arial"/>
                <w:sz w:val="14"/>
                <w:szCs w:val="14"/>
                <w:b w:val="1"/>
                <w:bCs w:val="1"/>
                <w:color w:val="FFFFFF"/>
              </w:rPr>
              <w:t>Fiscal 2021 Performance Measures</w:t>
            </w:r>
          </w:p>
        </w:tc>
        <w:tc>
          <w:tcPr>
            <w:tcW w:w="1660" w:type="dxa"/>
            <w:vAlign w:val="bottom"/>
            <w:shd w:val="clear" w:color="auto" w:fill="BE0000"/>
          </w:tcPr>
          <w:p>
            <w:pPr>
              <w:jc w:val="center"/>
              <w:ind w:left="269"/>
              <w:spacing w:after="0"/>
              <w:rPr>
                <w:sz w:val="20"/>
                <w:szCs w:val="20"/>
                <w:color w:val="auto"/>
              </w:rPr>
            </w:pPr>
            <w:r>
              <w:rPr>
                <w:rFonts w:ascii="Arial" w:cs="Arial" w:eastAsia="Arial" w:hAnsi="Arial"/>
                <w:sz w:val="14"/>
                <w:szCs w:val="14"/>
                <w:b w:val="1"/>
                <w:bCs w:val="1"/>
                <w:color w:val="FFFFFF"/>
              </w:rPr>
              <w:t>(40% payout)</w:t>
            </w:r>
          </w:p>
        </w:tc>
        <w:tc>
          <w:tcPr>
            <w:tcW w:w="1420" w:type="dxa"/>
            <w:vAlign w:val="bottom"/>
            <w:shd w:val="clear" w:color="auto" w:fill="BE0000"/>
          </w:tcPr>
          <w:p>
            <w:pPr>
              <w:jc w:val="center"/>
              <w:spacing w:after="0"/>
              <w:rPr>
                <w:sz w:val="20"/>
                <w:szCs w:val="20"/>
                <w:color w:val="auto"/>
              </w:rPr>
            </w:pPr>
            <w:r>
              <w:rPr>
                <w:rFonts w:ascii="Arial" w:cs="Arial" w:eastAsia="Arial" w:hAnsi="Arial"/>
                <w:sz w:val="14"/>
                <w:szCs w:val="14"/>
                <w:b w:val="1"/>
                <w:bCs w:val="1"/>
                <w:color w:val="FFFFFF"/>
              </w:rPr>
              <w:t>(100% payout)</w:t>
            </w:r>
          </w:p>
        </w:tc>
        <w:tc>
          <w:tcPr>
            <w:tcW w:w="1540" w:type="dxa"/>
            <w:vAlign w:val="bottom"/>
            <w:shd w:val="clear" w:color="auto" w:fill="BE0000"/>
          </w:tcPr>
          <w:p>
            <w:pPr>
              <w:jc w:val="center"/>
              <w:ind w:right="69"/>
              <w:spacing w:after="0"/>
              <w:rPr>
                <w:sz w:val="20"/>
                <w:szCs w:val="20"/>
                <w:color w:val="auto"/>
              </w:rPr>
            </w:pPr>
            <w:r>
              <w:rPr>
                <w:rFonts w:ascii="Arial" w:cs="Arial" w:eastAsia="Arial" w:hAnsi="Arial"/>
                <w:sz w:val="14"/>
                <w:szCs w:val="14"/>
                <w:b w:val="1"/>
                <w:bCs w:val="1"/>
                <w:color w:val="FFFFFF"/>
              </w:rPr>
              <w:t>(200% payout)</w:t>
            </w:r>
          </w:p>
        </w:tc>
        <w:tc>
          <w:tcPr>
            <w:tcW w:w="2800" w:type="dxa"/>
            <w:vAlign w:val="bottom"/>
            <w:vMerge w:val="continue"/>
            <w:shd w:val="clear" w:color="auto" w:fill="BE0000"/>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800" w:type="dxa"/>
            <w:vAlign w:val="bottom"/>
          </w:tcPr>
          <w:p>
            <w:pPr>
              <w:jc w:val="center"/>
              <w:ind w:right="9"/>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184"/>
        </w:trPr>
        <w:tc>
          <w:tcPr>
            <w:tcW w:w="3820" w:type="dxa"/>
            <w:vAlign w:val="bottom"/>
          </w:tcPr>
          <w:p>
            <w:pPr>
              <w:spacing w:after="0"/>
              <w:rPr>
                <w:sz w:val="20"/>
                <w:szCs w:val="20"/>
                <w:color w:val="auto"/>
              </w:rPr>
            </w:pPr>
            <w:r>
              <w:rPr>
                <w:rFonts w:ascii="Arial" w:cs="Arial" w:eastAsia="Arial" w:hAnsi="Arial"/>
                <w:sz w:val="14"/>
                <w:szCs w:val="14"/>
                <w:color w:val="auto"/>
              </w:rPr>
              <w:t>50% diluted net adjusted EPS</w:t>
            </w:r>
          </w:p>
        </w:tc>
        <w:tc>
          <w:tcPr>
            <w:tcW w:w="1660" w:type="dxa"/>
            <w:vAlign w:val="bottom"/>
          </w:tcPr>
          <w:p>
            <w:pPr>
              <w:jc w:val="center"/>
              <w:ind w:left="269"/>
              <w:spacing w:after="0"/>
              <w:rPr>
                <w:sz w:val="20"/>
                <w:szCs w:val="20"/>
                <w:color w:val="auto"/>
              </w:rPr>
            </w:pPr>
            <w:r>
              <w:rPr>
                <w:rFonts w:ascii="Arial" w:cs="Arial" w:eastAsia="Arial" w:hAnsi="Arial"/>
                <w:sz w:val="14"/>
                <w:szCs w:val="14"/>
                <w:color w:val="auto"/>
              </w:rPr>
              <w:t>$2.71</w:t>
            </w:r>
          </w:p>
        </w:tc>
        <w:tc>
          <w:tcPr>
            <w:tcW w:w="1420" w:type="dxa"/>
            <w:vAlign w:val="bottom"/>
          </w:tcPr>
          <w:p>
            <w:pPr>
              <w:jc w:val="center"/>
              <w:spacing w:after="0"/>
              <w:rPr>
                <w:sz w:val="20"/>
                <w:szCs w:val="20"/>
                <w:color w:val="auto"/>
              </w:rPr>
            </w:pPr>
            <w:r>
              <w:rPr>
                <w:rFonts w:ascii="Arial" w:cs="Arial" w:eastAsia="Arial" w:hAnsi="Arial"/>
                <w:sz w:val="14"/>
                <w:szCs w:val="14"/>
                <w:color w:val="auto"/>
              </w:rPr>
              <w:t>$3.39</w:t>
            </w:r>
          </w:p>
        </w:tc>
        <w:tc>
          <w:tcPr>
            <w:tcW w:w="1540" w:type="dxa"/>
            <w:vAlign w:val="bottom"/>
          </w:tcPr>
          <w:p>
            <w:pPr>
              <w:jc w:val="center"/>
              <w:ind w:right="69"/>
              <w:spacing w:after="0"/>
              <w:rPr>
                <w:sz w:val="20"/>
                <w:szCs w:val="20"/>
                <w:color w:val="auto"/>
              </w:rPr>
            </w:pPr>
            <w:r>
              <w:rPr>
                <w:rFonts w:ascii="Arial" w:cs="Arial" w:eastAsia="Arial" w:hAnsi="Arial"/>
                <w:sz w:val="14"/>
                <w:szCs w:val="14"/>
                <w:color w:val="auto"/>
              </w:rPr>
              <w:t>$4.07</w:t>
            </w:r>
          </w:p>
        </w:tc>
        <w:tc>
          <w:tcPr>
            <w:tcW w:w="2800" w:type="dxa"/>
            <w:vAlign w:val="bottom"/>
          </w:tcPr>
          <w:p>
            <w:pPr>
              <w:jc w:val="center"/>
              <w:ind w:right="9"/>
              <w:spacing w:after="0"/>
              <w:rPr>
                <w:sz w:val="20"/>
                <w:szCs w:val="20"/>
                <w:color w:val="auto"/>
              </w:rPr>
            </w:pPr>
            <w:r>
              <w:rPr>
                <w:rFonts w:ascii="Arial" w:cs="Arial" w:eastAsia="Arial" w:hAnsi="Arial"/>
                <w:sz w:val="14"/>
                <w:szCs w:val="14"/>
                <w:color w:val="auto"/>
              </w:rPr>
              <w:t>(between target and maximum)</w:t>
            </w:r>
          </w:p>
        </w:tc>
        <w:tc>
          <w:tcPr>
            <w:tcW w:w="0" w:type="dxa"/>
            <w:vAlign w:val="bottom"/>
          </w:tcPr>
          <w:p>
            <w:pPr>
              <w:spacing w:after="0"/>
              <w:rPr>
                <w:sz w:val="1"/>
                <w:szCs w:val="1"/>
                <w:color w:val="auto"/>
              </w:rPr>
            </w:pPr>
          </w:p>
        </w:tc>
      </w:tr>
      <w:tr>
        <w:trPr>
          <w:trHeight w:val="202"/>
        </w:trPr>
        <w:tc>
          <w:tcPr>
            <w:tcW w:w="3820" w:type="dxa"/>
            <w:vAlign w:val="bottom"/>
            <w:shd w:val="clear" w:color="auto" w:fill="D9D9D9"/>
          </w:tcPr>
          <w:p>
            <w:pPr>
              <w:spacing w:after="0"/>
              <w:rPr>
                <w:sz w:val="17"/>
                <w:szCs w:val="17"/>
                <w:color w:val="auto"/>
              </w:rPr>
            </w:pPr>
          </w:p>
        </w:tc>
        <w:tc>
          <w:tcPr>
            <w:tcW w:w="1660" w:type="dxa"/>
            <w:vAlign w:val="bottom"/>
            <w:shd w:val="clear" w:color="auto" w:fill="D9D9D9"/>
          </w:tcPr>
          <w:p>
            <w:pPr>
              <w:spacing w:after="0"/>
              <w:rPr>
                <w:sz w:val="17"/>
                <w:szCs w:val="17"/>
                <w:color w:val="auto"/>
              </w:rPr>
            </w:pPr>
          </w:p>
        </w:tc>
        <w:tc>
          <w:tcPr>
            <w:tcW w:w="1420" w:type="dxa"/>
            <w:vAlign w:val="bottom"/>
            <w:shd w:val="clear" w:color="auto" w:fill="D9D9D9"/>
          </w:tcPr>
          <w:p>
            <w:pPr>
              <w:spacing w:after="0"/>
              <w:rPr>
                <w:sz w:val="17"/>
                <w:szCs w:val="17"/>
                <w:color w:val="auto"/>
              </w:rPr>
            </w:pPr>
          </w:p>
        </w:tc>
        <w:tc>
          <w:tcPr>
            <w:tcW w:w="1540" w:type="dxa"/>
            <w:vAlign w:val="bottom"/>
            <w:shd w:val="clear" w:color="auto" w:fill="D9D9D9"/>
          </w:tcPr>
          <w:p>
            <w:pPr>
              <w:spacing w:after="0"/>
              <w:rPr>
                <w:sz w:val="17"/>
                <w:szCs w:val="17"/>
                <w:color w:val="auto"/>
              </w:rPr>
            </w:pPr>
          </w:p>
        </w:tc>
        <w:tc>
          <w:tcPr>
            <w:tcW w:w="2800" w:type="dxa"/>
            <w:vAlign w:val="bottom"/>
            <w:shd w:val="clear" w:color="auto" w:fill="D9D9D9"/>
          </w:tcPr>
          <w:p>
            <w:pPr>
              <w:jc w:val="center"/>
              <w:ind w:right="9"/>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84"/>
        </w:trPr>
        <w:tc>
          <w:tcPr>
            <w:tcW w:w="3820" w:type="dxa"/>
            <w:vAlign w:val="bottom"/>
            <w:shd w:val="clear" w:color="auto" w:fill="D9D9D9"/>
          </w:tcPr>
          <w:p>
            <w:pPr>
              <w:spacing w:after="0"/>
              <w:rPr>
                <w:sz w:val="20"/>
                <w:szCs w:val="20"/>
                <w:color w:val="auto"/>
              </w:rPr>
            </w:pPr>
            <w:r>
              <w:rPr>
                <w:rFonts w:ascii="Arial" w:cs="Arial" w:eastAsia="Arial" w:hAnsi="Arial"/>
                <w:sz w:val="14"/>
                <w:szCs w:val="14"/>
                <w:color w:val="auto"/>
              </w:rPr>
              <w:t>30% corporate revenue growth</w:t>
            </w:r>
          </w:p>
        </w:tc>
        <w:tc>
          <w:tcPr>
            <w:tcW w:w="1660" w:type="dxa"/>
            <w:vAlign w:val="bottom"/>
            <w:shd w:val="clear" w:color="auto" w:fill="D9D9D9"/>
          </w:tcPr>
          <w:p>
            <w:pPr>
              <w:jc w:val="center"/>
              <w:ind w:left="269"/>
              <w:spacing w:after="0"/>
              <w:rPr>
                <w:sz w:val="20"/>
                <w:szCs w:val="20"/>
                <w:color w:val="auto"/>
              </w:rPr>
            </w:pPr>
            <w:r>
              <w:rPr>
                <w:rFonts w:ascii="Arial" w:cs="Arial" w:eastAsia="Arial" w:hAnsi="Arial"/>
                <w:sz w:val="14"/>
                <w:szCs w:val="14"/>
                <w:color w:val="auto"/>
              </w:rPr>
              <w:t>5.8%</w:t>
            </w:r>
          </w:p>
        </w:tc>
        <w:tc>
          <w:tcPr>
            <w:tcW w:w="142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8.8%</w:t>
            </w:r>
          </w:p>
        </w:tc>
        <w:tc>
          <w:tcPr>
            <w:tcW w:w="1540" w:type="dxa"/>
            <w:vAlign w:val="bottom"/>
            <w:shd w:val="clear" w:color="auto" w:fill="D9D9D9"/>
          </w:tcPr>
          <w:p>
            <w:pPr>
              <w:jc w:val="center"/>
              <w:ind w:right="69"/>
              <w:spacing w:after="0"/>
              <w:rPr>
                <w:sz w:val="20"/>
                <w:szCs w:val="20"/>
                <w:color w:val="auto"/>
              </w:rPr>
            </w:pPr>
            <w:r>
              <w:rPr>
                <w:rFonts w:ascii="Arial" w:cs="Arial" w:eastAsia="Arial" w:hAnsi="Arial"/>
                <w:sz w:val="14"/>
                <w:szCs w:val="14"/>
                <w:color w:val="auto"/>
              </w:rPr>
              <w:t>11.8%</w:t>
            </w:r>
          </w:p>
        </w:tc>
        <w:tc>
          <w:tcPr>
            <w:tcW w:w="2800" w:type="dxa"/>
            <w:vAlign w:val="bottom"/>
            <w:shd w:val="clear" w:color="auto" w:fill="D9D9D9"/>
          </w:tcPr>
          <w:p>
            <w:pPr>
              <w:jc w:val="center"/>
              <w:ind w:right="9"/>
              <w:spacing w:after="0"/>
              <w:rPr>
                <w:sz w:val="20"/>
                <w:szCs w:val="20"/>
                <w:color w:val="auto"/>
              </w:rPr>
            </w:pPr>
            <w:r>
              <w:rPr>
                <w:rFonts w:ascii="Arial" w:cs="Arial" w:eastAsia="Arial" w:hAnsi="Arial"/>
                <w:sz w:val="14"/>
                <w:szCs w:val="14"/>
                <w:color w:val="auto"/>
                <w:w w:val="99"/>
              </w:rPr>
              <w:t>(above maximum)</w:t>
            </w:r>
          </w:p>
        </w:tc>
        <w:tc>
          <w:tcPr>
            <w:tcW w:w="0" w:type="dxa"/>
            <w:vAlign w:val="bottom"/>
          </w:tcPr>
          <w:p>
            <w:pPr>
              <w:spacing w:after="0"/>
              <w:rPr>
                <w:sz w:val="1"/>
                <w:szCs w:val="1"/>
                <w:color w:val="auto"/>
              </w:rPr>
            </w:pPr>
          </w:p>
        </w:tc>
      </w:tr>
      <w:tr>
        <w:trPr>
          <w:trHeight w:val="202"/>
        </w:trPr>
        <w:tc>
          <w:tcPr>
            <w:tcW w:w="3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800" w:type="dxa"/>
            <w:vAlign w:val="bottom"/>
          </w:tcPr>
          <w:p>
            <w:pPr>
              <w:jc w:val="center"/>
              <w:ind w:right="9"/>
              <w:spacing w:after="0"/>
              <w:rPr>
                <w:sz w:val="20"/>
                <w:szCs w:val="20"/>
                <w:color w:val="auto"/>
              </w:rPr>
            </w:pPr>
            <w:r>
              <w:rPr>
                <w:rFonts w:ascii="Arial" w:cs="Arial" w:eastAsia="Arial" w:hAnsi="Arial"/>
                <w:sz w:val="14"/>
                <w:szCs w:val="14"/>
                <w:color w:val="auto"/>
              </w:rPr>
              <w:t>14.80%</w:t>
            </w:r>
          </w:p>
        </w:tc>
        <w:tc>
          <w:tcPr>
            <w:tcW w:w="0" w:type="dxa"/>
            <w:vAlign w:val="bottom"/>
          </w:tcPr>
          <w:p>
            <w:pPr>
              <w:spacing w:after="0"/>
              <w:rPr>
                <w:sz w:val="1"/>
                <w:szCs w:val="1"/>
                <w:color w:val="auto"/>
              </w:rPr>
            </w:pPr>
          </w:p>
        </w:tc>
      </w:tr>
      <w:tr>
        <w:trPr>
          <w:trHeight w:val="184"/>
        </w:trPr>
        <w:tc>
          <w:tcPr>
            <w:tcW w:w="3820" w:type="dxa"/>
            <w:vAlign w:val="bottom"/>
          </w:tcPr>
          <w:p>
            <w:pPr>
              <w:spacing w:after="0"/>
              <w:rPr>
                <w:sz w:val="20"/>
                <w:szCs w:val="20"/>
                <w:color w:val="auto"/>
              </w:rPr>
            </w:pPr>
            <w:r>
              <w:rPr>
                <w:rFonts w:ascii="Arial" w:cs="Arial" w:eastAsia="Arial" w:hAnsi="Arial"/>
                <w:sz w:val="14"/>
                <w:szCs w:val="14"/>
                <w:color w:val="auto"/>
              </w:rPr>
              <w:t>20% corporate working capital as a percent of sales</w:t>
            </w:r>
          </w:p>
        </w:tc>
        <w:tc>
          <w:tcPr>
            <w:tcW w:w="1660" w:type="dxa"/>
            <w:vAlign w:val="bottom"/>
          </w:tcPr>
          <w:p>
            <w:pPr>
              <w:jc w:val="center"/>
              <w:ind w:left="269"/>
              <w:spacing w:after="0"/>
              <w:rPr>
                <w:sz w:val="20"/>
                <w:szCs w:val="20"/>
                <w:color w:val="auto"/>
              </w:rPr>
            </w:pPr>
            <w:r>
              <w:rPr>
                <w:rFonts w:ascii="Arial" w:cs="Arial" w:eastAsia="Arial" w:hAnsi="Arial"/>
                <w:sz w:val="14"/>
                <w:szCs w:val="14"/>
                <w:color w:val="auto"/>
              </w:rPr>
              <w:t>22.76%</w:t>
            </w:r>
          </w:p>
        </w:tc>
        <w:tc>
          <w:tcPr>
            <w:tcW w:w="1420" w:type="dxa"/>
            <w:vAlign w:val="bottom"/>
          </w:tcPr>
          <w:p>
            <w:pPr>
              <w:jc w:val="center"/>
              <w:spacing w:after="0"/>
              <w:rPr>
                <w:sz w:val="20"/>
                <w:szCs w:val="20"/>
                <w:color w:val="auto"/>
              </w:rPr>
            </w:pPr>
            <w:r>
              <w:rPr>
                <w:rFonts w:ascii="Arial" w:cs="Arial" w:eastAsia="Arial" w:hAnsi="Arial"/>
                <w:sz w:val="14"/>
                <w:szCs w:val="14"/>
                <w:color w:val="auto"/>
              </w:rPr>
              <w:t>19.79%</w:t>
            </w:r>
          </w:p>
        </w:tc>
        <w:tc>
          <w:tcPr>
            <w:tcW w:w="1540" w:type="dxa"/>
            <w:vAlign w:val="bottom"/>
          </w:tcPr>
          <w:p>
            <w:pPr>
              <w:jc w:val="center"/>
              <w:ind w:right="69"/>
              <w:spacing w:after="0"/>
              <w:rPr>
                <w:sz w:val="20"/>
                <w:szCs w:val="20"/>
                <w:color w:val="auto"/>
              </w:rPr>
            </w:pPr>
            <w:r>
              <w:rPr>
                <w:rFonts w:ascii="Arial" w:cs="Arial" w:eastAsia="Arial" w:hAnsi="Arial"/>
                <w:sz w:val="14"/>
                <w:szCs w:val="14"/>
                <w:color w:val="auto"/>
              </w:rPr>
              <w:t>16.82%</w:t>
            </w:r>
          </w:p>
        </w:tc>
        <w:tc>
          <w:tcPr>
            <w:tcW w:w="2800" w:type="dxa"/>
            <w:vAlign w:val="bottom"/>
          </w:tcPr>
          <w:p>
            <w:pPr>
              <w:jc w:val="center"/>
              <w:ind w:right="9"/>
              <w:spacing w:after="0"/>
              <w:rPr>
                <w:sz w:val="20"/>
                <w:szCs w:val="20"/>
                <w:color w:val="auto"/>
              </w:rPr>
            </w:pPr>
            <w:r>
              <w:rPr>
                <w:rFonts w:ascii="Arial" w:cs="Arial" w:eastAsia="Arial" w:hAnsi="Arial"/>
                <w:sz w:val="14"/>
                <w:szCs w:val="14"/>
                <w:color w:val="auto"/>
                <w:w w:val="99"/>
              </w:rPr>
              <w:t>(above maximum)</w:t>
            </w:r>
          </w:p>
        </w:tc>
        <w:tc>
          <w:tcPr>
            <w:tcW w:w="0" w:type="dxa"/>
            <w:vAlign w:val="bottom"/>
          </w:tcPr>
          <w:p>
            <w:pPr>
              <w:spacing w:after="0"/>
              <w:rPr>
                <w:sz w:val="1"/>
                <w:szCs w:val="1"/>
                <w:color w:val="auto"/>
              </w:rPr>
            </w:pPr>
          </w:p>
        </w:tc>
      </w:tr>
      <w:tr>
        <w:trPr>
          <w:trHeight w:val="266"/>
        </w:trPr>
        <w:tc>
          <w:tcPr>
            <w:tcW w:w="3820" w:type="dxa"/>
            <w:vAlign w:val="bottom"/>
            <w:shd w:val="clear" w:color="auto" w:fill="D9D9D9"/>
          </w:tcPr>
          <w:p>
            <w:pPr>
              <w:spacing w:after="0"/>
              <w:rPr>
                <w:sz w:val="20"/>
                <w:szCs w:val="20"/>
                <w:color w:val="auto"/>
              </w:rPr>
            </w:pPr>
            <w:r>
              <w:rPr>
                <w:rFonts w:ascii="Arial" w:cs="Arial" w:eastAsia="Arial" w:hAnsi="Arial"/>
                <w:sz w:val="14"/>
                <w:szCs w:val="14"/>
                <w:b w:val="1"/>
                <w:bCs w:val="1"/>
                <w:color w:val="auto"/>
              </w:rPr>
              <w:t>Corporate performance payout</w:t>
            </w:r>
          </w:p>
        </w:tc>
        <w:tc>
          <w:tcPr>
            <w:tcW w:w="1660" w:type="dxa"/>
            <w:vAlign w:val="bottom"/>
            <w:shd w:val="clear" w:color="auto" w:fill="D9D9D9"/>
          </w:tcPr>
          <w:p>
            <w:pPr>
              <w:spacing w:after="0"/>
              <w:rPr>
                <w:sz w:val="23"/>
                <w:szCs w:val="23"/>
                <w:color w:val="auto"/>
              </w:rPr>
            </w:pPr>
          </w:p>
        </w:tc>
        <w:tc>
          <w:tcPr>
            <w:tcW w:w="1420" w:type="dxa"/>
            <w:vAlign w:val="bottom"/>
            <w:shd w:val="clear" w:color="auto" w:fill="D9D9D9"/>
          </w:tcPr>
          <w:p>
            <w:pPr>
              <w:spacing w:after="0"/>
              <w:rPr>
                <w:sz w:val="23"/>
                <w:szCs w:val="23"/>
                <w:color w:val="auto"/>
              </w:rPr>
            </w:pPr>
          </w:p>
        </w:tc>
        <w:tc>
          <w:tcPr>
            <w:tcW w:w="1540" w:type="dxa"/>
            <w:vAlign w:val="bottom"/>
            <w:shd w:val="clear" w:color="auto" w:fill="D9D9D9"/>
          </w:tcPr>
          <w:p>
            <w:pPr>
              <w:spacing w:after="0"/>
              <w:rPr>
                <w:sz w:val="23"/>
                <w:szCs w:val="23"/>
                <w:color w:val="auto"/>
              </w:rPr>
            </w:pPr>
          </w:p>
        </w:tc>
        <w:tc>
          <w:tcPr>
            <w:tcW w:w="2800" w:type="dxa"/>
            <w:vAlign w:val="bottom"/>
            <w:shd w:val="clear" w:color="auto" w:fill="D9D9D9"/>
          </w:tcPr>
          <w:p>
            <w:pPr>
              <w:jc w:val="center"/>
              <w:ind w:right="9"/>
              <w:spacing w:after="0"/>
              <w:rPr>
                <w:sz w:val="20"/>
                <w:szCs w:val="20"/>
                <w:color w:val="auto"/>
              </w:rPr>
            </w:pPr>
            <w:r>
              <w:rPr>
                <w:rFonts w:ascii="Arial" w:cs="Arial" w:eastAsia="Arial" w:hAnsi="Arial"/>
                <w:sz w:val="14"/>
                <w:szCs w:val="14"/>
                <w:b w:val="1"/>
                <w:bCs w:val="1"/>
                <w:color w:val="auto"/>
              </w:rPr>
              <w:t>167.0% of target</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firstLine="401"/>
        <w:spacing w:after="0"/>
        <w:rPr>
          <w:sz w:val="20"/>
          <w:szCs w:val="20"/>
          <w:color w:val="auto"/>
        </w:rPr>
      </w:pPr>
      <w:r>
        <w:rPr>
          <w:rFonts w:ascii="Arial" w:cs="Arial" w:eastAsia="Arial" w:hAnsi="Arial"/>
          <w:sz w:val="18"/>
          <w:szCs w:val="18"/>
          <w:i w:val="1"/>
          <w:iCs w:val="1"/>
          <w:color w:val="auto"/>
        </w:rPr>
        <w:t>Corporate Performance Discussion and Analysis</w:t>
      </w:r>
      <w:r>
        <w:rPr>
          <w:rFonts w:ascii="Arial" w:cs="Arial" w:eastAsia="Arial" w:hAnsi="Arial"/>
          <w:sz w:val="18"/>
          <w:szCs w:val="18"/>
          <w:color w:val="auto"/>
        </w:rPr>
        <w:t>. All of our named executive officers had 100% of their annual cash incentive awards</w:t>
      </w:r>
      <w:r>
        <w:rPr>
          <w:rFonts w:ascii="Arial" w:cs="Arial" w:eastAsia="Arial" w:hAnsi="Arial"/>
          <w:sz w:val="18"/>
          <w:szCs w:val="18"/>
          <w:i w:val="1"/>
          <w:iCs w:val="1"/>
          <w:color w:val="auto"/>
        </w:rPr>
        <w:t xml:space="preserve"> </w:t>
      </w:r>
      <w:r>
        <w:rPr>
          <w:rFonts w:ascii="Arial" w:cs="Arial" w:eastAsia="Arial" w:hAnsi="Arial"/>
          <w:sz w:val="18"/>
          <w:szCs w:val="18"/>
          <w:color w:val="auto"/>
        </w:rPr>
        <w:t>tied to corporate performance for all of fiscal 2021; and therefore, their annual cash incentive award payouts were at 167.0% of target. Applying the corporate performance payout to their individual target awards, this translated to payouts of fiscal year base salaries of approximately 200% for Mr. Olson, 134% for Ms. Peterson, 117% for Mr. Rodier, 109% for Ms. Dahl, and 100% for Mr. Hamilton.</w:t>
      </w:r>
    </w:p>
    <w:p>
      <w:pPr>
        <w:spacing w:after="0" w:line="76" w:lineRule="exact"/>
        <w:rPr>
          <w:sz w:val="20"/>
          <w:szCs w:val="20"/>
          <w:color w:val="auto"/>
        </w:rPr>
      </w:pPr>
    </w:p>
    <w:p>
      <w:pPr>
        <w:ind w:right="60" w:firstLine="401"/>
        <w:spacing w:after="0"/>
        <w:rPr>
          <w:sz w:val="20"/>
          <w:szCs w:val="20"/>
          <w:color w:val="auto"/>
        </w:rPr>
      </w:pPr>
      <w:r>
        <w:rPr>
          <w:rFonts w:ascii="Arial" w:cs="Arial" w:eastAsia="Arial" w:hAnsi="Arial"/>
          <w:sz w:val="18"/>
          <w:szCs w:val="18"/>
          <w:i w:val="1"/>
          <w:iCs w:val="1"/>
          <w:color w:val="auto"/>
        </w:rPr>
        <w:t xml:space="preserve">Actual Cash Compensation Discussion and Analysis. </w:t>
      </w:r>
      <w:r>
        <w:rPr>
          <w:rFonts w:ascii="Arial" w:cs="Arial" w:eastAsia="Arial" w:hAnsi="Arial"/>
          <w:sz w:val="18"/>
          <w:szCs w:val="18"/>
          <w:color w:val="auto"/>
        </w:rPr>
        <w:t>Fiscal 2021 actual total cash compensation (which represents the sum of actual</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2021 base salary earnings and actual fiscal 2021 total annual cash incentive award payout) is reflected in the table below. Given the strong corporate performance for the fiscal year, the actual total cash compensation exceeded the market 50</w:t>
      </w:r>
      <w:r>
        <w:rPr>
          <w:rFonts w:ascii="Arial" w:cs="Arial" w:eastAsia="Arial" w:hAnsi="Arial"/>
          <w:sz w:val="15"/>
          <w:szCs w:val="15"/>
          <w:color w:val="auto"/>
        </w:rPr>
        <w:t>th</w:t>
      </w:r>
      <w:r>
        <w:rPr>
          <w:rFonts w:ascii="Arial" w:cs="Arial" w:eastAsia="Arial" w:hAnsi="Arial"/>
          <w:sz w:val="18"/>
          <w:szCs w:val="18"/>
          <w:color w:val="auto"/>
        </w:rPr>
        <w:t xml:space="preserve"> percentile, which aligns with our pay for performance philosophy and, therefore, with paying above market compensation for above market performance.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860" w:type="dxa"/>
            <w:vAlign w:val="bottom"/>
            <w:shd w:val="clear" w:color="auto" w:fill="BE0000"/>
          </w:tcPr>
          <w:p>
            <w:pPr>
              <w:spacing w:after="0"/>
              <w:rPr>
                <w:sz w:val="17"/>
                <w:szCs w:val="17"/>
                <w:color w:val="auto"/>
              </w:rPr>
            </w:pPr>
          </w:p>
        </w:tc>
        <w:tc>
          <w:tcPr>
            <w:tcW w:w="3740" w:type="dxa"/>
            <w:vAlign w:val="bottom"/>
            <w:shd w:val="clear" w:color="auto" w:fill="BE0000"/>
          </w:tcPr>
          <w:p>
            <w:pPr>
              <w:spacing w:after="0"/>
              <w:rPr>
                <w:sz w:val="17"/>
                <w:szCs w:val="17"/>
                <w:color w:val="auto"/>
              </w:rPr>
            </w:pPr>
          </w:p>
        </w:tc>
        <w:tc>
          <w:tcPr>
            <w:tcW w:w="2760" w:type="dxa"/>
            <w:vAlign w:val="bottom"/>
            <w:shd w:val="clear" w:color="auto" w:fill="BE0000"/>
          </w:tcPr>
          <w:p>
            <w:pPr>
              <w:jc w:val="center"/>
              <w:ind w:right="444"/>
              <w:spacing w:after="0"/>
              <w:rPr>
                <w:sz w:val="20"/>
                <w:szCs w:val="20"/>
                <w:color w:val="auto"/>
              </w:rPr>
            </w:pPr>
            <w:r>
              <w:rPr>
                <w:rFonts w:ascii="Arial" w:cs="Arial" w:eastAsia="Arial" w:hAnsi="Arial"/>
                <w:sz w:val="14"/>
                <w:szCs w:val="14"/>
                <w:b w:val="1"/>
                <w:bCs w:val="1"/>
                <w:color w:val="FFFFFF"/>
              </w:rPr>
              <w:t>Fiscal 2021</w:t>
            </w:r>
          </w:p>
        </w:tc>
        <w:tc>
          <w:tcPr>
            <w:tcW w:w="1880" w:type="dxa"/>
            <w:vAlign w:val="bottom"/>
            <w:shd w:val="clear" w:color="auto" w:fill="BE0000"/>
          </w:tcPr>
          <w:p>
            <w:pPr>
              <w:jc w:val="center"/>
              <w:ind w:right="124"/>
              <w:spacing w:after="0"/>
              <w:rPr>
                <w:sz w:val="20"/>
                <w:szCs w:val="20"/>
                <w:color w:val="auto"/>
              </w:rPr>
            </w:pPr>
            <w:r>
              <w:rPr>
                <w:rFonts w:ascii="Arial" w:cs="Arial" w:eastAsia="Arial" w:hAnsi="Arial"/>
                <w:sz w:val="14"/>
                <w:szCs w:val="14"/>
                <w:b w:val="1"/>
                <w:bCs w:val="1"/>
                <w:color w:val="FFFFFF"/>
              </w:rPr>
              <w:t>Fiscal 2021</w:t>
            </w:r>
          </w:p>
        </w:tc>
      </w:tr>
      <w:tr>
        <w:trPr>
          <w:trHeight w:val="173"/>
        </w:trPr>
        <w:tc>
          <w:tcPr>
            <w:tcW w:w="2860" w:type="dxa"/>
            <w:vAlign w:val="bottom"/>
            <w:shd w:val="clear" w:color="auto" w:fill="BE0000"/>
          </w:tcPr>
          <w:p>
            <w:pPr>
              <w:spacing w:after="0"/>
              <w:rPr>
                <w:sz w:val="15"/>
                <w:szCs w:val="15"/>
                <w:color w:val="auto"/>
              </w:rPr>
            </w:pPr>
          </w:p>
        </w:tc>
        <w:tc>
          <w:tcPr>
            <w:tcW w:w="3740" w:type="dxa"/>
            <w:vAlign w:val="bottom"/>
            <w:shd w:val="clear" w:color="auto" w:fill="BE0000"/>
          </w:tcPr>
          <w:p>
            <w:pPr>
              <w:jc w:val="center"/>
              <w:ind w:left="1464"/>
              <w:spacing w:after="0"/>
              <w:rPr>
                <w:sz w:val="20"/>
                <w:szCs w:val="20"/>
                <w:color w:val="auto"/>
              </w:rPr>
            </w:pPr>
            <w:r>
              <w:rPr>
                <w:rFonts w:ascii="Arial" w:cs="Arial" w:eastAsia="Arial" w:hAnsi="Arial"/>
                <w:sz w:val="14"/>
                <w:szCs w:val="14"/>
                <w:b w:val="1"/>
                <w:bCs w:val="1"/>
                <w:color w:val="FFFFFF"/>
              </w:rPr>
              <w:t>Fiscal 2021</w:t>
            </w:r>
          </w:p>
        </w:tc>
        <w:tc>
          <w:tcPr>
            <w:tcW w:w="2760" w:type="dxa"/>
            <w:vAlign w:val="bottom"/>
            <w:shd w:val="clear" w:color="auto" w:fill="BE0000"/>
          </w:tcPr>
          <w:p>
            <w:pPr>
              <w:jc w:val="center"/>
              <w:ind w:right="444"/>
              <w:spacing w:after="0"/>
              <w:rPr>
                <w:sz w:val="20"/>
                <w:szCs w:val="20"/>
                <w:color w:val="auto"/>
              </w:rPr>
            </w:pPr>
            <w:r>
              <w:rPr>
                <w:rFonts w:ascii="Arial" w:cs="Arial" w:eastAsia="Arial" w:hAnsi="Arial"/>
                <w:sz w:val="14"/>
                <w:szCs w:val="14"/>
                <w:b w:val="1"/>
                <w:bCs w:val="1"/>
                <w:color w:val="FFFFFF"/>
              </w:rPr>
              <w:t>Total Annual Cash</w:t>
            </w:r>
          </w:p>
        </w:tc>
        <w:tc>
          <w:tcPr>
            <w:tcW w:w="1880" w:type="dxa"/>
            <w:vAlign w:val="bottom"/>
            <w:shd w:val="clear" w:color="auto" w:fill="BE0000"/>
          </w:tcPr>
          <w:p>
            <w:pPr>
              <w:jc w:val="center"/>
              <w:ind w:right="124"/>
              <w:spacing w:after="0"/>
              <w:rPr>
                <w:sz w:val="20"/>
                <w:szCs w:val="20"/>
                <w:color w:val="auto"/>
              </w:rPr>
            </w:pPr>
            <w:r>
              <w:rPr>
                <w:rFonts w:ascii="Arial" w:cs="Arial" w:eastAsia="Arial" w:hAnsi="Arial"/>
                <w:sz w:val="14"/>
                <w:szCs w:val="14"/>
                <w:b w:val="1"/>
                <w:bCs w:val="1"/>
                <w:color w:val="FFFFFF"/>
              </w:rPr>
              <w:t>Total Cash</w:t>
            </w:r>
          </w:p>
        </w:tc>
      </w:tr>
      <w:tr>
        <w:trPr>
          <w:trHeight w:val="173"/>
        </w:trPr>
        <w:tc>
          <w:tcPr>
            <w:tcW w:w="2860" w:type="dxa"/>
            <w:vAlign w:val="bottom"/>
            <w:shd w:val="clear" w:color="auto" w:fill="BE0000"/>
          </w:tcPr>
          <w:p>
            <w:pPr>
              <w:spacing w:after="0"/>
              <w:rPr>
                <w:sz w:val="15"/>
                <w:szCs w:val="15"/>
                <w:color w:val="auto"/>
              </w:rPr>
            </w:pPr>
          </w:p>
        </w:tc>
        <w:tc>
          <w:tcPr>
            <w:tcW w:w="3740" w:type="dxa"/>
            <w:vAlign w:val="bottom"/>
            <w:shd w:val="clear" w:color="auto" w:fill="BE0000"/>
          </w:tcPr>
          <w:p>
            <w:pPr>
              <w:jc w:val="center"/>
              <w:ind w:left="1464"/>
              <w:spacing w:after="0"/>
              <w:rPr>
                <w:sz w:val="20"/>
                <w:szCs w:val="20"/>
                <w:color w:val="auto"/>
              </w:rPr>
            </w:pPr>
            <w:r>
              <w:rPr>
                <w:rFonts w:ascii="Arial" w:cs="Arial" w:eastAsia="Arial" w:hAnsi="Arial"/>
                <w:sz w:val="14"/>
                <w:szCs w:val="14"/>
                <w:b w:val="1"/>
                <w:bCs w:val="1"/>
                <w:color w:val="FFFFFF"/>
              </w:rPr>
              <w:t>Base Salary Earnings</w:t>
            </w:r>
          </w:p>
        </w:tc>
        <w:tc>
          <w:tcPr>
            <w:tcW w:w="2760" w:type="dxa"/>
            <w:vAlign w:val="bottom"/>
            <w:shd w:val="clear" w:color="auto" w:fill="BE0000"/>
          </w:tcPr>
          <w:p>
            <w:pPr>
              <w:jc w:val="center"/>
              <w:ind w:right="444"/>
              <w:spacing w:after="0"/>
              <w:rPr>
                <w:sz w:val="20"/>
                <w:szCs w:val="20"/>
                <w:color w:val="auto"/>
              </w:rPr>
            </w:pPr>
            <w:r>
              <w:rPr>
                <w:rFonts w:ascii="Arial" w:cs="Arial" w:eastAsia="Arial" w:hAnsi="Arial"/>
                <w:sz w:val="14"/>
                <w:szCs w:val="14"/>
                <w:b w:val="1"/>
                <w:bCs w:val="1"/>
                <w:color w:val="FFFFFF"/>
              </w:rPr>
              <w:t>Incentive Award Payout</w:t>
            </w:r>
          </w:p>
        </w:tc>
        <w:tc>
          <w:tcPr>
            <w:tcW w:w="1880" w:type="dxa"/>
            <w:vAlign w:val="bottom"/>
            <w:shd w:val="clear" w:color="auto" w:fill="BE0000"/>
          </w:tcPr>
          <w:p>
            <w:pPr>
              <w:jc w:val="center"/>
              <w:ind w:right="104"/>
              <w:spacing w:after="0"/>
              <w:rPr>
                <w:sz w:val="20"/>
                <w:szCs w:val="20"/>
                <w:color w:val="auto"/>
              </w:rPr>
            </w:pPr>
            <w:r>
              <w:rPr>
                <w:rFonts w:ascii="Arial" w:cs="Arial" w:eastAsia="Arial" w:hAnsi="Arial"/>
                <w:sz w:val="14"/>
                <w:szCs w:val="14"/>
                <w:b w:val="1"/>
                <w:bCs w:val="1"/>
                <w:color w:val="FFFFFF"/>
              </w:rPr>
              <w:t>Compensation</w:t>
            </w:r>
          </w:p>
        </w:tc>
      </w:tr>
      <w:tr>
        <w:trPr>
          <w:trHeight w:val="199"/>
        </w:trPr>
        <w:tc>
          <w:tcPr>
            <w:tcW w:w="2860" w:type="dxa"/>
            <w:vAlign w:val="bottom"/>
            <w:shd w:val="clear" w:color="auto" w:fill="BE0000"/>
          </w:tcPr>
          <w:p>
            <w:pPr>
              <w:spacing w:after="0"/>
              <w:rPr>
                <w:sz w:val="20"/>
                <w:szCs w:val="20"/>
                <w:color w:val="auto"/>
              </w:rPr>
            </w:pPr>
            <w:r>
              <w:rPr>
                <w:rFonts w:ascii="Arial" w:cs="Arial" w:eastAsia="Arial" w:hAnsi="Arial"/>
                <w:sz w:val="14"/>
                <w:szCs w:val="14"/>
                <w:b w:val="1"/>
                <w:bCs w:val="1"/>
                <w:color w:val="FFFFFF"/>
              </w:rPr>
              <w:t>Name</w:t>
            </w:r>
          </w:p>
        </w:tc>
        <w:tc>
          <w:tcPr>
            <w:tcW w:w="3740" w:type="dxa"/>
            <w:vAlign w:val="bottom"/>
            <w:shd w:val="clear" w:color="auto" w:fill="BE0000"/>
          </w:tcPr>
          <w:p>
            <w:pPr>
              <w:jc w:val="center"/>
              <w:ind w:left="1464"/>
              <w:spacing w:after="0"/>
              <w:rPr>
                <w:sz w:val="20"/>
                <w:szCs w:val="20"/>
                <w:color w:val="auto"/>
              </w:rPr>
            </w:pPr>
            <w:r>
              <w:rPr>
                <w:rFonts w:ascii="Arial" w:cs="Arial" w:eastAsia="Arial" w:hAnsi="Arial"/>
                <w:sz w:val="14"/>
                <w:szCs w:val="14"/>
                <w:b w:val="1"/>
                <w:bCs w:val="1"/>
                <w:color w:val="FFFFFF"/>
                <w:w w:val="93"/>
              </w:rPr>
              <w:t>($)</w:t>
            </w:r>
          </w:p>
        </w:tc>
        <w:tc>
          <w:tcPr>
            <w:tcW w:w="2760" w:type="dxa"/>
            <w:vAlign w:val="bottom"/>
            <w:shd w:val="clear" w:color="auto" w:fill="BE0000"/>
          </w:tcPr>
          <w:p>
            <w:pPr>
              <w:jc w:val="center"/>
              <w:ind w:right="424"/>
              <w:spacing w:after="0"/>
              <w:rPr>
                <w:sz w:val="20"/>
                <w:szCs w:val="20"/>
                <w:color w:val="auto"/>
              </w:rPr>
            </w:pPr>
            <w:r>
              <w:rPr>
                <w:rFonts w:ascii="Arial" w:cs="Arial" w:eastAsia="Arial" w:hAnsi="Arial"/>
                <w:sz w:val="14"/>
                <w:szCs w:val="14"/>
                <w:b w:val="1"/>
                <w:bCs w:val="1"/>
                <w:color w:val="FFFFFF"/>
              </w:rPr>
              <w:t>($)</w:t>
            </w:r>
          </w:p>
        </w:tc>
        <w:tc>
          <w:tcPr>
            <w:tcW w:w="1880" w:type="dxa"/>
            <w:vAlign w:val="bottom"/>
            <w:shd w:val="clear" w:color="auto" w:fill="BE0000"/>
          </w:tcPr>
          <w:p>
            <w:pPr>
              <w:jc w:val="center"/>
              <w:ind w:right="104"/>
              <w:spacing w:after="0"/>
              <w:rPr>
                <w:sz w:val="20"/>
                <w:szCs w:val="20"/>
                <w:color w:val="auto"/>
              </w:rPr>
            </w:pPr>
            <w:r>
              <w:rPr>
                <w:rFonts w:ascii="Arial" w:cs="Arial" w:eastAsia="Arial" w:hAnsi="Arial"/>
                <w:sz w:val="14"/>
                <w:szCs w:val="14"/>
                <w:b w:val="1"/>
                <w:bCs w:val="1"/>
                <w:color w:val="FFFFFF"/>
              </w:rPr>
              <w:t>($)</w:t>
            </w:r>
          </w:p>
        </w:tc>
      </w:tr>
      <w:tr>
        <w:trPr>
          <w:trHeight w:val="230"/>
        </w:trPr>
        <w:tc>
          <w:tcPr>
            <w:tcW w:w="2860" w:type="dxa"/>
            <w:vAlign w:val="bottom"/>
          </w:tcPr>
          <w:p>
            <w:pPr>
              <w:spacing w:after="0"/>
              <w:rPr>
                <w:sz w:val="20"/>
                <w:szCs w:val="20"/>
                <w:color w:val="auto"/>
              </w:rPr>
            </w:pPr>
            <w:r>
              <w:rPr>
                <w:rFonts w:ascii="Arial" w:cs="Arial" w:eastAsia="Arial" w:hAnsi="Arial"/>
                <w:sz w:val="16"/>
                <w:szCs w:val="16"/>
                <w:color w:val="auto"/>
              </w:rPr>
              <w:t>Mr. Olson</w:t>
            </w:r>
          </w:p>
        </w:tc>
        <w:tc>
          <w:tcPr>
            <w:tcW w:w="3740" w:type="dxa"/>
            <w:vAlign w:val="bottom"/>
          </w:tcPr>
          <w:p>
            <w:pPr>
              <w:jc w:val="right"/>
              <w:ind w:right="264"/>
              <w:spacing w:after="0"/>
              <w:rPr>
                <w:sz w:val="20"/>
                <w:szCs w:val="20"/>
                <w:color w:val="auto"/>
              </w:rPr>
            </w:pPr>
            <w:r>
              <w:rPr>
                <w:rFonts w:ascii="Arial" w:cs="Arial" w:eastAsia="Arial" w:hAnsi="Arial"/>
                <w:sz w:val="16"/>
                <w:szCs w:val="16"/>
                <w:color w:val="auto"/>
              </w:rPr>
              <w:t>1,045,930</w:t>
            </w:r>
          </w:p>
        </w:tc>
        <w:tc>
          <w:tcPr>
            <w:tcW w:w="2760" w:type="dxa"/>
            <w:vAlign w:val="bottom"/>
          </w:tcPr>
          <w:p>
            <w:pPr>
              <w:jc w:val="right"/>
              <w:ind w:right="284"/>
              <w:spacing w:after="0"/>
              <w:rPr>
                <w:sz w:val="20"/>
                <w:szCs w:val="20"/>
                <w:color w:val="auto"/>
              </w:rPr>
            </w:pPr>
            <w:r>
              <w:rPr>
                <w:rFonts w:ascii="Arial" w:cs="Arial" w:eastAsia="Arial" w:hAnsi="Arial"/>
                <w:sz w:val="16"/>
                <w:szCs w:val="16"/>
                <w:color w:val="auto"/>
              </w:rPr>
              <w:t>2,095,541</w:t>
            </w:r>
          </w:p>
        </w:tc>
        <w:tc>
          <w:tcPr>
            <w:tcW w:w="1880" w:type="dxa"/>
            <w:vAlign w:val="bottom"/>
          </w:tcPr>
          <w:p>
            <w:pPr>
              <w:jc w:val="right"/>
              <w:spacing w:after="0"/>
              <w:rPr>
                <w:sz w:val="20"/>
                <w:szCs w:val="20"/>
                <w:color w:val="auto"/>
              </w:rPr>
            </w:pPr>
            <w:r>
              <w:rPr>
                <w:rFonts w:ascii="Arial" w:cs="Arial" w:eastAsia="Arial" w:hAnsi="Arial"/>
                <w:sz w:val="16"/>
                <w:szCs w:val="16"/>
                <w:color w:val="auto"/>
              </w:rPr>
              <w:t>3,141,471</w:t>
            </w:r>
          </w:p>
        </w:tc>
      </w:tr>
      <w:tr>
        <w:trPr>
          <w:trHeight w:val="249"/>
        </w:trPr>
        <w:tc>
          <w:tcPr>
            <w:tcW w:w="2860" w:type="dxa"/>
            <w:vAlign w:val="bottom"/>
            <w:shd w:val="clear" w:color="auto" w:fill="D9D9D9"/>
          </w:tcPr>
          <w:p>
            <w:pPr>
              <w:spacing w:after="0"/>
              <w:rPr>
                <w:sz w:val="20"/>
                <w:szCs w:val="20"/>
                <w:color w:val="auto"/>
              </w:rPr>
            </w:pPr>
            <w:r>
              <w:rPr>
                <w:rFonts w:ascii="Arial" w:cs="Arial" w:eastAsia="Arial" w:hAnsi="Arial"/>
                <w:sz w:val="16"/>
                <w:szCs w:val="16"/>
                <w:color w:val="auto"/>
              </w:rPr>
              <w:t>Ms. Peterson</w:t>
            </w:r>
          </w:p>
        </w:tc>
        <w:tc>
          <w:tcPr>
            <w:tcW w:w="3740" w:type="dxa"/>
            <w:vAlign w:val="bottom"/>
            <w:shd w:val="clear" w:color="auto" w:fill="D9D9D9"/>
          </w:tcPr>
          <w:p>
            <w:pPr>
              <w:jc w:val="right"/>
              <w:ind w:right="264"/>
              <w:spacing w:after="0"/>
              <w:rPr>
                <w:sz w:val="20"/>
                <w:szCs w:val="20"/>
                <w:color w:val="auto"/>
              </w:rPr>
            </w:pPr>
            <w:r>
              <w:rPr>
                <w:rFonts w:ascii="Arial" w:cs="Arial" w:eastAsia="Arial" w:hAnsi="Arial"/>
                <w:sz w:val="16"/>
                <w:szCs w:val="16"/>
                <w:color w:val="auto"/>
              </w:rPr>
              <w:t>566,066</w:t>
            </w:r>
          </w:p>
        </w:tc>
        <w:tc>
          <w:tcPr>
            <w:tcW w:w="2760" w:type="dxa"/>
            <w:vAlign w:val="bottom"/>
            <w:shd w:val="clear" w:color="auto" w:fill="D9D9D9"/>
          </w:tcPr>
          <w:p>
            <w:pPr>
              <w:jc w:val="right"/>
              <w:ind w:right="284"/>
              <w:spacing w:after="0"/>
              <w:rPr>
                <w:sz w:val="20"/>
                <w:szCs w:val="20"/>
                <w:color w:val="auto"/>
              </w:rPr>
            </w:pPr>
            <w:r>
              <w:rPr>
                <w:rFonts w:ascii="Arial" w:cs="Arial" w:eastAsia="Arial" w:hAnsi="Arial"/>
                <w:sz w:val="16"/>
                <w:szCs w:val="16"/>
                <w:color w:val="auto"/>
              </w:rPr>
              <w:t>756,083</w:t>
            </w:r>
          </w:p>
        </w:tc>
        <w:tc>
          <w:tcPr>
            <w:tcW w:w="18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1,322,149</w:t>
            </w:r>
          </w:p>
        </w:tc>
      </w:tr>
      <w:tr>
        <w:trPr>
          <w:trHeight w:val="230"/>
        </w:trPr>
        <w:tc>
          <w:tcPr>
            <w:tcW w:w="2860" w:type="dxa"/>
            <w:vAlign w:val="bottom"/>
          </w:tcPr>
          <w:p>
            <w:pPr>
              <w:spacing w:after="0"/>
              <w:rPr>
                <w:sz w:val="20"/>
                <w:szCs w:val="20"/>
                <w:color w:val="auto"/>
              </w:rPr>
            </w:pPr>
            <w:r>
              <w:rPr>
                <w:rFonts w:ascii="Arial" w:cs="Arial" w:eastAsia="Arial" w:hAnsi="Arial"/>
                <w:sz w:val="16"/>
                <w:szCs w:val="16"/>
                <w:color w:val="auto"/>
              </w:rPr>
              <w:t>Mr. Rodier</w:t>
            </w:r>
          </w:p>
        </w:tc>
        <w:tc>
          <w:tcPr>
            <w:tcW w:w="3740" w:type="dxa"/>
            <w:vAlign w:val="bottom"/>
          </w:tcPr>
          <w:p>
            <w:pPr>
              <w:jc w:val="right"/>
              <w:ind w:right="264"/>
              <w:spacing w:after="0"/>
              <w:rPr>
                <w:sz w:val="20"/>
                <w:szCs w:val="20"/>
                <w:color w:val="auto"/>
              </w:rPr>
            </w:pPr>
            <w:r>
              <w:rPr>
                <w:rFonts w:ascii="Arial" w:cs="Arial" w:eastAsia="Arial" w:hAnsi="Arial"/>
                <w:sz w:val="16"/>
                <w:szCs w:val="16"/>
                <w:color w:val="auto"/>
              </w:rPr>
              <w:t>515,545</w:t>
            </w:r>
          </w:p>
        </w:tc>
        <w:tc>
          <w:tcPr>
            <w:tcW w:w="2760" w:type="dxa"/>
            <w:vAlign w:val="bottom"/>
          </w:tcPr>
          <w:p>
            <w:pPr>
              <w:jc w:val="right"/>
              <w:ind w:right="284"/>
              <w:spacing w:after="0"/>
              <w:rPr>
                <w:sz w:val="20"/>
                <w:szCs w:val="20"/>
                <w:color w:val="auto"/>
              </w:rPr>
            </w:pPr>
            <w:r>
              <w:rPr>
                <w:rFonts w:ascii="Arial" w:cs="Arial" w:eastAsia="Arial" w:hAnsi="Arial"/>
                <w:sz w:val="16"/>
                <w:szCs w:val="16"/>
                <w:color w:val="auto"/>
              </w:rPr>
              <w:t>602,528</w:t>
            </w:r>
          </w:p>
        </w:tc>
        <w:tc>
          <w:tcPr>
            <w:tcW w:w="1880" w:type="dxa"/>
            <w:vAlign w:val="bottom"/>
          </w:tcPr>
          <w:p>
            <w:pPr>
              <w:jc w:val="right"/>
              <w:spacing w:after="0"/>
              <w:rPr>
                <w:sz w:val="20"/>
                <w:szCs w:val="20"/>
                <w:color w:val="auto"/>
              </w:rPr>
            </w:pPr>
            <w:r>
              <w:rPr>
                <w:rFonts w:ascii="Arial" w:cs="Arial" w:eastAsia="Arial" w:hAnsi="Arial"/>
                <w:sz w:val="16"/>
                <w:szCs w:val="16"/>
                <w:color w:val="auto"/>
              </w:rPr>
              <w:t>1,118,074</w:t>
            </w:r>
          </w:p>
        </w:tc>
      </w:tr>
      <w:tr>
        <w:trPr>
          <w:trHeight w:val="249"/>
        </w:trPr>
        <w:tc>
          <w:tcPr>
            <w:tcW w:w="2860" w:type="dxa"/>
            <w:vAlign w:val="bottom"/>
            <w:shd w:val="clear" w:color="auto" w:fill="D9D9D9"/>
          </w:tcPr>
          <w:p>
            <w:pPr>
              <w:spacing w:after="0"/>
              <w:rPr>
                <w:sz w:val="20"/>
                <w:szCs w:val="20"/>
                <w:color w:val="auto"/>
              </w:rPr>
            </w:pPr>
            <w:r>
              <w:rPr>
                <w:rFonts w:ascii="Arial" w:cs="Arial" w:eastAsia="Arial" w:hAnsi="Arial"/>
                <w:sz w:val="16"/>
                <w:szCs w:val="16"/>
                <w:color w:val="auto"/>
              </w:rPr>
              <w:t>Ms. Dahl</w:t>
            </w:r>
          </w:p>
        </w:tc>
        <w:tc>
          <w:tcPr>
            <w:tcW w:w="3740" w:type="dxa"/>
            <w:vAlign w:val="bottom"/>
            <w:shd w:val="clear" w:color="auto" w:fill="D9D9D9"/>
          </w:tcPr>
          <w:p>
            <w:pPr>
              <w:jc w:val="right"/>
              <w:ind w:right="264"/>
              <w:spacing w:after="0"/>
              <w:rPr>
                <w:sz w:val="20"/>
                <w:szCs w:val="20"/>
                <w:color w:val="auto"/>
              </w:rPr>
            </w:pPr>
            <w:r>
              <w:rPr>
                <w:rFonts w:ascii="Arial" w:cs="Arial" w:eastAsia="Arial" w:hAnsi="Arial"/>
                <w:sz w:val="16"/>
                <w:szCs w:val="16"/>
                <w:color w:val="auto"/>
              </w:rPr>
              <w:t>480,635</w:t>
            </w:r>
          </w:p>
        </w:tc>
        <w:tc>
          <w:tcPr>
            <w:tcW w:w="2760" w:type="dxa"/>
            <w:vAlign w:val="bottom"/>
            <w:shd w:val="clear" w:color="auto" w:fill="D9D9D9"/>
          </w:tcPr>
          <w:p>
            <w:pPr>
              <w:jc w:val="right"/>
              <w:ind w:right="284"/>
              <w:spacing w:after="0"/>
              <w:rPr>
                <w:sz w:val="20"/>
                <w:szCs w:val="20"/>
                <w:color w:val="auto"/>
              </w:rPr>
            </w:pPr>
            <w:r>
              <w:rPr>
                <w:rFonts w:ascii="Arial" w:cs="Arial" w:eastAsia="Arial" w:hAnsi="Arial"/>
                <w:sz w:val="16"/>
                <w:szCs w:val="16"/>
                <w:color w:val="auto"/>
              </w:rPr>
              <w:t>521,604</w:t>
            </w:r>
          </w:p>
        </w:tc>
        <w:tc>
          <w:tcPr>
            <w:tcW w:w="18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1,002,239</w:t>
            </w:r>
          </w:p>
        </w:tc>
      </w:tr>
      <w:tr>
        <w:trPr>
          <w:trHeight w:val="221"/>
        </w:trPr>
        <w:tc>
          <w:tcPr>
            <w:tcW w:w="2860" w:type="dxa"/>
            <w:vAlign w:val="bottom"/>
          </w:tcPr>
          <w:p>
            <w:pPr>
              <w:spacing w:after="0"/>
              <w:rPr>
                <w:sz w:val="20"/>
                <w:szCs w:val="20"/>
                <w:color w:val="auto"/>
              </w:rPr>
            </w:pPr>
            <w:r>
              <w:rPr>
                <w:rFonts w:ascii="Arial" w:cs="Arial" w:eastAsia="Arial" w:hAnsi="Arial"/>
                <w:sz w:val="16"/>
                <w:szCs w:val="16"/>
                <w:color w:val="auto"/>
              </w:rPr>
              <w:t>Mr. Hamilton</w:t>
            </w:r>
          </w:p>
        </w:tc>
        <w:tc>
          <w:tcPr>
            <w:tcW w:w="3740" w:type="dxa"/>
            <w:vAlign w:val="bottom"/>
          </w:tcPr>
          <w:p>
            <w:pPr>
              <w:jc w:val="right"/>
              <w:ind w:right="264"/>
              <w:spacing w:after="0"/>
              <w:rPr>
                <w:sz w:val="20"/>
                <w:szCs w:val="20"/>
                <w:color w:val="auto"/>
              </w:rPr>
            </w:pPr>
            <w:r>
              <w:rPr>
                <w:rFonts w:ascii="Arial" w:cs="Arial" w:eastAsia="Arial" w:hAnsi="Arial"/>
                <w:sz w:val="16"/>
                <w:szCs w:val="16"/>
                <w:color w:val="auto"/>
              </w:rPr>
              <w:t>430,366</w:t>
            </w:r>
          </w:p>
        </w:tc>
        <w:tc>
          <w:tcPr>
            <w:tcW w:w="2760" w:type="dxa"/>
            <w:vAlign w:val="bottom"/>
          </w:tcPr>
          <w:p>
            <w:pPr>
              <w:jc w:val="right"/>
              <w:ind w:right="284"/>
              <w:spacing w:after="0"/>
              <w:rPr>
                <w:sz w:val="20"/>
                <w:szCs w:val="20"/>
                <w:color w:val="auto"/>
              </w:rPr>
            </w:pPr>
            <w:r>
              <w:rPr>
                <w:rFonts w:ascii="Arial" w:cs="Arial" w:eastAsia="Arial" w:hAnsi="Arial"/>
                <w:sz w:val="16"/>
                <w:szCs w:val="16"/>
                <w:color w:val="auto"/>
              </w:rPr>
              <w:t>431,123</w:t>
            </w:r>
          </w:p>
        </w:tc>
        <w:tc>
          <w:tcPr>
            <w:tcW w:w="1880" w:type="dxa"/>
            <w:vAlign w:val="bottom"/>
          </w:tcPr>
          <w:p>
            <w:pPr>
              <w:jc w:val="right"/>
              <w:spacing w:after="0"/>
              <w:rPr>
                <w:sz w:val="20"/>
                <w:szCs w:val="20"/>
                <w:color w:val="auto"/>
              </w:rPr>
            </w:pPr>
            <w:r>
              <w:rPr>
                <w:rFonts w:ascii="Arial" w:cs="Arial" w:eastAsia="Arial" w:hAnsi="Arial"/>
                <w:sz w:val="16"/>
                <w:szCs w:val="16"/>
                <w:color w:val="auto"/>
              </w:rPr>
              <w:t>861,489</w:t>
            </w:r>
          </w:p>
        </w:tc>
      </w:tr>
    </w:tbl>
    <w:p>
      <w:pPr>
        <w:spacing w:after="0" w:line="102"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Long-Term Incentives</w:t>
      </w:r>
      <w:r>
        <w:rPr>
          <w:rFonts w:ascii="Arial" w:cs="Arial" w:eastAsia="Arial" w:hAnsi="Arial"/>
          <w:sz w:val="18"/>
          <w:szCs w:val="18"/>
          <w:b w:val="1"/>
          <w:bCs w:val="1"/>
          <w:color w:val="auto"/>
        </w:rPr>
        <w:t>.</w:t>
      </w:r>
    </w:p>
    <w:p>
      <w:pPr>
        <w:spacing w:after="0" w:line="103" w:lineRule="exact"/>
        <w:rPr>
          <w:sz w:val="20"/>
          <w:szCs w:val="20"/>
          <w:color w:val="auto"/>
        </w:rPr>
      </w:pPr>
    </w:p>
    <w:p>
      <w:pPr>
        <w:ind w:right="20" w:firstLine="401"/>
        <w:spacing w:after="0" w:line="237"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We believe that our use of long-term incentives tied to our common stock, along with our stock ownership guidelines, help align</w:t>
      </w:r>
      <w:r>
        <w:rPr>
          <w:rFonts w:ascii="Arial" w:cs="Arial" w:eastAsia="Arial" w:hAnsi="Arial"/>
          <w:sz w:val="18"/>
          <w:szCs w:val="18"/>
          <w:i w:val="1"/>
          <w:iCs w:val="1"/>
          <w:color w:val="auto"/>
        </w:rPr>
        <w:t xml:space="preserve"> </w:t>
      </w:r>
      <w:r>
        <w:rPr>
          <w:rFonts w:ascii="Arial" w:cs="Arial" w:eastAsia="Arial" w:hAnsi="Arial"/>
          <w:sz w:val="18"/>
          <w:szCs w:val="18"/>
          <w:color w:val="auto"/>
        </w:rPr>
        <w:t>the interests of our executive officers with the interest of our shareholders. Therefore, we provide the opportunity for our executive officers to earn market competitive long-term incentives in the form of both stock options and performance share awards that are granted annually. With respect to annual grants of long-term incentive awards, in addition to considering market data, we also consider for each executive officer the scope and complexity of the position, experience, tenure, internal pay comparisons, function, division, and individual performance and historical targeted grant levels.</w:t>
      </w:r>
    </w:p>
    <w:p>
      <w:pPr>
        <w:spacing w:after="0" w:line="95" w:lineRule="exact"/>
        <w:rPr>
          <w:sz w:val="20"/>
          <w:szCs w:val="20"/>
          <w:color w:val="auto"/>
        </w:rPr>
      </w:pPr>
    </w:p>
    <w:p>
      <w:pPr>
        <w:ind w:right="20" w:firstLine="401"/>
        <w:spacing w:after="0" w:line="233" w:lineRule="auto"/>
        <w:rPr>
          <w:sz w:val="20"/>
          <w:szCs w:val="20"/>
          <w:color w:val="auto"/>
        </w:rPr>
      </w:pPr>
      <w:r>
        <w:rPr>
          <w:rFonts w:ascii="Arial" w:cs="Arial" w:eastAsia="Arial" w:hAnsi="Arial"/>
          <w:sz w:val="18"/>
          <w:szCs w:val="18"/>
          <w:color w:val="auto"/>
        </w:rPr>
        <w:t>Generally, one-half of the long-term incentive value is delivered in the form of stock options and one-half is delivered in the form of performance share awards. We believe this mix of equity strikes the appropriate balance between rewarding achievement of company specific performance measures and increases in the market value of our common stock. Actual value realized from our long-term incentive awards may vary from the market 50</w:t>
      </w:r>
      <w:r>
        <w:rPr>
          <w:rFonts w:ascii="Arial" w:cs="Arial" w:eastAsia="Arial" w:hAnsi="Arial"/>
          <w:sz w:val="15"/>
          <w:szCs w:val="15"/>
          <w:color w:val="auto"/>
        </w:rPr>
        <w:t>th</w:t>
      </w:r>
      <w:r>
        <w:rPr>
          <w:rFonts w:ascii="Arial" w:cs="Arial" w:eastAsia="Arial" w:hAnsi="Arial"/>
          <w:sz w:val="18"/>
          <w:szCs w:val="18"/>
          <w:color w:val="auto"/>
        </w:rPr>
        <w:t xml:space="preserve"> percentile based on performance against our three-year cumulative financial plan in the year of the grant for the price of our common stock for stock options and performance share awards. In addition to stock options and performance share awards, we occasionally use awards of restricted stock units in connection with the hiring of new executive officers, mid-year promotions of existing executive officers, leadership transition or retention purposes.</w:t>
      </w:r>
    </w:p>
    <w:p>
      <w:pPr>
        <w:spacing w:after="0" w:line="78" w:lineRule="exact"/>
        <w:rPr>
          <w:sz w:val="20"/>
          <w:szCs w:val="20"/>
          <w:color w:val="auto"/>
        </w:rPr>
      </w:pPr>
    </w:p>
    <w:p>
      <w:pPr>
        <w:ind w:right="220" w:firstLine="401"/>
        <w:spacing w:after="0" w:line="238"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Each year at its regular meeting held in November or December, the Compensation &amp; Human Resources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approves the annual grant of stock options to our executive officers. If we deliver strong shareholder returns, our stock price presumably will increase, thereby increasing the value of the stock options and executive officer resulting total compensation. If shareholder value is not delivered and our stock price does not increase, the options will have no value. Annual stock options are generally granted on the date of the Committee’s meeting or, if such meeting is held before the announcement of our financial results for the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98"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recently completed fiscal year, on the second business day following such issuance, and have a per share exercise price equal to the closing price of our common stock on the grant date.</w:t>
      </w:r>
    </w:p>
    <w:p>
      <w:pPr>
        <w:spacing w:after="0" w:line="95" w:lineRule="exact"/>
        <w:rPr>
          <w:sz w:val="20"/>
          <w:szCs w:val="20"/>
          <w:color w:val="auto"/>
        </w:rPr>
      </w:pPr>
    </w:p>
    <w:p>
      <w:pPr>
        <w:ind w:right="120" w:firstLine="401"/>
        <w:spacing w:after="0" w:line="235" w:lineRule="auto"/>
        <w:rPr>
          <w:sz w:val="20"/>
          <w:szCs w:val="20"/>
          <w:color w:val="auto"/>
        </w:rPr>
      </w:pPr>
      <w:r>
        <w:rPr>
          <w:rFonts w:ascii="Arial" w:cs="Arial" w:eastAsia="Arial" w:hAnsi="Arial"/>
          <w:sz w:val="18"/>
          <w:szCs w:val="18"/>
          <w:color w:val="auto"/>
        </w:rPr>
        <w:t>To determine the number of options to award to our executive officers, we start with a total target value of stock options and divide that value by the expected value of an option to purchase a share of our common stock, using a Black-Scholes option pricing method. The calculation of the expected value is based on the average closing price of our common stock over the last three months of the prior fiscal year. The three-month average allows for smoothing of any volatility that may be associated with a particular date’s stock price.</w:t>
      </w:r>
    </w:p>
    <w:p>
      <w:pPr>
        <w:spacing w:after="0" w:line="93" w:lineRule="exact"/>
        <w:rPr>
          <w:sz w:val="20"/>
          <w:szCs w:val="20"/>
          <w:color w:val="auto"/>
        </w:rPr>
      </w:pPr>
    </w:p>
    <w:p>
      <w:pPr>
        <w:ind w:right="220" w:firstLine="401"/>
        <w:spacing w:after="0" w:line="234" w:lineRule="auto"/>
        <w:rPr>
          <w:sz w:val="20"/>
          <w:szCs w:val="20"/>
          <w:color w:val="auto"/>
        </w:rPr>
      </w:pPr>
      <w:r>
        <w:rPr>
          <w:rFonts w:ascii="Arial" w:cs="Arial" w:eastAsia="Arial" w:hAnsi="Arial"/>
          <w:sz w:val="18"/>
          <w:szCs w:val="18"/>
          <w:color w:val="auto"/>
        </w:rPr>
        <w:t>Stock options granted to our executive officers on an annual basis vest in three equal installments on each of the first, second and third year anniversaries of the grant date and are exercisable for a period of ten years following the grant date. The three-year vesting schedule is consistent with the three-year performance period for our performance share awards. We believe the three-year period for both stock options and performance share awards provides retention value and focuses our executive officers on attainment of long-term performance. The Compensation &amp; Human Resources Committee periodically reviews option vesting schedules and terms.</w:t>
      </w:r>
    </w:p>
    <w:p>
      <w:pPr>
        <w:spacing w:after="0" w:line="95" w:lineRule="exact"/>
        <w:rPr>
          <w:sz w:val="20"/>
          <w:szCs w:val="20"/>
          <w:color w:val="auto"/>
        </w:rPr>
      </w:pPr>
    </w:p>
    <w:p>
      <w:pPr>
        <w:ind w:right="160" w:firstLine="401"/>
        <w:spacing w:after="0" w:line="235" w:lineRule="auto"/>
        <w:rPr>
          <w:sz w:val="20"/>
          <w:szCs w:val="20"/>
          <w:color w:val="auto"/>
        </w:rPr>
      </w:pPr>
      <w:r>
        <w:rPr>
          <w:rFonts w:ascii="Arial" w:cs="Arial" w:eastAsia="Arial" w:hAnsi="Arial"/>
          <w:sz w:val="18"/>
          <w:szCs w:val="18"/>
          <w:color w:val="auto"/>
        </w:rPr>
        <w:t>Occasionally the Committee will approve stock option awards for use in certain situations, including hiring of new executive officers, mid-year promotions of existing executive officers, leadership transition or retention purposes. Vesting may be either performance-based or time-based. Performance-based awards are derived from one or more of the performance measures included in our 2010 Plan. Under our 2010 Plan, stock options with time-based vesting can vest no more rapidly than ratably over three years.</w:t>
      </w:r>
    </w:p>
    <w:p>
      <w:pPr>
        <w:spacing w:after="0" w:line="75" w:lineRule="exact"/>
        <w:rPr>
          <w:sz w:val="20"/>
          <w:szCs w:val="20"/>
          <w:color w:val="auto"/>
        </w:rPr>
      </w:pPr>
    </w:p>
    <w:p>
      <w:pPr>
        <w:ind w:right="20" w:firstLine="401"/>
        <w:spacing w:after="0"/>
        <w:rPr>
          <w:sz w:val="20"/>
          <w:szCs w:val="20"/>
          <w:color w:val="auto"/>
        </w:rPr>
      </w:pPr>
      <w:r>
        <w:rPr>
          <w:rFonts w:ascii="Arial" w:cs="Arial" w:eastAsia="Arial" w:hAnsi="Arial"/>
          <w:sz w:val="18"/>
          <w:szCs w:val="18"/>
          <w:i w:val="1"/>
          <w:iCs w:val="1"/>
          <w:color w:val="auto"/>
        </w:rPr>
        <w:t xml:space="preserve">Performance Share Awards. </w:t>
      </w:r>
      <w:r>
        <w:rPr>
          <w:rFonts w:ascii="Arial" w:cs="Arial" w:eastAsia="Arial" w:hAnsi="Arial"/>
          <w:sz w:val="18"/>
          <w:szCs w:val="18"/>
          <w:color w:val="auto"/>
        </w:rPr>
        <w:t>Each year at its regular meeting held in November or December, the Compensation &amp; Human Resources</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approves the annual grant of performance share awards to our executive officers. Performance share awards are paid out in shares of our common stock following completion of a three-year performance period if certain performance goals are achieved. Performance goals are derived from performance measures included in our 2010 Plan.</w:t>
      </w:r>
    </w:p>
    <w:p>
      <w:pPr>
        <w:spacing w:after="0" w:line="94" w:lineRule="exact"/>
        <w:rPr>
          <w:sz w:val="20"/>
          <w:szCs w:val="20"/>
          <w:color w:val="auto"/>
        </w:rPr>
      </w:pPr>
    </w:p>
    <w:p>
      <w:pPr>
        <w:ind w:right="200" w:firstLine="401"/>
        <w:spacing w:after="0" w:line="235" w:lineRule="auto"/>
        <w:rPr>
          <w:sz w:val="20"/>
          <w:szCs w:val="20"/>
          <w:color w:val="auto"/>
        </w:rPr>
      </w:pPr>
      <w:r>
        <w:rPr>
          <w:rFonts w:ascii="Arial" w:cs="Arial" w:eastAsia="Arial" w:hAnsi="Arial"/>
          <w:sz w:val="18"/>
          <w:szCs w:val="18"/>
          <w:color w:val="auto"/>
        </w:rPr>
        <w:t>To determine the number of target performance share awards to be granted to our executive officers, we start with a total target value of performance share awards to be delivered. That value is divided by an expected value per share to determine the number of performance share awards to grant at target. The expected value per share is equal to the average closing price of our common stock over the last three months of the prior fiscal year.</w:t>
      </w:r>
    </w:p>
    <w:p>
      <w:pPr>
        <w:spacing w:after="0" w:line="93" w:lineRule="exact"/>
        <w:rPr>
          <w:sz w:val="20"/>
          <w:szCs w:val="20"/>
          <w:color w:val="auto"/>
        </w:rPr>
      </w:pPr>
    </w:p>
    <w:p>
      <w:pPr>
        <w:ind w:right="40" w:firstLine="401"/>
        <w:spacing w:after="0" w:line="232" w:lineRule="auto"/>
        <w:rPr>
          <w:sz w:val="20"/>
          <w:szCs w:val="20"/>
          <w:color w:val="auto"/>
        </w:rPr>
      </w:pPr>
      <w:r>
        <w:rPr>
          <w:rFonts w:ascii="Arial" w:cs="Arial" w:eastAsia="Arial" w:hAnsi="Arial"/>
          <w:sz w:val="18"/>
          <w:szCs w:val="18"/>
          <w:color w:val="auto"/>
        </w:rPr>
        <w:t>At the beginning of the first fiscal year in the three-year period, the Compensation &amp; Human Resources Committee establishes performance measures, weightings, goals and performance adjustment events, if any, for the entire three-year performance period, as well as thresholds and maximums. Factors we consider when establishing the performance goals for the three-year period include our prior fiscal year actual financial business results, our longer-term strategic plan outlook, including our projections for performance for years two and three of the three-year award term, and of our competitive situation and outlook. During the fiscal year, the Committee reviews progress against the performance goals for performance share awards for all outstanding performance periods. At the end of the three-year performance period, at the Committee’s regular meeting in November or December, Management presents a summary of, and the Committee certifies, performance against the performance goals, including the applicability of any performance adjustment events, and a corresponding payout, which is expressed as a percent of target. Shares of our common stock are paid out to the executive officers in December. Actual payouts for performance share awards can range from 0% (if the threshold levels of performance are not met) to 200% of the target award (if maximum levels of performance are met).</w:t>
      </w:r>
    </w:p>
    <w:p>
      <w:pPr>
        <w:spacing w:after="0" w:line="81" w:lineRule="exact"/>
        <w:rPr>
          <w:sz w:val="20"/>
          <w:szCs w:val="20"/>
          <w:color w:val="auto"/>
        </w:rPr>
      </w:pPr>
    </w:p>
    <w:p>
      <w:pPr>
        <w:ind w:firstLine="401"/>
        <w:spacing w:after="0" w:line="238" w:lineRule="auto"/>
        <w:rPr>
          <w:sz w:val="20"/>
          <w:szCs w:val="20"/>
          <w:color w:val="auto"/>
        </w:rPr>
      </w:pPr>
      <w:r>
        <w:rPr>
          <w:rFonts w:ascii="Arial" w:cs="Arial" w:eastAsia="Arial" w:hAnsi="Arial"/>
          <w:sz w:val="18"/>
          <w:szCs w:val="18"/>
          <w:i w:val="1"/>
          <w:iCs w:val="1"/>
          <w:color w:val="auto"/>
        </w:rPr>
        <w:t xml:space="preserve">Restricted Stock Unit Awards. </w:t>
      </w:r>
      <w:r>
        <w:rPr>
          <w:rFonts w:ascii="Arial" w:cs="Arial" w:eastAsia="Arial" w:hAnsi="Arial"/>
          <w:sz w:val="18"/>
          <w:szCs w:val="18"/>
          <w:color w:val="auto"/>
        </w:rPr>
        <w:t>Occasionally, the Committee will approve awards of restricted stock units for use in certain situations,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hiring of new executive officers, mid-year promotions of existing executive officers, leadership transition or retention purposes. Vesting may be either performance-based or time-based. Performance-based awards are derived from one or more of the performance measures included in our 2010 Plan. Under our 2010 Plan, restricted stock units with time-based vesting can vest no more rapidly than ratably over three years.</w:t>
      </w:r>
    </w:p>
    <w:p>
      <w:pPr>
        <w:spacing w:after="0" w:line="77" w:lineRule="exact"/>
        <w:rPr>
          <w:sz w:val="20"/>
          <w:szCs w:val="20"/>
          <w:color w:val="auto"/>
        </w:rPr>
      </w:pPr>
    </w:p>
    <w:p>
      <w:pPr>
        <w:ind w:right="160" w:firstLine="401"/>
        <w:spacing w:after="0" w:line="238" w:lineRule="auto"/>
        <w:rPr>
          <w:sz w:val="20"/>
          <w:szCs w:val="20"/>
          <w:color w:val="auto"/>
        </w:rPr>
      </w:pPr>
      <w:r>
        <w:rPr>
          <w:rFonts w:ascii="Arial" w:cs="Arial" w:eastAsia="Arial" w:hAnsi="Arial"/>
          <w:sz w:val="18"/>
          <w:szCs w:val="18"/>
          <w:i w:val="1"/>
          <w:iCs w:val="1"/>
          <w:color w:val="auto"/>
        </w:rPr>
        <w:t>Fiscal 2021 Grants</w:t>
      </w:r>
      <w:r>
        <w:rPr>
          <w:rFonts w:ascii="Arial" w:cs="Arial" w:eastAsia="Arial" w:hAnsi="Arial"/>
          <w:sz w:val="18"/>
          <w:szCs w:val="18"/>
          <w:color w:val="auto"/>
        </w:rPr>
        <w:t>. The number of stock options granted to our named executive officers for fiscal 2021 can be found in the “Grants of</w:t>
      </w:r>
      <w:r>
        <w:rPr>
          <w:rFonts w:ascii="Arial" w:cs="Arial" w:eastAsia="Arial" w:hAnsi="Arial"/>
          <w:sz w:val="18"/>
          <w:szCs w:val="18"/>
          <w:i w:val="1"/>
          <w:iCs w:val="1"/>
          <w:color w:val="auto"/>
        </w:rPr>
        <w:t xml:space="preserve"> </w:t>
      </w:r>
      <w:r>
        <w:rPr>
          <w:rFonts w:ascii="Arial" w:cs="Arial" w:eastAsia="Arial" w:hAnsi="Arial"/>
          <w:sz w:val="18"/>
          <w:szCs w:val="18"/>
          <w:color w:val="auto"/>
        </w:rPr>
        <w:t>Plan-Based Awards for Fiscal 2021” table. The per share exercise price of the options is $93.33, which is equal to the closing price of our common stock on the grant date, which for fiscal 2021 was December 17, 2020. The grant date fair value of those awards can be found in the “Summary Compensation Table” in the “Option Awards” column and in the “Grants of Plan-Based Awards for Fiscal 2021” table in the “Grant Date Fair Value of Stock and Option Awards” column.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98" w:lineRule="exact"/>
        <w:rPr>
          <w:sz w:val="20"/>
          <w:szCs w:val="20"/>
          <w:color w:val="auto"/>
        </w:rPr>
      </w:pPr>
    </w:p>
    <w:p>
      <w:pPr>
        <w:ind w:right="20" w:firstLine="401"/>
        <w:spacing w:after="0" w:line="233" w:lineRule="auto"/>
        <w:rPr>
          <w:sz w:val="20"/>
          <w:szCs w:val="20"/>
          <w:color w:val="auto"/>
        </w:rPr>
      </w:pPr>
      <w:r>
        <w:rPr>
          <w:rFonts w:ascii="Arial" w:cs="Arial" w:eastAsia="Arial" w:hAnsi="Arial"/>
          <w:sz w:val="18"/>
          <w:szCs w:val="18"/>
          <w:color w:val="auto"/>
        </w:rPr>
        <w:t>On December 1, 2020, the Committee granted performance share awards for the fiscal 2021 through fiscal 2023 performance period. The number of performance shares at threshold, target and maximum levels of performance for the fiscal 2021 through fiscal 2023 performance period can be found in the “Grants of Plan-Based Awards for Fiscal 2021” table in the “Estimated Future Payouts Under Equity Incentive Plan Awards” columns. The grant date fair value of those awards at target can be found in the “Summary Compensation Table” in the “Stock Awards” column“ and in the “Grants of Plan-Based Awards for Fiscal 2021” table in the “Grant Date Fair Value of Stock and Option Awards” column.</w:t>
      </w:r>
    </w:p>
    <w:p>
      <w:pPr>
        <w:spacing w:after="0" w:line="79" w:lineRule="exact"/>
        <w:rPr>
          <w:sz w:val="20"/>
          <w:szCs w:val="20"/>
          <w:color w:val="auto"/>
        </w:rPr>
      </w:pPr>
    </w:p>
    <w:p>
      <w:pPr>
        <w:ind w:right="480" w:firstLine="401"/>
        <w:spacing w:after="0" w:line="258" w:lineRule="auto"/>
        <w:rPr>
          <w:sz w:val="20"/>
          <w:szCs w:val="20"/>
          <w:color w:val="auto"/>
        </w:rPr>
      </w:pPr>
      <w:r>
        <w:rPr>
          <w:rFonts w:ascii="Arial" w:cs="Arial" w:eastAsia="Arial" w:hAnsi="Arial"/>
          <w:sz w:val="18"/>
          <w:szCs w:val="18"/>
          <w:i w:val="1"/>
          <w:iCs w:val="1"/>
          <w:color w:val="auto"/>
        </w:rPr>
        <w:t xml:space="preserve">Performance Measures for the Performance Period Beginning in Fiscal 2021. </w:t>
      </w:r>
      <w:r>
        <w:rPr>
          <w:rFonts w:ascii="Arial" w:cs="Arial" w:eastAsia="Arial" w:hAnsi="Arial"/>
          <w:sz w:val="18"/>
          <w:szCs w:val="18"/>
          <w:color w:val="auto"/>
        </w:rPr>
        <w:t>For the fiscal 2021 to fiscal 2023 performance share</w:t>
      </w:r>
      <w:r>
        <w:rPr>
          <w:rFonts w:ascii="Arial" w:cs="Arial" w:eastAsia="Arial" w:hAnsi="Arial"/>
          <w:sz w:val="18"/>
          <w:szCs w:val="18"/>
          <w:i w:val="1"/>
          <w:iCs w:val="1"/>
          <w:color w:val="auto"/>
        </w:rPr>
        <w:t xml:space="preserve"> </w:t>
      </w:r>
      <w:r>
        <w:rPr>
          <w:rFonts w:ascii="Arial" w:cs="Arial" w:eastAsia="Arial" w:hAnsi="Arial"/>
          <w:sz w:val="18"/>
          <w:szCs w:val="18"/>
          <w:color w:val="auto"/>
        </w:rPr>
        <w:t>awards, the following corporate performance measures and weightings were established for all of our executive officers:</w:t>
      </w:r>
    </w:p>
    <w:p>
      <w:pPr>
        <w:spacing w:after="0" w:line="25" w:lineRule="exact"/>
        <w:rPr>
          <w:sz w:val="20"/>
          <w:szCs w:val="20"/>
          <w:color w:val="auto"/>
        </w:rPr>
      </w:pPr>
    </w:p>
    <w:p>
      <w:pPr>
        <w:ind w:left="800" w:hanging="395"/>
        <w:spacing w:after="0"/>
        <w:tabs>
          <w:tab w:leader="none" w:pos="800" w:val="left"/>
        </w:tabs>
        <w:numPr>
          <w:ilvl w:val="0"/>
          <w:numId w:val="56"/>
        </w:numPr>
        <w:rPr>
          <w:rFonts w:ascii="Arial" w:cs="Arial" w:eastAsia="Arial" w:hAnsi="Arial"/>
          <w:sz w:val="16"/>
          <w:szCs w:val="16"/>
          <w:color w:val="auto"/>
        </w:rPr>
      </w:pPr>
      <w:r>
        <w:rPr>
          <w:rFonts w:ascii="Arial" w:cs="Arial" w:eastAsia="Arial" w:hAnsi="Arial"/>
          <w:sz w:val="18"/>
          <w:szCs w:val="18"/>
          <w:color w:val="auto"/>
        </w:rPr>
        <w:t>50% cumulative corporate net income plus after-tax interest;</w:t>
      </w:r>
    </w:p>
    <w:p>
      <w:pPr>
        <w:spacing w:after="0" w:line="45" w:lineRule="exact"/>
        <w:rPr>
          <w:rFonts w:ascii="Arial" w:cs="Arial" w:eastAsia="Arial" w:hAnsi="Arial"/>
          <w:sz w:val="16"/>
          <w:szCs w:val="16"/>
          <w:color w:val="auto"/>
        </w:rPr>
      </w:pPr>
    </w:p>
    <w:p>
      <w:pPr>
        <w:ind w:left="800" w:hanging="395"/>
        <w:spacing w:after="0"/>
        <w:tabs>
          <w:tab w:leader="none" w:pos="800" w:val="left"/>
        </w:tabs>
        <w:numPr>
          <w:ilvl w:val="0"/>
          <w:numId w:val="56"/>
        </w:numPr>
        <w:rPr>
          <w:rFonts w:ascii="Arial" w:cs="Arial" w:eastAsia="Arial" w:hAnsi="Arial"/>
          <w:sz w:val="16"/>
          <w:szCs w:val="16"/>
          <w:color w:val="auto"/>
        </w:rPr>
      </w:pPr>
      <w:r>
        <w:rPr>
          <w:rFonts w:ascii="Arial" w:cs="Arial" w:eastAsia="Arial" w:hAnsi="Arial"/>
          <w:sz w:val="18"/>
          <w:szCs w:val="18"/>
          <w:color w:val="auto"/>
        </w:rPr>
        <w:t>30% cumulative corporate revenue; and</w:t>
      </w:r>
    </w:p>
    <w:p>
      <w:pPr>
        <w:spacing w:after="0" w:line="45" w:lineRule="exact"/>
        <w:rPr>
          <w:rFonts w:ascii="Arial" w:cs="Arial" w:eastAsia="Arial" w:hAnsi="Arial"/>
          <w:sz w:val="16"/>
          <w:szCs w:val="16"/>
          <w:color w:val="auto"/>
        </w:rPr>
      </w:pPr>
    </w:p>
    <w:p>
      <w:pPr>
        <w:ind w:left="800" w:hanging="395"/>
        <w:spacing w:after="0"/>
        <w:tabs>
          <w:tab w:leader="none" w:pos="800" w:val="left"/>
        </w:tabs>
        <w:numPr>
          <w:ilvl w:val="0"/>
          <w:numId w:val="56"/>
        </w:numPr>
        <w:rPr>
          <w:rFonts w:ascii="Arial" w:cs="Arial" w:eastAsia="Arial" w:hAnsi="Arial"/>
          <w:sz w:val="16"/>
          <w:szCs w:val="16"/>
          <w:color w:val="auto"/>
        </w:rPr>
      </w:pPr>
      <w:r>
        <w:rPr>
          <w:rFonts w:ascii="Arial" w:cs="Arial" w:eastAsia="Arial" w:hAnsi="Arial"/>
          <w:sz w:val="18"/>
          <w:szCs w:val="18"/>
          <w:color w:val="auto"/>
        </w:rPr>
        <w:t>20% corporate working capital as a percent of sales.</w:t>
      </w:r>
    </w:p>
    <w:p>
      <w:pPr>
        <w:spacing w:after="0" w:line="99" w:lineRule="exact"/>
        <w:rPr>
          <w:sz w:val="20"/>
          <w:szCs w:val="20"/>
          <w:color w:val="auto"/>
        </w:rPr>
      </w:pPr>
    </w:p>
    <w:p>
      <w:pPr>
        <w:ind w:right="60" w:firstLine="401"/>
        <w:spacing w:after="0" w:line="247" w:lineRule="auto"/>
        <w:rPr>
          <w:sz w:val="20"/>
          <w:szCs w:val="20"/>
          <w:color w:val="auto"/>
        </w:rPr>
      </w:pPr>
      <w:r>
        <w:rPr>
          <w:rFonts w:ascii="Arial" w:cs="Arial" w:eastAsia="Arial" w:hAnsi="Arial"/>
          <w:sz w:val="17"/>
          <w:szCs w:val="17"/>
          <w:color w:val="auto"/>
        </w:rPr>
        <w:t>At its meeting in December 2020, threshold, target and maximum goals were established for the fiscal 2021 to fiscal 2023 performance share awards. The specific performance goals for the three-year award period are maintained by us as proprietary and confidential. The Committee believes that disclosure of these specific performance goals would represent competitive harm to us as such cumulative corporate goals and results are not publicly disclosed and are competitively sensitive. For each performance measure, the target goal reflects the cumulative three-year financial plan set at the corporate level. Based on historical performance, the Committee believes the attainment of target performance levels, while uncertain, could be reasonably anticipated. Threshold goals represent the minimum level of performance necessary for there to be a payout for that performance measure and the Committee believes the threshold goals are likely to be achieved. Maximum goals represent the performances at which payouts are 200% of the target award. Even if actual results exceed the maximum goals, the payouts are capped at 200% of the target award. Maximum goals represent levels of performance at which the Committee determined a payout of 200% of target would be appropriate. The Committee believes that the maximum goals established are more aggressive goals.</w:t>
      </w:r>
    </w:p>
    <w:p>
      <w:pPr>
        <w:spacing w:after="0" w:line="89" w:lineRule="exact"/>
        <w:rPr>
          <w:sz w:val="20"/>
          <w:szCs w:val="20"/>
          <w:color w:val="auto"/>
        </w:rPr>
      </w:pPr>
    </w:p>
    <w:p>
      <w:pPr>
        <w:ind w:firstLine="401"/>
        <w:spacing w:after="0" w:line="235" w:lineRule="auto"/>
        <w:rPr>
          <w:sz w:val="20"/>
          <w:szCs w:val="20"/>
          <w:color w:val="auto"/>
        </w:rPr>
      </w:pPr>
      <w:r>
        <w:rPr>
          <w:rFonts w:ascii="Arial" w:cs="Arial" w:eastAsia="Arial" w:hAnsi="Arial"/>
          <w:sz w:val="18"/>
          <w:szCs w:val="18"/>
          <w:color w:val="auto"/>
        </w:rPr>
        <w:t>In addition to approving performance measures, goals and weightings, the Committee also established, in accordance with our 2010 Plan, specific corporate adjustment events for determining payouts under the fiscal 2021 to fiscal 2023 performance share awards. The impact of acquisitions on the evaluation of performance will be determined based on the size of the acquisition as determined by projected annual revenue for the first twelve months after the closing of an acquisition as follows:</w:t>
      </w:r>
    </w:p>
    <w:p>
      <w:pPr>
        <w:spacing w:after="0" w:line="40" w:lineRule="exact"/>
        <w:rPr>
          <w:sz w:val="20"/>
          <w:szCs w:val="20"/>
          <w:color w:val="auto"/>
        </w:rPr>
      </w:pPr>
    </w:p>
    <w:p>
      <w:pPr>
        <w:ind w:left="800" w:right="180" w:hanging="395"/>
        <w:spacing w:after="0" w:line="238" w:lineRule="auto"/>
        <w:tabs>
          <w:tab w:leader="none" w:pos="800" w:val="left"/>
        </w:tabs>
        <w:numPr>
          <w:ilvl w:val="0"/>
          <w:numId w:val="57"/>
        </w:numPr>
        <w:rPr>
          <w:rFonts w:ascii="Arial" w:cs="Arial" w:eastAsia="Arial" w:hAnsi="Arial"/>
          <w:sz w:val="16"/>
          <w:szCs w:val="16"/>
          <w:color w:val="auto"/>
        </w:rPr>
      </w:pPr>
      <w:r>
        <w:rPr>
          <w:rFonts w:ascii="Arial" w:cs="Arial" w:eastAsia="Arial" w:hAnsi="Arial"/>
          <w:sz w:val="18"/>
          <w:szCs w:val="18"/>
          <w:color w:val="auto"/>
        </w:rPr>
        <w:t>The entire impact of any acquisition greater than $50 million will be excluded from the payout calculation for the entire performance period unless the acquisition was included in the annual financial plan and cumulative goals;</w:t>
      </w:r>
    </w:p>
    <w:p>
      <w:pPr>
        <w:spacing w:after="0" w:line="41" w:lineRule="exact"/>
        <w:rPr>
          <w:rFonts w:ascii="Arial" w:cs="Arial" w:eastAsia="Arial" w:hAnsi="Arial"/>
          <w:sz w:val="16"/>
          <w:szCs w:val="16"/>
          <w:color w:val="auto"/>
        </w:rPr>
      </w:pPr>
    </w:p>
    <w:p>
      <w:pPr>
        <w:ind w:left="800" w:hanging="395"/>
        <w:spacing w:after="0"/>
        <w:tabs>
          <w:tab w:leader="none" w:pos="800" w:val="left"/>
        </w:tabs>
        <w:numPr>
          <w:ilvl w:val="0"/>
          <w:numId w:val="57"/>
        </w:numPr>
        <w:rPr>
          <w:rFonts w:ascii="Arial" w:cs="Arial" w:eastAsia="Arial" w:hAnsi="Arial"/>
          <w:sz w:val="16"/>
          <w:szCs w:val="16"/>
          <w:color w:val="auto"/>
        </w:rPr>
      </w:pPr>
      <w:r>
        <w:rPr>
          <w:rFonts w:ascii="Arial" w:cs="Arial" w:eastAsia="Arial" w:hAnsi="Arial"/>
          <w:sz w:val="18"/>
          <w:szCs w:val="18"/>
          <w:color w:val="auto"/>
        </w:rPr>
        <w:t>All impacts for acquisitions less than $10 million will be included in the payout calculation for the entire performance period; and</w:t>
      </w:r>
    </w:p>
    <w:p>
      <w:pPr>
        <w:spacing w:after="0" w:line="45" w:lineRule="exact"/>
        <w:rPr>
          <w:rFonts w:ascii="Arial" w:cs="Arial" w:eastAsia="Arial" w:hAnsi="Arial"/>
          <w:sz w:val="16"/>
          <w:szCs w:val="16"/>
          <w:color w:val="auto"/>
        </w:rPr>
      </w:pPr>
    </w:p>
    <w:p>
      <w:pPr>
        <w:ind w:left="800" w:hanging="395"/>
        <w:spacing w:after="0"/>
        <w:tabs>
          <w:tab w:leader="none" w:pos="800" w:val="left"/>
        </w:tabs>
        <w:numPr>
          <w:ilvl w:val="0"/>
          <w:numId w:val="57"/>
        </w:numPr>
        <w:rPr>
          <w:rFonts w:ascii="Arial" w:cs="Arial" w:eastAsia="Arial" w:hAnsi="Arial"/>
          <w:sz w:val="16"/>
          <w:szCs w:val="16"/>
          <w:color w:val="auto"/>
        </w:rPr>
      </w:pPr>
      <w:r>
        <w:rPr>
          <w:rFonts w:ascii="Arial" w:cs="Arial" w:eastAsia="Arial" w:hAnsi="Arial"/>
          <w:sz w:val="18"/>
          <w:szCs w:val="18"/>
          <w:color w:val="auto"/>
        </w:rPr>
        <w:t>For acquisitions between $10 million and $50 million:</w:t>
      </w:r>
    </w:p>
    <w:p>
      <w:pPr>
        <w:spacing w:after="0" w:line="45" w:lineRule="exact"/>
        <w:rPr>
          <w:rFonts w:ascii="Arial" w:cs="Arial" w:eastAsia="Arial" w:hAnsi="Arial"/>
          <w:sz w:val="16"/>
          <w:szCs w:val="16"/>
          <w:color w:val="auto"/>
        </w:rPr>
      </w:pPr>
    </w:p>
    <w:p>
      <w:pPr>
        <w:ind w:left="1200" w:hanging="396"/>
        <w:spacing w:after="0"/>
        <w:tabs>
          <w:tab w:leader="none" w:pos="1200" w:val="left"/>
        </w:tabs>
        <w:numPr>
          <w:ilvl w:val="1"/>
          <w:numId w:val="57"/>
        </w:numPr>
        <w:rPr>
          <w:rFonts w:ascii="Arial" w:cs="Arial" w:eastAsia="Arial" w:hAnsi="Arial"/>
          <w:sz w:val="17"/>
          <w:szCs w:val="17"/>
          <w:color w:val="auto"/>
        </w:rPr>
      </w:pPr>
      <w:r>
        <w:rPr>
          <w:rFonts w:ascii="Arial" w:cs="Arial" w:eastAsia="Arial" w:hAnsi="Arial"/>
          <w:sz w:val="17"/>
          <w:szCs w:val="17"/>
          <w:color w:val="auto"/>
        </w:rPr>
        <w:t>the impact will be excluded from the payout calculation if the transaction closes during the third year of the three-year term; and</w:t>
      </w:r>
    </w:p>
    <w:p>
      <w:pPr>
        <w:spacing w:after="0" w:line="57" w:lineRule="exact"/>
        <w:rPr>
          <w:rFonts w:ascii="Arial" w:cs="Arial" w:eastAsia="Arial" w:hAnsi="Arial"/>
          <w:sz w:val="17"/>
          <w:szCs w:val="17"/>
          <w:color w:val="auto"/>
        </w:rPr>
      </w:pPr>
    </w:p>
    <w:p>
      <w:pPr>
        <w:ind w:left="1200" w:right="820" w:hanging="396"/>
        <w:spacing w:after="0" w:line="238" w:lineRule="auto"/>
        <w:tabs>
          <w:tab w:leader="none" w:pos="12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if the transaction closes in the first or second year of the performance period, the impact will be included in the payout calculation with the exception of any transaction costs incurred.</w:t>
      </w:r>
    </w:p>
    <w:p>
      <w:pPr>
        <w:spacing w:after="0" w:line="9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Any externally driven changes in accounting principles and standards will be excluded from the evaluation of performance if the cumulative net impact on the payout of all such accounting adjustments affects the award payout by more than 2%, unless such accounting change was included in the annual plan and cumulative goals.</w:t>
      </w:r>
    </w:p>
    <w:p>
      <w:pPr>
        <w:spacing w:after="0" w:line="53" w:lineRule="exact"/>
        <w:rPr>
          <w:sz w:val="20"/>
          <w:szCs w:val="20"/>
          <w:color w:val="auto"/>
        </w:rPr>
      </w:pPr>
    </w:p>
    <w:p>
      <w:pPr>
        <w:ind w:left="400"/>
        <w:spacing w:after="0"/>
        <w:tabs>
          <w:tab w:leader="none" w:pos="6400" w:val="left"/>
        </w:tabs>
        <w:rPr>
          <w:sz w:val="20"/>
          <w:szCs w:val="20"/>
          <w:color w:val="auto"/>
        </w:rPr>
      </w:pPr>
      <w:r>
        <w:rPr>
          <w:rFonts w:ascii="Arial" w:cs="Arial" w:eastAsia="Arial" w:hAnsi="Arial"/>
          <w:sz w:val="18"/>
          <w:szCs w:val="18"/>
          <w:i w:val="1"/>
          <w:iCs w:val="1"/>
          <w:color w:val="auto"/>
        </w:rPr>
        <w:t>Performance Measures for the Performance Period Ending in Fiscal 2021.</w:t>
      </w:r>
      <w:r>
        <w:rPr>
          <w:sz w:val="20"/>
          <w:szCs w:val="20"/>
          <w:color w:val="auto"/>
        </w:rPr>
        <w:tab/>
      </w:r>
      <w:r>
        <w:rPr>
          <w:rFonts w:ascii="Arial" w:cs="Arial" w:eastAsia="Arial" w:hAnsi="Arial"/>
          <w:sz w:val="17"/>
          <w:szCs w:val="17"/>
          <w:color w:val="auto"/>
        </w:rPr>
        <w:t>The performance share awards that were granted in fiscal</w:t>
      </w:r>
    </w:p>
    <w:p>
      <w:pPr>
        <w:ind w:right="60"/>
        <w:spacing w:after="0" w:line="223" w:lineRule="auto"/>
        <w:rPr>
          <w:sz w:val="20"/>
          <w:szCs w:val="20"/>
          <w:color w:val="auto"/>
        </w:rPr>
      </w:pPr>
      <w:r>
        <w:rPr>
          <w:rFonts w:ascii="Arial" w:cs="Arial" w:eastAsia="Arial" w:hAnsi="Arial"/>
          <w:sz w:val="18"/>
          <w:szCs w:val="18"/>
          <w:color w:val="auto"/>
        </w:rPr>
        <w:t>2019 for the fiscal 2019 to fiscal 2021 performance period were approved for payout upon the Committee’s certification of performance against the goals and impact of any predefined adjustment events at its meeting on December 1, 2020. Pursuant to the predefined adjustment events, all financial impacts related to our acquisition of Venture Products, Inc. in March 2020 were excluded from the payout calculation. The payout for our fiscal 2019 to fiscal 2021 performance share awards was 74% of target.</w:t>
      </w:r>
    </w:p>
    <w:p>
      <w:pPr>
        <w:spacing w:after="0" w:line="95" w:lineRule="exact"/>
        <w:rPr>
          <w:sz w:val="20"/>
          <w:szCs w:val="20"/>
          <w:color w:val="auto"/>
        </w:rPr>
      </w:pPr>
    </w:p>
    <w:p>
      <w:pPr>
        <w:ind w:right="80" w:firstLine="401"/>
        <w:spacing w:after="0" w:line="238" w:lineRule="auto"/>
        <w:rPr>
          <w:sz w:val="20"/>
          <w:szCs w:val="20"/>
          <w:color w:val="auto"/>
        </w:rPr>
      </w:pPr>
      <w:r>
        <w:rPr>
          <w:rFonts w:ascii="Arial" w:cs="Arial" w:eastAsia="Arial" w:hAnsi="Arial"/>
          <w:sz w:val="18"/>
          <w:szCs w:val="18"/>
          <w:color w:val="auto"/>
        </w:rPr>
        <w:t>The table below outlines the corporate performance measures and weightings, as well as threshold, target and maximum goals that were established by the Committee at the beginning of fiscal 2019, along with actual</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levels of performance when factoring in adjustment events, for the fiscal 2019 to fiscal 2021 performance share awards.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280" w:type="dxa"/>
            <w:vAlign w:val="bottom"/>
            <w:shd w:val="clear" w:color="auto" w:fill="BE0000"/>
          </w:tcPr>
          <w:p>
            <w:pPr>
              <w:spacing w:after="0"/>
              <w:rPr>
                <w:sz w:val="20"/>
                <w:szCs w:val="20"/>
                <w:color w:val="auto"/>
              </w:rPr>
            </w:pPr>
            <w:r>
              <w:rPr>
                <w:rFonts w:ascii="Arial" w:cs="Arial" w:eastAsia="Arial" w:hAnsi="Arial"/>
                <w:sz w:val="14"/>
                <w:szCs w:val="14"/>
                <w:b w:val="1"/>
                <w:bCs w:val="1"/>
                <w:color w:val="FFFFFF"/>
              </w:rPr>
              <w:t>Fiscal 2019 to Fiscal 2021</w:t>
            </w:r>
          </w:p>
        </w:tc>
        <w:tc>
          <w:tcPr>
            <w:tcW w:w="1600" w:type="dxa"/>
            <w:vAlign w:val="bottom"/>
            <w:shd w:val="clear" w:color="auto" w:fill="BE0000"/>
          </w:tcPr>
          <w:p>
            <w:pPr>
              <w:jc w:val="right"/>
              <w:ind w:right="429"/>
              <w:spacing w:after="0"/>
              <w:rPr>
                <w:sz w:val="20"/>
                <w:szCs w:val="20"/>
                <w:color w:val="auto"/>
              </w:rPr>
            </w:pPr>
            <w:r>
              <w:rPr>
                <w:rFonts w:ascii="Arial" w:cs="Arial" w:eastAsia="Arial" w:hAnsi="Arial"/>
                <w:sz w:val="14"/>
                <w:szCs w:val="14"/>
                <w:b w:val="1"/>
                <w:bCs w:val="1"/>
                <w:color w:val="FFFFFF"/>
              </w:rPr>
              <w:t>Threshold</w:t>
            </w:r>
          </w:p>
        </w:tc>
        <w:tc>
          <w:tcPr>
            <w:tcW w:w="1400" w:type="dxa"/>
            <w:vAlign w:val="bottom"/>
            <w:shd w:val="clear" w:color="auto" w:fill="BE0000"/>
          </w:tcPr>
          <w:p>
            <w:pPr>
              <w:jc w:val="right"/>
              <w:ind w:right="489"/>
              <w:spacing w:after="0"/>
              <w:rPr>
                <w:sz w:val="20"/>
                <w:szCs w:val="20"/>
                <w:color w:val="auto"/>
              </w:rPr>
            </w:pPr>
            <w:r>
              <w:rPr>
                <w:rFonts w:ascii="Arial" w:cs="Arial" w:eastAsia="Arial" w:hAnsi="Arial"/>
                <w:sz w:val="14"/>
                <w:szCs w:val="14"/>
                <w:b w:val="1"/>
                <w:bCs w:val="1"/>
                <w:color w:val="FFFFFF"/>
              </w:rPr>
              <w:t>Target</w:t>
            </w:r>
          </w:p>
        </w:tc>
        <w:tc>
          <w:tcPr>
            <w:tcW w:w="1460" w:type="dxa"/>
            <w:vAlign w:val="bottom"/>
            <w:shd w:val="clear" w:color="auto" w:fill="BE0000"/>
          </w:tcPr>
          <w:p>
            <w:pPr>
              <w:jc w:val="right"/>
              <w:ind w:right="449"/>
              <w:spacing w:after="0"/>
              <w:rPr>
                <w:sz w:val="20"/>
                <w:szCs w:val="20"/>
                <w:color w:val="auto"/>
              </w:rPr>
            </w:pPr>
            <w:r>
              <w:rPr>
                <w:rFonts w:ascii="Arial" w:cs="Arial" w:eastAsia="Arial" w:hAnsi="Arial"/>
                <w:sz w:val="14"/>
                <w:szCs w:val="14"/>
                <w:b w:val="1"/>
                <w:bCs w:val="1"/>
                <w:color w:val="FFFFFF"/>
              </w:rPr>
              <w:t>Maximum</w:t>
            </w:r>
          </w:p>
        </w:tc>
        <w:tc>
          <w:tcPr>
            <w:tcW w:w="2500" w:type="dxa"/>
            <w:vAlign w:val="bottom"/>
            <w:vMerge w:val="restart"/>
            <w:shd w:val="clear" w:color="auto" w:fill="BE0000"/>
          </w:tcPr>
          <w:p>
            <w:pPr>
              <w:jc w:val="center"/>
              <w:ind w:right="49"/>
              <w:spacing w:after="0"/>
              <w:rPr>
                <w:sz w:val="20"/>
                <w:szCs w:val="20"/>
                <w:color w:val="auto"/>
              </w:rPr>
            </w:pPr>
            <w:r>
              <w:rPr>
                <w:rFonts w:ascii="Arial" w:cs="Arial" w:eastAsia="Arial" w:hAnsi="Arial"/>
                <w:sz w:val="14"/>
                <w:szCs w:val="14"/>
                <w:b w:val="1"/>
                <w:bCs w:val="1"/>
                <w:color w:val="FFFFFF"/>
                <w:w w:val="98"/>
              </w:rPr>
              <w:t>Actual</w:t>
            </w:r>
          </w:p>
        </w:tc>
        <w:tc>
          <w:tcPr>
            <w:tcW w:w="0" w:type="dxa"/>
            <w:vAlign w:val="bottom"/>
          </w:tcPr>
          <w:p>
            <w:pPr>
              <w:spacing w:after="0"/>
              <w:rPr>
                <w:sz w:val="1"/>
                <w:szCs w:val="1"/>
                <w:color w:val="auto"/>
              </w:rPr>
            </w:pPr>
          </w:p>
        </w:tc>
      </w:tr>
      <w:tr>
        <w:trPr>
          <w:trHeight w:val="186"/>
        </w:trPr>
        <w:tc>
          <w:tcPr>
            <w:tcW w:w="4280" w:type="dxa"/>
            <w:vAlign w:val="bottom"/>
            <w:shd w:val="clear" w:color="auto" w:fill="BE0000"/>
          </w:tcPr>
          <w:p>
            <w:pPr>
              <w:spacing w:after="0"/>
              <w:rPr>
                <w:sz w:val="20"/>
                <w:szCs w:val="20"/>
                <w:color w:val="auto"/>
              </w:rPr>
            </w:pPr>
            <w:r>
              <w:rPr>
                <w:rFonts w:ascii="Arial" w:cs="Arial" w:eastAsia="Arial" w:hAnsi="Arial"/>
                <w:sz w:val="14"/>
                <w:szCs w:val="14"/>
                <w:b w:val="1"/>
                <w:bCs w:val="1"/>
                <w:color w:val="FFFFFF"/>
              </w:rPr>
              <w:t>Performance Measures</w:t>
            </w:r>
          </w:p>
        </w:tc>
        <w:tc>
          <w:tcPr>
            <w:tcW w:w="1600" w:type="dxa"/>
            <w:vAlign w:val="bottom"/>
            <w:shd w:val="clear" w:color="auto" w:fill="BE0000"/>
          </w:tcPr>
          <w:p>
            <w:pPr>
              <w:jc w:val="right"/>
              <w:ind w:right="329"/>
              <w:spacing w:after="0"/>
              <w:rPr>
                <w:sz w:val="20"/>
                <w:szCs w:val="20"/>
                <w:color w:val="auto"/>
              </w:rPr>
            </w:pPr>
            <w:r>
              <w:rPr>
                <w:rFonts w:ascii="Arial" w:cs="Arial" w:eastAsia="Arial" w:hAnsi="Arial"/>
                <w:sz w:val="14"/>
                <w:szCs w:val="14"/>
                <w:b w:val="1"/>
                <w:bCs w:val="1"/>
                <w:color w:val="FFFFFF"/>
              </w:rPr>
              <w:t>(40% payout)</w:t>
            </w:r>
          </w:p>
        </w:tc>
        <w:tc>
          <w:tcPr>
            <w:tcW w:w="1400" w:type="dxa"/>
            <w:vAlign w:val="bottom"/>
            <w:shd w:val="clear" w:color="auto" w:fill="BE0000"/>
          </w:tcPr>
          <w:p>
            <w:pPr>
              <w:jc w:val="right"/>
              <w:ind w:right="229"/>
              <w:spacing w:after="0"/>
              <w:rPr>
                <w:sz w:val="20"/>
                <w:szCs w:val="20"/>
                <w:color w:val="auto"/>
              </w:rPr>
            </w:pPr>
            <w:r>
              <w:rPr>
                <w:rFonts w:ascii="Arial" w:cs="Arial" w:eastAsia="Arial" w:hAnsi="Arial"/>
                <w:sz w:val="14"/>
                <w:szCs w:val="14"/>
                <w:b w:val="1"/>
                <w:bCs w:val="1"/>
                <w:color w:val="FFFFFF"/>
              </w:rPr>
              <w:t>(100% payout)</w:t>
            </w:r>
          </w:p>
        </w:tc>
        <w:tc>
          <w:tcPr>
            <w:tcW w:w="1460" w:type="dxa"/>
            <w:vAlign w:val="bottom"/>
            <w:shd w:val="clear" w:color="auto" w:fill="BE0000"/>
          </w:tcPr>
          <w:p>
            <w:pPr>
              <w:jc w:val="right"/>
              <w:ind w:right="289"/>
              <w:spacing w:after="0"/>
              <w:rPr>
                <w:sz w:val="20"/>
                <w:szCs w:val="20"/>
                <w:color w:val="auto"/>
              </w:rPr>
            </w:pPr>
            <w:r>
              <w:rPr>
                <w:rFonts w:ascii="Arial" w:cs="Arial" w:eastAsia="Arial" w:hAnsi="Arial"/>
                <w:sz w:val="14"/>
                <w:szCs w:val="14"/>
                <w:b w:val="1"/>
                <w:bCs w:val="1"/>
                <w:color w:val="FFFFFF"/>
              </w:rPr>
              <w:t>(200% payout)</w:t>
            </w:r>
          </w:p>
        </w:tc>
        <w:tc>
          <w:tcPr>
            <w:tcW w:w="2500" w:type="dxa"/>
            <w:vAlign w:val="bottom"/>
            <w:vMerge w:val="continue"/>
            <w:shd w:val="clear" w:color="auto" w:fill="BE0000"/>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80" w:type="dxa"/>
            <w:vAlign w:val="bottom"/>
          </w:tcPr>
          <w:p>
            <w:pPr>
              <w:spacing w:after="0"/>
              <w:rPr>
                <w:sz w:val="20"/>
                <w:szCs w:val="20"/>
                <w:color w:val="auto"/>
              </w:rPr>
            </w:pPr>
            <w:r>
              <w:rPr>
                <w:rFonts w:ascii="Arial" w:cs="Arial" w:eastAsia="Arial" w:hAnsi="Arial"/>
                <w:sz w:val="14"/>
                <w:szCs w:val="14"/>
                <w:color w:val="auto"/>
              </w:rPr>
              <w:t>50% cumulative corporate net income plus</w:t>
            </w:r>
          </w:p>
        </w:tc>
        <w:tc>
          <w:tcPr>
            <w:tcW w:w="1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500" w:type="dxa"/>
            <w:vAlign w:val="bottom"/>
          </w:tcPr>
          <w:p>
            <w:pPr>
              <w:jc w:val="center"/>
              <w:ind w:right="49"/>
              <w:spacing w:after="0"/>
              <w:rPr>
                <w:sz w:val="20"/>
                <w:szCs w:val="20"/>
                <w:color w:val="auto"/>
              </w:rPr>
            </w:pPr>
            <w:r>
              <w:rPr>
                <w:rFonts w:ascii="Arial" w:cs="Arial" w:eastAsia="Arial" w:hAnsi="Arial"/>
                <w:sz w:val="14"/>
                <w:szCs w:val="14"/>
                <w:color w:val="auto"/>
                <w:w w:val="99"/>
              </w:rPr>
              <w:t>$1,093,333</w:t>
            </w:r>
          </w:p>
        </w:tc>
        <w:tc>
          <w:tcPr>
            <w:tcW w:w="0" w:type="dxa"/>
            <w:vAlign w:val="bottom"/>
          </w:tcPr>
          <w:p>
            <w:pPr>
              <w:spacing w:after="0"/>
              <w:rPr>
                <w:sz w:val="1"/>
                <w:szCs w:val="1"/>
                <w:color w:val="auto"/>
              </w:rPr>
            </w:pPr>
          </w:p>
        </w:tc>
      </w:tr>
      <w:tr>
        <w:trPr>
          <w:trHeight w:val="176"/>
        </w:trPr>
        <w:tc>
          <w:tcPr>
            <w:tcW w:w="4280" w:type="dxa"/>
            <w:vAlign w:val="bottom"/>
          </w:tcPr>
          <w:p>
            <w:pPr>
              <w:ind w:left="120"/>
              <w:spacing w:after="0"/>
              <w:rPr>
                <w:sz w:val="20"/>
                <w:szCs w:val="20"/>
                <w:color w:val="auto"/>
              </w:rPr>
            </w:pPr>
            <w:r>
              <w:rPr>
                <w:rFonts w:ascii="Arial" w:cs="Arial" w:eastAsia="Arial" w:hAnsi="Arial"/>
                <w:sz w:val="14"/>
                <w:szCs w:val="14"/>
                <w:color w:val="auto"/>
              </w:rPr>
              <w:t>after-tax interest (in thousands)</w:t>
            </w:r>
          </w:p>
        </w:tc>
        <w:tc>
          <w:tcPr>
            <w:tcW w:w="1600" w:type="dxa"/>
            <w:vAlign w:val="bottom"/>
          </w:tcPr>
          <w:p>
            <w:pPr>
              <w:jc w:val="right"/>
              <w:ind w:right="69"/>
              <w:spacing w:after="0"/>
              <w:rPr>
                <w:sz w:val="20"/>
                <w:szCs w:val="20"/>
                <w:color w:val="auto"/>
              </w:rPr>
            </w:pPr>
            <w:r>
              <w:rPr>
                <w:rFonts w:ascii="Arial" w:cs="Arial" w:eastAsia="Arial" w:hAnsi="Arial"/>
                <w:sz w:val="14"/>
                <w:szCs w:val="14"/>
                <w:color w:val="auto"/>
              </w:rPr>
              <w:t>$997,434</w:t>
            </w:r>
          </w:p>
        </w:tc>
        <w:tc>
          <w:tcPr>
            <w:tcW w:w="1400" w:type="dxa"/>
            <w:vAlign w:val="bottom"/>
          </w:tcPr>
          <w:p>
            <w:pPr>
              <w:jc w:val="right"/>
              <w:ind w:right="69"/>
              <w:spacing w:after="0"/>
              <w:rPr>
                <w:sz w:val="20"/>
                <w:szCs w:val="20"/>
                <w:color w:val="auto"/>
              </w:rPr>
            </w:pPr>
            <w:r>
              <w:rPr>
                <w:rFonts w:ascii="Arial" w:cs="Arial" w:eastAsia="Arial" w:hAnsi="Arial"/>
                <w:sz w:val="14"/>
                <w:szCs w:val="14"/>
                <w:color w:val="auto"/>
              </w:rPr>
              <w:t>$1,246,792</w:t>
            </w:r>
          </w:p>
        </w:tc>
        <w:tc>
          <w:tcPr>
            <w:tcW w:w="1460" w:type="dxa"/>
            <w:vAlign w:val="bottom"/>
          </w:tcPr>
          <w:p>
            <w:pPr>
              <w:jc w:val="right"/>
              <w:ind w:right="149"/>
              <w:spacing w:after="0"/>
              <w:rPr>
                <w:sz w:val="20"/>
                <w:szCs w:val="20"/>
                <w:color w:val="auto"/>
              </w:rPr>
            </w:pPr>
            <w:r>
              <w:rPr>
                <w:rFonts w:ascii="Arial" w:cs="Arial" w:eastAsia="Arial" w:hAnsi="Arial"/>
                <w:sz w:val="14"/>
                <w:szCs w:val="14"/>
                <w:color w:val="auto"/>
              </w:rPr>
              <w:t>$1,496,151</w:t>
            </w:r>
          </w:p>
        </w:tc>
        <w:tc>
          <w:tcPr>
            <w:tcW w:w="2500" w:type="dxa"/>
            <w:vAlign w:val="bottom"/>
          </w:tcPr>
          <w:p>
            <w:pPr>
              <w:jc w:val="center"/>
              <w:ind w:right="49"/>
              <w:spacing w:after="0"/>
              <w:rPr>
                <w:sz w:val="20"/>
                <w:szCs w:val="20"/>
                <w:color w:val="auto"/>
              </w:rPr>
            </w:pPr>
            <w:r>
              <w:rPr>
                <w:rFonts w:ascii="Arial" w:cs="Arial" w:eastAsia="Arial" w:hAnsi="Arial"/>
                <w:sz w:val="14"/>
                <w:szCs w:val="14"/>
                <w:color w:val="auto"/>
              </w:rPr>
              <w:t>(between threshold and target)</w:t>
            </w:r>
          </w:p>
        </w:tc>
        <w:tc>
          <w:tcPr>
            <w:tcW w:w="0" w:type="dxa"/>
            <w:vAlign w:val="bottom"/>
          </w:tcPr>
          <w:p>
            <w:pPr>
              <w:spacing w:after="0"/>
              <w:rPr>
                <w:sz w:val="1"/>
                <w:szCs w:val="1"/>
                <w:color w:val="auto"/>
              </w:rPr>
            </w:pPr>
          </w:p>
        </w:tc>
      </w:tr>
      <w:tr>
        <w:trPr>
          <w:trHeight w:val="196"/>
        </w:trPr>
        <w:tc>
          <w:tcPr>
            <w:tcW w:w="4280" w:type="dxa"/>
            <w:vAlign w:val="bottom"/>
            <w:shd w:val="clear" w:color="auto" w:fill="D9D9D9"/>
          </w:tcPr>
          <w:p>
            <w:pPr>
              <w:spacing w:after="0"/>
              <w:rPr>
                <w:sz w:val="20"/>
                <w:szCs w:val="20"/>
                <w:color w:val="auto"/>
              </w:rPr>
            </w:pPr>
            <w:r>
              <w:rPr>
                <w:rFonts w:ascii="Arial" w:cs="Arial" w:eastAsia="Arial" w:hAnsi="Arial"/>
                <w:sz w:val="14"/>
                <w:szCs w:val="14"/>
                <w:color w:val="auto"/>
              </w:rPr>
              <w:t>20% cumulative corporate revenue</w:t>
            </w:r>
          </w:p>
        </w:tc>
        <w:tc>
          <w:tcPr>
            <w:tcW w:w="1600" w:type="dxa"/>
            <w:vAlign w:val="bottom"/>
            <w:shd w:val="clear" w:color="auto" w:fill="D9D9D9"/>
          </w:tcPr>
          <w:p>
            <w:pPr>
              <w:spacing w:after="0"/>
              <w:rPr>
                <w:sz w:val="17"/>
                <w:szCs w:val="17"/>
                <w:color w:val="auto"/>
              </w:rPr>
            </w:pPr>
          </w:p>
        </w:tc>
        <w:tc>
          <w:tcPr>
            <w:tcW w:w="1400" w:type="dxa"/>
            <w:vAlign w:val="bottom"/>
            <w:shd w:val="clear" w:color="auto" w:fill="D9D9D9"/>
          </w:tcPr>
          <w:p>
            <w:pPr>
              <w:spacing w:after="0"/>
              <w:rPr>
                <w:sz w:val="17"/>
                <w:szCs w:val="17"/>
                <w:color w:val="auto"/>
              </w:rPr>
            </w:pPr>
          </w:p>
        </w:tc>
        <w:tc>
          <w:tcPr>
            <w:tcW w:w="1460" w:type="dxa"/>
            <w:vAlign w:val="bottom"/>
            <w:shd w:val="clear" w:color="auto" w:fill="D9D9D9"/>
          </w:tcPr>
          <w:p>
            <w:pPr>
              <w:spacing w:after="0"/>
              <w:rPr>
                <w:sz w:val="17"/>
                <w:szCs w:val="17"/>
                <w:color w:val="auto"/>
              </w:rPr>
            </w:pPr>
          </w:p>
        </w:tc>
        <w:tc>
          <w:tcPr>
            <w:tcW w:w="2500" w:type="dxa"/>
            <w:vAlign w:val="bottom"/>
            <w:shd w:val="clear" w:color="auto" w:fill="D9D9D9"/>
          </w:tcPr>
          <w:p>
            <w:pPr>
              <w:jc w:val="center"/>
              <w:ind w:right="49"/>
              <w:spacing w:after="0"/>
              <w:rPr>
                <w:sz w:val="20"/>
                <w:szCs w:val="20"/>
                <w:color w:val="auto"/>
              </w:rPr>
            </w:pPr>
            <w:r>
              <w:rPr>
                <w:rFonts w:ascii="Arial" w:cs="Arial" w:eastAsia="Arial" w:hAnsi="Arial"/>
                <w:sz w:val="14"/>
                <w:szCs w:val="14"/>
                <w:color w:val="auto"/>
              </w:rPr>
              <w:t>$10,308,898</w:t>
            </w:r>
          </w:p>
        </w:tc>
        <w:tc>
          <w:tcPr>
            <w:tcW w:w="0" w:type="dxa"/>
            <w:vAlign w:val="bottom"/>
          </w:tcPr>
          <w:p>
            <w:pPr>
              <w:spacing w:after="0"/>
              <w:rPr>
                <w:sz w:val="1"/>
                <w:szCs w:val="1"/>
                <w:color w:val="auto"/>
              </w:rPr>
            </w:pPr>
          </w:p>
        </w:tc>
      </w:tr>
      <w:tr>
        <w:trPr>
          <w:trHeight w:val="181"/>
        </w:trPr>
        <w:tc>
          <w:tcPr>
            <w:tcW w:w="4280" w:type="dxa"/>
            <w:vAlign w:val="bottom"/>
            <w:shd w:val="clear" w:color="auto" w:fill="D9D9D9"/>
          </w:tcPr>
          <w:p>
            <w:pPr>
              <w:ind w:left="120"/>
              <w:spacing w:after="0"/>
              <w:rPr>
                <w:sz w:val="20"/>
                <w:szCs w:val="20"/>
                <w:color w:val="auto"/>
              </w:rPr>
            </w:pPr>
            <w:r>
              <w:rPr>
                <w:rFonts w:ascii="Arial" w:cs="Arial" w:eastAsia="Arial" w:hAnsi="Arial"/>
                <w:sz w:val="14"/>
                <w:szCs w:val="14"/>
                <w:color w:val="auto"/>
              </w:rPr>
              <w:t>(in thousands)</w:t>
            </w:r>
          </w:p>
        </w:tc>
        <w:tc>
          <w:tcPr>
            <w:tcW w:w="1600" w:type="dxa"/>
            <w:vAlign w:val="bottom"/>
            <w:shd w:val="clear" w:color="auto" w:fill="D9D9D9"/>
          </w:tcPr>
          <w:p>
            <w:pPr>
              <w:jc w:val="right"/>
              <w:ind w:right="69"/>
              <w:spacing w:after="0"/>
              <w:rPr>
                <w:sz w:val="20"/>
                <w:szCs w:val="20"/>
                <w:color w:val="auto"/>
              </w:rPr>
            </w:pPr>
            <w:r>
              <w:rPr>
                <w:rFonts w:ascii="Arial" w:cs="Arial" w:eastAsia="Arial" w:hAnsi="Arial"/>
                <w:sz w:val="14"/>
                <w:szCs w:val="14"/>
                <w:color w:val="auto"/>
              </w:rPr>
              <w:t>$10,149,788</w:t>
            </w:r>
          </w:p>
        </w:tc>
        <w:tc>
          <w:tcPr>
            <w:tcW w:w="1400" w:type="dxa"/>
            <w:vAlign w:val="bottom"/>
            <w:shd w:val="clear" w:color="auto" w:fill="D9D9D9"/>
          </w:tcPr>
          <w:p>
            <w:pPr>
              <w:jc w:val="right"/>
              <w:ind w:right="69"/>
              <w:spacing w:after="0"/>
              <w:rPr>
                <w:sz w:val="20"/>
                <w:szCs w:val="20"/>
                <w:color w:val="auto"/>
              </w:rPr>
            </w:pPr>
            <w:r>
              <w:rPr>
                <w:rFonts w:ascii="Arial" w:cs="Arial" w:eastAsia="Arial" w:hAnsi="Arial"/>
                <w:sz w:val="14"/>
                <w:szCs w:val="14"/>
                <w:color w:val="auto"/>
              </w:rPr>
              <w:t>$10,797,676</w:t>
            </w:r>
          </w:p>
        </w:tc>
        <w:tc>
          <w:tcPr>
            <w:tcW w:w="1460" w:type="dxa"/>
            <w:vAlign w:val="bottom"/>
            <w:shd w:val="clear" w:color="auto" w:fill="D9D9D9"/>
          </w:tcPr>
          <w:p>
            <w:pPr>
              <w:jc w:val="right"/>
              <w:ind w:right="149"/>
              <w:spacing w:after="0"/>
              <w:rPr>
                <w:sz w:val="20"/>
                <w:szCs w:val="20"/>
                <w:color w:val="auto"/>
              </w:rPr>
            </w:pPr>
            <w:r>
              <w:rPr>
                <w:rFonts w:ascii="Arial" w:cs="Arial" w:eastAsia="Arial" w:hAnsi="Arial"/>
                <w:sz w:val="14"/>
                <w:szCs w:val="14"/>
                <w:color w:val="auto"/>
              </w:rPr>
              <w:t>$11,445,506</w:t>
            </w:r>
          </w:p>
        </w:tc>
        <w:tc>
          <w:tcPr>
            <w:tcW w:w="2500" w:type="dxa"/>
            <w:vAlign w:val="bottom"/>
            <w:shd w:val="clear" w:color="auto" w:fill="D9D9D9"/>
          </w:tcPr>
          <w:p>
            <w:pPr>
              <w:jc w:val="center"/>
              <w:ind w:right="49"/>
              <w:spacing w:after="0"/>
              <w:rPr>
                <w:sz w:val="20"/>
                <w:szCs w:val="20"/>
                <w:color w:val="auto"/>
              </w:rPr>
            </w:pPr>
            <w:r>
              <w:rPr>
                <w:rFonts w:ascii="Arial" w:cs="Arial" w:eastAsia="Arial" w:hAnsi="Arial"/>
                <w:sz w:val="14"/>
                <w:szCs w:val="14"/>
                <w:color w:val="auto"/>
              </w:rPr>
              <w:t>(between threshold and target)</w:t>
            </w:r>
          </w:p>
        </w:tc>
        <w:tc>
          <w:tcPr>
            <w:tcW w:w="0" w:type="dxa"/>
            <w:vAlign w:val="bottom"/>
          </w:tcPr>
          <w:p>
            <w:pPr>
              <w:spacing w:after="0"/>
              <w:rPr>
                <w:sz w:val="1"/>
                <w:szCs w:val="1"/>
                <w:color w:val="auto"/>
              </w:rPr>
            </w:pPr>
          </w:p>
        </w:tc>
      </w:tr>
      <w:tr>
        <w:trPr>
          <w:trHeight w:val="191"/>
        </w:trPr>
        <w:tc>
          <w:tcPr>
            <w:tcW w:w="4280" w:type="dxa"/>
            <w:vAlign w:val="bottom"/>
          </w:tcPr>
          <w:p>
            <w:pPr>
              <w:spacing w:after="0"/>
              <w:rPr>
                <w:sz w:val="20"/>
                <w:szCs w:val="20"/>
                <w:color w:val="auto"/>
              </w:rPr>
            </w:pPr>
            <w:r>
              <w:rPr>
                <w:rFonts w:ascii="Arial" w:cs="Arial" w:eastAsia="Arial" w:hAnsi="Arial"/>
                <w:sz w:val="14"/>
                <w:szCs w:val="14"/>
                <w:color w:val="auto"/>
              </w:rPr>
              <w:t>30% cumulative corporate average</w:t>
            </w:r>
          </w:p>
        </w:tc>
        <w:tc>
          <w:tcPr>
            <w:tcW w:w="1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500" w:type="dxa"/>
            <w:vAlign w:val="bottom"/>
          </w:tcPr>
          <w:p>
            <w:pPr>
              <w:jc w:val="center"/>
              <w:ind w:right="49"/>
              <w:spacing w:after="0"/>
              <w:rPr>
                <w:sz w:val="20"/>
                <w:szCs w:val="20"/>
                <w:color w:val="auto"/>
              </w:rPr>
            </w:pPr>
            <w:r>
              <w:rPr>
                <w:rFonts w:ascii="Arial" w:cs="Arial" w:eastAsia="Arial" w:hAnsi="Arial"/>
                <w:sz w:val="14"/>
                <w:szCs w:val="14"/>
                <w:color w:val="auto"/>
                <w:w w:val="98"/>
              </w:rPr>
              <w:t>5.30248</w:t>
            </w:r>
          </w:p>
        </w:tc>
        <w:tc>
          <w:tcPr>
            <w:tcW w:w="0" w:type="dxa"/>
            <w:vAlign w:val="bottom"/>
          </w:tcPr>
          <w:p>
            <w:pPr>
              <w:spacing w:after="0"/>
              <w:rPr>
                <w:sz w:val="1"/>
                <w:szCs w:val="1"/>
                <w:color w:val="auto"/>
              </w:rPr>
            </w:pPr>
          </w:p>
        </w:tc>
      </w:tr>
      <w:tr>
        <w:trPr>
          <w:trHeight w:val="176"/>
        </w:trPr>
        <w:tc>
          <w:tcPr>
            <w:tcW w:w="4280" w:type="dxa"/>
            <w:vAlign w:val="bottom"/>
          </w:tcPr>
          <w:p>
            <w:pPr>
              <w:ind w:left="120"/>
              <w:spacing w:after="0"/>
              <w:rPr>
                <w:sz w:val="20"/>
                <w:szCs w:val="20"/>
                <w:color w:val="auto"/>
              </w:rPr>
            </w:pPr>
            <w:r>
              <w:rPr>
                <w:rFonts w:ascii="Arial" w:cs="Arial" w:eastAsia="Arial" w:hAnsi="Arial"/>
                <w:sz w:val="14"/>
                <w:szCs w:val="14"/>
                <w:color w:val="auto"/>
              </w:rPr>
              <w:t>net assets turns</w:t>
            </w:r>
          </w:p>
        </w:tc>
        <w:tc>
          <w:tcPr>
            <w:tcW w:w="1600" w:type="dxa"/>
            <w:vAlign w:val="bottom"/>
          </w:tcPr>
          <w:p>
            <w:pPr>
              <w:jc w:val="right"/>
              <w:ind w:right="69"/>
              <w:spacing w:after="0"/>
              <w:rPr>
                <w:sz w:val="20"/>
                <w:szCs w:val="20"/>
                <w:color w:val="auto"/>
              </w:rPr>
            </w:pPr>
            <w:r>
              <w:rPr>
                <w:rFonts w:ascii="Arial" w:cs="Arial" w:eastAsia="Arial" w:hAnsi="Arial"/>
                <w:sz w:val="14"/>
                <w:szCs w:val="14"/>
                <w:color w:val="auto"/>
              </w:rPr>
              <w:t>4.48840</w:t>
            </w:r>
          </w:p>
        </w:tc>
        <w:tc>
          <w:tcPr>
            <w:tcW w:w="1400" w:type="dxa"/>
            <w:vAlign w:val="bottom"/>
          </w:tcPr>
          <w:p>
            <w:pPr>
              <w:jc w:val="right"/>
              <w:ind w:right="69"/>
              <w:spacing w:after="0"/>
              <w:rPr>
                <w:sz w:val="20"/>
                <w:szCs w:val="20"/>
                <w:color w:val="auto"/>
              </w:rPr>
            </w:pPr>
            <w:r>
              <w:rPr>
                <w:rFonts w:ascii="Arial" w:cs="Arial" w:eastAsia="Arial" w:hAnsi="Arial"/>
                <w:sz w:val="14"/>
                <w:szCs w:val="14"/>
                <w:color w:val="auto"/>
              </w:rPr>
              <w:t>5.28047</w:t>
            </w:r>
          </w:p>
        </w:tc>
        <w:tc>
          <w:tcPr>
            <w:tcW w:w="1460" w:type="dxa"/>
            <w:vAlign w:val="bottom"/>
          </w:tcPr>
          <w:p>
            <w:pPr>
              <w:jc w:val="right"/>
              <w:ind w:right="149"/>
              <w:spacing w:after="0"/>
              <w:rPr>
                <w:sz w:val="20"/>
                <w:szCs w:val="20"/>
                <w:color w:val="auto"/>
              </w:rPr>
            </w:pPr>
            <w:r>
              <w:rPr>
                <w:rFonts w:ascii="Arial" w:cs="Arial" w:eastAsia="Arial" w:hAnsi="Arial"/>
                <w:sz w:val="14"/>
                <w:szCs w:val="14"/>
                <w:color w:val="auto"/>
              </w:rPr>
              <w:t>6.07254</w:t>
            </w:r>
          </w:p>
        </w:tc>
        <w:tc>
          <w:tcPr>
            <w:tcW w:w="2500" w:type="dxa"/>
            <w:vAlign w:val="bottom"/>
          </w:tcPr>
          <w:p>
            <w:pPr>
              <w:jc w:val="center"/>
              <w:ind w:right="29"/>
              <w:spacing w:after="0"/>
              <w:rPr>
                <w:sz w:val="20"/>
                <w:szCs w:val="20"/>
                <w:color w:val="auto"/>
              </w:rPr>
            </w:pPr>
            <w:r>
              <w:rPr>
                <w:rFonts w:ascii="Arial" w:cs="Arial" w:eastAsia="Arial" w:hAnsi="Arial"/>
                <w:sz w:val="14"/>
                <w:szCs w:val="14"/>
                <w:color w:val="auto"/>
              </w:rPr>
              <w:t>(between target and maximum)</w:t>
            </w:r>
          </w:p>
        </w:tc>
        <w:tc>
          <w:tcPr>
            <w:tcW w:w="0" w:type="dxa"/>
            <w:vAlign w:val="bottom"/>
          </w:tcPr>
          <w:p>
            <w:pPr>
              <w:spacing w:after="0"/>
              <w:rPr>
                <w:sz w:val="1"/>
                <w:szCs w:val="1"/>
                <w:color w:val="auto"/>
              </w:rPr>
            </w:pPr>
          </w:p>
        </w:tc>
      </w:tr>
      <w:tr>
        <w:trPr>
          <w:trHeight w:val="218"/>
        </w:trPr>
        <w:tc>
          <w:tcPr>
            <w:tcW w:w="4280" w:type="dxa"/>
            <w:vAlign w:val="bottom"/>
            <w:shd w:val="clear" w:color="auto" w:fill="D9D9D9"/>
          </w:tcPr>
          <w:p>
            <w:pPr>
              <w:spacing w:after="0"/>
              <w:rPr>
                <w:sz w:val="20"/>
                <w:szCs w:val="20"/>
                <w:color w:val="auto"/>
              </w:rPr>
            </w:pPr>
            <w:r>
              <w:rPr>
                <w:rFonts w:ascii="Arial" w:cs="Arial" w:eastAsia="Arial" w:hAnsi="Arial"/>
                <w:sz w:val="14"/>
                <w:szCs w:val="14"/>
                <w:b w:val="1"/>
                <w:bCs w:val="1"/>
                <w:color w:val="auto"/>
              </w:rPr>
              <w:t>Fiscal 2019 to fiscal 2021 performance share award payout</w:t>
            </w:r>
          </w:p>
        </w:tc>
        <w:tc>
          <w:tcPr>
            <w:tcW w:w="1600" w:type="dxa"/>
            <w:vAlign w:val="bottom"/>
            <w:shd w:val="clear" w:color="auto" w:fill="D9D9D9"/>
          </w:tcPr>
          <w:p>
            <w:pPr>
              <w:spacing w:after="0"/>
              <w:rPr>
                <w:sz w:val="18"/>
                <w:szCs w:val="18"/>
                <w:color w:val="auto"/>
              </w:rPr>
            </w:pPr>
          </w:p>
        </w:tc>
        <w:tc>
          <w:tcPr>
            <w:tcW w:w="1400" w:type="dxa"/>
            <w:vAlign w:val="bottom"/>
            <w:shd w:val="clear" w:color="auto" w:fill="D9D9D9"/>
          </w:tcPr>
          <w:p>
            <w:pPr>
              <w:spacing w:after="0"/>
              <w:rPr>
                <w:sz w:val="18"/>
                <w:szCs w:val="18"/>
                <w:color w:val="auto"/>
              </w:rPr>
            </w:pPr>
          </w:p>
        </w:tc>
        <w:tc>
          <w:tcPr>
            <w:tcW w:w="1460" w:type="dxa"/>
            <w:vAlign w:val="bottom"/>
            <w:shd w:val="clear" w:color="auto" w:fill="D9D9D9"/>
          </w:tcPr>
          <w:p>
            <w:pPr>
              <w:spacing w:after="0"/>
              <w:rPr>
                <w:sz w:val="18"/>
                <w:szCs w:val="18"/>
                <w:color w:val="auto"/>
              </w:rPr>
            </w:pPr>
          </w:p>
        </w:tc>
        <w:tc>
          <w:tcPr>
            <w:tcW w:w="2500" w:type="dxa"/>
            <w:vAlign w:val="bottom"/>
            <w:shd w:val="clear" w:color="auto" w:fill="D9D9D9"/>
          </w:tcPr>
          <w:p>
            <w:pPr>
              <w:jc w:val="center"/>
              <w:ind w:right="49"/>
              <w:spacing w:after="0"/>
              <w:rPr>
                <w:sz w:val="20"/>
                <w:szCs w:val="20"/>
                <w:color w:val="auto"/>
              </w:rPr>
            </w:pPr>
            <w:r>
              <w:rPr>
                <w:rFonts w:ascii="Arial" w:cs="Arial" w:eastAsia="Arial" w:hAnsi="Arial"/>
                <w:sz w:val="14"/>
                <w:szCs w:val="14"/>
                <w:b w:val="1"/>
                <w:bCs w:val="1"/>
                <w:color w:val="auto"/>
              </w:rPr>
              <w:t>74.0% of target</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right="500" w:firstLine="401"/>
        <w:spacing w:after="0" w:line="258" w:lineRule="auto"/>
        <w:rPr>
          <w:sz w:val="20"/>
          <w:szCs w:val="20"/>
          <w:color w:val="auto"/>
        </w:rPr>
      </w:pPr>
      <w:r>
        <w:rPr>
          <w:rFonts w:ascii="Arial" w:cs="Arial" w:eastAsia="Arial" w:hAnsi="Arial"/>
          <w:sz w:val="18"/>
          <w:szCs w:val="18"/>
          <w:i w:val="1"/>
          <w:iCs w:val="1"/>
          <w:color w:val="auto"/>
        </w:rPr>
        <w:t xml:space="preserve">Corporate Performance Discussion and Analysis. </w:t>
      </w:r>
      <w:r>
        <w:rPr>
          <w:rFonts w:ascii="Arial" w:cs="Arial" w:eastAsia="Arial" w:hAnsi="Arial"/>
          <w:sz w:val="18"/>
          <w:szCs w:val="18"/>
          <w:color w:val="auto"/>
        </w:rPr>
        <w:t>When applying the actual performance when factoring in the defined adjustment</w:t>
      </w:r>
      <w:r>
        <w:rPr>
          <w:rFonts w:ascii="Arial" w:cs="Arial" w:eastAsia="Arial" w:hAnsi="Arial"/>
          <w:sz w:val="18"/>
          <w:szCs w:val="18"/>
          <w:i w:val="1"/>
          <w:iCs w:val="1"/>
          <w:color w:val="auto"/>
        </w:rPr>
        <w:t xml:space="preserve"> </w:t>
      </w:r>
      <w:r>
        <w:rPr>
          <w:rFonts w:ascii="Arial" w:cs="Arial" w:eastAsia="Arial" w:hAnsi="Arial"/>
          <w:sz w:val="18"/>
          <w:szCs w:val="18"/>
          <w:color w:val="auto"/>
        </w:rPr>
        <w:t>events against the weightings of the performance measures, the fiscal 2019 to fiscal 2021 payout was 74.0% of target.</w:t>
      </w:r>
    </w:p>
    <w:p>
      <w:pPr>
        <w:spacing w:after="0" w:line="60" w:lineRule="exact"/>
        <w:rPr>
          <w:sz w:val="20"/>
          <w:szCs w:val="20"/>
          <w:color w:val="auto"/>
        </w:rPr>
      </w:pPr>
    </w:p>
    <w:p>
      <w:pPr>
        <w:ind w:right="40" w:firstLine="401"/>
        <w:spacing w:after="0" w:line="235" w:lineRule="auto"/>
        <w:rPr>
          <w:sz w:val="20"/>
          <w:szCs w:val="20"/>
          <w:color w:val="auto"/>
        </w:rPr>
      </w:pPr>
      <w:r>
        <w:rPr>
          <w:rFonts w:ascii="Arial" w:cs="Arial" w:eastAsia="Arial" w:hAnsi="Arial"/>
          <w:sz w:val="18"/>
          <w:szCs w:val="18"/>
          <w:i w:val="1"/>
          <w:iCs w:val="1"/>
          <w:color w:val="auto"/>
        </w:rPr>
        <w:t xml:space="preserve">Target Total Direct Compensation. </w:t>
      </w:r>
      <w:r>
        <w:rPr>
          <w:rFonts w:ascii="Arial" w:cs="Arial" w:eastAsia="Arial" w:hAnsi="Arial"/>
          <w:sz w:val="18"/>
          <w:szCs w:val="18"/>
          <w:color w:val="auto"/>
        </w:rPr>
        <w:t>As described previously, when analyzing compensation, we look at base salary, target total cash</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and target total direct compensation in comparison to the market 50</w:t>
      </w:r>
      <w:r>
        <w:rPr>
          <w:rFonts w:ascii="Arial" w:cs="Arial" w:eastAsia="Arial" w:hAnsi="Arial"/>
          <w:sz w:val="15"/>
          <w:szCs w:val="15"/>
          <w:color w:val="auto"/>
        </w:rPr>
        <w:t>th</w:t>
      </w:r>
      <w:r>
        <w:rPr>
          <w:rFonts w:ascii="Arial" w:cs="Arial" w:eastAsia="Arial" w:hAnsi="Arial"/>
          <w:sz w:val="18"/>
          <w:szCs w:val="18"/>
          <w:color w:val="auto"/>
        </w:rPr>
        <w:t xml:space="preserve"> percentile when establishing new base salary levels, target annual cash incentive awards and long-term incentive awards. Actual value realized from long-term incentives is dependent on actual payout of performance share awards at the end of the three-year term, which is dependent on actual cumulative performance against established performance goals and the stock price at the time of exercise for stock option grants. Therefore, it is difficult to assess actual total direct compensation on an annual basis in comparison to the market since the market data may have changed significantly when actual long-term incentive results are fully realized. We believe it is important to continue to review target total direct compensation when establishing long-term incentive grants. The fiscal 2021 target total direct compensation (sum of actual base salary, target annual cash incentive and target value of equity awards), for each named executive officer is in the table below.</w:t>
      </w:r>
    </w:p>
    <w:p>
      <w:pPr>
        <w:spacing w:after="0" w:line="96" w:lineRule="exact"/>
        <w:rPr>
          <w:sz w:val="20"/>
          <w:szCs w:val="20"/>
          <w:color w:val="auto"/>
        </w:rPr>
      </w:pPr>
    </w:p>
    <w:tbl>
      <w:tblPr>
        <w:tblLayout w:type="fixed"/>
        <w:tblInd w:w="2820" w:type="dxa"/>
        <w:tblCellMar>
          <w:top w:w="0" w:type="dxa"/>
          <w:left w:w="0" w:type="dxa"/>
          <w:bottom w:w="0" w:type="dxa"/>
          <w:right w:w="0" w:type="dxa"/>
        </w:tblCellMar>
      </w:tblPr>
      <w:tr>
        <w:trPr>
          <w:trHeight w:val="173"/>
        </w:trPr>
        <w:tc>
          <w:tcPr>
            <w:tcW w:w="2300" w:type="dxa"/>
            <w:vAlign w:val="bottom"/>
            <w:shd w:val="clear" w:color="auto" w:fill="BE0000"/>
          </w:tcPr>
          <w:p>
            <w:pPr>
              <w:spacing w:after="0"/>
              <w:rPr>
                <w:sz w:val="15"/>
                <w:szCs w:val="15"/>
                <w:color w:val="auto"/>
              </w:rPr>
            </w:pPr>
          </w:p>
        </w:tc>
        <w:tc>
          <w:tcPr>
            <w:tcW w:w="3320" w:type="dxa"/>
            <w:vAlign w:val="bottom"/>
            <w:shd w:val="clear" w:color="auto" w:fill="BE0000"/>
          </w:tcPr>
          <w:p>
            <w:pPr>
              <w:jc w:val="center"/>
              <w:ind w:left="884"/>
              <w:spacing w:after="0"/>
              <w:rPr>
                <w:sz w:val="20"/>
                <w:szCs w:val="20"/>
                <w:color w:val="auto"/>
              </w:rPr>
            </w:pPr>
            <w:r>
              <w:rPr>
                <w:rFonts w:ascii="Arial" w:cs="Arial" w:eastAsia="Arial" w:hAnsi="Arial"/>
                <w:sz w:val="14"/>
                <w:szCs w:val="14"/>
                <w:b w:val="1"/>
                <w:bCs w:val="1"/>
                <w:color w:val="FFFFFF"/>
              </w:rPr>
              <w:t>Fiscal 2021 Target Total</w:t>
            </w:r>
          </w:p>
        </w:tc>
      </w:tr>
      <w:tr>
        <w:trPr>
          <w:trHeight w:val="160"/>
        </w:trPr>
        <w:tc>
          <w:tcPr>
            <w:tcW w:w="2300" w:type="dxa"/>
            <w:vAlign w:val="bottom"/>
            <w:shd w:val="clear" w:color="auto" w:fill="BE0000"/>
          </w:tcPr>
          <w:p>
            <w:pPr>
              <w:spacing w:after="0"/>
              <w:rPr>
                <w:sz w:val="13"/>
                <w:szCs w:val="13"/>
                <w:color w:val="auto"/>
              </w:rPr>
            </w:pPr>
          </w:p>
        </w:tc>
        <w:tc>
          <w:tcPr>
            <w:tcW w:w="3320" w:type="dxa"/>
            <w:vAlign w:val="bottom"/>
            <w:shd w:val="clear" w:color="auto" w:fill="BE0000"/>
          </w:tcPr>
          <w:p>
            <w:pPr>
              <w:jc w:val="center"/>
              <w:ind w:left="884"/>
              <w:spacing w:after="0" w:line="159" w:lineRule="exact"/>
              <w:rPr>
                <w:sz w:val="20"/>
                <w:szCs w:val="20"/>
                <w:color w:val="auto"/>
              </w:rPr>
            </w:pPr>
            <w:r>
              <w:rPr>
                <w:rFonts w:ascii="Arial" w:cs="Arial" w:eastAsia="Arial" w:hAnsi="Arial"/>
                <w:sz w:val="14"/>
                <w:szCs w:val="14"/>
                <w:b w:val="1"/>
                <w:bCs w:val="1"/>
                <w:color w:val="FFFFFF"/>
              </w:rPr>
              <w:t>Direct Compensation</w:t>
            </w:r>
          </w:p>
        </w:tc>
      </w:tr>
      <w:tr>
        <w:trPr>
          <w:trHeight w:val="199"/>
        </w:trPr>
        <w:tc>
          <w:tcPr>
            <w:tcW w:w="2300" w:type="dxa"/>
            <w:vAlign w:val="bottom"/>
            <w:shd w:val="clear" w:color="auto" w:fill="BE0000"/>
          </w:tcPr>
          <w:p>
            <w:pPr>
              <w:spacing w:after="0"/>
              <w:rPr>
                <w:sz w:val="20"/>
                <w:szCs w:val="20"/>
                <w:color w:val="auto"/>
              </w:rPr>
            </w:pPr>
            <w:r>
              <w:rPr>
                <w:rFonts w:ascii="Arial" w:cs="Arial" w:eastAsia="Arial" w:hAnsi="Arial"/>
                <w:sz w:val="14"/>
                <w:szCs w:val="14"/>
                <w:b w:val="1"/>
                <w:bCs w:val="1"/>
                <w:color w:val="FFFFFF"/>
              </w:rPr>
              <w:t>Name</w:t>
            </w:r>
          </w:p>
        </w:tc>
        <w:tc>
          <w:tcPr>
            <w:tcW w:w="3320" w:type="dxa"/>
            <w:vAlign w:val="bottom"/>
            <w:shd w:val="clear" w:color="auto" w:fill="BE0000"/>
          </w:tcPr>
          <w:p>
            <w:pPr>
              <w:jc w:val="center"/>
              <w:ind w:left="884"/>
              <w:spacing w:after="0"/>
              <w:rPr>
                <w:sz w:val="20"/>
                <w:szCs w:val="20"/>
                <w:color w:val="auto"/>
              </w:rPr>
            </w:pPr>
            <w:r>
              <w:rPr>
                <w:rFonts w:ascii="Arial" w:cs="Arial" w:eastAsia="Arial" w:hAnsi="Arial"/>
                <w:sz w:val="14"/>
                <w:szCs w:val="14"/>
                <w:b w:val="1"/>
                <w:bCs w:val="1"/>
                <w:color w:val="FFFFFF"/>
                <w:w w:val="93"/>
              </w:rPr>
              <w:t>($)</w:t>
            </w:r>
          </w:p>
        </w:tc>
      </w:tr>
      <w:tr>
        <w:trPr>
          <w:trHeight w:val="230"/>
        </w:trPr>
        <w:tc>
          <w:tcPr>
            <w:tcW w:w="2300" w:type="dxa"/>
            <w:vAlign w:val="bottom"/>
          </w:tcPr>
          <w:p>
            <w:pPr>
              <w:spacing w:after="0"/>
              <w:rPr>
                <w:sz w:val="20"/>
                <w:szCs w:val="20"/>
                <w:color w:val="auto"/>
              </w:rPr>
            </w:pPr>
            <w:r>
              <w:rPr>
                <w:rFonts w:ascii="Arial" w:cs="Arial" w:eastAsia="Arial" w:hAnsi="Arial"/>
                <w:sz w:val="16"/>
                <w:szCs w:val="16"/>
                <w:color w:val="auto"/>
              </w:rPr>
              <w:t>Mr. Olson</w:t>
            </w:r>
          </w:p>
        </w:tc>
        <w:tc>
          <w:tcPr>
            <w:tcW w:w="3320" w:type="dxa"/>
            <w:vAlign w:val="bottom"/>
          </w:tcPr>
          <w:p>
            <w:pPr>
              <w:jc w:val="right"/>
              <w:spacing w:after="0"/>
              <w:rPr>
                <w:sz w:val="20"/>
                <w:szCs w:val="20"/>
                <w:color w:val="auto"/>
              </w:rPr>
            </w:pPr>
            <w:r>
              <w:rPr>
                <w:rFonts w:ascii="Arial" w:cs="Arial" w:eastAsia="Arial" w:hAnsi="Arial"/>
                <w:sz w:val="16"/>
                <w:szCs w:val="16"/>
                <w:color w:val="auto"/>
              </w:rPr>
              <w:t>6,832,000</w:t>
            </w:r>
          </w:p>
        </w:tc>
      </w:tr>
      <w:tr>
        <w:trPr>
          <w:trHeight w:val="249"/>
        </w:trPr>
        <w:tc>
          <w:tcPr>
            <w:tcW w:w="2300" w:type="dxa"/>
            <w:vAlign w:val="bottom"/>
            <w:shd w:val="clear" w:color="auto" w:fill="D9D9D9"/>
          </w:tcPr>
          <w:p>
            <w:pPr>
              <w:spacing w:after="0"/>
              <w:rPr>
                <w:sz w:val="20"/>
                <w:szCs w:val="20"/>
                <w:color w:val="auto"/>
              </w:rPr>
            </w:pPr>
            <w:r>
              <w:rPr>
                <w:rFonts w:ascii="Arial" w:cs="Arial" w:eastAsia="Arial" w:hAnsi="Arial"/>
                <w:sz w:val="16"/>
                <w:szCs w:val="16"/>
                <w:color w:val="auto"/>
              </w:rPr>
              <w:t>Ms. Peterson</w:t>
            </w:r>
          </w:p>
        </w:tc>
        <w:tc>
          <w:tcPr>
            <w:tcW w:w="33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2,160,000</w:t>
            </w:r>
          </w:p>
        </w:tc>
      </w:tr>
      <w:tr>
        <w:trPr>
          <w:trHeight w:val="230"/>
        </w:trPr>
        <w:tc>
          <w:tcPr>
            <w:tcW w:w="2300" w:type="dxa"/>
            <w:vAlign w:val="bottom"/>
          </w:tcPr>
          <w:p>
            <w:pPr>
              <w:spacing w:after="0"/>
              <w:rPr>
                <w:sz w:val="20"/>
                <w:szCs w:val="20"/>
                <w:color w:val="auto"/>
              </w:rPr>
            </w:pPr>
            <w:r>
              <w:rPr>
                <w:rFonts w:ascii="Arial" w:cs="Arial" w:eastAsia="Arial" w:hAnsi="Arial"/>
                <w:sz w:val="16"/>
                <w:szCs w:val="16"/>
                <w:color w:val="auto"/>
              </w:rPr>
              <w:t>Mr. Rodier</w:t>
            </w:r>
          </w:p>
        </w:tc>
        <w:tc>
          <w:tcPr>
            <w:tcW w:w="3320" w:type="dxa"/>
            <w:vAlign w:val="bottom"/>
          </w:tcPr>
          <w:p>
            <w:pPr>
              <w:jc w:val="right"/>
              <w:spacing w:after="0"/>
              <w:rPr>
                <w:sz w:val="20"/>
                <w:szCs w:val="20"/>
                <w:color w:val="auto"/>
              </w:rPr>
            </w:pPr>
            <w:r>
              <w:rPr>
                <w:rFonts w:ascii="Arial" w:cs="Arial" w:eastAsia="Arial" w:hAnsi="Arial"/>
                <w:sz w:val="16"/>
                <w:szCs w:val="16"/>
                <w:color w:val="auto"/>
              </w:rPr>
              <w:t>1,882,500</w:t>
            </w:r>
          </w:p>
        </w:tc>
      </w:tr>
      <w:tr>
        <w:trPr>
          <w:trHeight w:val="249"/>
        </w:trPr>
        <w:tc>
          <w:tcPr>
            <w:tcW w:w="2300" w:type="dxa"/>
            <w:vAlign w:val="bottom"/>
            <w:shd w:val="clear" w:color="auto" w:fill="D9D9D9"/>
          </w:tcPr>
          <w:p>
            <w:pPr>
              <w:spacing w:after="0"/>
              <w:rPr>
                <w:sz w:val="20"/>
                <w:szCs w:val="20"/>
                <w:color w:val="auto"/>
              </w:rPr>
            </w:pPr>
            <w:r>
              <w:rPr>
                <w:rFonts w:ascii="Arial" w:cs="Arial" w:eastAsia="Arial" w:hAnsi="Arial"/>
                <w:sz w:val="16"/>
                <w:szCs w:val="16"/>
                <w:color w:val="auto"/>
              </w:rPr>
              <w:t>Ms. Dahl</w:t>
            </w:r>
          </w:p>
        </w:tc>
        <w:tc>
          <w:tcPr>
            <w:tcW w:w="33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1,523,500</w:t>
            </w:r>
          </w:p>
        </w:tc>
      </w:tr>
      <w:tr>
        <w:trPr>
          <w:trHeight w:val="221"/>
        </w:trPr>
        <w:tc>
          <w:tcPr>
            <w:tcW w:w="2300" w:type="dxa"/>
            <w:vAlign w:val="bottom"/>
          </w:tcPr>
          <w:p>
            <w:pPr>
              <w:spacing w:after="0"/>
              <w:rPr>
                <w:sz w:val="20"/>
                <w:szCs w:val="20"/>
                <w:color w:val="auto"/>
              </w:rPr>
            </w:pPr>
            <w:r>
              <w:rPr>
                <w:rFonts w:ascii="Arial" w:cs="Arial" w:eastAsia="Arial" w:hAnsi="Arial"/>
                <w:sz w:val="16"/>
                <w:szCs w:val="16"/>
                <w:color w:val="auto"/>
              </w:rPr>
              <w:t>Mr. Hamilton</w:t>
            </w:r>
          </w:p>
        </w:tc>
        <w:tc>
          <w:tcPr>
            <w:tcW w:w="3320" w:type="dxa"/>
            <w:vAlign w:val="bottom"/>
          </w:tcPr>
          <w:p>
            <w:pPr>
              <w:jc w:val="right"/>
              <w:spacing w:after="0"/>
              <w:rPr>
                <w:sz w:val="20"/>
                <w:szCs w:val="20"/>
                <w:color w:val="auto"/>
              </w:rPr>
            </w:pPr>
            <w:r>
              <w:rPr>
                <w:rFonts w:ascii="Arial" w:cs="Arial" w:eastAsia="Arial" w:hAnsi="Arial"/>
                <w:sz w:val="16"/>
                <w:szCs w:val="16"/>
                <w:color w:val="auto"/>
              </w:rPr>
              <w:t>1,414,200</w:t>
            </w:r>
          </w:p>
        </w:tc>
      </w:tr>
    </w:tbl>
    <w:p>
      <w:pPr>
        <w:spacing w:after="0" w:line="102"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Health, Welfare and Retirement Benefits and All Other Compensation</w:t>
      </w:r>
      <w:r>
        <w:rPr>
          <w:rFonts w:ascii="Arial" w:cs="Arial" w:eastAsia="Arial" w:hAnsi="Arial"/>
          <w:sz w:val="18"/>
          <w:szCs w:val="18"/>
          <w:b w:val="1"/>
          <w:bCs w:val="1"/>
          <w:color w:val="auto"/>
        </w:rPr>
        <w:t>.</w:t>
      </w:r>
    </w:p>
    <w:p>
      <w:pPr>
        <w:spacing w:after="0" w:line="103" w:lineRule="exact"/>
        <w:rPr>
          <w:sz w:val="20"/>
          <w:szCs w:val="20"/>
          <w:color w:val="auto"/>
        </w:rPr>
      </w:pPr>
    </w:p>
    <w:p>
      <w:pPr>
        <w:ind w:firstLine="401"/>
        <w:spacing w:after="0" w:line="238" w:lineRule="auto"/>
        <w:rPr>
          <w:sz w:val="20"/>
          <w:szCs w:val="20"/>
          <w:color w:val="auto"/>
        </w:rPr>
      </w:pPr>
      <w:r>
        <w:rPr>
          <w:rFonts w:ascii="Arial" w:cs="Arial" w:eastAsia="Arial" w:hAnsi="Arial"/>
          <w:sz w:val="18"/>
          <w:szCs w:val="18"/>
          <w:i w:val="1"/>
          <w:iCs w:val="1"/>
          <w:color w:val="auto"/>
        </w:rPr>
        <w:t xml:space="preserve">Health and Welfare Benefits. </w:t>
      </w:r>
      <w:r>
        <w:rPr>
          <w:rFonts w:ascii="Arial" w:cs="Arial" w:eastAsia="Arial" w:hAnsi="Arial"/>
          <w:sz w:val="18"/>
          <w:szCs w:val="18"/>
          <w:color w:val="auto"/>
        </w:rPr>
        <w:t>We believe that providing competitive health and welfare benefits at a reasonable cost is an important part</w:t>
      </w:r>
      <w:r>
        <w:rPr>
          <w:rFonts w:ascii="Arial" w:cs="Arial" w:eastAsia="Arial" w:hAnsi="Arial"/>
          <w:sz w:val="18"/>
          <w:szCs w:val="18"/>
          <w:i w:val="1"/>
          <w:iCs w:val="1"/>
          <w:color w:val="auto"/>
        </w:rPr>
        <w:t xml:space="preserve"> </w:t>
      </w:r>
      <w:r>
        <w:rPr>
          <w:rFonts w:ascii="Arial" w:cs="Arial" w:eastAsia="Arial" w:hAnsi="Arial"/>
          <w:sz w:val="18"/>
          <w:szCs w:val="18"/>
          <w:color w:val="auto"/>
        </w:rPr>
        <w:t>of any employee’s compensation package and promotes employee health. Our executive officers participate in the same health and welfare benefits as our full-time office salaried employees. These health and welfare benefits for fiscal 2021 included medical and dental insurance; life, accidental death and dismemberment insurance; and disability insurance. These benefits, including plan design and cost, are analyzed annually.</w:t>
      </w:r>
    </w:p>
    <w:p>
      <w:pPr>
        <w:spacing w:after="0" w:line="77" w:lineRule="exact"/>
        <w:rPr>
          <w:sz w:val="20"/>
          <w:szCs w:val="20"/>
          <w:color w:val="auto"/>
        </w:rPr>
      </w:pPr>
    </w:p>
    <w:p>
      <w:pPr>
        <w:ind w:right="180" w:firstLine="401"/>
        <w:spacing w:after="0" w:line="255" w:lineRule="auto"/>
        <w:rPr>
          <w:sz w:val="20"/>
          <w:szCs w:val="20"/>
          <w:color w:val="auto"/>
        </w:rPr>
      </w:pPr>
      <w:r>
        <w:rPr>
          <w:rFonts w:ascii="Arial" w:cs="Arial" w:eastAsia="Arial" w:hAnsi="Arial"/>
          <w:sz w:val="17"/>
          <w:szCs w:val="17"/>
          <w:i w:val="1"/>
          <w:iCs w:val="1"/>
          <w:color w:val="auto"/>
        </w:rPr>
        <w:t xml:space="preserve">Retirement Benefits. </w:t>
      </w:r>
      <w:r>
        <w:rPr>
          <w:rFonts w:ascii="Arial" w:cs="Arial" w:eastAsia="Arial" w:hAnsi="Arial"/>
          <w:sz w:val="17"/>
          <w:szCs w:val="17"/>
          <w:color w:val="auto"/>
        </w:rPr>
        <w:t>We believe that it is important to allow our employees, including our executive officers, the opportunity to save for</w:t>
      </w:r>
      <w:r>
        <w:rPr>
          <w:rFonts w:ascii="Arial" w:cs="Arial" w:eastAsia="Arial" w:hAnsi="Arial"/>
          <w:sz w:val="17"/>
          <w:szCs w:val="17"/>
          <w:i w:val="1"/>
          <w:iCs w:val="1"/>
          <w:color w:val="auto"/>
        </w:rPr>
        <w:t xml:space="preserve"> </w:t>
      </w:r>
      <w:r>
        <w:rPr>
          <w:rFonts w:ascii="Arial" w:cs="Arial" w:eastAsia="Arial" w:hAnsi="Arial"/>
          <w:sz w:val="17"/>
          <w:szCs w:val="17"/>
          <w:color w:val="auto"/>
        </w:rPr>
        <w:t>retirement through our Retirement Plan, which is our defined contribution plan. The majority of our U.S.-based employees participate in the Retirement Plan and certain of our subsidiaries participate in different retirement plans. For 2021, the Retirement Plan included a 401(k) plan with a Company match and an investment fund contribution that can be made at the discretion of the Company. Company contributions for fiscal 2021 to our Retirement Plan on behalf of our named executive officers can be found under “All Other Compensation for Fiscal 2021.”</w:t>
      </w:r>
    </w:p>
    <w:p>
      <w:pPr>
        <w:spacing w:after="0" w:line="61" w:lineRule="exact"/>
        <w:rPr>
          <w:sz w:val="20"/>
          <w:szCs w:val="20"/>
          <w:color w:val="auto"/>
        </w:rPr>
      </w:pPr>
    </w:p>
    <w:p>
      <w:pPr>
        <w:ind w:right="60" w:firstLine="401"/>
        <w:spacing w:after="0" w:line="239" w:lineRule="auto"/>
        <w:rPr>
          <w:sz w:val="20"/>
          <w:szCs w:val="20"/>
          <w:color w:val="auto"/>
        </w:rPr>
      </w:pPr>
      <w:r>
        <w:rPr>
          <w:rFonts w:ascii="Arial" w:cs="Arial" w:eastAsia="Arial" w:hAnsi="Arial"/>
          <w:sz w:val="18"/>
          <w:szCs w:val="18"/>
          <w:i w:val="1"/>
          <w:iCs w:val="1"/>
          <w:color w:val="auto"/>
        </w:rPr>
        <w:t>Nonqualified Deferred Compensation Plans</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To help ensure our executive officers’ ability to provide financial security and save for</w:t>
      </w:r>
      <w:r>
        <w:rPr>
          <w:rFonts w:ascii="Arial" w:cs="Arial" w:eastAsia="Arial" w:hAnsi="Arial"/>
          <w:sz w:val="18"/>
          <w:szCs w:val="18"/>
          <w:i w:val="1"/>
          <w:iCs w:val="1"/>
          <w:color w:val="auto"/>
        </w:rPr>
        <w:t xml:space="preserve"> </w:t>
      </w:r>
      <w:r>
        <w:rPr>
          <w:rFonts w:ascii="Arial" w:cs="Arial" w:eastAsia="Arial" w:hAnsi="Arial"/>
          <w:sz w:val="18"/>
          <w:szCs w:val="18"/>
          <w:color w:val="auto"/>
        </w:rPr>
        <w:t>retirement, we maintain three nonqualified deferred compensation plans, which include: The Toro Company Deferred Compensation Plan, or Deferred Plan, The Toro Company Deferred Compensation Plan for Officers, or the Deferred Plan for Officers and The Toro Company Supplemental Benefit Plan, or Supplemental Benefit Plan. These plans, which are unsecured and unfunded, are described under “Nonqualified Deferred Compensation for Fiscal 2021.”</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80" w:lineRule="exact"/>
        <w:rPr>
          <w:sz w:val="20"/>
          <w:szCs w:val="20"/>
          <w:color w:val="auto"/>
        </w:rPr>
      </w:pPr>
    </w:p>
    <w:p>
      <w:pPr>
        <w:ind w:right="60" w:firstLine="401"/>
        <w:spacing w:after="0"/>
        <w:rPr>
          <w:sz w:val="20"/>
          <w:szCs w:val="20"/>
          <w:color w:val="auto"/>
        </w:rPr>
      </w:pPr>
      <w:r>
        <w:rPr>
          <w:rFonts w:ascii="Arial" w:cs="Arial" w:eastAsia="Arial" w:hAnsi="Arial"/>
          <w:sz w:val="18"/>
          <w:szCs w:val="18"/>
          <w:i w:val="1"/>
          <w:iCs w:val="1"/>
          <w:color w:val="auto"/>
        </w:rPr>
        <w:t>Perquisites</w:t>
      </w:r>
      <w:r>
        <w:rPr>
          <w:rFonts w:ascii="Arial" w:cs="Arial" w:eastAsia="Arial" w:hAnsi="Arial"/>
          <w:sz w:val="18"/>
          <w:szCs w:val="18"/>
          <w:color w:val="auto"/>
        </w:rPr>
        <w:t>. The limited perquisites provided during fiscal 2021 to our executive officers are described in “All Other Compensation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2021.” We believe these perquisites are an important part of our overall compensation package and help us attract, retain and reward top executive talent. Specifically, we believe that these perquisites assist in promoting the financial security and health of our executive officers and encourage the use and promotion of our products.</w:t>
      </w:r>
    </w:p>
    <w:p>
      <w:pPr>
        <w:spacing w:after="0" w:line="72" w:lineRule="exact"/>
        <w:rPr>
          <w:sz w:val="20"/>
          <w:szCs w:val="20"/>
          <w:color w:val="auto"/>
        </w:rPr>
      </w:pPr>
    </w:p>
    <w:p>
      <w:pPr>
        <w:ind w:right="520" w:firstLine="401"/>
        <w:spacing w:after="0" w:line="247" w:lineRule="auto"/>
        <w:rPr>
          <w:sz w:val="20"/>
          <w:szCs w:val="20"/>
          <w:color w:val="auto"/>
        </w:rPr>
      </w:pPr>
      <w:r>
        <w:rPr>
          <w:rFonts w:ascii="Arial" w:cs="Arial" w:eastAsia="Arial" w:hAnsi="Arial"/>
          <w:sz w:val="18"/>
          <w:szCs w:val="18"/>
          <w:i w:val="1"/>
          <w:iCs w:val="1"/>
          <w:color w:val="auto"/>
        </w:rPr>
        <w:t>Charitable Giving</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support charitable organizations for our employees through our matching gift program. The program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provides that a gift or gifts by an executive officer and his/her spouse to one or more tax exempt 501(c)(3) charitable organizations located in the United States will be matched by us in an aggregate amount of up to $3,000 per year.</w:t>
      </w:r>
    </w:p>
    <w:p>
      <w:pPr>
        <w:spacing w:after="0" w:line="66" w:lineRule="exact"/>
        <w:rPr>
          <w:sz w:val="20"/>
          <w:szCs w:val="20"/>
          <w:color w:val="auto"/>
        </w:rPr>
      </w:pPr>
    </w:p>
    <w:p>
      <w:pPr>
        <w:ind w:firstLine="401"/>
        <w:spacing w:after="0" w:line="256" w:lineRule="auto"/>
        <w:rPr>
          <w:sz w:val="20"/>
          <w:szCs w:val="20"/>
          <w:color w:val="auto"/>
        </w:rPr>
      </w:pPr>
      <w:r>
        <w:rPr>
          <w:rFonts w:ascii="Arial" w:cs="Arial" w:eastAsia="Arial" w:hAnsi="Arial"/>
          <w:sz w:val="17"/>
          <w:szCs w:val="17"/>
          <w:b w:val="1"/>
          <w:bCs w:val="1"/>
          <w:color w:val="auto"/>
        </w:rPr>
        <w:t xml:space="preserve">Employment, Severance and Change in Control Arrangements. </w:t>
      </w:r>
      <w:r>
        <w:rPr>
          <w:rFonts w:ascii="Arial" w:cs="Arial" w:eastAsia="Arial" w:hAnsi="Arial"/>
          <w:sz w:val="17"/>
          <w:szCs w:val="17"/>
          <w:color w:val="auto"/>
        </w:rPr>
        <w:t>None of our executive officers have any employment or severance</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agreements or arrangements other than as provided for in our CIC policy and other than certain change in control provisions in our equity plans. Accordingly, our executive officers do not have the right to cash severance or additional benefits in connection with a termination of employment except in connection with a change in control of our Company as described under “Potential Payments Upon Termination or Change in Control—Change in Control.” Each executive officer is a party to our standard confidentiality, invention and non-compete agreement.</w:t>
      </w:r>
    </w:p>
    <w:p>
      <w:pPr>
        <w:spacing w:after="0" w:line="83" w:lineRule="exact"/>
        <w:rPr>
          <w:sz w:val="20"/>
          <w:szCs w:val="20"/>
          <w:color w:val="auto"/>
        </w:rPr>
      </w:pPr>
    </w:p>
    <w:p>
      <w:pPr>
        <w:ind w:right="60" w:firstLine="401"/>
        <w:spacing w:after="0" w:line="233" w:lineRule="auto"/>
        <w:rPr>
          <w:sz w:val="20"/>
          <w:szCs w:val="20"/>
          <w:color w:val="auto"/>
        </w:rPr>
      </w:pPr>
      <w:r>
        <w:rPr>
          <w:rFonts w:ascii="Arial" w:cs="Arial" w:eastAsia="Arial" w:hAnsi="Arial"/>
          <w:sz w:val="18"/>
          <w:szCs w:val="18"/>
          <w:color w:val="auto"/>
        </w:rPr>
        <w:t>We believe our CIC policy and other change in control arrangements are important because they provide retention incentives and additional monetary motivation to complete a transaction that the Board believes is in the best interests of our Company and shareholders. We believe it is in the best interests of our Company and our shareholders to assure that we will have the continued dedication of our executives, notwithstanding the possibility, threat or occurrence of a change in control. We also believe it is imperative to diminish any distraction of our executives by virtue of the personal uncertainties and risks, including personal financial risks, created by a pending or threatened change in control of the Company.</w:t>
      </w:r>
    </w:p>
    <w:p>
      <w:pPr>
        <w:spacing w:after="0" w:line="97" w:lineRule="exact"/>
        <w:rPr>
          <w:sz w:val="20"/>
          <w:szCs w:val="20"/>
          <w:color w:val="auto"/>
        </w:rPr>
      </w:pPr>
    </w:p>
    <w:p>
      <w:pPr>
        <w:ind w:right="140" w:firstLine="401"/>
        <w:spacing w:after="0" w:line="234" w:lineRule="auto"/>
        <w:rPr>
          <w:sz w:val="20"/>
          <w:szCs w:val="20"/>
          <w:color w:val="auto"/>
        </w:rPr>
      </w:pPr>
      <w:r>
        <w:rPr>
          <w:rFonts w:ascii="Arial" w:cs="Arial" w:eastAsia="Arial" w:hAnsi="Arial"/>
          <w:sz w:val="18"/>
          <w:szCs w:val="18"/>
          <w:color w:val="auto"/>
        </w:rPr>
        <w:t>Our CIC policy incorporates a “double trigger” mechanism and provides for a severance payment for an executive officer if within three years after a change in control an executive officer’s employment is terminated by us without just cause or the executive officer terminates his or her employment for good reason, or if such termination occurs at the request of a third party who had taken steps reasonably calculated to effect the change in control. Our CIC policy does not provide a “gross-up” for 280G excise taxes and, as a condition to the payment of any severance payment, the executive officer must execute a release of claims against us.</w:t>
      </w:r>
    </w:p>
    <w:p>
      <w:pPr>
        <w:spacing w:after="0" w:line="95" w:lineRule="exact"/>
        <w:rPr>
          <w:sz w:val="20"/>
          <w:szCs w:val="20"/>
          <w:color w:val="auto"/>
        </w:rPr>
      </w:pPr>
    </w:p>
    <w:p>
      <w:pPr>
        <w:ind w:right="140" w:firstLine="401"/>
        <w:spacing w:after="0" w:line="232" w:lineRule="auto"/>
        <w:rPr>
          <w:sz w:val="20"/>
          <w:szCs w:val="20"/>
          <w:color w:val="auto"/>
        </w:rPr>
      </w:pPr>
      <w:r>
        <w:rPr>
          <w:rFonts w:ascii="Arial" w:cs="Arial" w:eastAsia="Arial" w:hAnsi="Arial"/>
          <w:sz w:val="18"/>
          <w:szCs w:val="18"/>
          <w:color w:val="auto"/>
        </w:rPr>
        <w:t>In addition to our CIC policy, we also have change in control provisions in our 2010 Plan and prior equity plans and individual award agreements that apply to our executives, as well as other employees, that provide for immediate vesting acceleration upon a change in control. More information regarding these provisions is also provided under “Potential Payments Upon Termination or Change in Control—Change in Control.” Because the immediate vesting of stock options, restricted stock units and certain other awards is triggered by the change in control itself, and is not dependent upon a termination of employment within a certain protection period, these acceleration provisions are known as a “single trigger” change in control arrangements. We believe these “single trigger” change in control arrangements for equity awards granted provide important retention incentives during what can often be an uncertain time for employees and provide executives with additional monetary motivation to focus on and complete a transaction that our Board believes is in the best interests of our shareholders rather than seeking new employment opportunities. If an executive were to leave prior to the completion of the change in control, non-vested options or other awards held by the executive would terminate.</w:t>
      </w:r>
    </w:p>
    <w:p>
      <w:pPr>
        <w:spacing w:after="0" w:line="100" w:lineRule="exact"/>
        <w:rPr>
          <w:sz w:val="20"/>
          <w:szCs w:val="20"/>
          <w:color w:val="auto"/>
        </w:rPr>
      </w:pPr>
    </w:p>
    <w:p>
      <w:pPr>
        <w:ind w:right="180" w:firstLine="401"/>
        <w:spacing w:after="0" w:line="238" w:lineRule="auto"/>
        <w:rPr>
          <w:sz w:val="20"/>
          <w:szCs w:val="20"/>
          <w:color w:val="auto"/>
        </w:rPr>
      </w:pPr>
      <w:r>
        <w:rPr>
          <w:rFonts w:ascii="Arial" w:cs="Arial" w:eastAsia="Arial" w:hAnsi="Arial"/>
          <w:sz w:val="18"/>
          <w:szCs w:val="18"/>
          <w:color w:val="auto"/>
        </w:rPr>
        <w:t>The Compensation &amp; Human Resources Committee reviews our change of control arrangements periodically to ensure that they remain appropriate.</w:t>
      </w:r>
    </w:p>
    <w:p>
      <w:pPr>
        <w:spacing w:after="0" w:line="73" w:lineRule="exact"/>
        <w:rPr>
          <w:sz w:val="20"/>
          <w:szCs w:val="20"/>
          <w:color w:val="auto"/>
        </w:rPr>
      </w:pPr>
    </w:p>
    <w:p>
      <w:pPr>
        <w:ind w:right="140" w:firstLine="401"/>
        <w:spacing w:after="0" w:line="241" w:lineRule="auto"/>
        <w:rPr>
          <w:sz w:val="20"/>
          <w:szCs w:val="20"/>
          <w:color w:val="auto"/>
        </w:rPr>
      </w:pPr>
      <w:r>
        <w:rPr>
          <w:rFonts w:ascii="Arial" w:cs="Arial" w:eastAsia="Arial" w:hAnsi="Arial"/>
          <w:sz w:val="18"/>
          <w:szCs w:val="18"/>
          <w:b w:val="1"/>
          <w:bCs w:val="1"/>
          <w:color w:val="auto"/>
        </w:rPr>
        <w:t xml:space="preserve">Stock Ownership Guidelines. </w:t>
      </w:r>
      <w:r>
        <w:rPr>
          <w:rFonts w:ascii="Arial" w:cs="Arial" w:eastAsia="Arial" w:hAnsi="Arial"/>
          <w:sz w:val="18"/>
          <w:szCs w:val="18"/>
          <w:color w:val="auto"/>
        </w:rPr>
        <w:t>We maintain stock ownership guidelines that enable us to meet our compensation objective of aligning</w:t>
      </w:r>
      <w:r>
        <w:rPr>
          <w:rFonts w:ascii="Arial" w:cs="Arial" w:eastAsia="Arial" w:hAnsi="Arial"/>
          <w:sz w:val="18"/>
          <w:szCs w:val="18"/>
          <w:b w:val="1"/>
          <w:bCs w:val="1"/>
          <w:color w:val="auto"/>
        </w:rPr>
        <w:t xml:space="preserve"> </w:t>
      </w:r>
      <w:r>
        <w:rPr>
          <w:rFonts w:ascii="Arial" w:cs="Arial" w:eastAsia="Arial" w:hAnsi="Arial"/>
          <w:sz w:val="18"/>
          <w:szCs w:val="18"/>
          <w:color w:val="auto"/>
        </w:rPr>
        <w:t>the interests of our executive officers with those of our shareholders. Our stock ownership guidelines are described in more detail in “Stock Ownership Guidelines.” As of October 31, 2021, each of our executive officers required to meet the stock ownership guidelines had met such guideline.</w:t>
      </w:r>
    </w:p>
    <w:p>
      <w:pPr>
        <w:spacing w:after="0" w:line="73" w:lineRule="exact"/>
        <w:rPr>
          <w:sz w:val="20"/>
          <w:szCs w:val="20"/>
          <w:color w:val="auto"/>
        </w:rPr>
      </w:pPr>
    </w:p>
    <w:p>
      <w:pPr>
        <w:ind w:firstLine="401"/>
        <w:spacing w:after="0" w:line="263" w:lineRule="auto"/>
        <w:rPr>
          <w:sz w:val="20"/>
          <w:szCs w:val="20"/>
          <w:color w:val="auto"/>
        </w:rPr>
      </w:pPr>
      <w:r>
        <w:rPr>
          <w:rFonts w:ascii="Arial" w:cs="Arial" w:eastAsia="Arial" w:hAnsi="Arial"/>
          <w:sz w:val="18"/>
          <w:szCs w:val="18"/>
          <w:b w:val="1"/>
          <w:bCs w:val="1"/>
          <w:color w:val="auto"/>
        </w:rPr>
        <w:t xml:space="preserve">Hedging and Pledging. </w:t>
      </w:r>
      <w:r>
        <w:rPr>
          <w:rFonts w:ascii="Arial" w:cs="Arial" w:eastAsia="Arial" w:hAnsi="Arial"/>
          <w:sz w:val="18"/>
          <w:szCs w:val="18"/>
          <w:color w:val="auto"/>
        </w:rPr>
        <w:t>Our insider trading policy prohibits officers and directors from engaging in hedging or pledging of our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Our anti-hedging and pledging policy is described in more detail in “Anti-Hedging and Anti-Pledging Policies.”</w:t>
      </w:r>
    </w:p>
    <w:p>
      <w:pPr>
        <w:spacing w:after="0" w:line="52" w:lineRule="exact"/>
        <w:rPr>
          <w:sz w:val="20"/>
          <w:szCs w:val="20"/>
          <w:color w:val="auto"/>
        </w:rPr>
      </w:pPr>
    </w:p>
    <w:p>
      <w:pPr>
        <w:ind w:right="20" w:firstLine="401"/>
        <w:spacing w:after="0" w:line="247" w:lineRule="auto"/>
        <w:rPr>
          <w:sz w:val="20"/>
          <w:szCs w:val="20"/>
          <w:color w:val="auto"/>
        </w:rPr>
      </w:pPr>
      <w:r>
        <w:rPr>
          <w:rFonts w:ascii="Arial" w:cs="Arial" w:eastAsia="Arial" w:hAnsi="Arial"/>
          <w:sz w:val="18"/>
          <w:szCs w:val="18"/>
          <w:b w:val="1"/>
          <w:bCs w:val="1"/>
          <w:color w:val="auto"/>
        </w:rPr>
        <w:t xml:space="preserve">Tax Deductibility of Compensation. </w:t>
      </w:r>
      <w:r>
        <w:rPr>
          <w:rFonts w:ascii="Arial" w:cs="Arial" w:eastAsia="Arial" w:hAnsi="Arial"/>
          <w:sz w:val="18"/>
          <w:szCs w:val="18"/>
          <w:color w:val="auto"/>
        </w:rPr>
        <w:t>Prior to the enactment of the Tax Cuts and Jobs Act of 2017 (the “2017 Tax Act”), in designing our</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compensation program, we considered the deductibility of executive compensation under Code Section 162(m). The 2017 Tax Act, among other things, repealed the exemption from</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98"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color w:val="auto"/>
        </w:rPr>
        <w:t>Code Section 162(m)’s $ 1 million deduction limit for “performance-based” compensation for taxable years beginning after December 31, 2017. Our compensation plans were designed with the intention of satisfying the requirements for “performance-based” compensation as defined in Code Section 162(m) prior to the effective date of the 2017 Tax Act so that such awards would be exempt from the Code Section 162(m) deduction limitation. While we designed these plans to operate in this manner, the Committee could administer the plans in a manner that did not satisfy such requirements in order to achieve a result that the Committee determined to be appropriate, including by revising performance goals and/or adjustment events as needed to ensure our pay practices continued to align with performance even if this resulted in a disallowance of a deduction for amounts in excess of $1 million.</w:t>
      </w:r>
    </w:p>
    <w:p>
      <w:pPr>
        <w:spacing w:after="0" w:line="96" w:lineRule="exact"/>
        <w:rPr>
          <w:sz w:val="20"/>
          <w:szCs w:val="20"/>
          <w:color w:val="auto"/>
        </w:rPr>
      </w:pPr>
    </w:p>
    <w:p>
      <w:pPr>
        <w:ind w:right="160" w:firstLine="401"/>
        <w:spacing w:after="0" w:line="235" w:lineRule="auto"/>
        <w:rPr>
          <w:sz w:val="20"/>
          <w:szCs w:val="20"/>
          <w:color w:val="auto"/>
        </w:rPr>
      </w:pPr>
      <w:r>
        <w:rPr>
          <w:rFonts w:ascii="Arial" w:cs="Arial" w:eastAsia="Arial" w:hAnsi="Arial"/>
          <w:sz w:val="18"/>
          <w:szCs w:val="18"/>
          <w:color w:val="auto"/>
        </w:rPr>
        <w:t>Despite the changes to Section 162(m) as a result of the 2017 Tax Act, consistent with our executive compensation philosophy of linking pay to performance and aligning executive interests with those of our shareholders, we currently expect that we will continue to structure our executive compensation program so that a significant portion of total executive compensation is linked to the performance of our Company even though amounts in excess of the Code Section 162(m) limit are no longer deductible.</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Assessment of Risk Related to Compensation Programs</w:t>
      </w:r>
    </w:p>
    <w:p>
      <w:pPr>
        <w:spacing w:after="0" w:line="127" w:lineRule="exact"/>
        <w:rPr>
          <w:sz w:val="20"/>
          <w:szCs w:val="20"/>
          <w:color w:val="auto"/>
        </w:rPr>
      </w:pPr>
    </w:p>
    <w:p>
      <w:pPr>
        <w:ind w:firstLine="401"/>
        <w:spacing w:after="0" w:line="233" w:lineRule="auto"/>
        <w:rPr>
          <w:sz w:val="20"/>
          <w:szCs w:val="20"/>
          <w:color w:val="auto"/>
        </w:rPr>
      </w:pPr>
      <w:r>
        <w:rPr>
          <w:rFonts w:ascii="Arial" w:cs="Arial" w:eastAsia="Arial" w:hAnsi="Arial"/>
          <w:sz w:val="18"/>
          <w:szCs w:val="18"/>
          <w:color w:val="auto"/>
        </w:rPr>
        <w:t>We determined that our compensation policies, practices and programs and related compensation governance structure work together to minimize exposure to excessive risk while appropriately pursuing growth, profitability and asset efficiency strategies that emphasize shareholder value creation. In reaching such determination, we noted that (i) base salaries for all office salaried employees are targeted within a competitive range of the market 50</w:t>
      </w:r>
      <w:r>
        <w:rPr>
          <w:rFonts w:ascii="Arial" w:cs="Arial" w:eastAsia="Arial" w:hAnsi="Arial"/>
          <w:sz w:val="15"/>
          <w:szCs w:val="15"/>
          <w:color w:val="auto"/>
        </w:rPr>
        <w:t>th</w:t>
      </w:r>
      <w:r>
        <w:rPr>
          <w:rFonts w:ascii="Arial" w:cs="Arial" w:eastAsia="Arial" w:hAnsi="Arial"/>
          <w:sz w:val="18"/>
          <w:szCs w:val="18"/>
          <w:color w:val="auto"/>
        </w:rPr>
        <w:t xml:space="preserve"> percentile, are not subject to performance risk and, for non-executive employees, constitute the largest part of their total compensation; (ii) incentive or variable compensation awarded to our executive officers, which constitutes the largest part of their total compensation, is appropriately balanced between annual and long-term performance and cash and equity compensation, and utilizes performance measures and goals that are drivers of long-term success for our Company and our shareholders; and (iii) caps on performance-based awards are used.</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Clawback Policy and Provisions</w:t>
      </w:r>
    </w:p>
    <w:p>
      <w:pPr>
        <w:spacing w:after="0" w:line="105" w:lineRule="exact"/>
        <w:rPr>
          <w:sz w:val="20"/>
          <w:szCs w:val="20"/>
          <w:color w:val="auto"/>
        </w:rPr>
      </w:pPr>
    </w:p>
    <w:p>
      <w:pPr>
        <w:ind w:right="260" w:firstLine="401"/>
        <w:spacing w:after="0" w:line="268" w:lineRule="auto"/>
        <w:rPr>
          <w:sz w:val="20"/>
          <w:szCs w:val="20"/>
          <w:color w:val="auto"/>
        </w:rPr>
      </w:pPr>
      <w:r>
        <w:rPr>
          <w:rFonts w:ascii="Arial" w:cs="Arial" w:eastAsia="Arial" w:hAnsi="Arial"/>
          <w:sz w:val="17"/>
          <w:szCs w:val="17"/>
          <w:b w:val="1"/>
          <w:bCs w:val="1"/>
          <w:color w:val="auto"/>
        </w:rPr>
        <w:t xml:space="preserve">Clawback Policy. </w:t>
      </w:r>
      <w:r>
        <w:rPr>
          <w:rFonts w:ascii="Arial" w:cs="Arial" w:eastAsia="Arial" w:hAnsi="Arial"/>
          <w:sz w:val="17"/>
          <w:szCs w:val="17"/>
          <w:color w:val="auto"/>
        </w:rPr>
        <w:t>In January 2022, we adopted a clawback policy pursuant to which we may recover certain incentive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from current or former officers in the event a financial metric used to determine the vesting or payment of incentive compensation to an executive was calculated incorrectly or the executive engaged in egregious conduct that is substantially detrimental to the Company.</w:t>
      </w:r>
    </w:p>
    <w:p>
      <w:pPr>
        <w:spacing w:after="0" w:line="50" w:lineRule="exact"/>
        <w:rPr>
          <w:sz w:val="20"/>
          <w:szCs w:val="20"/>
          <w:color w:val="auto"/>
        </w:rPr>
      </w:pPr>
    </w:p>
    <w:p>
      <w:pPr>
        <w:ind w:firstLine="401"/>
        <w:spacing w:after="0" w:line="235" w:lineRule="auto"/>
        <w:rPr>
          <w:sz w:val="20"/>
          <w:szCs w:val="20"/>
          <w:color w:val="auto"/>
        </w:rPr>
      </w:pPr>
      <w:r>
        <w:rPr>
          <w:rFonts w:ascii="Arial" w:cs="Arial" w:eastAsia="Arial" w:hAnsi="Arial"/>
          <w:sz w:val="18"/>
          <w:szCs w:val="18"/>
          <w:b w:val="1"/>
          <w:bCs w:val="1"/>
          <w:color w:val="auto"/>
        </w:rPr>
        <w:t xml:space="preserve">Clawback Provisions. </w:t>
      </w:r>
      <w:r>
        <w:rPr>
          <w:rFonts w:ascii="Arial" w:cs="Arial" w:eastAsia="Arial" w:hAnsi="Arial"/>
          <w:sz w:val="18"/>
          <w:szCs w:val="18"/>
          <w:color w:val="auto"/>
        </w:rPr>
        <w:t>Our 2010 Plan and the related award agreements contain a clawback provision which provides that if, within one</w:t>
      </w:r>
      <w:r>
        <w:rPr>
          <w:rFonts w:ascii="Arial" w:cs="Arial" w:eastAsia="Arial" w:hAnsi="Arial"/>
          <w:sz w:val="18"/>
          <w:szCs w:val="18"/>
          <w:b w:val="1"/>
          <w:bCs w:val="1"/>
          <w:color w:val="auto"/>
        </w:rPr>
        <w:t xml:space="preserve"> </w:t>
      </w:r>
      <w:r>
        <w:rPr>
          <w:rFonts w:ascii="Arial" w:cs="Arial" w:eastAsia="Arial" w:hAnsi="Arial"/>
          <w:sz w:val="18"/>
          <w:szCs w:val="18"/>
          <w:color w:val="auto"/>
        </w:rPr>
        <w:t>year after the termination of employment the participant is employed or retained by or renders services to a competitor, violates any confidentiality agreement or agreement governing the ownership or assignment of intellectual property rights or engages in any other conduct or act determined to be injurious, detrimental or prejudicial to any interest of our Company, all rights of such participant under the 2010 Plan and any agreements evidencing an award then held by the participant will terminate and be forfeited and the Committee may require the executive to surrender and return to our Company any shares received, and/or to disgorge any profits or any other economic value made or realized by the participant during the period beginning one year prior to the participant’s termination of employment or other service with our Company or any affiliate or subsidiary, in connection with any awards or any shares issued upon the exercise or vesting of any awards granted under such plan.</w:t>
      </w:r>
    </w:p>
    <w:p>
      <w:pPr>
        <w:spacing w:after="0" w:line="99" w:lineRule="exact"/>
        <w:rPr>
          <w:sz w:val="20"/>
          <w:szCs w:val="20"/>
          <w:color w:val="auto"/>
        </w:rPr>
      </w:pPr>
    </w:p>
    <w:p>
      <w:pPr>
        <w:ind w:right="280" w:firstLine="401"/>
        <w:spacing w:after="0" w:line="238" w:lineRule="auto"/>
        <w:rPr>
          <w:sz w:val="20"/>
          <w:szCs w:val="20"/>
          <w:color w:val="auto"/>
        </w:rPr>
      </w:pPr>
      <w:r>
        <w:rPr>
          <w:rFonts w:ascii="Arial" w:cs="Arial" w:eastAsia="Arial" w:hAnsi="Arial"/>
          <w:sz w:val="18"/>
          <w:szCs w:val="18"/>
          <w:color w:val="auto"/>
        </w:rPr>
        <w:t>The 2022 Plan, if adopted, will have a similar clawback provision, as described under “Summary of Sound Governance Features of the 2022 Plan—Forfeiture and Recoupment or Clawback.”</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Summary Compensation Table</w:t>
      </w:r>
    </w:p>
    <w:p>
      <w:pPr>
        <w:spacing w:after="0" w:line="127" w:lineRule="exact"/>
        <w:rPr>
          <w:sz w:val="20"/>
          <w:szCs w:val="20"/>
          <w:color w:val="auto"/>
        </w:rPr>
      </w:pPr>
    </w:p>
    <w:p>
      <w:pPr>
        <w:ind w:right="20" w:firstLine="401"/>
        <w:spacing w:after="0" w:line="248" w:lineRule="auto"/>
        <w:rPr>
          <w:sz w:val="20"/>
          <w:szCs w:val="20"/>
          <w:color w:val="auto"/>
        </w:rPr>
      </w:pPr>
      <w:r>
        <w:rPr>
          <w:rFonts w:ascii="Arial" w:cs="Arial" w:eastAsia="Arial" w:hAnsi="Arial"/>
          <w:sz w:val="17"/>
          <w:szCs w:val="17"/>
          <w:color w:val="auto"/>
        </w:rPr>
        <w:t>The following table summarizes compensation for each of the last three fiscal years awarded to, earned by or paid to individuals who served as our principal executive officer and principal financial officer and each of the other three most highly compensated executive officers during fiscal 2021. We collectively refer to these executive officers as our “named executive officers”. The “Compensation Discussion and Analysis” provides additional information about compensation paid to our named executive officers. Amounts in this Summary Compensation Table are not reduced to reflect elections, if any, by the named executive officers to defer receipt of base salary, annual cash incentive award payouts or performance share award payouts. Elections to defer these forms of compensation are described in more detail under “Nonqualified Deferred Compensation for Fiscal 2021.” Earnings on nonqualified deferred compensation are not on a basis that is considered to be above-market or preferential.</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shd w:val="clear" w:color="auto" w:fill="C00000"/>
          </w:tcPr>
          <w:p>
            <w:pPr>
              <w:spacing w:after="0"/>
              <w:rPr>
                <w:sz w:val="14"/>
                <w:szCs w:val="14"/>
                <w:color w:val="auto"/>
              </w:rPr>
            </w:pPr>
          </w:p>
        </w:tc>
        <w:tc>
          <w:tcPr>
            <w:tcW w:w="120" w:type="dxa"/>
            <w:vAlign w:val="bottom"/>
            <w:shd w:val="clear" w:color="auto" w:fill="C00000"/>
          </w:tcPr>
          <w:p>
            <w:pPr>
              <w:spacing w:after="0"/>
              <w:rPr>
                <w:sz w:val="14"/>
                <w:szCs w:val="14"/>
                <w:color w:val="auto"/>
              </w:rPr>
            </w:pPr>
          </w:p>
        </w:tc>
        <w:tc>
          <w:tcPr>
            <w:tcW w:w="540" w:type="dxa"/>
            <w:vAlign w:val="bottom"/>
            <w:shd w:val="clear" w:color="auto" w:fill="C00000"/>
          </w:tcPr>
          <w:p>
            <w:pPr>
              <w:spacing w:after="0"/>
              <w:rPr>
                <w:sz w:val="14"/>
                <w:szCs w:val="14"/>
                <w:color w:val="auto"/>
              </w:rPr>
            </w:pPr>
          </w:p>
        </w:tc>
        <w:tc>
          <w:tcPr>
            <w:tcW w:w="980" w:type="dxa"/>
            <w:vAlign w:val="bottom"/>
            <w:shd w:val="clear" w:color="auto" w:fill="C00000"/>
          </w:tcPr>
          <w:p>
            <w:pPr>
              <w:spacing w:after="0"/>
              <w:rPr>
                <w:sz w:val="14"/>
                <w:szCs w:val="14"/>
                <w:color w:val="auto"/>
              </w:rPr>
            </w:pPr>
          </w:p>
        </w:tc>
        <w:tc>
          <w:tcPr>
            <w:tcW w:w="800" w:type="dxa"/>
            <w:vAlign w:val="bottom"/>
            <w:shd w:val="clear" w:color="auto" w:fill="C00000"/>
          </w:tcPr>
          <w:p>
            <w:pPr>
              <w:spacing w:after="0"/>
              <w:rPr>
                <w:sz w:val="14"/>
                <w:szCs w:val="14"/>
                <w:color w:val="auto"/>
              </w:rPr>
            </w:pPr>
          </w:p>
        </w:tc>
        <w:tc>
          <w:tcPr>
            <w:tcW w:w="980" w:type="dxa"/>
            <w:vAlign w:val="bottom"/>
            <w:shd w:val="clear" w:color="auto" w:fill="C00000"/>
          </w:tcPr>
          <w:p>
            <w:pPr>
              <w:spacing w:after="0"/>
              <w:rPr>
                <w:sz w:val="14"/>
                <w:szCs w:val="14"/>
                <w:color w:val="auto"/>
              </w:rPr>
            </w:pPr>
          </w:p>
        </w:tc>
        <w:tc>
          <w:tcPr>
            <w:tcW w:w="960" w:type="dxa"/>
            <w:vAlign w:val="bottom"/>
            <w:shd w:val="clear" w:color="auto" w:fill="C00000"/>
          </w:tcPr>
          <w:p>
            <w:pPr>
              <w:spacing w:after="0"/>
              <w:rPr>
                <w:sz w:val="14"/>
                <w:szCs w:val="14"/>
                <w:color w:val="auto"/>
              </w:rPr>
            </w:pPr>
          </w:p>
        </w:tc>
        <w:tc>
          <w:tcPr>
            <w:tcW w:w="1540" w:type="dxa"/>
            <w:vAlign w:val="bottom"/>
            <w:shd w:val="clear" w:color="auto" w:fill="C00000"/>
          </w:tcPr>
          <w:p>
            <w:pPr>
              <w:jc w:val="center"/>
              <w:ind w:right="73"/>
              <w:spacing w:after="0"/>
              <w:rPr>
                <w:sz w:val="20"/>
                <w:szCs w:val="20"/>
                <w:color w:val="auto"/>
              </w:rPr>
            </w:pPr>
            <w:r>
              <w:rPr>
                <w:rFonts w:ascii="Arial" w:cs="Arial" w:eastAsia="Arial" w:hAnsi="Arial"/>
                <w:sz w:val="14"/>
                <w:szCs w:val="14"/>
                <w:b w:val="1"/>
                <w:bCs w:val="1"/>
                <w:color w:val="FFFFFF"/>
              </w:rPr>
              <w:t>Non-Equity</w:t>
            </w:r>
          </w:p>
        </w:tc>
        <w:tc>
          <w:tcPr>
            <w:tcW w:w="1560" w:type="dxa"/>
            <w:vAlign w:val="bottom"/>
            <w:shd w:val="clear" w:color="auto" w:fill="C00000"/>
          </w:tcPr>
          <w:p>
            <w:pPr>
              <w:spacing w:after="0"/>
              <w:rPr>
                <w:sz w:val="14"/>
                <w:szCs w:val="14"/>
                <w:color w:val="auto"/>
              </w:rPr>
            </w:pPr>
          </w:p>
        </w:tc>
        <w:tc>
          <w:tcPr>
            <w:tcW w:w="780" w:type="dxa"/>
            <w:vAlign w:val="bottom"/>
            <w:shd w:val="clear" w:color="auto" w:fill="C00000"/>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980" w:type="dxa"/>
            <w:vAlign w:val="bottom"/>
            <w:shd w:val="clear" w:color="auto" w:fill="C00000"/>
          </w:tcPr>
          <w:p>
            <w:pPr>
              <w:spacing w:after="0"/>
              <w:rPr>
                <w:sz w:val="13"/>
                <w:szCs w:val="13"/>
                <w:color w:val="auto"/>
              </w:rPr>
            </w:pPr>
          </w:p>
        </w:tc>
        <w:tc>
          <w:tcPr>
            <w:tcW w:w="120" w:type="dxa"/>
            <w:vAlign w:val="bottom"/>
            <w:shd w:val="clear" w:color="auto" w:fill="C00000"/>
          </w:tcPr>
          <w:p>
            <w:pPr>
              <w:spacing w:after="0"/>
              <w:rPr>
                <w:sz w:val="13"/>
                <w:szCs w:val="13"/>
                <w:color w:val="auto"/>
              </w:rPr>
            </w:pPr>
          </w:p>
        </w:tc>
        <w:tc>
          <w:tcPr>
            <w:tcW w:w="540" w:type="dxa"/>
            <w:vAlign w:val="bottom"/>
            <w:shd w:val="clear" w:color="auto" w:fill="C00000"/>
          </w:tcPr>
          <w:p>
            <w:pPr>
              <w:spacing w:after="0"/>
              <w:rPr>
                <w:sz w:val="13"/>
                <w:szCs w:val="13"/>
                <w:color w:val="auto"/>
              </w:rPr>
            </w:pPr>
          </w:p>
        </w:tc>
        <w:tc>
          <w:tcPr>
            <w:tcW w:w="980" w:type="dxa"/>
            <w:vAlign w:val="bottom"/>
            <w:shd w:val="clear" w:color="auto" w:fill="C00000"/>
          </w:tcPr>
          <w:p>
            <w:pPr>
              <w:spacing w:after="0"/>
              <w:rPr>
                <w:sz w:val="13"/>
                <w:szCs w:val="13"/>
                <w:color w:val="auto"/>
              </w:rPr>
            </w:pPr>
          </w:p>
        </w:tc>
        <w:tc>
          <w:tcPr>
            <w:tcW w:w="800" w:type="dxa"/>
            <w:vAlign w:val="bottom"/>
            <w:shd w:val="clear" w:color="auto" w:fill="C00000"/>
          </w:tcPr>
          <w:p>
            <w:pPr>
              <w:spacing w:after="0"/>
              <w:rPr>
                <w:sz w:val="13"/>
                <w:szCs w:val="13"/>
                <w:color w:val="auto"/>
              </w:rPr>
            </w:pPr>
          </w:p>
        </w:tc>
        <w:tc>
          <w:tcPr>
            <w:tcW w:w="980" w:type="dxa"/>
            <w:vAlign w:val="bottom"/>
            <w:shd w:val="clear" w:color="auto" w:fill="C00000"/>
          </w:tcPr>
          <w:p>
            <w:pPr>
              <w:jc w:val="center"/>
              <w:spacing w:after="0" w:line="156" w:lineRule="exact"/>
              <w:rPr>
                <w:sz w:val="20"/>
                <w:szCs w:val="20"/>
                <w:color w:val="auto"/>
              </w:rPr>
            </w:pPr>
            <w:r>
              <w:rPr>
                <w:rFonts w:ascii="Arial" w:cs="Arial" w:eastAsia="Arial" w:hAnsi="Arial"/>
                <w:sz w:val="14"/>
                <w:szCs w:val="14"/>
                <w:b w:val="1"/>
                <w:bCs w:val="1"/>
                <w:color w:val="FFFFFF"/>
                <w:w w:val="99"/>
              </w:rPr>
              <w:t>Stock</w:t>
            </w:r>
          </w:p>
        </w:tc>
        <w:tc>
          <w:tcPr>
            <w:tcW w:w="960" w:type="dxa"/>
            <w:vAlign w:val="bottom"/>
            <w:shd w:val="clear" w:color="auto" w:fill="C00000"/>
          </w:tcPr>
          <w:p>
            <w:pPr>
              <w:jc w:val="center"/>
              <w:ind w:right="34"/>
              <w:spacing w:after="0" w:line="156" w:lineRule="exact"/>
              <w:rPr>
                <w:sz w:val="20"/>
                <w:szCs w:val="20"/>
                <w:color w:val="auto"/>
              </w:rPr>
            </w:pPr>
            <w:r>
              <w:rPr>
                <w:rFonts w:ascii="Arial" w:cs="Arial" w:eastAsia="Arial" w:hAnsi="Arial"/>
                <w:sz w:val="14"/>
                <w:szCs w:val="14"/>
                <w:b w:val="1"/>
                <w:bCs w:val="1"/>
                <w:color w:val="FFFFFF"/>
              </w:rPr>
              <w:t>Option</w:t>
            </w:r>
          </w:p>
        </w:tc>
        <w:tc>
          <w:tcPr>
            <w:tcW w:w="1540" w:type="dxa"/>
            <w:vAlign w:val="bottom"/>
            <w:shd w:val="clear" w:color="auto" w:fill="C00000"/>
          </w:tcPr>
          <w:p>
            <w:pPr>
              <w:jc w:val="center"/>
              <w:ind w:right="73"/>
              <w:spacing w:after="0" w:line="156" w:lineRule="exact"/>
              <w:rPr>
                <w:sz w:val="20"/>
                <w:szCs w:val="20"/>
                <w:color w:val="auto"/>
              </w:rPr>
            </w:pPr>
            <w:r>
              <w:rPr>
                <w:rFonts w:ascii="Arial" w:cs="Arial" w:eastAsia="Arial" w:hAnsi="Arial"/>
                <w:sz w:val="14"/>
                <w:szCs w:val="14"/>
                <w:b w:val="1"/>
                <w:bCs w:val="1"/>
                <w:color w:val="FFFFFF"/>
              </w:rPr>
              <w:t>Incentive Plan</w:t>
            </w:r>
          </w:p>
        </w:tc>
        <w:tc>
          <w:tcPr>
            <w:tcW w:w="1560" w:type="dxa"/>
            <w:vAlign w:val="bottom"/>
            <w:shd w:val="clear" w:color="auto" w:fill="C00000"/>
          </w:tcPr>
          <w:p>
            <w:pPr>
              <w:jc w:val="center"/>
              <w:ind w:right="94"/>
              <w:spacing w:after="0" w:line="156" w:lineRule="exact"/>
              <w:rPr>
                <w:sz w:val="20"/>
                <w:szCs w:val="20"/>
                <w:color w:val="auto"/>
              </w:rPr>
            </w:pPr>
            <w:r>
              <w:rPr>
                <w:rFonts w:ascii="Arial" w:cs="Arial" w:eastAsia="Arial" w:hAnsi="Arial"/>
                <w:sz w:val="14"/>
                <w:szCs w:val="14"/>
                <w:b w:val="1"/>
                <w:bCs w:val="1"/>
                <w:color w:val="FFFFFF"/>
              </w:rPr>
              <w:t>All Other</w:t>
            </w:r>
          </w:p>
        </w:tc>
        <w:tc>
          <w:tcPr>
            <w:tcW w:w="780" w:type="dxa"/>
            <w:vAlign w:val="bottom"/>
            <w:shd w:val="clear" w:color="auto" w:fill="C00000"/>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98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Name and</w:t>
            </w:r>
          </w:p>
        </w:tc>
        <w:tc>
          <w:tcPr>
            <w:tcW w:w="120" w:type="dxa"/>
            <w:vAlign w:val="bottom"/>
            <w:shd w:val="clear" w:color="auto" w:fill="C00000"/>
          </w:tcPr>
          <w:p>
            <w:pPr>
              <w:spacing w:after="0"/>
              <w:rPr>
                <w:sz w:val="14"/>
                <w:szCs w:val="14"/>
                <w:color w:val="auto"/>
              </w:rPr>
            </w:pPr>
          </w:p>
        </w:tc>
        <w:tc>
          <w:tcPr>
            <w:tcW w:w="5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Fiscal</w:t>
            </w:r>
          </w:p>
        </w:tc>
        <w:tc>
          <w:tcPr>
            <w:tcW w:w="980" w:type="dxa"/>
            <w:vAlign w:val="bottom"/>
            <w:shd w:val="clear" w:color="auto" w:fill="C00000"/>
          </w:tcPr>
          <w:p>
            <w:pPr>
              <w:jc w:val="right"/>
              <w:ind w:right="134"/>
              <w:spacing w:after="0" w:line="163" w:lineRule="exact"/>
              <w:rPr>
                <w:sz w:val="20"/>
                <w:szCs w:val="20"/>
                <w:color w:val="auto"/>
              </w:rPr>
            </w:pPr>
            <w:r>
              <w:rPr>
                <w:rFonts w:ascii="Arial" w:cs="Arial" w:eastAsia="Arial" w:hAnsi="Arial"/>
                <w:sz w:val="11"/>
                <w:szCs w:val="11"/>
                <w:b w:val="1"/>
                <w:bCs w:val="1"/>
                <w:color w:val="FFFFFF"/>
              </w:rPr>
              <w:t>Salary</w:t>
            </w:r>
            <w:r>
              <w:rPr>
                <w:rFonts w:ascii="Arial" w:cs="Arial" w:eastAsia="Arial" w:hAnsi="Arial"/>
                <w:sz w:val="18"/>
                <w:szCs w:val="18"/>
                <w:b w:val="1"/>
                <w:bCs w:val="1"/>
                <w:color w:val="FFFFFF"/>
                <w:vertAlign w:val="superscript"/>
              </w:rPr>
              <w:t>(1)</w:t>
            </w:r>
          </w:p>
        </w:tc>
        <w:tc>
          <w:tcPr>
            <w:tcW w:w="800" w:type="dxa"/>
            <w:vAlign w:val="bottom"/>
            <w:shd w:val="clear" w:color="auto" w:fill="C00000"/>
          </w:tcPr>
          <w:p>
            <w:pPr>
              <w:ind w:left="100"/>
              <w:spacing w:after="0" w:line="163" w:lineRule="exact"/>
              <w:rPr>
                <w:sz w:val="20"/>
                <w:szCs w:val="20"/>
                <w:color w:val="auto"/>
              </w:rPr>
            </w:pPr>
            <w:r>
              <w:rPr>
                <w:rFonts w:ascii="Arial" w:cs="Arial" w:eastAsia="Arial" w:hAnsi="Arial"/>
                <w:sz w:val="11"/>
                <w:szCs w:val="11"/>
                <w:b w:val="1"/>
                <w:bCs w:val="1"/>
                <w:color w:val="FFFFFF"/>
              </w:rPr>
              <w:t>Bonus</w:t>
            </w:r>
            <w:r>
              <w:rPr>
                <w:rFonts w:ascii="Arial" w:cs="Arial" w:eastAsia="Arial" w:hAnsi="Arial"/>
                <w:sz w:val="18"/>
                <w:szCs w:val="18"/>
                <w:b w:val="1"/>
                <w:bCs w:val="1"/>
                <w:color w:val="FFFFFF"/>
                <w:vertAlign w:val="superscript"/>
              </w:rPr>
              <w:t>(2)</w:t>
            </w:r>
          </w:p>
        </w:tc>
        <w:tc>
          <w:tcPr>
            <w:tcW w:w="980" w:type="dxa"/>
            <w:vAlign w:val="bottom"/>
            <w:shd w:val="clear" w:color="auto" w:fill="C00000"/>
          </w:tcPr>
          <w:p>
            <w:pPr>
              <w:jc w:val="center"/>
              <w:spacing w:after="0" w:line="163" w:lineRule="exact"/>
              <w:rPr>
                <w:sz w:val="20"/>
                <w:szCs w:val="20"/>
                <w:color w:val="auto"/>
              </w:rPr>
            </w:pPr>
            <w:r>
              <w:rPr>
                <w:rFonts w:ascii="Arial" w:cs="Arial" w:eastAsia="Arial" w:hAnsi="Arial"/>
                <w:sz w:val="11"/>
                <w:szCs w:val="11"/>
                <w:b w:val="1"/>
                <w:bCs w:val="1"/>
                <w:color w:val="FFFFFF"/>
              </w:rPr>
              <w:t>Awards</w:t>
            </w:r>
            <w:r>
              <w:rPr>
                <w:rFonts w:ascii="Arial" w:cs="Arial" w:eastAsia="Arial" w:hAnsi="Arial"/>
                <w:sz w:val="18"/>
                <w:szCs w:val="18"/>
                <w:b w:val="1"/>
                <w:bCs w:val="1"/>
                <w:color w:val="FFFFFF"/>
                <w:vertAlign w:val="superscript"/>
              </w:rPr>
              <w:t>(3)</w:t>
            </w:r>
          </w:p>
        </w:tc>
        <w:tc>
          <w:tcPr>
            <w:tcW w:w="960" w:type="dxa"/>
            <w:vAlign w:val="bottom"/>
            <w:shd w:val="clear" w:color="auto" w:fill="C00000"/>
          </w:tcPr>
          <w:p>
            <w:pPr>
              <w:jc w:val="center"/>
              <w:ind w:right="34"/>
              <w:spacing w:after="0" w:line="163" w:lineRule="exact"/>
              <w:rPr>
                <w:sz w:val="20"/>
                <w:szCs w:val="20"/>
                <w:color w:val="auto"/>
              </w:rPr>
            </w:pPr>
            <w:r>
              <w:rPr>
                <w:rFonts w:ascii="Arial" w:cs="Arial" w:eastAsia="Arial" w:hAnsi="Arial"/>
                <w:sz w:val="11"/>
                <w:szCs w:val="11"/>
                <w:b w:val="1"/>
                <w:bCs w:val="1"/>
                <w:color w:val="FFFFFF"/>
              </w:rPr>
              <w:t>Awards</w:t>
            </w:r>
            <w:r>
              <w:rPr>
                <w:rFonts w:ascii="Arial" w:cs="Arial" w:eastAsia="Arial" w:hAnsi="Arial"/>
                <w:sz w:val="18"/>
                <w:szCs w:val="18"/>
                <w:b w:val="1"/>
                <w:bCs w:val="1"/>
                <w:color w:val="FFFFFF"/>
                <w:vertAlign w:val="superscript"/>
              </w:rPr>
              <w:t>(4)</w:t>
            </w:r>
          </w:p>
        </w:tc>
        <w:tc>
          <w:tcPr>
            <w:tcW w:w="1540" w:type="dxa"/>
            <w:vAlign w:val="bottom"/>
            <w:shd w:val="clear" w:color="auto" w:fill="C00000"/>
          </w:tcPr>
          <w:p>
            <w:pPr>
              <w:jc w:val="center"/>
              <w:ind w:right="73"/>
              <w:spacing w:after="0" w:line="163" w:lineRule="exact"/>
              <w:rPr>
                <w:sz w:val="20"/>
                <w:szCs w:val="20"/>
                <w:color w:val="auto"/>
              </w:rPr>
            </w:pPr>
            <w:r>
              <w:rPr>
                <w:rFonts w:ascii="Arial" w:cs="Arial" w:eastAsia="Arial" w:hAnsi="Arial"/>
                <w:sz w:val="11"/>
                <w:szCs w:val="11"/>
                <w:b w:val="1"/>
                <w:bCs w:val="1"/>
                <w:color w:val="FFFFFF"/>
              </w:rPr>
              <w:t>Compensation</w:t>
            </w:r>
            <w:r>
              <w:rPr>
                <w:rFonts w:ascii="Arial" w:cs="Arial" w:eastAsia="Arial" w:hAnsi="Arial"/>
                <w:sz w:val="18"/>
                <w:szCs w:val="18"/>
                <w:b w:val="1"/>
                <w:bCs w:val="1"/>
                <w:color w:val="FFFFFF"/>
                <w:vertAlign w:val="superscript"/>
              </w:rPr>
              <w:t>(5)</w:t>
            </w:r>
          </w:p>
        </w:tc>
        <w:tc>
          <w:tcPr>
            <w:tcW w:w="1560" w:type="dxa"/>
            <w:vAlign w:val="bottom"/>
            <w:shd w:val="clear" w:color="auto" w:fill="C00000"/>
          </w:tcPr>
          <w:p>
            <w:pPr>
              <w:jc w:val="center"/>
              <w:ind w:right="94"/>
              <w:spacing w:after="0" w:line="163" w:lineRule="exact"/>
              <w:rPr>
                <w:sz w:val="20"/>
                <w:szCs w:val="20"/>
                <w:color w:val="auto"/>
              </w:rPr>
            </w:pPr>
            <w:r>
              <w:rPr>
                <w:rFonts w:ascii="Arial" w:cs="Arial" w:eastAsia="Arial" w:hAnsi="Arial"/>
                <w:sz w:val="11"/>
                <w:szCs w:val="11"/>
                <w:b w:val="1"/>
                <w:bCs w:val="1"/>
                <w:color w:val="FFFFFF"/>
              </w:rPr>
              <w:t>Compensation</w:t>
            </w:r>
            <w:r>
              <w:rPr>
                <w:rFonts w:ascii="Arial" w:cs="Arial" w:eastAsia="Arial" w:hAnsi="Arial"/>
                <w:sz w:val="18"/>
                <w:szCs w:val="18"/>
                <w:b w:val="1"/>
                <w:bCs w:val="1"/>
                <w:color w:val="FFFFFF"/>
                <w:vertAlign w:val="superscript"/>
              </w:rPr>
              <w:t>(6)</w:t>
            </w:r>
          </w:p>
        </w:tc>
        <w:tc>
          <w:tcPr>
            <w:tcW w:w="780" w:type="dxa"/>
            <w:vAlign w:val="bottom"/>
            <w:shd w:val="clear" w:color="auto" w:fill="C00000"/>
          </w:tcPr>
          <w:p>
            <w:pPr>
              <w:jc w:val="right"/>
              <w:ind w:right="173"/>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73"/>
        </w:trPr>
        <w:tc>
          <w:tcPr>
            <w:tcW w:w="298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Principal Position</w:t>
            </w:r>
          </w:p>
        </w:tc>
        <w:tc>
          <w:tcPr>
            <w:tcW w:w="120" w:type="dxa"/>
            <w:vAlign w:val="bottom"/>
            <w:shd w:val="clear" w:color="auto" w:fill="C00000"/>
          </w:tcPr>
          <w:p>
            <w:pPr>
              <w:spacing w:after="0"/>
              <w:rPr>
                <w:sz w:val="15"/>
                <w:szCs w:val="15"/>
                <w:color w:val="auto"/>
              </w:rPr>
            </w:pPr>
          </w:p>
        </w:tc>
        <w:tc>
          <w:tcPr>
            <w:tcW w:w="5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w w:val="98"/>
              </w:rPr>
              <w:t>Year</w:t>
            </w:r>
          </w:p>
        </w:tc>
        <w:tc>
          <w:tcPr>
            <w:tcW w:w="980" w:type="dxa"/>
            <w:vAlign w:val="bottom"/>
            <w:shd w:val="clear" w:color="auto" w:fill="C00000"/>
          </w:tcPr>
          <w:p>
            <w:pPr>
              <w:jc w:val="right"/>
              <w:ind w:right="334"/>
              <w:spacing w:after="0"/>
              <w:rPr>
                <w:sz w:val="20"/>
                <w:szCs w:val="20"/>
                <w:color w:val="auto"/>
              </w:rPr>
            </w:pPr>
            <w:r>
              <w:rPr>
                <w:rFonts w:ascii="Arial" w:cs="Arial" w:eastAsia="Arial" w:hAnsi="Arial"/>
                <w:sz w:val="14"/>
                <w:szCs w:val="14"/>
                <w:b w:val="1"/>
                <w:bCs w:val="1"/>
                <w:color w:val="FFFFFF"/>
              </w:rPr>
              <w:t>($)</w:t>
            </w:r>
          </w:p>
        </w:tc>
        <w:tc>
          <w:tcPr>
            <w:tcW w:w="80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w:t>
            </w:r>
          </w:p>
        </w:tc>
        <w:tc>
          <w:tcPr>
            <w:tcW w:w="9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w w:val="93"/>
              </w:rPr>
              <w:t>($)</w:t>
            </w:r>
          </w:p>
        </w:tc>
        <w:tc>
          <w:tcPr>
            <w:tcW w:w="960" w:type="dxa"/>
            <w:vAlign w:val="bottom"/>
            <w:shd w:val="clear" w:color="auto" w:fill="C00000"/>
          </w:tcPr>
          <w:p>
            <w:pPr>
              <w:jc w:val="center"/>
              <w:ind w:right="34"/>
              <w:spacing w:after="0"/>
              <w:rPr>
                <w:sz w:val="20"/>
                <w:szCs w:val="20"/>
                <w:color w:val="auto"/>
              </w:rPr>
            </w:pPr>
            <w:r>
              <w:rPr>
                <w:rFonts w:ascii="Arial" w:cs="Arial" w:eastAsia="Arial" w:hAnsi="Arial"/>
                <w:sz w:val="14"/>
                <w:szCs w:val="14"/>
                <w:b w:val="1"/>
                <w:bCs w:val="1"/>
                <w:color w:val="FFFFFF"/>
              </w:rPr>
              <w:t>($)</w:t>
            </w:r>
          </w:p>
        </w:tc>
        <w:tc>
          <w:tcPr>
            <w:tcW w:w="1540" w:type="dxa"/>
            <w:vAlign w:val="bottom"/>
            <w:shd w:val="clear" w:color="auto" w:fill="C00000"/>
          </w:tcPr>
          <w:p>
            <w:pPr>
              <w:jc w:val="center"/>
              <w:ind w:right="53"/>
              <w:spacing w:after="0"/>
              <w:rPr>
                <w:sz w:val="20"/>
                <w:szCs w:val="20"/>
                <w:color w:val="auto"/>
              </w:rPr>
            </w:pPr>
            <w:r>
              <w:rPr>
                <w:rFonts w:ascii="Arial" w:cs="Arial" w:eastAsia="Arial" w:hAnsi="Arial"/>
                <w:sz w:val="14"/>
                <w:szCs w:val="14"/>
                <w:b w:val="1"/>
                <w:bCs w:val="1"/>
                <w:color w:val="FFFFFF"/>
              </w:rPr>
              <w:t>($)</w:t>
            </w:r>
          </w:p>
        </w:tc>
        <w:tc>
          <w:tcPr>
            <w:tcW w:w="1560" w:type="dxa"/>
            <w:vAlign w:val="bottom"/>
            <w:shd w:val="clear" w:color="auto" w:fill="C00000"/>
          </w:tcPr>
          <w:p>
            <w:pPr>
              <w:jc w:val="center"/>
              <w:ind w:right="94"/>
              <w:spacing w:after="0"/>
              <w:rPr>
                <w:sz w:val="20"/>
                <w:szCs w:val="20"/>
                <w:color w:val="auto"/>
              </w:rPr>
            </w:pPr>
            <w:r>
              <w:rPr>
                <w:rFonts w:ascii="Arial" w:cs="Arial" w:eastAsia="Arial" w:hAnsi="Arial"/>
                <w:sz w:val="14"/>
                <w:szCs w:val="14"/>
                <w:b w:val="1"/>
                <w:bCs w:val="1"/>
                <w:color w:val="FFFFFF"/>
                <w:w w:val="93"/>
              </w:rPr>
              <w:t>($)</w:t>
            </w:r>
          </w:p>
        </w:tc>
        <w:tc>
          <w:tcPr>
            <w:tcW w:w="780" w:type="dxa"/>
            <w:vAlign w:val="bottom"/>
            <w:shd w:val="clear" w:color="auto" w:fill="C00000"/>
          </w:tcPr>
          <w:p>
            <w:pPr>
              <w:jc w:val="right"/>
              <w:ind w:right="253"/>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72"/>
        </w:trPr>
        <w:tc>
          <w:tcPr>
            <w:tcW w:w="2980" w:type="dxa"/>
            <w:vAlign w:val="bottom"/>
          </w:tcPr>
          <w:p>
            <w:pPr>
              <w:spacing w:after="0"/>
              <w:rPr>
                <w:sz w:val="20"/>
                <w:szCs w:val="20"/>
                <w:color w:val="auto"/>
              </w:rPr>
            </w:pPr>
            <w:r>
              <w:rPr>
                <w:rFonts w:ascii="Arial" w:cs="Arial" w:eastAsia="Arial" w:hAnsi="Arial"/>
                <w:sz w:val="13"/>
                <w:szCs w:val="13"/>
                <w:color w:val="auto"/>
              </w:rPr>
              <w:t>Richard M. Olson,</w:t>
            </w:r>
          </w:p>
        </w:tc>
        <w:tc>
          <w:tcPr>
            <w:tcW w:w="660" w:type="dxa"/>
            <w:vAlign w:val="bottom"/>
            <w:gridSpan w:val="2"/>
          </w:tcPr>
          <w:p>
            <w:pPr>
              <w:jc w:val="center"/>
              <w:ind w:left="54"/>
              <w:spacing w:after="0"/>
              <w:rPr>
                <w:sz w:val="20"/>
                <w:szCs w:val="20"/>
                <w:color w:val="auto"/>
              </w:rPr>
            </w:pPr>
            <w:r>
              <w:rPr>
                <w:rFonts w:ascii="Arial" w:cs="Arial" w:eastAsia="Arial" w:hAnsi="Arial"/>
                <w:sz w:val="13"/>
                <w:szCs w:val="13"/>
                <w:color w:val="auto"/>
              </w:rPr>
              <w:t>2021</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1,045,930</w:t>
            </w:r>
          </w:p>
        </w:tc>
        <w:tc>
          <w:tcPr>
            <w:tcW w:w="800" w:type="dxa"/>
            <w:vAlign w:val="bottom"/>
          </w:tcPr>
          <w:p>
            <w:pPr>
              <w:jc w:val="center"/>
              <w:spacing w:after="0"/>
              <w:rPr>
                <w:sz w:val="20"/>
                <w:szCs w:val="20"/>
                <w:color w:val="auto"/>
              </w:rPr>
            </w:pPr>
            <w:r>
              <w:rPr>
                <w:rFonts w:ascii="Arial" w:cs="Arial" w:eastAsia="Arial" w:hAnsi="Arial"/>
                <w:sz w:val="13"/>
                <w:szCs w:val="13"/>
                <w:color w:val="auto"/>
              </w:rPr>
              <w:t>0</w:t>
            </w:r>
          </w:p>
        </w:tc>
        <w:tc>
          <w:tcPr>
            <w:tcW w:w="980" w:type="dxa"/>
            <w:vAlign w:val="bottom"/>
          </w:tcPr>
          <w:p>
            <w:pPr>
              <w:jc w:val="right"/>
              <w:ind w:right="54"/>
              <w:spacing w:after="0"/>
              <w:rPr>
                <w:sz w:val="20"/>
                <w:szCs w:val="20"/>
                <w:color w:val="auto"/>
              </w:rPr>
            </w:pPr>
            <w:r>
              <w:rPr>
                <w:rFonts w:ascii="Arial" w:cs="Arial" w:eastAsia="Arial" w:hAnsi="Arial"/>
                <w:sz w:val="13"/>
                <w:szCs w:val="13"/>
                <w:color w:val="auto"/>
              </w:rPr>
              <w:t>2,536,520</w:t>
            </w:r>
          </w:p>
        </w:tc>
        <w:tc>
          <w:tcPr>
            <w:tcW w:w="960" w:type="dxa"/>
            <w:vAlign w:val="bottom"/>
          </w:tcPr>
          <w:p>
            <w:pPr>
              <w:jc w:val="right"/>
              <w:ind w:right="74"/>
              <w:spacing w:after="0"/>
              <w:rPr>
                <w:sz w:val="20"/>
                <w:szCs w:val="20"/>
                <w:color w:val="auto"/>
              </w:rPr>
            </w:pPr>
            <w:r>
              <w:rPr>
                <w:rFonts w:ascii="Arial" w:cs="Arial" w:eastAsia="Arial" w:hAnsi="Arial"/>
                <w:sz w:val="13"/>
                <w:szCs w:val="13"/>
                <w:color w:val="auto"/>
              </w:rPr>
              <w:t>2,651,082</w:t>
            </w:r>
          </w:p>
        </w:tc>
        <w:tc>
          <w:tcPr>
            <w:tcW w:w="1540" w:type="dxa"/>
            <w:vAlign w:val="bottom"/>
          </w:tcPr>
          <w:p>
            <w:pPr>
              <w:jc w:val="right"/>
              <w:ind w:right="73"/>
              <w:spacing w:after="0"/>
              <w:rPr>
                <w:sz w:val="20"/>
                <w:szCs w:val="20"/>
                <w:color w:val="auto"/>
              </w:rPr>
            </w:pPr>
            <w:r>
              <w:rPr>
                <w:rFonts w:ascii="Arial" w:cs="Arial" w:eastAsia="Arial" w:hAnsi="Arial"/>
                <w:sz w:val="13"/>
                <w:szCs w:val="13"/>
                <w:color w:val="auto"/>
              </w:rPr>
              <w:t>2,095,541</w:t>
            </w:r>
          </w:p>
        </w:tc>
        <w:tc>
          <w:tcPr>
            <w:tcW w:w="1560" w:type="dxa"/>
            <w:vAlign w:val="bottom"/>
          </w:tcPr>
          <w:p>
            <w:pPr>
              <w:jc w:val="right"/>
              <w:ind w:right="94"/>
              <w:spacing w:after="0"/>
              <w:rPr>
                <w:sz w:val="20"/>
                <w:szCs w:val="20"/>
                <w:color w:val="auto"/>
              </w:rPr>
            </w:pPr>
            <w:r>
              <w:rPr>
                <w:rFonts w:ascii="Arial" w:cs="Arial" w:eastAsia="Arial" w:hAnsi="Arial"/>
                <w:sz w:val="13"/>
                <w:szCs w:val="13"/>
                <w:color w:val="auto"/>
              </w:rPr>
              <w:t>300,778</w:t>
            </w:r>
          </w:p>
        </w:tc>
        <w:tc>
          <w:tcPr>
            <w:tcW w:w="780" w:type="dxa"/>
            <w:vAlign w:val="bottom"/>
          </w:tcPr>
          <w:p>
            <w:pPr>
              <w:jc w:val="right"/>
              <w:spacing w:after="0"/>
              <w:rPr>
                <w:sz w:val="20"/>
                <w:szCs w:val="20"/>
                <w:color w:val="auto"/>
              </w:rPr>
            </w:pPr>
            <w:r>
              <w:rPr>
                <w:rFonts w:ascii="Arial" w:cs="Arial" w:eastAsia="Arial" w:hAnsi="Arial"/>
                <w:sz w:val="13"/>
                <w:szCs w:val="13"/>
                <w:color w:val="auto"/>
              </w:rPr>
              <w:t>8,629,851</w:t>
            </w:r>
          </w:p>
        </w:tc>
        <w:tc>
          <w:tcPr>
            <w:tcW w:w="0" w:type="dxa"/>
            <w:vAlign w:val="bottom"/>
          </w:tcPr>
          <w:p>
            <w:pPr>
              <w:spacing w:after="0"/>
              <w:rPr>
                <w:sz w:val="1"/>
                <w:szCs w:val="1"/>
                <w:color w:val="auto"/>
              </w:rPr>
            </w:pPr>
          </w:p>
        </w:tc>
      </w:tr>
      <w:tr>
        <w:trPr>
          <w:trHeight w:val="146"/>
        </w:trPr>
        <w:tc>
          <w:tcPr>
            <w:tcW w:w="2980" w:type="dxa"/>
            <w:vAlign w:val="bottom"/>
          </w:tcPr>
          <w:p>
            <w:pPr>
              <w:ind w:left="120"/>
              <w:spacing w:after="0" w:line="146" w:lineRule="exact"/>
              <w:rPr>
                <w:sz w:val="20"/>
                <w:szCs w:val="20"/>
                <w:color w:val="auto"/>
              </w:rPr>
            </w:pPr>
            <w:r>
              <w:rPr>
                <w:rFonts w:ascii="Arial" w:cs="Arial" w:eastAsia="Arial" w:hAnsi="Arial"/>
                <w:sz w:val="13"/>
                <w:szCs w:val="13"/>
                <w:color w:val="auto"/>
              </w:rPr>
              <w:t>Chairman of the Board, President and Chief</w:t>
            </w:r>
          </w:p>
        </w:tc>
        <w:tc>
          <w:tcPr>
            <w:tcW w:w="660" w:type="dxa"/>
            <w:vAlign w:val="bottom"/>
            <w:gridSpan w:val="2"/>
            <w:vMerge w:val="restart"/>
          </w:tcPr>
          <w:p>
            <w:pPr>
              <w:jc w:val="center"/>
              <w:ind w:left="54"/>
              <w:spacing w:after="0"/>
              <w:rPr>
                <w:sz w:val="20"/>
                <w:szCs w:val="20"/>
                <w:color w:val="auto"/>
              </w:rPr>
            </w:pPr>
            <w:r>
              <w:rPr>
                <w:rFonts w:ascii="Arial" w:cs="Arial" w:eastAsia="Arial" w:hAnsi="Arial"/>
                <w:sz w:val="13"/>
                <w:szCs w:val="13"/>
                <w:color w:val="auto"/>
              </w:rPr>
              <w:t>2020</w:t>
            </w:r>
          </w:p>
        </w:tc>
        <w:tc>
          <w:tcPr>
            <w:tcW w:w="980" w:type="dxa"/>
            <w:vAlign w:val="bottom"/>
            <w:vMerge w:val="restart"/>
          </w:tcPr>
          <w:p>
            <w:pPr>
              <w:jc w:val="right"/>
              <w:ind w:right="34"/>
              <w:spacing w:after="0"/>
              <w:rPr>
                <w:sz w:val="20"/>
                <w:szCs w:val="20"/>
                <w:color w:val="auto"/>
              </w:rPr>
            </w:pPr>
            <w:r>
              <w:rPr>
                <w:rFonts w:ascii="Arial" w:cs="Arial" w:eastAsia="Arial" w:hAnsi="Arial"/>
                <w:sz w:val="13"/>
                <w:szCs w:val="13"/>
                <w:color w:val="auto"/>
              </w:rPr>
              <w:t>871,250</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rPr>
              <w:t>0</w:t>
            </w:r>
          </w:p>
        </w:tc>
        <w:tc>
          <w:tcPr>
            <w:tcW w:w="980" w:type="dxa"/>
            <w:vAlign w:val="bottom"/>
            <w:vMerge w:val="restart"/>
          </w:tcPr>
          <w:p>
            <w:pPr>
              <w:jc w:val="right"/>
              <w:ind w:right="54"/>
              <w:spacing w:after="0"/>
              <w:rPr>
                <w:sz w:val="20"/>
                <w:szCs w:val="20"/>
                <w:color w:val="auto"/>
              </w:rPr>
            </w:pPr>
            <w:r>
              <w:rPr>
                <w:rFonts w:ascii="Arial" w:cs="Arial" w:eastAsia="Arial" w:hAnsi="Arial"/>
                <w:sz w:val="13"/>
                <w:szCs w:val="13"/>
                <w:color w:val="auto"/>
              </w:rPr>
              <w:t>2,335,366</w:t>
            </w:r>
          </w:p>
        </w:tc>
        <w:tc>
          <w:tcPr>
            <w:tcW w:w="960" w:type="dxa"/>
            <w:vAlign w:val="bottom"/>
            <w:vMerge w:val="restart"/>
          </w:tcPr>
          <w:p>
            <w:pPr>
              <w:jc w:val="right"/>
              <w:ind w:right="74"/>
              <w:spacing w:after="0"/>
              <w:rPr>
                <w:sz w:val="20"/>
                <w:szCs w:val="20"/>
                <w:color w:val="auto"/>
              </w:rPr>
            </w:pPr>
            <w:r>
              <w:rPr>
                <w:rFonts w:ascii="Arial" w:cs="Arial" w:eastAsia="Arial" w:hAnsi="Arial"/>
                <w:sz w:val="13"/>
                <w:szCs w:val="13"/>
                <w:color w:val="auto"/>
              </w:rPr>
              <w:t>2,388,298</w:t>
            </w:r>
          </w:p>
        </w:tc>
        <w:tc>
          <w:tcPr>
            <w:tcW w:w="1540" w:type="dxa"/>
            <w:vAlign w:val="bottom"/>
            <w:vMerge w:val="restart"/>
          </w:tcPr>
          <w:p>
            <w:pPr>
              <w:jc w:val="right"/>
              <w:ind w:right="73"/>
              <w:spacing w:after="0"/>
              <w:rPr>
                <w:sz w:val="20"/>
                <w:szCs w:val="20"/>
                <w:color w:val="auto"/>
              </w:rPr>
            </w:pPr>
            <w:r>
              <w:rPr>
                <w:rFonts w:ascii="Arial" w:cs="Arial" w:eastAsia="Arial" w:hAnsi="Arial"/>
                <w:sz w:val="13"/>
                <w:szCs w:val="13"/>
                <w:color w:val="auto"/>
              </w:rPr>
              <w:t>307,094</w:t>
            </w:r>
          </w:p>
        </w:tc>
        <w:tc>
          <w:tcPr>
            <w:tcW w:w="1560" w:type="dxa"/>
            <w:vAlign w:val="bottom"/>
            <w:vMerge w:val="restart"/>
          </w:tcPr>
          <w:p>
            <w:pPr>
              <w:jc w:val="right"/>
              <w:ind w:right="94"/>
              <w:spacing w:after="0"/>
              <w:rPr>
                <w:sz w:val="20"/>
                <w:szCs w:val="20"/>
                <w:color w:val="auto"/>
              </w:rPr>
            </w:pPr>
            <w:r>
              <w:rPr>
                <w:rFonts w:ascii="Arial" w:cs="Arial" w:eastAsia="Arial" w:hAnsi="Arial"/>
                <w:sz w:val="13"/>
                <w:szCs w:val="13"/>
                <w:color w:val="auto"/>
              </w:rPr>
              <w:t>95,349</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5,997,357</w:t>
            </w:r>
          </w:p>
        </w:tc>
        <w:tc>
          <w:tcPr>
            <w:tcW w:w="0" w:type="dxa"/>
            <w:vAlign w:val="bottom"/>
          </w:tcPr>
          <w:p>
            <w:pPr>
              <w:spacing w:after="0"/>
              <w:rPr>
                <w:sz w:val="1"/>
                <w:szCs w:val="1"/>
                <w:color w:val="auto"/>
              </w:rPr>
            </w:pPr>
          </w:p>
        </w:tc>
      </w:tr>
      <w:tr>
        <w:trPr>
          <w:trHeight w:val="94"/>
        </w:trPr>
        <w:tc>
          <w:tcPr>
            <w:tcW w:w="2980" w:type="dxa"/>
            <w:vAlign w:val="bottom"/>
            <w:vMerge w:val="restart"/>
          </w:tcPr>
          <w:p>
            <w:pPr>
              <w:ind w:left="120"/>
              <w:spacing w:after="0"/>
              <w:rPr>
                <w:sz w:val="20"/>
                <w:szCs w:val="20"/>
                <w:color w:val="auto"/>
              </w:rPr>
            </w:pPr>
            <w:r>
              <w:rPr>
                <w:rFonts w:ascii="Arial" w:cs="Arial" w:eastAsia="Arial" w:hAnsi="Arial"/>
                <w:sz w:val="13"/>
                <w:szCs w:val="13"/>
                <w:color w:val="auto"/>
              </w:rPr>
              <w:t>Executive Officer</w:t>
            </w:r>
          </w:p>
        </w:tc>
        <w:tc>
          <w:tcPr>
            <w:tcW w:w="660" w:type="dxa"/>
            <w:vAlign w:val="bottom"/>
            <w:gridSpan w:val="2"/>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980" w:type="dxa"/>
            <w:vAlign w:val="bottom"/>
            <w:vMerge w:val="continue"/>
          </w:tcPr>
          <w:p>
            <w:pPr>
              <w:spacing w:after="0"/>
              <w:rPr>
                <w:sz w:val="5"/>
                <w:szCs w:val="5"/>
                <w:color w:val="auto"/>
              </w:rPr>
            </w:pPr>
          </w:p>
        </w:tc>
        <w:tc>
          <w:tcPr>
            <w:tcW w:w="660" w:type="dxa"/>
            <w:vAlign w:val="bottom"/>
            <w:gridSpan w:val="2"/>
            <w:vMerge w:val="restart"/>
          </w:tcPr>
          <w:p>
            <w:pPr>
              <w:jc w:val="center"/>
              <w:ind w:left="54"/>
              <w:spacing w:after="0"/>
              <w:rPr>
                <w:sz w:val="20"/>
                <w:szCs w:val="20"/>
                <w:color w:val="auto"/>
              </w:rPr>
            </w:pPr>
            <w:r>
              <w:rPr>
                <w:rFonts w:ascii="Arial" w:cs="Arial" w:eastAsia="Arial" w:hAnsi="Arial"/>
                <w:sz w:val="13"/>
                <w:szCs w:val="13"/>
                <w:color w:val="auto"/>
              </w:rPr>
              <w:t>2019</w:t>
            </w:r>
          </w:p>
        </w:tc>
        <w:tc>
          <w:tcPr>
            <w:tcW w:w="980" w:type="dxa"/>
            <w:vAlign w:val="bottom"/>
            <w:vMerge w:val="restart"/>
          </w:tcPr>
          <w:p>
            <w:pPr>
              <w:jc w:val="right"/>
              <w:ind w:right="34"/>
              <w:spacing w:after="0"/>
              <w:rPr>
                <w:sz w:val="20"/>
                <w:szCs w:val="20"/>
                <w:color w:val="auto"/>
              </w:rPr>
            </w:pPr>
            <w:r>
              <w:rPr>
                <w:rFonts w:ascii="Arial" w:cs="Arial" w:eastAsia="Arial" w:hAnsi="Arial"/>
                <w:sz w:val="13"/>
                <w:szCs w:val="13"/>
                <w:color w:val="auto"/>
              </w:rPr>
              <w:t>925,000</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rPr>
              <w:t>0</w:t>
            </w:r>
          </w:p>
        </w:tc>
        <w:tc>
          <w:tcPr>
            <w:tcW w:w="980" w:type="dxa"/>
            <w:vAlign w:val="bottom"/>
            <w:vMerge w:val="restart"/>
          </w:tcPr>
          <w:p>
            <w:pPr>
              <w:jc w:val="right"/>
              <w:ind w:right="54"/>
              <w:spacing w:after="0"/>
              <w:rPr>
                <w:sz w:val="20"/>
                <w:szCs w:val="20"/>
                <w:color w:val="auto"/>
              </w:rPr>
            </w:pPr>
            <w:r>
              <w:rPr>
                <w:rFonts w:ascii="Arial" w:cs="Arial" w:eastAsia="Arial" w:hAnsi="Arial"/>
                <w:sz w:val="13"/>
                <w:szCs w:val="13"/>
                <w:color w:val="auto"/>
              </w:rPr>
              <w:t>1,906,560</w:t>
            </w:r>
          </w:p>
        </w:tc>
        <w:tc>
          <w:tcPr>
            <w:tcW w:w="960" w:type="dxa"/>
            <w:vAlign w:val="bottom"/>
            <w:vMerge w:val="restart"/>
          </w:tcPr>
          <w:p>
            <w:pPr>
              <w:jc w:val="right"/>
              <w:ind w:right="74"/>
              <w:spacing w:after="0"/>
              <w:rPr>
                <w:sz w:val="20"/>
                <w:szCs w:val="20"/>
                <w:color w:val="auto"/>
              </w:rPr>
            </w:pPr>
            <w:r>
              <w:rPr>
                <w:rFonts w:ascii="Arial" w:cs="Arial" w:eastAsia="Arial" w:hAnsi="Arial"/>
                <w:sz w:val="13"/>
                <w:szCs w:val="13"/>
                <w:color w:val="auto"/>
              </w:rPr>
              <w:t>1,646,571</w:t>
            </w:r>
          </w:p>
        </w:tc>
        <w:tc>
          <w:tcPr>
            <w:tcW w:w="1540" w:type="dxa"/>
            <w:vAlign w:val="bottom"/>
            <w:vMerge w:val="restart"/>
          </w:tcPr>
          <w:p>
            <w:pPr>
              <w:jc w:val="right"/>
              <w:ind w:right="73"/>
              <w:spacing w:after="0"/>
              <w:rPr>
                <w:sz w:val="20"/>
                <w:szCs w:val="20"/>
                <w:color w:val="auto"/>
              </w:rPr>
            </w:pPr>
            <w:r>
              <w:rPr>
                <w:rFonts w:ascii="Arial" w:cs="Arial" w:eastAsia="Arial" w:hAnsi="Arial"/>
                <w:sz w:val="13"/>
                <w:szCs w:val="13"/>
                <w:color w:val="auto"/>
              </w:rPr>
              <w:t>606,939</w:t>
            </w:r>
          </w:p>
        </w:tc>
        <w:tc>
          <w:tcPr>
            <w:tcW w:w="1560" w:type="dxa"/>
            <w:vAlign w:val="bottom"/>
            <w:vMerge w:val="restart"/>
          </w:tcPr>
          <w:p>
            <w:pPr>
              <w:jc w:val="right"/>
              <w:ind w:right="94"/>
              <w:spacing w:after="0"/>
              <w:rPr>
                <w:sz w:val="20"/>
                <w:szCs w:val="20"/>
                <w:color w:val="auto"/>
              </w:rPr>
            </w:pPr>
            <w:r>
              <w:rPr>
                <w:rFonts w:ascii="Arial" w:cs="Arial" w:eastAsia="Arial" w:hAnsi="Arial"/>
                <w:sz w:val="13"/>
                <w:szCs w:val="13"/>
                <w:color w:val="auto"/>
              </w:rPr>
              <w:t>182,363</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5,267,433</w:t>
            </w:r>
          </w:p>
        </w:tc>
        <w:tc>
          <w:tcPr>
            <w:tcW w:w="0" w:type="dxa"/>
            <w:vAlign w:val="bottom"/>
          </w:tcPr>
          <w:p>
            <w:pPr>
              <w:spacing w:after="0"/>
              <w:rPr>
                <w:sz w:val="1"/>
                <w:szCs w:val="1"/>
                <w:color w:val="auto"/>
              </w:rPr>
            </w:pPr>
          </w:p>
        </w:tc>
      </w:tr>
      <w:tr>
        <w:trPr>
          <w:trHeight w:val="153"/>
        </w:trPr>
        <w:tc>
          <w:tcPr>
            <w:tcW w:w="29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980" w:type="dxa"/>
            <w:vAlign w:val="bottom"/>
            <w:shd w:val="clear" w:color="auto" w:fill="D9D9D9"/>
          </w:tcPr>
          <w:p>
            <w:pPr>
              <w:spacing w:after="0"/>
              <w:rPr>
                <w:sz w:val="20"/>
                <w:szCs w:val="20"/>
                <w:color w:val="auto"/>
              </w:rPr>
            </w:pPr>
            <w:r>
              <w:rPr>
                <w:rFonts w:ascii="Arial" w:cs="Arial" w:eastAsia="Arial" w:hAnsi="Arial"/>
                <w:sz w:val="13"/>
                <w:szCs w:val="13"/>
                <w:color w:val="auto"/>
              </w:rPr>
              <w:t>Renee J. Peterson,</w:t>
            </w:r>
          </w:p>
        </w:tc>
        <w:tc>
          <w:tcPr>
            <w:tcW w:w="120" w:type="dxa"/>
            <w:vAlign w:val="bottom"/>
            <w:shd w:val="clear" w:color="auto" w:fill="D9D9D9"/>
          </w:tcPr>
          <w:p>
            <w:pPr>
              <w:spacing w:after="0"/>
              <w:rPr>
                <w:sz w:val="15"/>
                <w:szCs w:val="15"/>
                <w:color w:val="auto"/>
              </w:rPr>
            </w:pPr>
          </w:p>
        </w:tc>
        <w:tc>
          <w:tcPr>
            <w:tcW w:w="540" w:type="dxa"/>
            <w:vAlign w:val="bottom"/>
            <w:shd w:val="clear" w:color="auto" w:fill="D9D9D9"/>
          </w:tcPr>
          <w:p>
            <w:pPr>
              <w:jc w:val="center"/>
              <w:spacing w:after="0"/>
              <w:rPr>
                <w:sz w:val="20"/>
                <w:szCs w:val="20"/>
                <w:color w:val="auto"/>
              </w:rPr>
            </w:pPr>
            <w:r>
              <w:rPr>
                <w:rFonts w:ascii="Arial" w:cs="Arial" w:eastAsia="Arial" w:hAnsi="Arial"/>
                <w:sz w:val="13"/>
                <w:szCs w:val="13"/>
                <w:color w:val="auto"/>
              </w:rPr>
              <w:t>2021</w:t>
            </w:r>
          </w:p>
        </w:tc>
        <w:tc>
          <w:tcPr>
            <w:tcW w:w="980" w:type="dxa"/>
            <w:vAlign w:val="bottom"/>
            <w:shd w:val="clear" w:color="auto" w:fill="D9D9D9"/>
          </w:tcPr>
          <w:p>
            <w:pPr>
              <w:jc w:val="right"/>
              <w:ind w:right="34"/>
              <w:spacing w:after="0"/>
              <w:rPr>
                <w:sz w:val="20"/>
                <w:szCs w:val="20"/>
                <w:color w:val="auto"/>
              </w:rPr>
            </w:pPr>
            <w:r>
              <w:rPr>
                <w:rFonts w:ascii="Arial" w:cs="Arial" w:eastAsia="Arial" w:hAnsi="Arial"/>
                <w:sz w:val="13"/>
                <w:szCs w:val="13"/>
                <w:color w:val="auto"/>
              </w:rPr>
              <w:t>566,066</w:t>
            </w:r>
          </w:p>
        </w:tc>
        <w:tc>
          <w:tcPr>
            <w:tcW w:w="800" w:type="dxa"/>
            <w:vAlign w:val="bottom"/>
            <w:shd w:val="clear" w:color="auto" w:fill="D9D9D9"/>
          </w:tcPr>
          <w:p>
            <w:pPr>
              <w:jc w:val="center"/>
              <w:spacing w:after="0"/>
              <w:rPr>
                <w:sz w:val="20"/>
                <w:szCs w:val="20"/>
                <w:color w:val="auto"/>
              </w:rPr>
            </w:pPr>
            <w:r>
              <w:rPr>
                <w:rFonts w:ascii="Arial" w:cs="Arial" w:eastAsia="Arial" w:hAnsi="Arial"/>
                <w:sz w:val="13"/>
                <w:szCs w:val="13"/>
                <w:color w:val="auto"/>
              </w:rPr>
              <w:t>0</w:t>
            </w:r>
          </w:p>
        </w:tc>
        <w:tc>
          <w:tcPr>
            <w:tcW w:w="980" w:type="dxa"/>
            <w:vAlign w:val="bottom"/>
            <w:shd w:val="clear" w:color="auto" w:fill="D9D9D9"/>
          </w:tcPr>
          <w:p>
            <w:pPr>
              <w:jc w:val="right"/>
              <w:ind w:right="54"/>
              <w:spacing w:after="0"/>
              <w:rPr>
                <w:sz w:val="20"/>
                <w:szCs w:val="20"/>
                <w:color w:val="auto"/>
              </w:rPr>
            </w:pPr>
            <w:r>
              <w:rPr>
                <w:rFonts w:ascii="Arial" w:cs="Arial" w:eastAsia="Arial" w:hAnsi="Arial"/>
                <w:sz w:val="13"/>
                <w:szCs w:val="13"/>
                <w:color w:val="auto"/>
              </w:rPr>
              <w:t>634,130</w:t>
            </w:r>
          </w:p>
        </w:tc>
        <w:tc>
          <w:tcPr>
            <w:tcW w:w="960" w:type="dxa"/>
            <w:vAlign w:val="bottom"/>
            <w:shd w:val="clear" w:color="auto" w:fill="D9D9D9"/>
          </w:tcPr>
          <w:p>
            <w:pPr>
              <w:jc w:val="right"/>
              <w:ind w:right="74"/>
              <w:spacing w:after="0"/>
              <w:rPr>
                <w:sz w:val="20"/>
                <w:szCs w:val="20"/>
                <w:color w:val="auto"/>
              </w:rPr>
            </w:pPr>
            <w:r>
              <w:rPr>
                <w:rFonts w:ascii="Arial" w:cs="Arial" w:eastAsia="Arial" w:hAnsi="Arial"/>
                <w:sz w:val="13"/>
                <w:szCs w:val="13"/>
                <w:color w:val="auto"/>
              </w:rPr>
              <w:t>663,264</w:t>
            </w:r>
          </w:p>
        </w:tc>
        <w:tc>
          <w:tcPr>
            <w:tcW w:w="1540" w:type="dxa"/>
            <w:vAlign w:val="bottom"/>
            <w:shd w:val="clear" w:color="auto" w:fill="D9D9D9"/>
          </w:tcPr>
          <w:p>
            <w:pPr>
              <w:jc w:val="right"/>
              <w:ind w:right="73"/>
              <w:spacing w:after="0"/>
              <w:rPr>
                <w:sz w:val="20"/>
                <w:szCs w:val="20"/>
                <w:color w:val="auto"/>
              </w:rPr>
            </w:pPr>
            <w:r>
              <w:rPr>
                <w:rFonts w:ascii="Arial" w:cs="Arial" w:eastAsia="Arial" w:hAnsi="Arial"/>
                <w:sz w:val="13"/>
                <w:szCs w:val="13"/>
                <w:color w:val="auto"/>
              </w:rPr>
              <w:t>756,083</w:t>
            </w:r>
          </w:p>
        </w:tc>
        <w:tc>
          <w:tcPr>
            <w:tcW w:w="1560" w:type="dxa"/>
            <w:vAlign w:val="bottom"/>
            <w:shd w:val="clear" w:color="auto" w:fill="D9D9D9"/>
          </w:tcPr>
          <w:p>
            <w:pPr>
              <w:jc w:val="right"/>
              <w:ind w:right="94"/>
              <w:spacing w:after="0"/>
              <w:rPr>
                <w:sz w:val="20"/>
                <w:szCs w:val="20"/>
                <w:color w:val="auto"/>
              </w:rPr>
            </w:pPr>
            <w:r>
              <w:rPr>
                <w:rFonts w:ascii="Arial" w:cs="Arial" w:eastAsia="Arial" w:hAnsi="Arial"/>
                <w:sz w:val="13"/>
                <w:szCs w:val="13"/>
                <w:color w:val="auto"/>
              </w:rPr>
              <w:t>187,432</w:t>
            </w:r>
          </w:p>
        </w:tc>
        <w:tc>
          <w:tcPr>
            <w:tcW w:w="780" w:type="dxa"/>
            <w:vAlign w:val="bottom"/>
            <w:shd w:val="clear" w:color="auto" w:fill="D9D9D9"/>
          </w:tcPr>
          <w:p>
            <w:pPr>
              <w:jc w:val="right"/>
              <w:spacing w:after="0"/>
              <w:rPr>
                <w:sz w:val="20"/>
                <w:szCs w:val="20"/>
                <w:color w:val="auto"/>
              </w:rPr>
            </w:pPr>
            <w:r>
              <w:rPr>
                <w:rFonts w:ascii="Arial" w:cs="Arial" w:eastAsia="Arial" w:hAnsi="Arial"/>
                <w:sz w:val="13"/>
                <w:szCs w:val="13"/>
                <w:color w:val="auto"/>
              </w:rPr>
              <w:t>2,806,975</w:t>
            </w:r>
          </w:p>
        </w:tc>
        <w:tc>
          <w:tcPr>
            <w:tcW w:w="0" w:type="dxa"/>
            <w:vAlign w:val="bottom"/>
          </w:tcPr>
          <w:p>
            <w:pPr>
              <w:spacing w:after="0"/>
              <w:rPr>
                <w:sz w:val="1"/>
                <w:szCs w:val="1"/>
                <w:color w:val="auto"/>
              </w:rPr>
            </w:pPr>
          </w:p>
        </w:tc>
      </w:tr>
      <w:tr>
        <w:trPr>
          <w:trHeight w:val="160"/>
        </w:trPr>
        <w:tc>
          <w:tcPr>
            <w:tcW w:w="2980" w:type="dxa"/>
            <w:vAlign w:val="bottom"/>
            <w:shd w:val="clear" w:color="auto" w:fill="D9D9D9"/>
          </w:tcPr>
          <w:p>
            <w:pPr>
              <w:ind w:left="120"/>
              <w:spacing w:after="0"/>
              <w:rPr>
                <w:sz w:val="20"/>
                <w:szCs w:val="20"/>
                <w:color w:val="auto"/>
              </w:rPr>
            </w:pPr>
            <w:r>
              <w:rPr>
                <w:rFonts w:ascii="Arial" w:cs="Arial" w:eastAsia="Arial" w:hAnsi="Arial"/>
                <w:sz w:val="13"/>
                <w:szCs w:val="13"/>
                <w:color w:val="auto"/>
              </w:rPr>
              <w:t>Vice President and Chief Financial Officer</w:t>
            </w:r>
          </w:p>
        </w:tc>
        <w:tc>
          <w:tcPr>
            <w:tcW w:w="120" w:type="dxa"/>
            <w:vAlign w:val="bottom"/>
            <w:shd w:val="clear" w:color="auto" w:fill="D9D9D9"/>
          </w:tcPr>
          <w:p>
            <w:pPr>
              <w:spacing w:after="0"/>
              <w:rPr>
                <w:sz w:val="13"/>
                <w:szCs w:val="13"/>
                <w:color w:val="auto"/>
              </w:rPr>
            </w:pPr>
          </w:p>
        </w:tc>
        <w:tc>
          <w:tcPr>
            <w:tcW w:w="540" w:type="dxa"/>
            <w:vAlign w:val="bottom"/>
            <w:vMerge w:val="restart"/>
            <w:shd w:val="clear" w:color="auto" w:fill="D9D9D9"/>
          </w:tcPr>
          <w:p>
            <w:pPr>
              <w:jc w:val="center"/>
              <w:spacing w:after="0"/>
              <w:rPr>
                <w:sz w:val="20"/>
                <w:szCs w:val="20"/>
                <w:color w:val="auto"/>
              </w:rPr>
            </w:pPr>
            <w:r>
              <w:rPr>
                <w:rFonts w:ascii="Arial" w:cs="Arial" w:eastAsia="Arial" w:hAnsi="Arial"/>
                <w:sz w:val="13"/>
                <w:szCs w:val="13"/>
                <w:color w:val="auto"/>
              </w:rPr>
              <w:t>2020</w:t>
            </w:r>
          </w:p>
        </w:tc>
        <w:tc>
          <w:tcPr>
            <w:tcW w:w="980" w:type="dxa"/>
            <w:vAlign w:val="bottom"/>
            <w:vMerge w:val="restart"/>
            <w:shd w:val="clear" w:color="auto" w:fill="D9D9D9"/>
          </w:tcPr>
          <w:p>
            <w:pPr>
              <w:jc w:val="right"/>
              <w:ind w:right="34"/>
              <w:spacing w:after="0"/>
              <w:rPr>
                <w:sz w:val="20"/>
                <w:szCs w:val="20"/>
                <w:color w:val="auto"/>
              </w:rPr>
            </w:pPr>
            <w:r>
              <w:rPr>
                <w:rFonts w:ascii="Arial" w:cs="Arial" w:eastAsia="Arial" w:hAnsi="Arial"/>
                <w:sz w:val="13"/>
                <w:szCs w:val="13"/>
                <w:color w:val="auto"/>
              </w:rPr>
              <w:t>496,800</w:t>
            </w:r>
          </w:p>
        </w:tc>
        <w:tc>
          <w:tcPr>
            <w:tcW w:w="800" w:type="dxa"/>
            <w:vAlign w:val="bottom"/>
            <w:vMerge w:val="restart"/>
            <w:shd w:val="clear" w:color="auto" w:fill="D9D9D9"/>
          </w:tcPr>
          <w:p>
            <w:pPr>
              <w:jc w:val="center"/>
              <w:spacing w:after="0"/>
              <w:rPr>
                <w:sz w:val="20"/>
                <w:szCs w:val="20"/>
                <w:color w:val="auto"/>
              </w:rPr>
            </w:pPr>
            <w:r>
              <w:rPr>
                <w:rFonts w:ascii="Arial" w:cs="Arial" w:eastAsia="Arial" w:hAnsi="Arial"/>
                <w:sz w:val="13"/>
                <w:szCs w:val="13"/>
                <w:color w:val="auto"/>
              </w:rPr>
              <w:t>0</w:t>
            </w:r>
          </w:p>
        </w:tc>
        <w:tc>
          <w:tcPr>
            <w:tcW w:w="980" w:type="dxa"/>
            <w:vAlign w:val="bottom"/>
            <w:vMerge w:val="restart"/>
            <w:shd w:val="clear" w:color="auto" w:fill="D9D9D9"/>
          </w:tcPr>
          <w:p>
            <w:pPr>
              <w:jc w:val="right"/>
              <w:ind w:right="54"/>
              <w:spacing w:after="0"/>
              <w:rPr>
                <w:sz w:val="20"/>
                <w:szCs w:val="20"/>
                <w:color w:val="auto"/>
              </w:rPr>
            </w:pPr>
            <w:r>
              <w:rPr>
                <w:rFonts w:ascii="Arial" w:cs="Arial" w:eastAsia="Arial" w:hAnsi="Arial"/>
                <w:sz w:val="13"/>
                <w:szCs w:val="13"/>
                <w:color w:val="auto"/>
              </w:rPr>
              <w:t>518,111</w:t>
            </w:r>
          </w:p>
        </w:tc>
        <w:tc>
          <w:tcPr>
            <w:tcW w:w="960" w:type="dxa"/>
            <w:vAlign w:val="bottom"/>
            <w:vMerge w:val="restart"/>
            <w:shd w:val="clear" w:color="auto" w:fill="D9D9D9"/>
          </w:tcPr>
          <w:p>
            <w:pPr>
              <w:jc w:val="right"/>
              <w:ind w:right="74"/>
              <w:spacing w:after="0"/>
              <w:rPr>
                <w:sz w:val="20"/>
                <w:szCs w:val="20"/>
                <w:color w:val="auto"/>
              </w:rPr>
            </w:pPr>
            <w:r>
              <w:rPr>
                <w:rFonts w:ascii="Arial" w:cs="Arial" w:eastAsia="Arial" w:hAnsi="Arial"/>
                <w:sz w:val="13"/>
                <w:szCs w:val="13"/>
                <w:color w:val="auto"/>
              </w:rPr>
              <w:t>529,518</w:t>
            </w:r>
          </w:p>
        </w:tc>
        <w:tc>
          <w:tcPr>
            <w:tcW w:w="1540" w:type="dxa"/>
            <w:vAlign w:val="bottom"/>
            <w:vMerge w:val="restart"/>
            <w:shd w:val="clear" w:color="auto" w:fill="D9D9D9"/>
          </w:tcPr>
          <w:p>
            <w:pPr>
              <w:jc w:val="right"/>
              <w:ind w:right="73"/>
              <w:spacing w:after="0"/>
              <w:rPr>
                <w:sz w:val="20"/>
                <w:szCs w:val="20"/>
                <w:color w:val="auto"/>
              </w:rPr>
            </w:pPr>
            <w:r>
              <w:rPr>
                <w:rFonts w:ascii="Arial" w:cs="Arial" w:eastAsia="Arial" w:hAnsi="Arial"/>
                <w:sz w:val="13"/>
                <w:szCs w:val="13"/>
                <w:color w:val="auto"/>
              </w:rPr>
              <w:t>114,202</w:t>
            </w:r>
          </w:p>
        </w:tc>
        <w:tc>
          <w:tcPr>
            <w:tcW w:w="1560" w:type="dxa"/>
            <w:vAlign w:val="bottom"/>
            <w:vMerge w:val="restart"/>
            <w:shd w:val="clear" w:color="auto" w:fill="D9D9D9"/>
          </w:tcPr>
          <w:p>
            <w:pPr>
              <w:jc w:val="right"/>
              <w:ind w:right="94"/>
              <w:spacing w:after="0"/>
              <w:rPr>
                <w:sz w:val="20"/>
                <w:szCs w:val="20"/>
                <w:color w:val="auto"/>
              </w:rPr>
            </w:pPr>
            <w:r>
              <w:rPr>
                <w:rFonts w:ascii="Arial" w:cs="Arial" w:eastAsia="Arial" w:hAnsi="Arial"/>
                <w:sz w:val="13"/>
                <w:szCs w:val="13"/>
                <w:color w:val="auto"/>
              </w:rPr>
              <w:t>73,211</w:t>
            </w:r>
          </w:p>
        </w:tc>
        <w:tc>
          <w:tcPr>
            <w:tcW w:w="780" w:type="dxa"/>
            <w:vAlign w:val="bottom"/>
            <w:vMerge w:val="restart"/>
            <w:shd w:val="clear" w:color="auto" w:fill="D9D9D9"/>
          </w:tcPr>
          <w:p>
            <w:pPr>
              <w:jc w:val="right"/>
              <w:spacing w:after="0"/>
              <w:rPr>
                <w:sz w:val="20"/>
                <w:szCs w:val="20"/>
                <w:color w:val="auto"/>
              </w:rPr>
            </w:pPr>
            <w:r>
              <w:rPr>
                <w:rFonts w:ascii="Arial" w:cs="Arial" w:eastAsia="Arial" w:hAnsi="Arial"/>
                <w:sz w:val="13"/>
                <w:szCs w:val="13"/>
                <w:color w:val="auto"/>
              </w:rPr>
              <w:t>1,731,842</w:t>
            </w:r>
          </w:p>
        </w:tc>
        <w:tc>
          <w:tcPr>
            <w:tcW w:w="0" w:type="dxa"/>
            <w:vAlign w:val="bottom"/>
          </w:tcPr>
          <w:p>
            <w:pPr>
              <w:spacing w:after="0"/>
              <w:rPr>
                <w:sz w:val="1"/>
                <w:szCs w:val="1"/>
                <w:color w:val="auto"/>
              </w:rPr>
            </w:pPr>
          </w:p>
        </w:tc>
      </w:tr>
      <w:tr>
        <w:trPr>
          <w:trHeight w:val="80"/>
        </w:trPr>
        <w:tc>
          <w:tcPr>
            <w:tcW w:w="2980" w:type="dxa"/>
            <w:vAlign w:val="bottom"/>
            <w:shd w:val="clear" w:color="auto" w:fill="D9D9D9"/>
          </w:tcPr>
          <w:p>
            <w:pPr>
              <w:spacing w:after="0"/>
              <w:rPr>
                <w:sz w:val="6"/>
                <w:szCs w:val="6"/>
                <w:color w:val="auto"/>
              </w:rPr>
            </w:pPr>
          </w:p>
        </w:tc>
        <w:tc>
          <w:tcPr>
            <w:tcW w:w="120" w:type="dxa"/>
            <w:vAlign w:val="bottom"/>
            <w:shd w:val="clear" w:color="auto" w:fill="D9D9D9"/>
          </w:tcPr>
          <w:p>
            <w:pPr>
              <w:spacing w:after="0"/>
              <w:rPr>
                <w:sz w:val="6"/>
                <w:szCs w:val="6"/>
                <w:color w:val="auto"/>
              </w:rPr>
            </w:pPr>
          </w:p>
        </w:tc>
        <w:tc>
          <w:tcPr>
            <w:tcW w:w="540" w:type="dxa"/>
            <w:vAlign w:val="bottom"/>
            <w:vMerge w:val="continue"/>
            <w:shd w:val="clear" w:color="auto" w:fill="D9D9D9"/>
          </w:tcPr>
          <w:p>
            <w:pPr>
              <w:spacing w:after="0"/>
              <w:rPr>
                <w:sz w:val="6"/>
                <w:szCs w:val="6"/>
                <w:color w:val="auto"/>
              </w:rPr>
            </w:pPr>
          </w:p>
        </w:tc>
        <w:tc>
          <w:tcPr>
            <w:tcW w:w="980" w:type="dxa"/>
            <w:vAlign w:val="bottom"/>
            <w:vMerge w:val="continue"/>
            <w:shd w:val="clear" w:color="auto" w:fill="D9D9D9"/>
          </w:tcPr>
          <w:p>
            <w:pPr>
              <w:spacing w:after="0"/>
              <w:rPr>
                <w:sz w:val="6"/>
                <w:szCs w:val="6"/>
                <w:color w:val="auto"/>
              </w:rPr>
            </w:pPr>
          </w:p>
        </w:tc>
        <w:tc>
          <w:tcPr>
            <w:tcW w:w="800" w:type="dxa"/>
            <w:vAlign w:val="bottom"/>
            <w:vMerge w:val="continue"/>
            <w:shd w:val="clear" w:color="auto" w:fill="D9D9D9"/>
          </w:tcPr>
          <w:p>
            <w:pPr>
              <w:spacing w:after="0"/>
              <w:rPr>
                <w:sz w:val="6"/>
                <w:szCs w:val="6"/>
                <w:color w:val="auto"/>
              </w:rPr>
            </w:pPr>
          </w:p>
        </w:tc>
        <w:tc>
          <w:tcPr>
            <w:tcW w:w="980" w:type="dxa"/>
            <w:vAlign w:val="bottom"/>
            <w:vMerge w:val="continue"/>
            <w:shd w:val="clear" w:color="auto" w:fill="D9D9D9"/>
          </w:tcPr>
          <w:p>
            <w:pPr>
              <w:spacing w:after="0"/>
              <w:rPr>
                <w:sz w:val="6"/>
                <w:szCs w:val="6"/>
                <w:color w:val="auto"/>
              </w:rPr>
            </w:pPr>
          </w:p>
        </w:tc>
        <w:tc>
          <w:tcPr>
            <w:tcW w:w="960" w:type="dxa"/>
            <w:vAlign w:val="bottom"/>
            <w:vMerge w:val="continue"/>
            <w:shd w:val="clear" w:color="auto" w:fill="D9D9D9"/>
          </w:tcPr>
          <w:p>
            <w:pPr>
              <w:spacing w:after="0"/>
              <w:rPr>
                <w:sz w:val="6"/>
                <w:szCs w:val="6"/>
                <w:color w:val="auto"/>
              </w:rPr>
            </w:pPr>
          </w:p>
        </w:tc>
        <w:tc>
          <w:tcPr>
            <w:tcW w:w="1540" w:type="dxa"/>
            <w:vAlign w:val="bottom"/>
            <w:vMerge w:val="continue"/>
            <w:shd w:val="clear" w:color="auto" w:fill="D9D9D9"/>
          </w:tcPr>
          <w:p>
            <w:pPr>
              <w:spacing w:after="0"/>
              <w:rPr>
                <w:sz w:val="6"/>
                <w:szCs w:val="6"/>
                <w:color w:val="auto"/>
              </w:rPr>
            </w:pPr>
          </w:p>
        </w:tc>
        <w:tc>
          <w:tcPr>
            <w:tcW w:w="1560" w:type="dxa"/>
            <w:vAlign w:val="bottom"/>
            <w:vMerge w:val="continue"/>
            <w:shd w:val="clear" w:color="auto" w:fill="D9D9D9"/>
          </w:tcPr>
          <w:p>
            <w:pPr>
              <w:spacing w:after="0"/>
              <w:rPr>
                <w:sz w:val="6"/>
                <w:szCs w:val="6"/>
                <w:color w:val="auto"/>
              </w:rPr>
            </w:pPr>
          </w:p>
        </w:tc>
        <w:tc>
          <w:tcPr>
            <w:tcW w:w="780" w:type="dxa"/>
            <w:vAlign w:val="bottom"/>
            <w:vMerge w:val="continue"/>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980" w:type="dxa"/>
            <w:vAlign w:val="bottom"/>
            <w:shd w:val="clear" w:color="auto" w:fill="D9D9D9"/>
          </w:tcPr>
          <w:p>
            <w:pPr>
              <w:spacing w:after="0"/>
              <w:rPr>
                <w:sz w:val="19"/>
                <w:szCs w:val="19"/>
                <w:color w:val="auto"/>
              </w:rPr>
            </w:pPr>
          </w:p>
        </w:tc>
        <w:tc>
          <w:tcPr>
            <w:tcW w:w="120" w:type="dxa"/>
            <w:vAlign w:val="bottom"/>
            <w:shd w:val="clear" w:color="auto" w:fill="D9D9D9"/>
          </w:tcPr>
          <w:p>
            <w:pPr>
              <w:spacing w:after="0"/>
              <w:rPr>
                <w:sz w:val="19"/>
                <w:szCs w:val="19"/>
                <w:color w:val="auto"/>
              </w:rPr>
            </w:pPr>
          </w:p>
        </w:tc>
        <w:tc>
          <w:tcPr>
            <w:tcW w:w="540" w:type="dxa"/>
            <w:vAlign w:val="bottom"/>
            <w:shd w:val="clear" w:color="auto" w:fill="D9D9D9"/>
          </w:tcPr>
          <w:p>
            <w:pPr>
              <w:jc w:val="center"/>
              <w:spacing w:after="0"/>
              <w:rPr>
                <w:sz w:val="20"/>
                <w:szCs w:val="20"/>
                <w:color w:val="auto"/>
              </w:rPr>
            </w:pPr>
            <w:r>
              <w:rPr>
                <w:rFonts w:ascii="Arial" w:cs="Arial" w:eastAsia="Arial" w:hAnsi="Arial"/>
                <w:sz w:val="13"/>
                <w:szCs w:val="13"/>
                <w:color w:val="auto"/>
              </w:rPr>
              <w:t>2019</w:t>
            </w:r>
          </w:p>
        </w:tc>
        <w:tc>
          <w:tcPr>
            <w:tcW w:w="980" w:type="dxa"/>
            <w:vAlign w:val="bottom"/>
            <w:shd w:val="clear" w:color="auto" w:fill="D9D9D9"/>
          </w:tcPr>
          <w:p>
            <w:pPr>
              <w:jc w:val="right"/>
              <w:ind w:right="34"/>
              <w:spacing w:after="0"/>
              <w:rPr>
                <w:sz w:val="20"/>
                <w:szCs w:val="20"/>
                <w:color w:val="auto"/>
              </w:rPr>
            </w:pPr>
            <w:r>
              <w:rPr>
                <w:rFonts w:ascii="Arial" w:cs="Arial" w:eastAsia="Arial" w:hAnsi="Arial"/>
                <w:sz w:val="13"/>
                <w:szCs w:val="13"/>
                <w:color w:val="auto"/>
              </w:rPr>
              <w:t>535,500</w:t>
            </w:r>
          </w:p>
        </w:tc>
        <w:tc>
          <w:tcPr>
            <w:tcW w:w="800" w:type="dxa"/>
            <w:vAlign w:val="bottom"/>
            <w:shd w:val="clear" w:color="auto" w:fill="D9D9D9"/>
          </w:tcPr>
          <w:p>
            <w:pPr>
              <w:jc w:val="center"/>
              <w:spacing w:after="0"/>
              <w:rPr>
                <w:sz w:val="20"/>
                <w:szCs w:val="20"/>
                <w:color w:val="auto"/>
              </w:rPr>
            </w:pPr>
            <w:r>
              <w:rPr>
                <w:rFonts w:ascii="Arial" w:cs="Arial" w:eastAsia="Arial" w:hAnsi="Arial"/>
                <w:sz w:val="13"/>
                <w:szCs w:val="13"/>
                <w:color w:val="auto"/>
              </w:rPr>
              <w:t>0</w:t>
            </w:r>
          </w:p>
        </w:tc>
        <w:tc>
          <w:tcPr>
            <w:tcW w:w="980" w:type="dxa"/>
            <w:vAlign w:val="bottom"/>
            <w:shd w:val="clear" w:color="auto" w:fill="D9D9D9"/>
          </w:tcPr>
          <w:p>
            <w:pPr>
              <w:jc w:val="right"/>
              <w:ind w:right="54"/>
              <w:spacing w:after="0"/>
              <w:rPr>
                <w:sz w:val="20"/>
                <w:szCs w:val="20"/>
                <w:color w:val="auto"/>
              </w:rPr>
            </w:pPr>
            <w:r>
              <w:rPr>
                <w:rFonts w:ascii="Arial" w:cs="Arial" w:eastAsia="Arial" w:hAnsi="Arial"/>
                <w:sz w:val="13"/>
                <w:szCs w:val="13"/>
                <w:color w:val="auto"/>
              </w:rPr>
              <w:t>464,724</w:t>
            </w:r>
          </w:p>
        </w:tc>
        <w:tc>
          <w:tcPr>
            <w:tcW w:w="960" w:type="dxa"/>
            <w:vAlign w:val="bottom"/>
            <w:shd w:val="clear" w:color="auto" w:fill="D9D9D9"/>
          </w:tcPr>
          <w:p>
            <w:pPr>
              <w:jc w:val="right"/>
              <w:ind w:right="74"/>
              <w:spacing w:after="0"/>
              <w:rPr>
                <w:sz w:val="20"/>
                <w:szCs w:val="20"/>
                <w:color w:val="auto"/>
              </w:rPr>
            </w:pPr>
            <w:r>
              <w:rPr>
                <w:rFonts w:ascii="Arial" w:cs="Arial" w:eastAsia="Arial" w:hAnsi="Arial"/>
                <w:sz w:val="13"/>
                <w:szCs w:val="13"/>
                <w:color w:val="auto"/>
              </w:rPr>
              <w:t>401,134</w:t>
            </w:r>
          </w:p>
        </w:tc>
        <w:tc>
          <w:tcPr>
            <w:tcW w:w="1540" w:type="dxa"/>
            <w:vAlign w:val="bottom"/>
            <w:shd w:val="clear" w:color="auto" w:fill="D9D9D9"/>
          </w:tcPr>
          <w:p>
            <w:pPr>
              <w:jc w:val="right"/>
              <w:ind w:right="73"/>
              <w:spacing w:after="0"/>
              <w:rPr>
                <w:sz w:val="20"/>
                <w:szCs w:val="20"/>
                <w:color w:val="auto"/>
              </w:rPr>
            </w:pPr>
            <w:r>
              <w:rPr>
                <w:rFonts w:ascii="Arial" w:cs="Arial" w:eastAsia="Arial" w:hAnsi="Arial"/>
                <w:sz w:val="13"/>
                <w:szCs w:val="13"/>
                <w:color w:val="auto"/>
              </w:rPr>
              <w:t>239,569</w:t>
            </w:r>
          </w:p>
        </w:tc>
        <w:tc>
          <w:tcPr>
            <w:tcW w:w="1560" w:type="dxa"/>
            <w:vAlign w:val="bottom"/>
            <w:shd w:val="clear" w:color="auto" w:fill="D9D9D9"/>
          </w:tcPr>
          <w:p>
            <w:pPr>
              <w:jc w:val="right"/>
              <w:ind w:right="94"/>
              <w:spacing w:after="0"/>
              <w:rPr>
                <w:sz w:val="20"/>
                <w:szCs w:val="20"/>
                <w:color w:val="auto"/>
              </w:rPr>
            </w:pPr>
            <w:r>
              <w:rPr>
                <w:rFonts w:ascii="Arial" w:cs="Arial" w:eastAsia="Arial" w:hAnsi="Arial"/>
                <w:sz w:val="13"/>
                <w:szCs w:val="13"/>
                <w:color w:val="auto"/>
              </w:rPr>
              <w:t>114,944</w:t>
            </w:r>
          </w:p>
        </w:tc>
        <w:tc>
          <w:tcPr>
            <w:tcW w:w="780" w:type="dxa"/>
            <w:vAlign w:val="bottom"/>
            <w:shd w:val="clear" w:color="auto" w:fill="D9D9D9"/>
          </w:tcPr>
          <w:p>
            <w:pPr>
              <w:jc w:val="right"/>
              <w:spacing w:after="0"/>
              <w:rPr>
                <w:sz w:val="20"/>
                <w:szCs w:val="20"/>
                <w:color w:val="auto"/>
              </w:rPr>
            </w:pPr>
            <w:r>
              <w:rPr>
                <w:rFonts w:ascii="Arial" w:cs="Arial" w:eastAsia="Arial" w:hAnsi="Arial"/>
                <w:sz w:val="13"/>
                <w:szCs w:val="13"/>
                <w:color w:val="auto"/>
              </w:rPr>
              <w:t>1,755,871</w:t>
            </w:r>
          </w:p>
        </w:tc>
        <w:tc>
          <w:tcPr>
            <w:tcW w:w="0" w:type="dxa"/>
            <w:vAlign w:val="bottom"/>
          </w:tcPr>
          <w:p>
            <w:pPr>
              <w:spacing w:after="0"/>
              <w:rPr>
                <w:sz w:val="1"/>
                <w:szCs w:val="1"/>
                <w:color w:val="auto"/>
              </w:rPr>
            </w:pPr>
          </w:p>
        </w:tc>
      </w:tr>
      <w:tr>
        <w:trPr>
          <w:trHeight w:val="172"/>
        </w:trPr>
        <w:tc>
          <w:tcPr>
            <w:tcW w:w="2980" w:type="dxa"/>
            <w:vAlign w:val="bottom"/>
          </w:tcPr>
          <w:p>
            <w:pPr>
              <w:spacing w:after="0"/>
              <w:rPr>
                <w:sz w:val="20"/>
                <w:szCs w:val="20"/>
                <w:color w:val="auto"/>
              </w:rPr>
            </w:pPr>
            <w:r>
              <w:rPr>
                <w:rFonts w:ascii="Arial" w:cs="Arial" w:eastAsia="Arial" w:hAnsi="Arial"/>
                <w:sz w:val="13"/>
                <w:szCs w:val="13"/>
                <w:color w:val="auto"/>
              </w:rPr>
              <w:t>Richard W. Rodier,</w:t>
            </w:r>
          </w:p>
        </w:tc>
        <w:tc>
          <w:tcPr>
            <w:tcW w:w="660" w:type="dxa"/>
            <w:vAlign w:val="bottom"/>
            <w:gridSpan w:val="2"/>
          </w:tcPr>
          <w:p>
            <w:pPr>
              <w:jc w:val="center"/>
              <w:ind w:left="54"/>
              <w:spacing w:after="0"/>
              <w:rPr>
                <w:sz w:val="20"/>
                <w:szCs w:val="20"/>
                <w:color w:val="auto"/>
              </w:rPr>
            </w:pPr>
            <w:r>
              <w:rPr>
                <w:rFonts w:ascii="Arial" w:cs="Arial" w:eastAsia="Arial" w:hAnsi="Arial"/>
                <w:sz w:val="13"/>
                <w:szCs w:val="13"/>
                <w:color w:val="auto"/>
              </w:rPr>
              <w:t>2021</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515,545</w:t>
            </w:r>
          </w:p>
        </w:tc>
        <w:tc>
          <w:tcPr>
            <w:tcW w:w="800" w:type="dxa"/>
            <w:vAlign w:val="bottom"/>
          </w:tcPr>
          <w:p>
            <w:pPr>
              <w:jc w:val="center"/>
              <w:spacing w:after="0"/>
              <w:rPr>
                <w:sz w:val="20"/>
                <w:szCs w:val="20"/>
                <w:color w:val="auto"/>
              </w:rPr>
            </w:pPr>
            <w:r>
              <w:rPr>
                <w:rFonts w:ascii="Arial" w:cs="Arial" w:eastAsia="Arial" w:hAnsi="Arial"/>
                <w:sz w:val="13"/>
                <w:szCs w:val="13"/>
                <w:color w:val="auto"/>
              </w:rPr>
              <w:t>0</w:t>
            </w:r>
          </w:p>
        </w:tc>
        <w:tc>
          <w:tcPr>
            <w:tcW w:w="980" w:type="dxa"/>
            <w:vAlign w:val="bottom"/>
          </w:tcPr>
          <w:p>
            <w:pPr>
              <w:jc w:val="right"/>
              <w:ind w:right="54"/>
              <w:spacing w:after="0"/>
              <w:rPr>
                <w:sz w:val="20"/>
                <w:szCs w:val="20"/>
                <w:color w:val="auto"/>
              </w:rPr>
            </w:pPr>
            <w:r>
              <w:rPr>
                <w:rFonts w:ascii="Arial" w:cs="Arial" w:eastAsia="Arial" w:hAnsi="Arial"/>
                <w:sz w:val="13"/>
                <w:szCs w:val="13"/>
                <w:color w:val="auto"/>
              </w:rPr>
              <w:t>561,658</w:t>
            </w:r>
          </w:p>
        </w:tc>
        <w:tc>
          <w:tcPr>
            <w:tcW w:w="960" w:type="dxa"/>
            <w:vAlign w:val="bottom"/>
          </w:tcPr>
          <w:p>
            <w:pPr>
              <w:jc w:val="right"/>
              <w:ind w:right="74"/>
              <w:spacing w:after="0"/>
              <w:rPr>
                <w:sz w:val="20"/>
                <w:szCs w:val="20"/>
                <w:color w:val="auto"/>
              </w:rPr>
            </w:pPr>
            <w:r>
              <w:rPr>
                <w:rFonts w:ascii="Arial" w:cs="Arial" w:eastAsia="Arial" w:hAnsi="Arial"/>
                <w:sz w:val="13"/>
                <w:szCs w:val="13"/>
                <w:color w:val="auto"/>
              </w:rPr>
              <w:t>584,304</w:t>
            </w:r>
          </w:p>
        </w:tc>
        <w:tc>
          <w:tcPr>
            <w:tcW w:w="1540" w:type="dxa"/>
            <w:vAlign w:val="bottom"/>
          </w:tcPr>
          <w:p>
            <w:pPr>
              <w:jc w:val="right"/>
              <w:ind w:right="73"/>
              <w:spacing w:after="0"/>
              <w:rPr>
                <w:sz w:val="20"/>
                <w:szCs w:val="20"/>
                <w:color w:val="auto"/>
              </w:rPr>
            </w:pPr>
            <w:r>
              <w:rPr>
                <w:rFonts w:ascii="Arial" w:cs="Arial" w:eastAsia="Arial" w:hAnsi="Arial"/>
                <w:sz w:val="13"/>
                <w:szCs w:val="13"/>
                <w:color w:val="auto"/>
              </w:rPr>
              <w:t>602,528</w:t>
            </w:r>
          </w:p>
        </w:tc>
        <w:tc>
          <w:tcPr>
            <w:tcW w:w="1560" w:type="dxa"/>
            <w:vAlign w:val="bottom"/>
          </w:tcPr>
          <w:p>
            <w:pPr>
              <w:jc w:val="right"/>
              <w:ind w:right="94"/>
              <w:spacing w:after="0"/>
              <w:rPr>
                <w:sz w:val="20"/>
                <w:szCs w:val="20"/>
                <w:color w:val="auto"/>
              </w:rPr>
            </w:pPr>
            <w:r>
              <w:rPr>
                <w:rFonts w:ascii="Arial" w:cs="Arial" w:eastAsia="Arial" w:hAnsi="Arial"/>
                <w:sz w:val="13"/>
                <w:szCs w:val="13"/>
                <w:color w:val="auto"/>
              </w:rPr>
              <w:t>127,192</w:t>
            </w:r>
          </w:p>
        </w:tc>
        <w:tc>
          <w:tcPr>
            <w:tcW w:w="780" w:type="dxa"/>
            <w:vAlign w:val="bottom"/>
          </w:tcPr>
          <w:p>
            <w:pPr>
              <w:jc w:val="right"/>
              <w:spacing w:after="0"/>
              <w:rPr>
                <w:sz w:val="20"/>
                <w:szCs w:val="20"/>
                <w:color w:val="auto"/>
              </w:rPr>
            </w:pPr>
            <w:r>
              <w:rPr>
                <w:rFonts w:ascii="Arial" w:cs="Arial" w:eastAsia="Arial" w:hAnsi="Arial"/>
                <w:sz w:val="13"/>
                <w:szCs w:val="13"/>
                <w:color w:val="auto"/>
              </w:rPr>
              <w:t>2,391,228</w:t>
            </w:r>
          </w:p>
        </w:tc>
        <w:tc>
          <w:tcPr>
            <w:tcW w:w="0" w:type="dxa"/>
            <w:vAlign w:val="bottom"/>
          </w:tcPr>
          <w:p>
            <w:pPr>
              <w:spacing w:after="0"/>
              <w:rPr>
                <w:sz w:val="1"/>
                <w:szCs w:val="1"/>
                <w:color w:val="auto"/>
              </w:rPr>
            </w:pPr>
          </w:p>
        </w:tc>
      </w:tr>
      <w:tr>
        <w:trPr>
          <w:trHeight w:val="146"/>
        </w:trPr>
        <w:tc>
          <w:tcPr>
            <w:tcW w:w="2980" w:type="dxa"/>
            <w:vAlign w:val="bottom"/>
          </w:tcPr>
          <w:p>
            <w:pPr>
              <w:ind w:left="120"/>
              <w:spacing w:after="0" w:line="146" w:lineRule="exact"/>
              <w:rPr>
                <w:sz w:val="20"/>
                <w:szCs w:val="20"/>
                <w:color w:val="auto"/>
              </w:rPr>
            </w:pPr>
            <w:r>
              <w:rPr>
                <w:rFonts w:ascii="Arial" w:cs="Arial" w:eastAsia="Arial" w:hAnsi="Arial"/>
                <w:sz w:val="13"/>
                <w:szCs w:val="13"/>
                <w:color w:val="auto"/>
              </w:rPr>
              <w:t>Group Vice President, Construction, Contractor</w:t>
            </w:r>
          </w:p>
        </w:tc>
        <w:tc>
          <w:tcPr>
            <w:tcW w:w="660" w:type="dxa"/>
            <w:vAlign w:val="bottom"/>
            <w:gridSpan w:val="2"/>
            <w:vMerge w:val="restart"/>
          </w:tcPr>
          <w:p>
            <w:pPr>
              <w:jc w:val="center"/>
              <w:ind w:left="54"/>
              <w:spacing w:after="0"/>
              <w:rPr>
                <w:sz w:val="20"/>
                <w:szCs w:val="20"/>
                <w:color w:val="auto"/>
              </w:rPr>
            </w:pPr>
            <w:r>
              <w:rPr>
                <w:rFonts w:ascii="Arial" w:cs="Arial" w:eastAsia="Arial" w:hAnsi="Arial"/>
                <w:sz w:val="13"/>
                <w:szCs w:val="13"/>
                <w:color w:val="auto"/>
              </w:rPr>
              <w:t>2020</w:t>
            </w:r>
          </w:p>
        </w:tc>
        <w:tc>
          <w:tcPr>
            <w:tcW w:w="980" w:type="dxa"/>
            <w:vAlign w:val="bottom"/>
            <w:vMerge w:val="restart"/>
          </w:tcPr>
          <w:p>
            <w:pPr>
              <w:jc w:val="right"/>
              <w:ind w:right="34"/>
              <w:spacing w:after="0"/>
              <w:rPr>
                <w:sz w:val="20"/>
                <w:szCs w:val="20"/>
                <w:color w:val="auto"/>
              </w:rPr>
            </w:pPr>
            <w:r>
              <w:rPr>
                <w:rFonts w:ascii="Arial" w:cs="Arial" w:eastAsia="Arial" w:hAnsi="Arial"/>
                <w:sz w:val="13"/>
                <w:szCs w:val="13"/>
                <w:color w:val="auto"/>
              </w:rPr>
              <w:t>399,333</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rPr>
              <w:t>0</w:t>
            </w:r>
          </w:p>
        </w:tc>
        <w:tc>
          <w:tcPr>
            <w:tcW w:w="980" w:type="dxa"/>
            <w:vAlign w:val="bottom"/>
            <w:vMerge w:val="restart"/>
          </w:tcPr>
          <w:p>
            <w:pPr>
              <w:jc w:val="right"/>
              <w:ind w:right="54"/>
              <w:spacing w:after="0"/>
              <w:rPr>
                <w:sz w:val="20"/>
                <w:szCs w:val="20"/>
                <w:color w:val="auto"/>
              </w:rPr>
            </w:pPr>
            <w:r>
              <w:rPr>
                <w:rFonts w:ascii="Arial" w:cs="Arial" w:eastAsia="Arial" w:hAnsi="Arial"/>
                <w:sz w:val="13"/>
                <w:szCs w:val="13"/>
                <w:color w:val="auto"/>
              </w:rPr>
              <w:t>383,620</w:t>
            </w:r>
          </w:p>
        </w:tc>
        <w:tc>
          <w:tcPr>
            <w:tcW w:w="960" w:type="dxa"/>
            <w:vAlign w:val="bottom"/>
            <w:vMerge w:val="restart"/>
          </w:tcPr>
          <w:p>
            <w:pPr>
              <w:jc w:val="right"/>
              <w:ind w:right="74"/>
              <w:spacing w:after="0"/>
              <w:rPr>
                <w:sz w:val="20"/>
                <w:szCs w:val="20"/>
                <w:color w:val="auto"/>
              </w:rPr>
            </w:pPr>
            <w:r>
              <w:rPr>
                <w:rFonts w:ascii="Arial" w:cs="Arial" w:eastAsia="Arial" w:hAnsi="Arial"/>
                <w:sz w:val="13"/>
                <w:szCs w:val="13"/>
                <w:color w:val="auto"/>
              </w:rPr>
              <w:t>604,329</w:t>
            </w:r>
          </w:p>
        </w:tc>
        <w:tc>
          <w:tcPr>
            <w:tcW w:w="1540" w:type="dxa"/>
            <w:vAlign w:val="bottom"/>
            <w:vMerge w:val="restart"/>
          </w:tcPr>
          <w:p>
            <w:pPr>
              <w:jc w:val="right"/>
              <w:ind w:right="73"/>
              <w:spacing w:after="0"/>
              <w:rPr>
                <w:sz w:val="20"/>
                <w:szCs w:val="20"/>
                <w:color w:val="auto"/>
              </w:rPr>
            </w:pPr>
            <w:r>
              <w:rPr>
                <w:rFonts w:ascii="Arial" w:cs="Arial" w:eastAsia="Arial" w:hAnsi="Arial"/>
                <w:sz w:val="13"/>
                <w:szCs w:val="13"/>
                <w:color w:val="auto"/>
              </w:rPr>
              <w:t>79,057</w:t>
            </w:r>
          </w:p>
        </w:tc>
        <w:tc>
          <w:tcPr>
            <w:tcW w:w="1560" w:type="dxa"/>
            <w:vAlign w:val="bottom"/>
            <w:vMerge w:val="restart"/>
          </w:tcPr>
          <w:p>
            <w:pPr>
              <w:jc w:val="right"/>
              <w:ind w:right="94"/>
              <w:spacing w:after="0"/>
              <w:rPr>
                <w:sz w:val="20"/>
                <w:szCs w:val="20"/>
                <w:color w:val="auto"/>
              </w:rPr>
            </w:pPr>
            <w:r>
              <w:rPr>
                <w:rFonts w:ascii="Arial" w:cs="Arial" w:eastAsia="Arial" w:hAnsi="Arial"/>
                <w:sz w:val="13"/>
                <w:szCs w:val="13"/>
                <w:color w:val="auto"/>
              </w:rPr>
              <w:t>64,158</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1,530,497</w:t>
            </w:r>
          </w:p>
        </w:tc>
        <w:tc>
          <w:tcPr>
            <w:tcW w:w="0" w:type="dxa"/>
            <w:vAlign w:val="bottom"/>
          </w:tcPr>
          <w:p>
            <w:pPr>
              <w:spacing w:after="0"/>
              <w:rPr>
                <w:sz w:val="1"/>
                <w:szCs w:val="1"/>
                <w:color w:val="auto"/>
              </w:rPr>
            </w:pPr>
          </w:p>
        </w:tc>
      </w:tr>
      <w:tr>
        <w:trPr>
          <w:trHeight w:val="94"/>
        </w:trPr>
        <w:tc>
          <w:tcPr>
            <w:tcW w:w="2980" w:type="dxa"/>
            <w:vAlign w:val="bottom"/>
            <w:vMerge w:val="restart"/>
          </w:tcPr>
          <w:p>
            <w:pPr>
              <w:ind w:left="120"/>
              <w:spacing w:after="0"/>
              <w:rPr>
                <w:sz w:val="20"/>
                <w:szCs w:val="20"/>
                <w:color w:val="auto"/>
              </w:rPr>
            </w:pPr>
            <w:r>
              <w:rPr>
                <w:rFonts w:ascii="Arial" w:cs="Arial" w:eastAsia="Arial" w:hAnsi="Arial"/>
                <w:sz w:val="13"/>
                <w:szCs w:val="13"/>
                <w:color w:val="auto"/>
              </w:rPr>
              <w:t>and Residential Businesses</w:t>
            </w:r>
          </w:p>
        </w:tc>
        <w:tc>
          <w:tcPr>
            <w:tcW w:w="660" w:type="dxa"/>
            <w:vAlign w:val="bottom"/>
            <w:gridSpan w:val="2"/>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980" w:type="dxa"/>
            <w:vAlign w:val="bottom"/>
            <w:vMerge w:val="continue"/>
          </w:tcPr>
          <w:p>
            <w:pPr>
              <w:spacing w:after="0"/>
              <w:rPr>
                <w:sz w:val="5"/>
                <w:szCs w:val="5"/>
                <w:color w:val="auto"/>
              </w:rPr>
            </w:pPr>
          </w:p>
        </w:tc>
        <w:tc>
          <w:tcPr>
            <w:tcW w:w="660" w:type="dxa"/>
            <w:vAlign w:val="bottom"/>
            <w:gridSpan w:val="2"/>
            <w:vMerge w:val="restart"/>
          </w:tcPr>
          <w:p>
            <w:pPr>
              <w:jc w:val="center"/>
              <w:ind w:left="54"/>
              <w:spacing w:after="0"/>
              <w:rPr>
                <w:sz w:val="20"/>
                <w:szCs w:val="20"/>
                <w:color w:val="auto"/>
              </w:rPr>
            </w:pPr>
            <w:r>
              <w:rPr>
                <w:rFonts w:ascii="Arial" w:cs="Arial" w:eastAsia="Arial" w:hAnsi="Arial"/>
                <w:sz w:val="13"/>
                <w:szCs w:val="13"/>
                <w:color w:val="auto"/>
              </w:rPr>
              <w:t>2019</w:t>
            </w:r>
          </w:p>
        </w:tc>
        <w:tc>
          <w:tcPr>
            <w:tcW w:w="980" w:type="dxa"/>
            <w:vAlign w:val="bottom"/>
            <w:vMerge w:val="restart"/>
          </w:tcPr>
          <w:p>
            <w:pPr>
              <w:jc w:val="right"/>
              <w:ind w:right="34"/>
              <w:spacing w:after="0"/>
              <w:rPr>
                <w:sz w:val="20"/>
                <w:szCs w:val="20"/>
                <w:color w:val="auto"/>
              </w:rPr>
            </w:pPr>
            <w:r>
              <w:rPr>
                <w:rFonts w:ascii="Arial" w:cs="Arial" w:eastAsia="Arial" w:hAnsi="Arial"/>
                <w:sz w:val="13"/>
                <w:szCs w:val="13"/>
                <w:color w:val="auto"/>
              </w:rPr>
              <w:t>351,667</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rPr>
              <w:t>0</w:t>
            </w:r>
          </w:p>
        </w:tc>
        <w:tc>
          <w:tcPr>
            <w:tcW w:w="980" w:type="dxa"/>
            <w:vAlign w:val="bottom"/>
            <w:vMerge w:val="restart"/>
          </w:tcPr>
          <w:p>
            <w:pPr>
              <w:jc w:val="right"/>
              <w:ind w:right="54"/>
              <w:spacing w:after="0"/>
              <w:rPr>
                <w:sz w:val="20"/>
                <w:szCs w:val="20"/>
                <w:color w:val="auto"/>
              </w:rPr>
            </w:pPr>
            <w:r>
              <w:rPr>
                <w:rFonts w:ascii="Arial" w:cs="Arial" w:eastAsia="Arial" w:hAnsi="Arial"/>
                <w:sz w:val="13"/>
                <w:szCs w:val="13"/>
                <w:color w:val="auto"/>
              </w:rPr>
              <w:t>391,461</w:t>
            </w:r>
          </w:p>
        </w:tc>
        <w:tc>
          <w:tcPr>
            <w:tcW w:w="960" w:type="dxa"/>
            <w:vAlign w:val="bottom"/>
            <w:vMerge w:val="restart"/>
          </w:tcPr>
          <w:p>
            <w:pPr>
              <w:jc w:val="right"/>
              <w:ind w:right="74"/>
              <w:spacing w:after="0"/>
              <w:rPr>
                <w:sz w:val="20"/>
                <w:szCs w:val="20"/>
                <w:color w:val="auto"/>
              </w:rPr>
            </w:pPr>
            <w:r>
              <w:rPr>
                <w:rFonts w:ascii="Arial" w:cs="Arial" w:eastAsia="Arial" w:hAnsi="Arial"/>
                <w:sz w:val="13"/>
                <w:szCs w:val="13"/>
                <w:color w:val="auto"/>
              </w:rPr>
              <w:t>108,090</w:t>
            </w:r>
          </w:p>
        </w:tc>
        <w:tc>
          <w:tcPr>
            <w:tcW w:w="1540" w:type="dxa"/>
            <w:vAlign w:val="bottom"/>
            <w:vMerge w:val="restart"/>
          </w:tcPr>
          <w:p>
            <w:pPr>
              <w:jc w:val="right"/>
              <w:ind w:right="73"/>
              <w:spacing w:after="0"/>
              <w:rPr>
                <w:sz w:val="20"/>
                <w:szCs w:val="20"/>
                <w:color w:val="auto"/>
              </w:rPr>
            </w:pPr>
            <w:r>
              <w:rPr>
                <w:rFonts w:ascii="Arial" w:cs="Arial" w:eastAsia="Arial" w:hAnsi="Arial"/>
                <w:sz w:val="13"/>
                <w:szCs w:val="13"/>
                <w:color w:val="auto"/>
              </w:rPr>
              <w:t>130,608</w:t>
            </w:r>
          </w:p>
        </w:tc>
        <w:tc>
          <w:tcPr>
            <w:tcW w:w="1560" w:type="dxa"/>
            <w:vAlign w:val="bottom"/>
            <w:vMerge w:val="restart"/>
          </w:tcPr>
          <w:p>
            <w:pPr>
              <w:jc w:val="right"/>
              <w:ind w:right="94"/>
              <w:spacing w:after="0"/>
              <w:rPr>
                <w:sz w:val="20"/>
                <w:szCs w:val="20"/>
                <w:color w:val="auto"/>
              </w:rPr>
            </w:pPr>
            <w:r>
              <w:rPr>
                <w:rFonts w:ascii="Arial" w:cs="Arial" w:eastAsia="Arial" w:hAnsi="Arial"/>
                <w:sz w:val="13"/>
                <w:szCs w:val="13"/>
                <w:color w:val="auto"/>
              </w:rPr>
              <w:t>74,866</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1,056,692</w:t>
            </w:r>
          </w:p>
        </w:tc>
        <w:tc>
          <w:tcPr>
            <w:tcW w:w="0" w:type="dxa"/>
            <w:vAlign w:val="bottom"/>
          </w:tcPr>
          <w:p>
            <w:pPr>
              <w:spacing w:after="0"/>
              <w:rPr>
                <w:sz w:val="1"/>
                <w:szCs w:val="1"/>
                <w:color w:val="auto"/>
              </w:rPr>
            </w:pPr>
          </w:p>
        </w:tc>
      </w:tr>
      <w:tr>
        <w:trPr>
          <w:trHeight w:val="153"/>
        </w:trPr>
        <w:tc>
          <w:tcPr>
            <w:tcW w:w="29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980" w:type="dxa"/>
            <w:vAlign w:val="bottom"/>
            <w:shd w:val="clear" w:color="auto" w:fill="D9D9D9"/>
          </w:tcPr>
          <w:p>
            <w:pPr>
              <w:spacing w:after="0"/>
              <w:rPr>
                <w:sz w:val="20"/>
                <w:szCs w:val="20"/>
                <w:color w:val="auto"/>
              </w:rPr>
            </w:pPr>
            <w:r>
              <w:rPr>
                <w:rFonts w:ascii="Arial" w:cs="Arial" w:eastAsia="Arial" w:hAnsi="Arial"/>
                <w:sz w:val="13"/>
                <w:szCs w:val="13"/>
                <w:color w:val="auto"/>
              </w:rPr>
              <w:t>Amy E. Dahl</w:t>
            </w:r>
            <w:r>
              <w:rPr>
                <w:rFonts w:ascii="Arial" w:cs="Arial" w:eastAsia="Arial" w:hAnsi="Arial"/>
                <w:sz w:val="11"/>
                <w:szCs w:val="11"/>
                <w:color w:val="auto"/>
              </w:rPr>
              <w:t>(7)</w:t>
            </w:r>
            <w:r>
              <w:rPr>
                <w:rFonts w:ascii="Arial" w:cs="Arial" w:eastAsia="Arial" w:hAnsi="Arial"/>
                <w:sz w:val="13"/>
                <w:szCs w:val="13"/>
                <w:color w:val="auto"/>
              </w:rPr>
              <w:t>,</w:t>
            </w:r>
          </w:p>
        </w:tc>
        <w:tc>
          <w:tcPr>
            <w:tcW w:w="120" w:type="dxa"/>
            <w:vAlign w:val="bottom"/>
            <w:shd w:val="clear" w:color="auto" w:fill="D9D9D9"/>
          </w:tcPr>
          <w:p>
            <w:pPr>
              <w:spacing w:after="0"/>
              <w:rPr>
                <w:sz w:val="15"/>
                <w:szCs w:val="15"/>
                <w:color w:val="auto"/>
              </w:rPr>
            </w:pPr>
          </w:p>
        </w:tc>
        <w:tc>
          <w:tcPr>
            <w:tcW w:w="540" w:type="dxa"/>
            <w:vAlign w:val="bottom"/>
            <w:shd w:val="clear" w:color="auto" w:fill="D9D9D9"/>
          </w:tcPr>
          <w:p>
            <w:pPr>
              <w:jc w:val="center"/>
              <w:spacing w:after="0"/>
              <w:rPr>
                <w:sz w:val="20"/>
                <w:szCs w:val="20"/>
                <w:color w:val="auto"/>
              </w:rPr>
            </w:pPr>
            <w:r>
              <w:rPr>
                <w:rFonts w:ascii="Arial" w:cs="Arial" w:eastAsia="Arial" w:hAnsi="Arial"/>
                <w:sz w:val="13"/>
                <w:szCs w:val="13"/>
                <w:color w:val="auto"/>
              </w:rPr>
              <w:t>2021</w:t>
            </w:r>
          </w:p>
        </w:tc>
        <w:tc>
          <w:tcPr>
            <w:tcW w:w="980" w:type="dxa"/>
            <w:vAlign w:val="bottom"/>
            <w:shd w:val="clear" w:color="auto" w:fill="D9D9D9"/>
          </w:tcPr>
          <w:p>
            <w:pPr>
              <w:jc w:val="right"/>
              <w:ind w:right="34"/>
              <w:spacing w:after="0"/>
              <w:rPr>
                <w:sz w:val="20"/>
                <w:szCs w:val="20"/>
                <w:color w:val="auto"/>
              </w:rPr>
            </w:pPr>
            <w:r>
              <w:rPr>
                <w:rFonts w:ascii="Arial" w:cs="Arial" w:eastAsia="Arial" w:hAnsi="Arial"/>
                <w:sz w:val="13"/>
                <w:szCs w:val="13"/>
                <w:color w:val="auto"/>
              </w:rPr>
              <w:t>480,635</w:t>
            </w:r>
          </w:p>
        </w:tc>
        <w:tc>
          <w:tcPr>
            <w:tcW w:w="800" w:type="dxa"/>
            <w:vAlign w:val="bottom"/>
            <w:shd w:val="clear" w:color="auto" w:fill="D9D9D9"/>
          </w:tcPr>
          <w:p>
            <w:pPr>
              <w:jc w:val="center"/>
              <w:spacing w:after="0"/>
              <w:rPr>
                <w:sz w:val="20"/>
                <w:szCs w:val="20"/>
                <w:color w:val="auto"/>
              </w:rPr>
            </w:pPr>
            <w:r>
              <w:rPr>
                <w:rFonts w:ascii="Arial" w:cs="Arial" w:eastAsia="Arial" w:hAnsi="Arial"/>
                <w:sz w:val="13"/>
                <w:szCs w:val="13"/>
                <w:color w:val="auto"/>
              </w:rPr>
              <w:t>0</w:t>
            </w:r>
          </w:p>
        </w:tc>
        <w:tc>
          <w:tcPr>
            <w:tcW w:w="980" w:type="dxa"/>
            <w:vAlign w:val="bottom"/>
            <w:shd w:val="clear" w:color="auto" w:fill="D9D9D9"/>
          </w:tcPr>
          <w:p>
            <w:pPr>
              <w:jc w:val="right"/>
              <w:ind w:right="54"/>
              <w:spacing w:after="0"/>
              <w:rPr>
                <w:sz w:val="20"/>
                <w:szCs w:val="20"/>
                <w:color w:val="auto"/>
              </w:rPr>
            </w:pPr>
            <w:r>
              <w:rPr>
                <w:rFonts w:ascii="Arial" w:cs="Arial" w:eastAsia="Arial" w:hAnsi="Arial"/>
                <w:sz w:val="13"/>
                <w:szCs w:val="13"/>
                <w:color w:val="auto"/>
              </w:rPr>
              <w:t>398,596</w:t>
            </w:r>
          </w:p>
        </w:tc>
        <w:tc>
          <w:tcPr>
            <w:tcW w:w="960" w:type="dxa"/>
            <w:vAlign w:val="bottom"/>
            <w:shd w:val="clear" w:color="auto" w:fill="D9D9D9"/>
          </w:tcPr>
          <w:p>
            <w:pPr>
              <w:jc w:val="right"/>
              <w:ind w:right="74"/>
              <w:spacing w:after="0"/>
              <w:rPr>
                <w:sz w:val="20"/>
                <w:szCs w:val="20"/>
                <w:color w:val="auto"/>
              </w:rPr>
            </w:pPr>
            <w:r>
              <w:rPr>
                <w:rFonts w:ascii="Arial" w:cs="Arial" w:eastAsia="Arial" w:hAnsi="Arial"/>
                <w:sz w:val="13"/>
                <w:szCs w:val="13"/>
                <w:color w:val="auto"/>
              </w:rPr>
              <w:t>420,462</w:t>
            </w:r>
          </w:p>
        </w:tc>
        <w:tc>
          <w:tcPr>
            <w:tcW w:w="1540" w:type="dxa"/>
            <w:vAlign w:val="bottom"/>
            <w:shd w:val="clear" w:color="auto" w:fill="D9D9D9"/>
          </w:tcPr>
          <w:p>
            <w:pPr>
              <w:jc w:val="right"/>
              <w:ind w:right="73"/>
              <w:spacing w:after="0"/>
              <w:rPr>
                <w:sz w:val="20"/>
                <w:szCs w:val="20"/>
                <w:color w:val="auto"/>
              </w:rPr>
            </w:pPr>
            <w:r>
              <w:rPr>
                <w:rFonts w:ascii="Arial" w:cs="Arial" w:eastAsia="Arial" w:hAnsi="Arial"/>
                <w:sz w:val="13"/>
                <w:szCs w:val="13"/>
                <w:color w:val="auto"/>
              </w:rPr>
              <w:t>521,604</w:t>
            </w:r>
          </w:p>
        </w:tc>
        <w:tc>
          <w:tcPr>
            <w:tcW w:w="1560" w:type="dxa"/>
            <w:vAlign w:val="bottom"/>
            <w:shd w:val="clear" w:color="auto" w:fill="D9D9D9"/>
          </w:tcPr>
          <w:p>
            <w:pPr>
              <w:jc w:val="right"/>
              <w:ind w:right="94"/>
              <w:spacing w:after="0"/>
              <w:rPr>
                <w:sz w:val="20"/>
                <w:szCs w:val="20"/>
                <w:color w:val="auto"/>
              </w:rPr>
            </w:pPr>
            <w:r>
              <w:rPr>
                <w:rFonts w:ascii="Arial" w:cs="Arial" w:eastAsia="Arial" w:hAnsi="Arial"/>
                <w:sz w:val="13"/>
                <w:szCs w:val="13"/>
                <w:color w:val="auto"/>
              </w:rPr>
              <w:t>147,740</w:t>
            </w:r>
          </w:p>
        </w:tc>
        <w:tc>
          <w:tcPr>
            <w:tcW w:w="780" w:type="dxa"/>
            <w:vAlign w:val="bottom"/>
            <w:shd w:val="clear" w:color="auto" w:fill="D9D9D9"/>
          </w:tcPr>
          <w:p>
            <w:pPr>
              <w:jc w:val="right"/>
              <w:spacing w:after="0"/>
              <w:rPr>
                <w:sz w:val="20"/>
                <w:szCs w:val="20"/>
                <w:color w:val="auto"/>
              </w:rPr>
            </w:pPr>
            <w:r>
              <w:rPr>
                <w:rFonts w:ascii="Arial" w:cs="Arial" w:eastAsia="Arial" w:hAnsi="Arial"/>
                <w:sz w:val="13"/>
                <w:szCs w:val="13"/>
                <w:color w:val="auto"/>
              </w:rPr>
              <w:t>1,969,037</w:t>
            </w:r>
          </w:p>
        </w:tc>
        <w:tc>
          <w:tcPr>
            <w:tcW w:w="0" w:type="dxa"/>
            <w:vAlign w:val="bottom"/>
          </w:tcPr>
          <w:p>
            <w:pPr>
              <w:spacing w:after="0"/>
              <w:rPr>
                <w:sz w:val="1"/>
                <w:szCs w:val="1"/>
                <w:color w:val="auto"/>
              </w:rPr>
            </w:pPr>
          </w:p>
        </w:tc>
      </w:tr>
      <w:tr>
        <w:trPr>
          <w:trHeight w:val="160"/>
        </w:trPr>
        <w:tc>
          <w:tcPr>
            <w:tcW w:w="2980" w:type="dxa"/>
            <w:vAlign w:val="bottom"/>
            <w:shd w:val="clear" w:color="auto" w:fill="D9D9D9"/>
          </w:tcPr>
          <w:p>
            <w:pPr>
              <w:ind w:left="120"/>
              <w:spacing w:after="0"/>
              <w:rPr>
                <w:sz w:val="20"/>
                <w:szCs w:val="20"/>
                <w:color w:val="auto"/>
              </w:rPr>
            </w:pPr>
            <w:r>
              <w:rPr>
                <w:rFonts w:ascii="Arial" w:cs="Arial" w:eastAsia="Arial" w:hAnsi="Arial"/>
                <w:sz w:val="13"/>
                <w:szCs w:val="13"/>
                <w:color w:val="auto"/>
              </w:rPr>
              <w:t>Vice President, Human Resources,</w:t>
            </w:r>
          </w:p>
        </w:tc>
        <w:tc>
          <w:tcPr>
            <w:tcW w:w="120" w:type="dxa"/>
            <w:vAlign w:val="bottom"/>
            <w:shd w:val="clear" w:color="auto" w:fill="D9D9D9"/>
          </w:tcPr>
          <w:p>
            <w:pPr>
              <w:spacing w:after="0"/>
              <w:rPr>
                <w:sz w:val="13"/>
                <w:szCs w:val="13"/>
                <w:color w:val="auto"/>
              </w:rPr>
            </w:pPr>
          </w:p>
        </w:tc>
        <w:tc>
          <w:tcPr>
            <w:tcW w:w="540" w:type="dxa"/>
            <w:vAlign w:val="bottom"/>
            <w:vMerge w:val="restart"/>
            <w:shd w:val="clear" w:color="auto" w:fill="D9D9D9"/>
          </w:tcPr>
          <w:p>
            <w:pPr>
              <w:jc w:val="center"/>
              <w:spacing w:after="0"/>
              <w:rPr>
                <w:sz w:val="20"/>
                <w:szCs w:val="20"/>
                <w:color w:val="auto"/>
              </w:rPr>
            </w:pPr>
            <w:r>
              <w:rPr>
                <w:rFonts w:ascii="Arial" w:cs="Arial" w:eastAsia="Arial" w:hAnsi="Arial"/>
                <w:sz w:val="13"/>
                <w:szCs w:val="13"/>
                <w:color w:val="auto"/>
              </w:rPr>
              <w:t>2020</w:t>
            </w:r>
          </w:p>
        </w:tc>
        <w:tc>
          <w:tcPr>
            <w:tcW w:w="980" w:type="dxa"/>
            <w:vAlign w:val="bottom"/>
            <w:vMerge w:val="restart"/>
            <w:shd w:val="clear" w:color="auto" w:fill="D9D9D9"/>
          </w:tcPr>
          <w:p>
            <w:pPr>
              <w:jc w:val="right"/>
              <w:ind w:right="34"/>
              <w:spacing w:after="0"/>
              <w:rPr>
                <w:sz w:val="20"/>
                <w:szCs w:val="20"/>
                <w:color w:val="auto"/>
              </w:rPr>
            </w:pPr>
            <w:r>
              <w:rPr>
                <w:rFonts w:ascii="Arial" w:cs="Arial" w:eastAsia="Arial" w:hAnsi="Arial"/>
                <w:sz w:val="13"/>
                <w:szCs w:val="13"/>
                <w:color w:val="auto"/>
              </w:rPr>
              <w:t>418,500</w:t>
            </w:r>
          </w:p>
        </w:tc>
        <w:tc>
          <w:tcPr>
            <w:tcW w:w="800" w:type="dxa"/>
            <w:vAlign w:val="bottom"/>
            <w:vMerge w:val="restart"/>
            <w:shd w:val="clear" w:color="auto" w:fill="D9D9D9"/>
          </w:tcPr>
          <w:p>
            <w:pPr>
              <w:jc w:val="center"/>
              <w:spacing w:after="0"/>
              <w:rPr>
                <w:sz w:val="20"/>
                <w:szCs w:val="20"/>
                <w:color w:val="auto"/>
              </w:rPr>
            </w:pPr>
            <w:r>
              <w:rPr>
                <w:rFonts w:ascii="Arial" w:cs="Arial" w:eastAsia="Arial" w:hAnsi="Arial"/>
                <w:sz w:val="13"/>
                <w:szCs w:val="13"/>
                <w:color w:val="auto"/>
              </w:rPr>
              <w:t>0</w:t>
            </w:r>
          </w:p>
        </w:tc>
        <w:tc>
          <w:tcPr>
            <w:tcW w:w="980" w:type="dxa"/>
            <w:vAlign w:val="bottom"/>
            <w:vMerge w:val="restart"/>
            <w:shd w:val="clear" w:color="auto" w:fill="D9D9D9"/>
          </w:tcPr>
          <w:p>
            <w:pPr>
              <w:jc w:val="right"/>
              <w:ind w:right="54"/>
              <w:spacing w:after="0"/>
              <w:rPr>
                <w:sz w:val="20"/>
                <w:szCs w:val="20"/>
                <w:color w:val="auto"/>
              </w:rPr>
            </w:pPr>
            <w:r>
              <w:rPr>
                <w:rFonts w:ascii="Arial" w:cs="Arial" w:eastAsia="Arial" w:hAnsi="Arial"/>
                <w:sz w:val="13"/>
                <w:szCs w:val="13"/>
                <w:color w:val="auto"/>
              </w:rPr>
              <w:t>317,053</w:t>
            </w:r>
          </w:p>
        </w:tc>
        <w:tc>
          <w:tcPr>
            <w:tcW w:w="960" w:type="dxa"/>
            <w:vAlign w:val="bottom"/>
            <w:vMerge w:val="restart"/>
            <w:shd w:val="clear" w:color="auto" w:fill="D9D9D9"/>
          </w:tcPr>
          <w:p>
            <w:pPr>
              <w:jc w:val="right"/>
              <w:ind w:right="74"/>
              <w:spacing w:after="0"/>
              <w:rPr>
                <w:sz w:val="20"/>
                <w:szCs w:val="20"/>
                <w:color w:val="auto"/>
              </w:rPr>
            </w:pPr>
            <w:r>
              <w:rPr>
                <w:rFonts w:ascii="Arial" w:cs="Arial" w:eastAsia="Arial" w:hAnsi="Arial"/>
                <w:sz w:val="13"/>
                <w:szCs w:val="13"/>
                <w:color w:val="auto"/>
              </w:rPr>
              <w:t>324,896</w:t>
            </w:r>
          </w:p>
        </w:tc>
        <w:tc>
          <w:tcPr>
            <w:tcW w:w="1540" w:type="dxa"/>
            <w:vAlign w:val="bottom"/>
            <w:vMerge w:val="restart"/>
            <w:shd w:val="clear" w:color="auto" w:fill="D9D9D9"/>
          </w:tcPr>
          <w:p>
            <w:pPr>
              <w:jc w:val="right"/>
              <w:ind w:right="73"/>
              <w:spacing w:after="0"/>
              <w:rPr>
                <w:sz w:val="20"/>
                <w:szCs w:val="20"/>
                <w:color w:val="auto"/>
              </w:rPr>
            </w:pPr>
            <w:r>
              <w:rPr>
                <w:rFonts w:ascii="Arial" w:cs="Arial" w:eastAsia="Arial" w:hAnsi="Arial"/>
                <w:sz w:val="13"/>
                <w:szCs w:val="13"/>
                <w:color w:val="auto"/>
              </w:rPr>
              <w:t>76,962</w:t>
            </w:r>
          </w:p>
        </w:tc>
        <w:tc>
          <w:tcPr>
            <w:tcW w:w="1560" w:type="dxa"/>
            <w:vAlign w:val="bottom"/>
            <w:vMerge w:val="restart"/>
            <w:shd w:val="clear" w:color="auto" w:fill="D9D9D9"/>
          </w:tcPr>
          <w:p>
            <w:pPr>
              <w:jc w:val="right"/>
              <w:ind w:right="94"/>
              <w:spacing w:after="0"/>
              <w:rPr>
                <w:sz w:val="20"/>
                <w:szCs w:val="20"/>
                <w:color w:val="auto"/>
              </w:rPr>
            </w:pPr>
            <w:r>
              <w:rPr>
                <w:rFonts w:ascii="Arial" w:cs="Arial" w:eastAsia="Arial" w:hAnsi="Arial"/>
                <w:sz w:val="13"/>
                <w:szCs w:val="13"/>
                <w:color w:val="auto"/>
              </w:rPr>
              <w:t>46,256</w:t>
            </w:r>
          </w:p>
        </w:tc>
        <w:tc>
          <w:tcPr>
            <w:tcW w:w="780" w:type="dxa"/>
            <w:vAlign w:val="bottom"/>
            <w:vMerge w:val="restart"/>
            <w:shd w:val="clear" w:color="auto" w:fill="D9D9D9"/>
          </w:tcPr>
          <w:p>
            <w:pPr>
              <w:jc w:val="right"/>
              <w:spacing w:after="0"/>
              <w:rPr>
                <w:sz w:val="20"/>
                <w:szCs w:val="20"/>
                <w:color w:val="auto"/>
              </w:rPr>
            </w:pPr>
            <w:r>
              <w:rPr>
                <w:rFonts w:ascii="Arial" w:cs="Arial" w:eastAsia="Arial" w:hAnsi="Arial"/>
                <w:sz w:val="13"/>
                <w:szCs w:val="13"/>
                <w:color w:val="auto"/>
              </w:rPr>
              <w:t>1,183,667</w:t>
            </w:r>
          </w:p>
        </w:tc>
        <w:tc>
          <w:tcPr>
            <w:tcW w:w="0" w:type="dxa"/>
            <w:vAlign w:val="bottom"/>
          </w:tcPr>
          <w:p>
            <w:pPr>
              <w:spacing w:after="0"/>
              <w:rPr>
                <w:sz w:val="1"/>
                <w:szCs w:val="1"/>
                <w:color w:val="auto"/>
              </w:rPr>
            </w:pPr>
          </w:p>
        </w:tc>
      </w:tr>
      <w:tr>
        <w:trPr>
          <w:trHeight w:val="80"/>
        </w:trPr>
        <w:tc>
          <w:tcPr>
            <w:tcW w:w="2980" w:type="dxa"/>
            <w:vAlign w:val="bottom"/>
            <w:vMerge w:val="restart"/>
            <w:shd w:val="clear" w:color="auto" w:fill="D9D9D9"/>
          </w:tcPr>
          <w:p>
            <w:pPr>
              <w:ind w:left="120"/>
              <w:spacing w:after="0"/>
              <w:rPr>
                <w:sz w:val="20"/>
                <w:szCs w:val="20"/>
                <w:color w:val="auto"/>
              </w:rPr>
            </w:pPr>
            <w:r>
              <w:rPr>
                <w:rFonts w:ascii="Arial" w:cs="Arial" w:eastAsia="Arial" w:hAnsi="Arial"/>
                <w:sz w:val="13"/>
                <w:szCs w:val="13"/>
                <w:color w:val="auto"/>
              </w:rPr>
              <w:t>and General Counsel</w:t>
            </w:r>
          </w:p>
        </w:tc>
        <w:tc>
          <w:tcPr>
            <w:tcW w:w="120" w:type="dxa"/>
            <w:vAlign w:val="bottom"/>
            <w:shd w:val="clear" w:color="auto" w:fill="D9D9D9"/>
          </w:tcPr>
          <w:p>
            <w:pPr>
              <w:spacing w:after="0"/>
              <w:rPr>
                <w:sz w:val="6"/>
                <w:szCs w:val="6"/>
                <w:color w:val="auto"/>
              </w:rPr>
            </w:pPr>
          </w:p>
        </w:tc>
        <w:tc>
          <w:tcPr>
            <w:tcW w:w="540" w:type="dxa"/>
            <w:vAlign w:val="bottom"/>
            <w:vMerge w:val="continue"/>
            <w:shd w:val="clear" w:color="auto" w:fill="D9D9D9"/>
          </w:tcPr>
          <w:p>
            <w:pPr>
              <w:spacing w:after="0"/>
              <w:rPr>
                <w:sz w:val="6"/>
                <w:szCs w:val="6"/>
                <w:color w:val="auto"/>
              </w:rPr>
            </w:pPr>
          </w:p>
        </w:tc>
        <w:tc>
          <w:tcPr>
            <w:tcW w:w="980" w:type="dxa"/>
            <w:vAlign w:val="bottom"/>
            <w:vMerge w:val="continue"/>
            <w:shd w:val="clear" w:color="auto" w:fill="D9D9D9"/>
          </w:tcPr>
          <w:p>
            <w:pPr>
              <w:spacing w:after="0"/>
              <w:rPr>
                <w:sz w:val="6"/>
                <w:szCs w:val="6"/>
                <w:color w:val="auto"/>
              </w:rPr>
            </w:pPr>
          </w:p>
        </w:tc>
        <w:tc>
          <w:tcPr>
            <w:tcW w:w="800" w:type="dxa"/>
            <w:vAlign w:val="bottom"/>
            <w:vMerge w:val="continue"/>
            <w:shd w:val="clear" w:color="auto" w:fill="D9D9D9"/>
          </w:tcPr>
          <w:p>
            <w:pPr>
              <w:spacing w:after="0"/>
              <w:rPr>
                <w:sz w:val="6"/>
                <w:szCs w:val="6"/>
                <w:color w:val="auto"/>
              </w:rPr>
            </w:pPr>
          </w:p>
        </w:tc>
        <w:tc>
          <w:tcPr>
            <w:tcW w:w="980" w:type="dxa"/>
            <w:vAlign w:val="bottom"/>
            <w:vMerge w:val="continue"/>
            <w:shd w:val="clear" w:color="auto" w:fill="D9D9D9"/>
          </w:tcPr>
          <w:p>
            <w:pPr>
              <w:spacing w:after="0"/>
              <w:rPr>
                <w:sz w:val="6"/>
                <w:szCs w:val="6"/>
                <w:color w:val="auto"/>
              </w:rPr>
            </w:pPr>
          </w:p>
        </w:tc>
        <w:tc>
          <w:tcPr>
            <w:tcW w:w="960" w:type="dxa"/>
            <w:vAlign w:val="bottom"/>
            <w:vMerge w:val="continue"/>
            <w:shd w:val="clear" w:color="auto" w:fill="D9D9D9"/>
          </w:tcPr>
          <w:p>
            <w:pPr>
              <w:spacing w:after="0"/>
              <w:rPr>
                <w:sz w:val="6"/>
                <w:szCs w:val="6"/>
                <w:color w:val="auto"/>
              </w:rPr>
            </w:pPr>
          </w:p>
        </w:tc>
        <w:tc>
          <w:tcPr>
            <w:tcW w:w="1540" w:type="dxa"/>
            <w:vAlign w:val="bottom"/>
            <w:vMerge w:val="continue"/>
            <w:shd w:val="clear" w:color="auto" w:fill="D9D9D9"/>
          </w:tcPr>
          <w:p>
            <w:pPr>
              <w:spacing w:after="0"/>
              <w:rPr>
                <w:sz w:val="6"/>
                <w:szCs w:val="6"/>
                <w:color w:val="auto"/>
              </w:rPr>
            </w:pPr>
          </w:p>
        </w:tc>
        <w:tc>
          <w:tcPr>
            <w:tcW w:w="1560" w:type="dxa"/>
            <w:vAlign w:val="bottom"/>
            <w:vMerge w:val="continue"/>
            <w:shd w:val="clear" w:color="auto" w:fill="D9D9D9"/>
          </w:tcPr>
          <w:p>
            <w:pPr>
              <w:spacing w:after="0"/>
              <w:rPr>
                <w:sz w:val="6"/>
                <w:szCs w:val="6"/>
                <w:color w:val="auto"/>
              </w:rPr>
            </w:pPr>
          </w:p>
        </w:tc>
        <w:tc>
          <w:tcPr>
            <w:tcW w:w="780" w:type="dxa"/>
            <w:vAlign w:val="bottom"/>
            <w:vMerge w:val="continue"/>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980" w:type="dxa"/>
            <w:vAlign w:val="bottom"/>
            <w:vMerge w:val="continue"/>
            <w:shd w:val="clear" w:color="auto" w:fill="D9D9D9"/>
          </w:tcPr>
          <w:p>
            <w:pPr>
              <w:spacing w:after="0"/>
              <w:rPr>
                <w:sz w:val="8"/>
                <w:szCs w:val="8"/>
                <w:color w:val="auto"/>
              </w:rPr>
            </w:pPr>
          </w:p>
        </w:tc>
        <w:tc>
          <w:tcPr>
            <w:tcW w:w="120" w:type="dxa"/>
            <w:vAlign w:val="bottom"/>
            <w:shd w:val="clear" w:color="auto" w:fill="D9D9D9"/>
          </w:tcPr>
          <w:p>
            <w:pPr>
              <w:spacing w:after="0"/>
              <w:rPr>
                <w:sz w:val="8"/>
                <w:szCs w:val="8"/>
                <w:color w:val="auto"/>
              </w:rPr>
            </w:pPr>
          </w:p>
        </w:tc>
        <w:tc>
          <w:tcPr>
            <w:tcW w:w="540" w:type="dxa"/>
            <w:vAlign w:val="bottom"/>
            <w:shd w:val="clear" w:color="auto" w:fill="D9D9D9"/>
          </w:tcPr>
          <w:p>
            <w:pPr>
              <w:spacing w:after="0"/>
              <w:rPr>
                <w:sz w:val="8"/>
                <w:szCs w:val="8"/>
                <w:color w:val="auto"/>
              </w:rPr>
            </w:pPr>
          </w:p>
        </w:tc>
        <w:tc>
          <w:tcPr>
            <w:tcW w:w="980" w:type="dxa"/>
            <w:vAlign w:val="bottom"/>
            <w:shd w:val="clear" w:color="auto" w:fill="D9D9D9"/>
          </w:tcPr>
          <w:p>
            <w:pPr>
              <w:spacing w:after="0"/>
              <w:rPr>
                <w:sz w:val="8"/>
                <w:szCs w:val="8"/>
                <w:color w:val="auto"/>
              </w:rPr>
            </w:pPr>
          </w:p>
        </w:tc>
        <w:tc>
          <w:tcPr>
            <w:tcW w:w="800" w:type="dxa"/>
            <w:vAlign w:val="bottom"/>
            <w:shd w:val="clear" w:color="auto" w:fill="D9D9D9"/>
          </w:tcPr>
          <w:p>
            <w:pPr>
              <w:spacing w:after="0"/>
              <w:rPr>
                <w:sz w:val="8"/>
                <w:szCs w:val="8"/>
                <w:color w:val="auto"/>
              </w:rPr>
            </w:pPr>
          </w:p>
        </w:tc>
        <w:tc>
          <w:tcPr>
            <w:tcW w:w="980" w:type="dxa"/>
            <w:vAlign w:val="bottom"/>
            <w:shd w:val="clear" w:color="auto" w:fill="D9D9D9"/>
          </w:tcPr>
          <w:p>
            <w:pPr>
              <w:spacing w:after="0"/>
              <w:rPr>
                <w:sz w:val="8"/>
                <w:szCs w:val="8"/>
                <w:color w:val="auto"/>
              </w:rPr>
            </w:pPr>
          </w:p>
        </w:tc>
        <w:tc>
          <w:tcPr>
            <w:tcW w:w="960" w:type="dxa"/>
            <w:vAlign w:val="bottom"/>
            <w:shd w:val="clear" w:color="auto" w:fill="D9D9D9"/>
          </w:tcPr>
          <w:p>
            <w:pPr>
              <w:spacing w:after="0"/>
              <w:rPr>
                <w:sz w:val="8"/>
                <w:szCs w:val="8"/>
                <w:color w:val="auto"/>
              </w:rPr>
            </w:pPr>
          </w:p>
        </w:tc>
        <w:tc>
          <w:tcPr>
            <w:tcW w:w="1540" w:type="dxa"/>
            <w:vAlign w:val="bottom"/>
            <w:shd w:val="clear" w:color="auto" w:fill="D9D9D9"/>
          </w:tcPr>
          <w:p>
            <w:pPr>
              <w:spacing w:after="0"/>
              <w:rPr>
                <w:sz w:val="8"/>
                <w:szCs w:val="8"/>
                <w:color w:val="auto"/>
              </w:rPr>
            </w:pPr>
          </w:p>
        </w:tc>
        <w:tc>
          <w:tcPr>
            <w:tcW w:w="1560" w:type="dxa"/>
            <w:vAlign w:val="bottom"/>
            <w:shd w:val="clear" w:color="auto" w:fill="D9D9D9"/>
          </w:tcPr>
          <w:p>
            <w:pPr>
              <w:spacing w:after="0"/>
              <w:rPr>
                <w:sz w:val="8"/>
                <w:szCs w:val="8"/>
                <w:color w:val="auto"/>
              </w:rPr>
            </w:pPr>
          </w:p>
        </w:tc>
        <w:tc>
          <w:tcPr>
            <w:tcW w:w="780" w:type="dxa"/>
            <w:vAlign w:val="bottom"/>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980" w:type="dxa"/>
            <w:vAlign w:val="bottom"/>
            <w:shd w:val="clear" w:color="auto" w:fill="D9D9D9"/>
          </w:tcPr>
          <w:p>
            <w:pPr>
              <w:spacing w:after="0"/>
              <w:rPr>
                <w:sz w:val="8"/>
                <w:szCs w:val="8"/>
                <w:color w:val="auto"/>
              </w:rPr>
            </w:pPr>
          </w:p>
        </w:tc>
        <w:tc>
          <w:tcPr>
            <w:tcW w:w="120" w:type="dxa"/>
            <w:vAlign w:val="bottom"/>
            <w:shd w:val="clear" w:color="auto" w:fill="D9D9D9"/>
          </w:tcPr>
          <w:p>
            <w:pPr>
              <w:spacing w:after="0"/>
              <w:rPr>
                <w:sz w:val="8"/>
                <w:szCs w:val="8"/>
                <w:color w:val="auto"/>
              </w:rPr>
            </w:pPr>
          </w:p>
        </w:tc>
        <w:tc>
          <w:tcPr>
            <w:tcW w:w="540" w:type="dxa"/>
            <w:vAlign w:val="bottom"/>
            <w:shd w:val="clear" w:color="auto" w:fill="D9D9D9"/>
          </w:tcPr>
          <w:p>
            <w:pPr>
              <w:spacing w:after="0"/>
              <w:rPr>
                <w:sz w:val="8"/>
                <w:szCs w:val="8"/>
                <w:color w:val="auto"/>
              </w:rPr>
            </w:pPr>
          </w:p>
        </w:tc>
        <w:tc>
          <w:tcPr>
            <w:tcW w:w="980" w:type="dxa"/>
            <w:vAlign w:val="bottom"/>
            <w:shd w:val="clear" w:color="auto" w:fill="D9D9D9"/>
          </w:tcPr>
          <w:p>
            <w:pPr>
              <w:spacing w:after="0"/>
              <w:rPr>
                <w:sz w:val="8"/>
                <w:szCs w:val="8"/>
                <w:color w:val="auto"/>
              </w:rPr>
            </w:pPr>
          </w:p>
        </w:tc>
        <w:tc>
          <w:tcPr>
            <w:tcW w:w="800" w:type="dxa"/>
            <w:vAlign w:val="bottom"/>
            <w:shd w:val="clear" w:color="auto" w:fill="D9D9D9"/>
          </w:tcPr>
          <w:p>
            <w:pPr>
              <w:spacing w:after="0"/>
              <w:rPr>
                <w:sz w:val="8"/>
                <w:szCs w:val="8"/>
                <w:color w:val="auto"/>
              </w:rPr>
            </w:pPr>
          </w:p>
        </w:tc>
        <w:tc>
          <w:tcPr>
            <w:tcW w:w="980" w:type="dxa"/>
            <w:vAlign w:val="bottom"/>
            <w:shd w:val="clear" w:color="auto" w:fill="D9D9D9"/>
          </w:tcPr>
          <w:p>
            <w:pPr>
              <w:spacing w:after="0"/>
              <w:rPr>
                <w:sz w:val="8"/>
                <w:szCs w:val="8"/>
                <w:color w:val="auto"/>
              </w:rPr>
            </w:pPr>
          </w:p>
        </w:tc>
        <w:tc>
          <w:tcPr>
            <w:tcW w:w="960" w:type="dxa"/>
            <w:vAlign w:val="bottom"/>
            <w:shd w:val="clear" w:color="auto" w:fill="D9D9D9"/>
          </w:tcPr>
          <w:p>
            <w:pPr>
              <w:spacing w:after="0"/>
              <w:rPr>
                <w:sz w:val="8"/>
                <w:szCs w:val="8"/>
                <w:color w:val="auto"/>
              </w:rPr>
            </w:pPr>
          </w:p>
        </w:tc>
        <w:tc>
          <w:tcPr>
            <w:tcW w:w="1540" w:type="dxa"/>
            <w:vAlign w:val="bottom"/>
            <w:shd w:val="clear" w:color="auto" w:fill="D9D9D9"/>
          </w:tcPr>
          <w:p>
            <w:pPr>
              <w:spacing w:after="0"/>
              <w:rPr>
                <w:sz w:val="8"/>
                <w:szCs w:val="8"/>
                <w:color w:val="auto"/>
              </w:rPr>
            </w:pPr>
          </w:p>
        </w:tc>
        <w:tc>
          <w:tcPr>
            <w:tcW w:w="1560" w:type="dxa"/>
            <w:vAlign w:val="bottom"/>
            <w:shd w:val="clear" w:color="auto" w:fill="D9D9D9"/>
          </w:tcPr>
          <w:p>
            <w:pPr>
              <w:spacing w:after="0"/>
              <w:rPr>
                <w:sz w:val="8"/>
                <w:szCs w:val="8"/>
                <w:color w:val="auto"/>
              </w:rPr>
            </w:pPr>
          </w:p>
        </w:tc>
        <w:tc>
          <w:tcPr>
            <w:tcW w:w="780" w:type="dxa"/>
            <w:vAlign w:val="bottom"/>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980" w:type="dxa"/>
            <w:vAlign w:val="bottom"/>
          </w:tcPr>
          <w:p>
            <w:pPr>
              <w:spacing w:after="0"/>
              <w:rPr>
                <w:sz w:val="20"/>
                <w:szCs w:val="20"/>
                <w:color w:val="auto"/>
              </w:rPr>
            </w:pPr>
            <w:r>
              <w:rPr>
                <w:rFonts w:ascii="Arial" w:cs="Arial" w:eastAsia="Arial" w:hAnsi="Arial"/>
                <w:sz w:val="13"/>
                <w:szCs w:val="13"/>
                <w:color w:val="auto"/>
              </w:rPr>
              <w:t>Bradley A. Hamilton,</w:t>
            </w:r>
          </w:p>
        </w:tc>
        <w:tc>
          <w:tcPr>
            <w:tcW w:w="660" w:type="dxa"/>
            <w:vAlign w:val="bottom"/>
            <w:gridSpan w:val="2"/>
          </w:tcPr>
          <w:p>
            <w:pPr>
              <w:jc w:val="center"/>
              <w:ind w:left="54"/>
              <w:spacing w:after="0"/>
              <w:rPr>
                <w:sz w:val="20"/>
                <w:szCs w:val="20"/>
                <w:color w:val="auto"/>
              </w:rPr>
            </w:pPr>
            <w:r>
              <w:rPr>
                <w:rFonts w:ascii="Arial" w:cs="Arial" w:eastAsia="Arial" w:hAnsi="Arial"/>
                <w:sz w:val="13"/>
                <w:szCs w:val="13"/>
                <w:color w:val="auto"/>
              </w:rPr>
              <w:t>2021</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430,366</w:t>
            </w:r>
          </w:p>
        </w:tc>
        <w:tc>
          <w:tcPr>
            <w:tcW w:w="800" w:type="dxa"/>
            <w:vAlign w:val="bottom"/>
          </w:tcPr>
          <w:p>
            <w:pPr>
              <w:jc w:val="center"/>
              <w:spacing w:after="0"/>
              <w:rPr>
                <w:sz w:val="20"/>
                <w:szCs w:val="20"/>
                <w:color w:val="auto"/>
              </w:rPr>
            </w:pPr>
            <w:r>
              <w:rPr>
                <w:rFonts w:ascii="Arial" w:cs="Arial" w:eastAsia="Arial" w:hAnsi="Arial"/>
                <w:sz w:val="13"/>
                <w:szCs w:val="13"/>
                <w:color w:val="auto"/>
              </w:rPr>
              <w:t>0</w:t>
            </w:r>
          </w:p>
        </w:tc>
        <w:tc>
          <w:tcPr>
            <w:tcW w:w="980" w:type="dxa"/>
            <w:vAlign w:val="bottom"/>
          </w:tcPr>
          <w:p>
            <w:pPr>
              <w:jc w:val="right"/>
              <w:ind w:right="54"/>
              <w:spacing w:after="0"/>
              <w:rPr>
                <w:sz w:val="20"/>
                <w:szCs w:val="20"/>
                <w:color w:val="auto"/>
              </w:rPr>
            </w:pPr>
            <w:r>
              <w:rPr>
                <w:rFonts w:ascii="Arial" w:cs="Arial" w:eastAsia="Arial" w:hAnsi="Arial"/>
                <w:sz w:val="13"/>
                <w:szCs w:val="13"/>
                <w:color w:val="auto"/>
              </w:rPr>
              <w:t>398,596</w:t>
            </w:r>
          </w:p>
        </w:tc>
        <w:tc>
          <w:tcPr>
            <w:tcW w:w="960" w:type="dxa"/>
            <w:vAlign w:val="bottom"/>
          </w:tcPr>
          <w:p>
            <w:pPr>
              <w:jc w:val="right"/>
              <w:ind w:right="74"/>
              <w:spacing w:after="0"/>
              <w:rPr>
                <w:sz w:val="20"/>
                <w:szCs w:val="20"/>
                <w:color w:val="auto"/>
              </w:rPr>
            </w:pPr>
            <w:r>
              <w:rPr>
                <w:rFonts w:ascii="Arial" w:cs="Arial" w:eastAsia="Arial" w:hAnsi="Arial"/>
                <w:sz w:val="13"/>
                <w:szCs w:val="13"/>
                <w:color w:val="auto"/>
              </w:rPr>
              <w:t>420,462</w:t>
            </w:r>
          </w:p>
        </w:tc>
        <w:tc>
          <w:tcPr>
            <w:tcW w:w="1540" w:type="dxa"/>
            <w:vAlign w:val="bottom"/>
          </w:tcPr>
          <w:p>
            <w:pPr>
              <w:jc w:val="right"/>
              <w:ind w:right="73"/>
              <w:spacing w:after="0"/>
              <w:rPr>
                <w:sz w:val="20"/>
                <w:szCs w:val="20"/>
                <w:color w:val="auto"/>
              </w:rPr>
            </w:pPr>
            <w:r>
              <w:rPr>
                <w:rFonts w:ascii="Arial" w:cs="Arial" w:eastAsia="Arial" w:hAnsi="Arial"/>
                <w:sz w:val="13"/>
                <w:szCs w:val="13"/>
                <w:color w:val="auto"/>
              </w:rPr>
              <w:t>431,123</w:t>
            </w:r>
          </w:p>
        </w:tc>
        <w:tc>
          <w:tcPr>
            <w:tcW w:w="1560" w:type="dxa"/>
            <w:vAlign w:val="bottom"/>
          </w:tcPr>
          <w:p>
            <w:pPr>
              <w:jc w:val="right"/>
              <w:ind w:right="94"/>
              <w:spacing w:after="0"/>
              <w:rPr>
                <w:sz w:val="20"/>
                <w:szCs w:val="20"/>
                <w:color w:val="auto"/>
              </w:rPr>
            </w:pPr>
            <w:r>
              <w:rPr>
                <w:rFonts w:ascii="Arial" w:cs="Arial" w:eastAsia="Arial" w:hAnsi="Arial"/>
                <w:sz w:val="13"/>
                <w:szCs w:val="13"/>
                <w:color w:val="auto"/>
              </w:rPr>
              <w:t>129,341</w:t>
            </w:r>
          </w:p>
        </w:tc>
        <w:tc>
          <w:tcPr>
            <w:tcW w:w="780" w:type="dxa"/>
            <w:vAlign w:val="bottom"/>
          </w:tcPr>
          <w:p>
            <w:pPr>
              <w:jc w:val="right"/>
              <w:spacing w:after="0"/>
              <w:rPr>
                <w:sz w:val="20"/>
                <w:szCs w:val="20"/>
                <w:color w:val="auto"/>
              </w:rPr>
            </w:pPr>
            <w:r>
              <w:rPr>
                <w:rFonts w:ascii="Arial" w:cs="Arial" w:eastAsia="Arial" w:hAnsi="Arial"/>
                <w:sz w:val="13"/>
                <w:szCs w:val="13"/>
                <w:color w:val="auto"/>
              </w:rPr>
              <w:t>1,809,888</w:t>
            </w:r>
          </w:p>
        </w:tc>
        <w:tc>
          <w:tcPr>
            <w:tcW w:w="0" w:type="dxa"/>
            <w:vAlign w:val="bottom"/>
          </w:tcPr>
          <w:p>
            <w:pPr>
              <w:spacing w:after="0"/>
              <w:rPr>
                <w:sz w:val="1"/>
                <w:szCs w:val="1"/>
                <w:color w:val="auto"/>
              </w:rPr>
            </w:pPr>
          </w:p>
        </w:tc>
      </w:tr>
      <w:tr>
        <w:trPr>
          <w:trHeight w:val="146"/>
        </w:trPr>
        <w:tc>
          <w:tcPr>
            <w:tcW w:w="2980" w:type="dxa"/>
            <w:vAlign w:val="bottom"/>
          </w:tcPr>
          <w:p>
            <w:pPr>
              <w:ind w:left="120"/>
              <w:spacing w:after="0" w:line="146" w:lineRule="exact"/>
              <w:rPr>
                <w:sz w:val="20"/>
                <w:szCs w:val="20"/>
                <w:color w:val="auto"/>
              </w:rPr>
            </w:pPr>
            <w:r>
              <w:rPr>
                <w:rFonts w:ascii="Arial" w:cs="Arial" w:eastAsia="Arial" w:hAnsi="Arial"/>
                <w:sz w:val="13"/>
                <w:szCs w:val="13"/>
                <w:color w:val="auto"/>
              </w:rPr>
              <w:t>Group Vice President, Commercial,</w:t>
            </w:r>
          </w:p>
        </w:tc>
        <w:tc>
          <w:tcPr>
            <w:tcW w:w="660" w:type="dxa"/>
            <w:vAlign w:val="bottom"/>
            <w:gridSpan w:val="2"/>
            <w:vMerge w:val="restart"/>
          </w:tcPr>
          <w:p>
            <w:pPr>
              <w:jc w:val="center"/>
              <w:ind w:left="54"/>
              <w:spacing w:after="0"/>
              <w:rPr>
                <w:sz w:val="20"/>
                <w:szCs w:val="20"/>
                <w:color w:val="auto"/>
              </w:rPr>
            </w:pPr>
            <w:r>
              <w:rPr>
                <w:rFonts w:ascii="Arial" w:cs="Arial" w:eastAsia="Arial" w:hAnsi="Arial"/>
                <w:sz w:val="13"/>
                <w:szCs w:val="13"/>
                <w:color w:val="auto"/>
              </w:rPr>
              <w:t>2020</w:t>
            </w:r>
          </w:p>
        </w:tc>
        <w:tc>
          <w:tcPr>
            <w:tcW w:w="980" w:type="dxa"/>
            <w:vAlign w:val="bottom"/>
            <w:vMerge w:val="restart"/>
          </w:tcPr>
          <w:p>
            <w:pPr>
              <w:jc w:val="right"/>
              <w:ind w:right="34"/>
              <w:spacing w:after="0"/>
              <w:rPr>
                <w:sz w:val="20"/>
                <w:szCs w:val="20"/>
                <w:color w:val="auto"/>
              </w:rPr>
            </w:pPr>
            <w:r>
              <w:rPr>
                <w:rFonts w:ascii="Arial" w:cs="Arial" w:eastAsia="Arial" w:hAnsi="Arial"/>
                <w:sz w:val="13"/>
                <w:szCs w:val="13"/>
                <w:color w:val="auto"/>
              </w:rPr>
              <w:t>378,000</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rPr>
              <w:t>0</w:t>
            </w:r>
          </w:p>
        </w:tc>
        <w:tc>
          <w:tcPr>
            <w:tcW w:w="980" w:type="dxa"/>
            <w:vAlign w:val="bottom"/>
            <w:vMerge w:val="restart"/>
          </w:tcPr>
          <w:p>
            <w:pPr>
              <w:jc w:val="right"/>
              <w:ind w:right="54"/>
              <w:spacing w:after="0"/>
              <w:rPr>
                <w:sz w:val="20"/>
                <w:szCs w:val="20"/>
                <w:color w:val="auto"/>
              </w:rPr>
            </w:pPr>
            <w:r>
              <w:rPr>
                <w:rFonts w:ascii="Arial" w:cs="Arial" w:eastAsia="Arial" w:hAnsi="Arial"/>
                <w:sz w:val="13"/>
                <w:szCs w:val="13"/>
                <w:color w:val="auto"/>
              </w:rPr>
              <w:t>347,985</w:t>
            </w:r>
          </w:p>
        </w:tc>
        <w:tc>
          <w:tcPr>
            <w:tcW w:w="960" w:type="dxa"/>
            <w:vAlign w:val="bottom"/>
            <w:vMerge w:val="restart"/>
          </w:tcPr>
          <w:p>
            <w:pPr>
              <w:jc w:val="right"/>
              <w:ind w:right="74"/>
              <w:spacing w:after="0"/>
              <w:rPr>
                <w:sz w:val="20"/>
                <w:szCs w:val="20"/>
                <w:color w:val="auto"/>
              </w:rPr>
            </w:pPr>
            <w:r>
              <w:rPr>
                <w:rFonts w:ascii="Arial" w:cs="Arial" w:eastAsia="Arial" w:hAnsi="Arial"/>
                <w:sz w:val="13"/>
                <w:szCs w:val="13"/>
                <w:color w:val="auto"/>
              </w:rPr>
              <w:t>353,012</w:t>
            </w:r>
          </w:p>
        </w:tc>
        <w:tc>
          <w:tcPr>
            <w:tcW w:w="1540" w:type="dxa"/>
            <w:vAlign w:val="bottom"/>
            <w:vMerge w:val="restart"/>
          </w:tcPr>
          <w:p>
            <w:pPr>
              <w:jc w:val="right"/>
              <w:ind w:right="73"/>
              <w:spacing w:after="0"/>
              <w:rPr>
                <w:sz w:val="20"/>
                <w:szCs w:val="20"/>
                <w:color w:val="auto"/>
              </w:rPr>
            </w:pPr>
            <w:r>
              <w:rPr>
                <w:rFonts w:ascii="Arial" w:cs="Arial" w:eastAsia="Arial" w:hAnsi="Arial"/>
                <w:sz w:val="13"/>
                <w:szCs w:val="13"/>
                <w:color w:val="auto"/>
              </w:rPr>
              <w:t>69,514</w:t>
            </w:r>
          </w:p>
        </w:tc>
        <w:tc>
          <w:tcPr>
            <w:tcW w:w="1560" w:type="dxa"/>
            <w:vAlign w:val="bottom"/>
            <w:vMerge w:val="restart"/>
          </w:tcPr>
          <w:p>
            <w:pPr>
              <w:jc w:val="right"/>
              <w:ind w:right="94"/>
              <w:spacing w:after="0"/>
              <w:rPr>
                <w:sz w:val="20"/>
                <w:szCs w:val="20"/>
                <w:color w:val="auto"/>
              </w:rPr>
            </w:pPr>
            <w:r>
              <w:rPr>
                <w:rFonts w:ascii="Arial" w:cs="Arial" w:eastAsia="Arial" w:hAnsi="Arial"/>
                <w:sz w:val="13"/>
                <w:szCs w:val="13"/>
                <w:color w:val="auto"/>
              </w:rPr>
              <w:t>46,368</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1,194,879</w:t>
            </w:r>
          </w:p>
        </w:tc>
        <w:tc>
          <w:tcPr>
            <w:tcW w:w="0" w:type="dxa"/>
            <w:vAlign w:val="bottom"/>
          </w:tcPr>
          <w:p>
            <w:pPr>
              <w:spacing w:after="0"/>
              <w:rPr>
                <w:sz w:val="1"/>
                <w:szCs w:val="1"/>
                <w:color w:val="auto"/>
              </w:rPr>
            </w:pPr>
          </w:p>
        </w:tc>
      </w:tr>
      <w:tr>
        <w:trPr>
          <w:trHeight w:val="94"/>
        </w:trPr>
        <w:tc>
          <w:tcPr>
            <w:tcW w:w="2980" w:type="dxa"/>
            <w:vAlign w:val="bottom"/>
            <w:vMerge w:val="restart"/>
          </w:tcPr>
          <w:p>
            <w:pPr>
              <w:ind w:left="120"/>
              <w:spacing w:after="0"/>
              <w:rPr>
                <w:sz w:val="20"/>
                <w:szCs w:val="20"/>
                <w:color w:val="auto"/>
              </w:rPr>
            </w:pPr>
            <w:r>
              <w:rPr>
                <w:rFonts w:ascii="Arial" w:cs="Arial" w:eastAsia="Arial" w:hAnsi="Arial"/>
                <w:sz w:val="13"/>
                <w:szCs w:val="13"/>
                <w:color w:val="auto"/>
              </w:rPr>
              <w:t>International, Ventrac and Irrigation Businesses</w:t>
            </w:r>
          </w:p>
        </w:tc>
        <w:tc>
          <w:tcPr>
            <w:tcW w:w="660" w:type="dxa"/>
            <w:vAlign w:val="bottom"/>
            <w:gridSpan w:val="2"/>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980" w:type="dxa"/>
            <w:vAlign w:val="bottom"/>
            <w:vMerge w:val="continue"/>
          </w:tcPr>
          <w:p>
            <w:pPr>
              <w:spacing w:after="0"/>
              <w:rPr>
                <w:sz w:val="5"/>
                <w:szCs w:val="5"/>
                <w:color w:val="auto"/>
              </w:rPr>
            </w:pPr>
          </w:p>
        </w:tc>
        <w:tc>
          <w:tcPr>
            <w:tcW w:w="660" w:type="dxa"/>
            <w:vAlign w:val="bottom"/>
            <w:gridSpan w:val="2"/>
            <w:vMerge w:val="restart"/>
          </w:tcPr>
          <w:p>
            <w:pPr>
              <w:jc w:val="center"/>
              <w:ind w:left="54"/>
              <w:spacing w:after="0"/>
              <w:rPr>
                <w:sz w:val="20"/>
                <w:szCs w:val="20"/>
                <w:color w:val="auto"/>
              </w:rPr>
            </w:pPr>
            <w:r>
              <w:rPr>
                <w:rFonts w:ascii="Arial" w:cs="Arial" w:eastAsia="Arial" w:hAnsi="Arial"/>
                <w:sz w:val="13"/>
                <w:szCs w:val="13"/>
                <w:color w:val="auto"/>
              </w:rPr>
              <w:t>2019</w:t>
            </w:r>
          </w:p>
        </w:tc>
        <w:tc>
          <w:tcPr>
            <w:tcW w:w="980" w:type="dxa"/>
            <w:vAlign w:val="bottom"/>
            <w:vMerge w:val="restart"/>
          </w:tcPr>
          <w:p>
            <w:pPr>
              <w:jc w:val="right"/>
              <w:ind w:right="34"/>
              <w:spacing w:after="0"/>
              <w:rPr>
                <w:sz w:val="20"/>
                <w:szCs w:val="20"/>
                <w:color w:val="auto"/>
              </w:rPr>
            </w:pPr>
            <w:r>
              <w:rPr>
                <w:rFonts w:ascii="Arial" w:cs="Arial" w:eastAsia="Arial" w:hAnsi="Arial"/>
                <w:sz w:val="13"/>
                <w:szCs w:val="13"/>
                <w:color w:val="auto"/>
              </w:rPr>
              <w:t>400,000</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rPr>
              <w:t>0</w:t>
            </w:r>
          </w:p>
        </w:tc>
        <w:tc>
          <w:tcPr>
            <w:tcW w:w="980" w:type="dxa"/>
            <w:vAlign w:val="bottom"/>
            <w:vMerge w:val="restart"/>
          </w:tcPr>
          <w:p>
            <w:pPr>
              <w:jc w:val="right"/>
              <w:ind w:right="54"/>
              <w:spacing w:after="0"/>
              <w:rPr>
                <w:sz w:val="20"/>
                <w:szCs w:val="20"/>
                <w:color w:val="auto"/>
              </w:rPr>
            </w:pPr>
            <w:r>
              <w:rPr>
                <w:rFonts w:ascii="Arial" w:cs="Arial" w:eastAsia="Arial" w:hAnsi="Arial"/>
                <w:sz w:val="13"/>
                <w:szCs w:val="13"/>
                <w:color w:val="auto"/>
              </w:rPr>
              <w:t>297,900</w:t>
            </w:r>
          </w:p>
        </w:tc>
        <w:tc>
          <w:tcPr>
            <w:tcW w:w="960" w:type="dxa"/>
            <w:vAlign w:val="bottom"/>
            <w:vMerge w:val="restart"/>
          </w:tcPr>
          <w:p>
            <w:pPr>
              <w:jc w:val="right"/>
              <w:ind w:right="74"/>
              <w:spacing w:after="0"/>
              <w:rPr>
                <w:sz w:val="20"/>
                <w:szCs w:val="20"/>
                <w:color w:val="auto"/>
              </w:rPr>
            </w:pPr>
            <w:r>
              <w:rPr>
                <w:rFonts w:ascii="Arial" w:cs="Arial" w:eastAsia="Arial" w:hAnsi="Arial"/>
                <w:sz w:val="13"/>
                <w:szCs w:val="13"/>
                <w:color w:val="auto"/>
              </w:rPr>
              <w:t>259,416</w:t>
            </w:r>
          </w:p>
        </w:tc>
        <w:tc>
          <w:tcPr>
            <w:tcW w:w="1540" w:type="dxa"/>
            <w:vAlign w:val="bottom"/>
            <w:vMerge w:val="restart"/>
          </w:tcPr>
          <w:p>
            <w:pPr>
              <w:jc w:val="right"/>
              <w:ind w:right="73"/>
              <w:spacing w:after="0"/>
              <w:rPr>
                <w:sz w:val="20"/>
                <w:szCs w:val="20"/>
                <w:color w:val="auto"/>
              </w:rPr>
            </w:pPr>
            <w:r>
              <w:rPr>
                <w:rFonts w:ascii="Arial" w:cs="Arial" w:eastAsia="Arial" w:hAnsi="Arial"/>
                <w:sz w:val="13"/>
                <w:szCs w:val="13"/>
                <w:color w:val="auto"/>
              </w:rPr>
              <w:t>143,160</w:t>
            </w:r>
          </w:p>
        </w:tc>
        <w:tc>
          <w:tcPr>
            <w:tcW w:w="1560" w:type="dxa"/>
            <w:vAlign w:val="bottom"/>
            <w:vMerge w:val="restart"/>
          </w:tcPr>
          <w:p>
            <w:pPr>
              <w:jc w:val="right"/>
              <w:ind w:right="94"/>
              <w:spacing w:after="0"/>
              <w:rPr>
                <w:sz w:val="20"/>
                <w:szCs w:val="20"/>
                <w:color w:val="auto"/>
              </w:rPr>
            </w:pPr>
            <w:r>
              <w:rPr>
                <w:rFonts w:ascii="Arial" w:cs="Arial" w:eastAsia="Arial" w:hAnsi="Arial"/>
                <w:sz w:val="13"/>
                <w:szCs w:val="13"/>
                <w:color w:val="auto"/>
              </w:rPr>
              <w:t>74,446</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1,174,922</w:t>
            </w:r>
          </w:p>
        </w:tc>
        <w:tc>
          <w:tcPr>
            <w:tcW w:w="0" w:type="dxa"/>
            <w:vAlign w:val="bottom"/>
          </w:tcPr>
          <w:p>
            <w:pPr>
              <w:spacing w:after="0"/>
              <w:rPr>
                <w:sz w:val="1"/>
                <w:szCs w:val="1"/>
                <w:color w:val="auto"/>
              </w:rPr>
            </w:pPr>
          </w:p>
        </w:tc>
      </w:tr>
      <w:tr>
        <w:trPr>
          <w:trHeight w:val="133"/>
        </w:trPr>
        <w:tc>
          <w:tcPr>
            <w:tcW w:w="29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540" w:type="dxa"/>
            <w:vAlign w:val="bottom"/>
            <w:vMerge w:val="continue"/>
          </w:tcPr>
          <w:p>
            <w:pPr>
              <w:spacing w:after="0"/>
              <w:rPr>
                <w:sz w:val="11"/>
                <w:szCs w:val="11"/>
                <w:color w:val="auto"/>
              </w:rPr>
            </w:pPr>
          </w:p>
        </w:tc>
        <w:tc>
          <w:tcPr>
            <w:tcW w:w="15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84455</wp:posOffset>
            </wp:positionV>
            <wp:extent cx="203454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034540" cy="8255"/>
                    </a:xfrm>
                    <a:prstGeom prst="rect">
                      <a:avLst/>
                    </a:prstGeom>
                    <a:noFill/>
                  </pic:spPr>
                </pic:pic>
              </a:graphicData>
            </a:graphic>
          </wp:anchor>
        </w:drawing>
      </w:r>
    </w:p>
    <w:p>
      <w:pPr>
        <w:spacing w:after="0" w:line="205" w:lineRule="exact"/>
        <w:rPr>
          <w:sz w:val="20"/>
          <w:szCs w:val="20"/>
          <w:color w:val="auto"/>
        </w:rPr>
      </w:pPr>
    </w:p>
    <w:p>
      <w:pPr>
        <w:ind w:left="400" w:right="120" w:hanging="394"/>
        <w:spacing w:after="0" w:line="235" w:lineRule="auto"/>
        <w:tabs>
          <w:tab w:leader="none" w:pos="4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Amounts reflect actual salary earnings throughout the fiscal year. Beginning in May 2020, and for the remainder of fiscal 2020, due to the uncertainty of the impact of the COVID-19 pandemic on our business at that time, we initiated several cost saving measures to partially mitigate the anticipated impact of COVID-19, which included a 30% base salary reduction for our Chairman and CEO and a 20% base salary reduction for the other named executed officers.</w:t>
      </w:r>
    </w:p>
    <w:p>
      <w:pPr>
        <w:spacing w:after="0" w:line="93" w:lineRule="exact"/>
        <w:rPr>
          <w:rFonts w:ascii="Arial" w:cs="Arial" w:eastAsia="Arial" w:hAnsi="Arial"/>
          <w:sz w:val="18"/>
          <w:szCs w:val="18"/>
          <w:color w:val="auto"/>
        </w:rPr>
      </w:pPr>
    </w:p>
    <w:p>
      <w:pPr>
        <w:ind w:left="400" w:right="80" w:hanging="394"/>
        <w:spacing w:after="0" w:line="255" w:lineRule="auto"/>
        <w:tabs>
          <w:tab w:leader="none" w:pos="4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We generally do not pay discretionary bonuses or bonuses that are subjectively determined; we did not pay any such bonuses to any of our named executive officers in any of the last three most recently completed fiscal years. Annual cash incentive award payouts based on performance against pre-established financial performance goals are reported in the “Non-Equity Incentive Plan Compensation” column.</w:t>
      </w:r>
    </w:p>
    <w:p>
      <w:pPr>
        <w:spacing w:after="0" w:line="81" w:lineRule="exact"/>
        <w:rPr>
          <w:rFonts w:ascii="Arial" w:cs="Arial" w:eastAsia="Arial" w:hAnsi="Arial"/>
          <w:sz w:val="17"/>
          <w:szCs w:val="17"/>
          <w:color w:val="auto"/>
        </w:rPr>
      </w:pPr>
    </w:p>
    <w:p>
      <w:pPr>
        <w:ind w:left="400" w:right="80" w:hanging="394"/>
        <w:spacing w:after="0" w:line="233" w:lineRule="auto"/>
        <w:tabs>
          <w:tab w:leader="none" w:pos="4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Amounts reported for fiscal 2021 for our named executive officers represent the grant date fair value, computed in accordance with FASB ASC Topic 718, of performance share awards granted for the fiscal 2021 to fiscal 2023 performance period assuming target levels of performance. Amounts reported for each named executive officer and each award for fiscal 2021 are set forth in the “Grants of Plan-Based Awards for Fiscal 2021” table in the “Grant Date Fair Value of Stock and Option Awards” column. Provided below is the fiscal 2021 grant date fair value of performance share awards for the fiscal 2021 to fiscal 2023 performance period assuming maximum levels of performance. The maximum value is calculated using the number of shares reflected in the “Maximum” column of the “Estimated Future Payouts Under Equity Incentive Plan Awards” section of the “Grants of Plan-Based Awards for Fiscal 2021” table and the closing price of our common stock on December 1, 2020, the grant date, of $90.59.</w:t>
      </w:r>
    </w:p>
    <w:p>
      <w:pPr>
        <w:spacing w:after="0" w:line="14"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1860" w:type="dxa"/>
            <w:vAlign w:val="bottom"/>
            <w:shd w:val="clear" w:color="auto" w:fill="BE0000"/>
          </w:tcPr>
          <w:p>
            <w:pPr>
              <w:spacing w:after="0"/>
              <w:rPr>
                <w:sz w:val="14"/>
                <w:szCs w:val="14"/>
                <w:color w:val="auto"/>
              </w:rPr>
            </w:pPr>
          </w:p>
        </w:tc>
        <w:tc>
          <w:tcPr>
            <w:tcW w:w="3360" w:type="dxa"/>
            <w:vAlign w:val="bottom"/>
            <w:shd w:val="clear" w:color="auto" w:fill="BE0000"/>
          </w:tcPr>
          <w:p>
            <w:pPr>
              <w:jc w:val="center"/>
              <w:ind w:left="604"/>
              <w:spacing w:after="0"/>
              <w:rPr>
                <w:sz w:val="20"/>
                <w:szCs w:val="20"/>
                <w:color w:val="auto"/>
              </w:rPr>
            </w:pPr>
            <w:r>
              <w:rPr>
                <w:rFonts w:ascii="Arial" w:cs="Arial" w:eastAsia="Arial" w:hAnsi="Arial"/>
                <w:sz w:val="14"/>
                <w:szCs w:val="14"/>
                <w:b w:val="1"/>
                <w:bCs w:val="1"/>
                <w:color w:val="FFFFFF"/>
              </w:rPr>
              <w:t>Grant Date Fair Value at</w:t>
            </w:r>
          </w:p>
        </w:tc>
        <w:tc>
          <w:tcPr>
            <w:tcW w:w="0" w:type="dxa"/>
            <w:vAlign w:val="bottom"/>
          </w:tcPr>
          <w:p>
            <w:pPr>
              <w:spacing w:after="0"/>
              <w:rPr>
                <w:sz w:val="1"/>
                <w:szCs w:val="1"/>
                <w:color w:val="auto"/>
              </w:rPr>
            </w:pPr>
          </w:p>
        </w:tc>
      </w:tr>
      <w:tr>
        <w:trPr>
          <w:trHeight w:val="133"/>
        </w:trPr>
        <w:tc>
          <w:tcPr>
            <w:tcW w:w="1860" w:type="dxa"/>
            <w:vAlign w:val="bottom"/>
            <w:vMerge w:val="restart"/>
            <w:shd w:val="clear" w:color="auto" w:fill="BE0000"/>
          </w:tcPr>
          <w:p>
            <w:pPr>
              <w:spacing w:after="0"/>
              <w:rPr>
                <w:sz w:val="20"/>
                <w:szCs w:val="20"/>
                <w:color w:val="auto"/>
              </w:rPr>
            </w:pPr>
            <w:r>
              <w:rPr>
                <w:rFonts w:ascii="Arial" w:cs="Arial" w:eastAsia="Arial" w:hAnsi="Arial"/>
                <w:sz w:val="14"/>
                <w:szCs w:val="14"/>
                <w:b w:val="1"/>
                <w:bCs w:val="1"/>
                <w:color w:val="FFFFFF"/>
              </w:rPr>
              <w:t>Name</w:t>
            </w:r>
          </w:p>
        </w:tc>
        <w:tc>
          <w:tcPr>
            <w:tcW w:w="3360" w:type="dxa"/>
            <w:vAlign w:val="bottom"/>
            <w:shd w:val="clear" w:color="auto" w:fill="BE0000"/>
          </w:tcPr>
          <w:p>
            <w:pPr>
              <w:jc w:val="center"/>
              <w:ind w:left="604"/>
              <w:spacing w:after="0" w:line="133" w:lineRule="exact"/>
              <w:rPr>
                <w:sz w:val="20"/>
                <w:szCs w:val="20"/>
                <w:color w:val="auto"/>
              </w:rPr>
            </w:pPr>
            <w:r>
              <w:rPr>
                <w:rFonts w:ascii="Arial" w:cs="Arial" w:eastAsia="Arial" w:hAnsi="Arial"/>
                <w:sz w:val="14"/>
                <w:szCs w:val="14"/>
                <w:b w:val="1"/>
                <w:bCs w:val="1"/>
                <w:color w:val="FFFFFF"/>
              </w:rPr>
              <w:t>Maximum Levels of Performance</w:t>
            </w:r>
          </w:p>
        </w:tc>
        <w:tc>
          <w:tcPr>
            <w:tcW w:w="0" w:type="dxa"/>
            <w:vAlign w:val="bottom"/>
          </w:tcPr>
          <w:p>
            <w:pPr>
              <w:spacing w:after="0"/>
              <w:rPr>
                <w:sz w:val="1"/>
                <w:szCs w:val="1"/>
                <w:color w:val="auto"/>
              </w:rPr>
            </w:pPr>
          </w:p>
        </w:tc>
      </w:tr>
      <w:tr>
        <w:trPr>
          <w:trHeight w:val="146"/>
        </w:trPr>
        <w:tc>
          <w:tcPr>
            <w:tcW w:w="1860" w:type="dxa"/>
            <w:vAlign w:val="bottom"/>
            <w:vMerge w:val="continue"/>
            <w:shd w:val="clear" w:color="auto" w:fill="BE0000"/>
          </w:tcPr>
          <w:p>
            <w:pPr>
              <w:spacing w:after="0"/>
              <w:rPr>
                <w:sz w:val="12"/>
                <w:szCs w:val="12"/>
                <w:color w:val="auto"/>
              </w:rPr>
            </w:pPr>
          </w:p>
        </w:tc>
        <w:tc>
          <w:tcPr>
            <w:tcW w:w="3360" w:type="dxa"/>
            <w:vAlign w:val="bottom"/>
            <w:shd w:val="clear" w:color="auto" w:fill="BE0000"/>
          </w:tcPr>
          <w:p>
            <w:pPr>
              <w:jc w:val="center"/>
              <w:ind w:left="604"/>
              <w:spacing w:after="0" w:line="147" w:lineRule="exact"/>
              <w:rPr>
                <w:sz w:val="20"/>
                <w:szCs w:val="20"/>
                <w:color w:val="auto"/>
              </w:rPr>
            </w:pPr>
            <w:r>
              <w:rPr>
                <w:rFonts w:ascii="Arial" w:cs="Arial" w:eastAsia="Arial" w:hAnsi="Arial"/>
                <w:sz w:val="14"/>
                <w:szCs w:val="14"/>
                <w:b w:val="1"/>
                <w:bCs w:val="1"/>
                <w:color w:val="FFFFFF"/>
                <w:w w:val="93"/>
              </w:rPr>
              <w:t>($)</w:t>
            </w:r>
          </w:p>
        </w:tc>
        <w:tc>
          <w:tcPr>
            <w:tcW w:w="0" w:type="dxa"/>
            <w:vAlign w:val="bottom"/>
          </w:tcPr>
          <w:p>
            <w:pPr>
              <w:spacing w:after="0"/>
              <w:rPr>
                <w:sz w:val="1"/>
                <w:szCs w:val="1"/>
                <w:color w:val="auto"/>
              </w:rPr>
            </w:pPr>
          </w:p>
        </w:tc>
      </w:tr>
      <w:tr>
        <w:trPr>
          <w:trHeight w:val="199"/>
        </w:trPr>
        <w:tc>
          <w:tcPr>
            <w:tcW w:w="1860" w:type="dxa"/>
            <w:vAlign w:val="bottom"/>
          </w:tcPr>
          <w:p>
            <w:pPr>
              <w:spacing w:after="0"/>
              <w:rPr>
                <w:sz w:val="20"/>
                <w:szCs w:val="20"/>
                <w:color w:val="auto"/>
              </w:rPr>
            </w:pPr>
            <w:r>
              <w:rPr>
                <w:rFonts w:ascii="Arial" w:cs="Arial" w:eastAsia="Arial" w:hAnsi="Arial"/>
                <w:sz w:val="16"/>
                <w:szCs w:val="16"/>
                <w:color w:val="auto"/>
              </w:rPr>
              <w:t>Mr. Olson</w:t>
            </w:r>
          </w:p>
        </w:tc>
        <w:tc>
          <w:tcPr>
            <w:tcW w:w="3360" w:type="dxa"/>
            <w:vAlign w:val="bottom"/>
          </w:tcPr>
          <w:p>
            <w:pPr>
              <w:jc w:val="right"/>
              <w:spacing w:after="0"/>
              <w:rPr>
                <w:sz w:val="20"/>
                <w:szCs w:val="20"/>
                <w:color w:val="auto"/>
              </w:rPr>
            </w:pPr>
            <w:r>
              <w:rPr>
                <w:rFonts w:ascii="Arial" w:cs="Arial" w:eastAsia="Arial" w:hAnsi="Arial"/>
                <w:sz w:val="16"/>
                <w:szCs w:val="16"/>
                <w:color w:val="auto"/>
              </w:rPr>
              <w:t>5,073,040</w:t>
            </w:r>
          </w:p>
        </w:tc>
        <w:tc>
          <w:tcPr>
            <w:tcW w:w="0" w:type="dxa"/>
            <w:vAlign w:val="bottom"/>
          </w:tcPr>
          <w:p>
            <w:pPr>
              <w:spacing w:after="0"/>
              <w:rPr>
                <w:sz w:val="1"/>
                <w:szCs w:val="1"/>
                <w:color w:val="auto"/>
              </w:rPr>
            </w:pPr>
          </w:p>
        </w:tc>
      </w:tr>
      <w:tr>
        <w:trPr>
          <w:trHeight w:val="199"/>
        </w:trPr>
        <w:tc>
          <w:tcPr>
            <w:tcW w:w="1860" w:type="dxa"/>
            <w:vAlign w:val="bottom"/>
            <w:shd w:val="clear" w:color="auto" w:fill="D9D9D9"/>
          </w:tcPr>
          <w:p>
            <w:pPr>
              <w:spacing w:after="0"/>
              <w:rPr>
                <w:sz w:val="20"/>
                <w:szCs w:val="20"/>
                <w:color w:val="auto"/>
              </w:rPr>
            </w:pPr>
            <w:r>
              <w:rPr>
                <w:rFonts w:ascii="Arial" w:cs="Arial" w:eastAsia="Arial" w:hAnsi="Arial"/>
                <w:sz w:val="16"/>
                <w:szCs w:val="16"/>
                <w:color w:val="auto"/>
              </w:rPr>
              <w:t>Ms. Peterson</w:t>
            </w:r>
          </w:p>
        </w:tc>
        <w:tc>
          <w:tcPr>
            <w:tcW w:w="33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1,268,260</w:t>
            </w:r>
          </w:p>
        </w:tc>
        <w:tc>
          <w:tcPr>
            <w:tcW w:w="0" w:type="dxa"/>
            <w:vAlign w:val="bottom"/>
          </w:tcPr>
          <w:p>
            <w:pPr>
              <w:spacing w:after="0"/>
              <w:rPr>
                <w:sz w:val="1"/>
                <w:szCs w:val="1"/>
                <w:color w:val="auto"/>
              </w:rPr>
            </w:pPr>
          </w:p>
        </w:tc>
      </w:tr>
      <w:tr>
        <w:trPr>
          <w:trHeight w:val="199"/>
        </w:trPr>
        <w:tc>
          <w:tcPr>
            <w:tcW w:w="1860" w:type="dxa"/>
            <w:vAlign w:val="bottom"/>
          </w:tcPr>
          <w:p>
            <w:pPr>
              <w:spacing w:after="0"/>
              <w:rPr>
                <w:sz w:val="20"/>
                <w:szCs w:val="20"/>
                <w:color w:val="auto"/>
              </w:rPr>
            </w:pPr>
            <w:r>
              <w:rPr>
                <w:rFonts w:ascii="Arial" w:cs="Arial" w:eastAsia="Arial" w:hAnsi="Arial"/>
                <w:sz w:val="16"/>
                <w:szCs w:val="16"/>
                <w:color w:val="auto"/>
              </w:rPr>
              <w:t>Mr. Rodier</w:t>
            </w:r>
          </w:p>
        </w:tc>
        <w:tc>
          <w:tcPr>
            <w:tcW w:w="3360" w:type="dxa"/>
            <w:vAlign w:val="bottom"/>
          </w:tcPr>
          <w:p>
            <w:pPr>
              <w:jc w:val="right"/>
              <w:spacing w:after="0"/>
              <w:rPr>
                <w:sz w:val="20"/>
                <w:szCs w:val="20"/>
                <w:color w:val="auto"/>
              </w:rPr>
            </w:pPr>
            <w:r>
              <w:rPr>
                <w:rFonts w:ascii="Arial" w:cs="Arial" w:eastAsia="Arial" w:hAnsi="Arial"/>
                <w:sz w:val="16"/>
                <w:szCs w:val="16"/>
                <w:color w:val="auto"/>
              </w:rPr>
              <w:t>1,123,316</w:t>
            </w:r>
          </w:p>
        </w:tc>
        <w:tc>
          <w:tcPr>
            <w:tcW w:w="0" w:type="dxa"/>
            <w:vAlign w:val="bottom"/>
          </w:tcPr>
          <w:p>
            <w:pPr>
              <w:spacing w:after="0"/>
              <w:rPr>
                <w:sz w:val="1"/>
                <w:szCs w:val="1"/>
                <w:color w:val="auto"/>
              </w:rPr>
            </w:pPr>
          </w:p>
        </w:tc>
      </w:tr>
      <w:tr>
        <w:trPr>
          <w:trHeight w:val="199"/>
        </w:trPr>
        <w:tc>
          <w:tcPr>
            <w:tcW w:w="1860" w:type="dxa"/>
            <w:vAlign w:val="bottom"/>
            <w:shd w:val="clear" w:color="auto" w:fill="D9D9D9"/>
          </w:tcPr>
          <w:p>
            <w:pPr>
              <w:spacing w:after="0"/>
              <w:rPr>
                <w:sz w:val="20"/>
                <w:szCs w:val="20"/>
                <w:color w:val="auto"/>
              </w:rPr>
            </w:pPr>
            <w:r>
              <w:rPr>
                <w:rFonts w:ascii="Arial" w:cs="Arial" w:eastAsia="Arial" w:hAnsi="Arial"/>
                <w:sz w:val="16"/>
                <w:szCs w:val="16"/>
                <w:color w:val="auto"/>
              </w:rPr>
              <w:t>Ms. Dahl</w:t>
            </w:r>
          </w:p>
        </w:tc>
        <w:tc>
          <w:tcPr>
            <w:tcW w:w="33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797,192</w:t>
            </w:r>
          </w:p>
        </w:tc>
        <w:tc>
          <w:tcPr>
            <w:tcW w:w="0" w:type="dxa"/>
            <w:vAlign w:val="bottom"/>
          </w:tcPr>
          <w:p>
            <w:pPr>
              <w:spacing w:after="0"/>
              <w:rPr>
                <w:sz w:val="1"/>
                <w:szCs w:val="1"/>
                <w:color w:val="auto"/>
              </w:rPr>
            </w:pPr>
          </w:p>
        </w:tc>
      </w:tr>
      <w:tr>
        <w:trPr>
          <w:trHeight w:val="208"/>
        </w:trPr>
        <w:tc>
          <w:tcPr>
            <w:tcW w:w="1860" w:type="dxa"/>
            <w:vAlign w:val="bottom"/>
          </w:tcPr>
          <w:p>
            <w:pPr>
              <w:spacing w:after="0"/>
              <w:rPr>
                <w:sz w:val="20"/>
                <w:szCs w:val="20"/>
                <w:color w:val="auto"/>
              </w:rPr>
            </w:pPr>
            <w:r>
              <w:rPr>
                <w:rFonts w:ascii="Arial" w:cs="Arial" w:eastAsia="Arial" w:hAnsi="Arial"/>
                <w:sz w:val="16"/>
                <w:szCs w:val="16"/>
                <w:color w:val="auto"/>
              </w:rPr>
              <w:t>Mr. Hamilton</w:t>
            </w:r>
          </w:p>
        </w:tc>
        <w:tc>
          <w:tcPr>
            <w:tcW w:w="3360" w:type="dxa"/>
            <w:vAlign w:val="bottom"/>
          </w:tcPr>
          <w:p>
            <w:pPr>
              <w:jc w:val="right"/>
              <w:spacing w:after="0"/>
              <w:rPr>
                <w:sz w:val="20"/>
                <w:szCs w:val="20"/>
                <w:color w:val="auto"/>
              </w:rPr>
            </w:pPr>
            <w:r>
              <w:rPr>
                <w:rFonts w:ascii="Arial" w:cs="Arial" w:eastAsia="Arial" w:hAnsi="Arial"/>
                <w:sz w:val="16"/>
                <w:szCs w:val="16"/>
                <w:color w:val="auto"/>
              </w:rPr>
              <w:t>797,192</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58" w:lineRule="exact"/>
        <w:rPr>
          <w:sz w:val="20"/>
          <w:szCs w:val="20"/>
          <w:color w:val="auto"/>
        </w:rPr>
      </w:pPr>
    </w:p>
    <w:p>
      <w:pPr>
        <w:ind w:left="400" w:right="140" w:hanging="394"/>
        <w:spacing w:after="0" w:line="238" w:lineRule="auto"/>
        <w:tabs>
          <w:tab w:leader="none" w:pos="4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Amounts reported represent the grant date fair value, computed in accordance with FASB ASC Topic 718, of option awards granted each fiscal year. Summarized in the table below are the specific assumptions used in the valuation of the option awards.</w:t>
      </w:r>
    </w:p>
    <w:p>
      <w:pPr>
        <w:spacing w:after="0" w:line="4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120" w:type="dxa"/>
            <w:vAlign w:val="bottom"/>
            <w:shd w:val="clear" w:color="auto" w:fill="C00000"/>
          </w:tcPr>
          <w:p>
            <w:pPr>
              <w:spacing w:after="0"/>
              <w:rPr>
                <w:sz w:val="14"/>
                <w:szCs w:val="14"/>
                <w:color w:val="auto"/>
              </w:rPr>
            </w:pPr>
          </w:p>
        </w:tc>
        <w:tc>
          <w:tcPr>
            <w:tcW w:w="2640" w:type="dxa"/>
            <w:vAlign w:val="bottom"/>
            <w:shd w:val="clear" w:color="auto" w:fill="C00000"/>
          </w:tcPr>
          <w:p>
            <w:pPr>
              <w:spacing w:after="0"/>
              <w:rPr>
                <w:sz w:val="14"/>
                <w:szCs w:val="14"/>
                <w:color w:val="auto"/>
              </w:rPr>
            </w:pPr>
          </w:p>
        </w:tc>
        <w:tc>
          <w:tcPr>
            <w:tcW w:w="1560" w:type="dxa"/>
            <w:vAlign w:val="bottom"/>
            <w:shd w:val="clear" w:color="auto" w:fill="C00000"/>
          </w:tcPr>
          <w:p>
            <w:pPr>
              <w:spacing w:after="0"/>
              <w:rPr>
                <w:sz w:val="14"/>
                <w:szCs w:val="14"/>
                <w:color w:val="auto"/>
              </w:rPr>
            </w:pPr>
          </w:p>
        </w:tc>
        <w:tc>
          <w:tcPr>
            <w:tcW w:w="1500" w:type="dxa"/>
            <w:vAlign w:val="bottom"/>
            <w:shd w:val="clear" w:color="auto" w:fill="C00000"/>
          </w:tcPr>
          <w:p>
            <w:pPr>
              <w:spacing w:after="0"/>
              <w:rPr>
                <w:sz w:val="14"/>
                <w:szCs w:val="14"/>
                <w:color w:val="auto"/>
              </w:rPr>
            </w:pPr>
          </w:p>
        </w:tc>
        <w:tc>
          <w:tcPr>
            <w:tcW w:w="1560" w:type="dxa"/>
            <w:vAlign w:val="bottom"/>
            <w:shd w:val="clear" w:color="auto" w:fill="C00000"/>
          </w:tcPr>
          <w:p>
            <w:pPr>
              <w:spacing w:after="0"/>
              <w:rPr>
                <w:sz w:val="14"/>
                <w:szCs w:val="14"/>
                <w:color w:val="auto"/>
              </w:rPr>
            </w:pPr>
          </w:p>
        </w:tc>
        <w:tc>
          <w:tcPr>
            <w:tcW w:w="140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Per Share</w:t>
            </w:r>
          </w:p>
        </w:tc>
      </w:tr>
      <w:tr>
        <w:trPr>
          <w:trHeight w:val="160"/>
        </w:trPr>
        <w:tc>
          <w:tcPr>
            <w:tcW w:w="2120" w:type="dxa"/>
            <w:vAlign w:val="bottom"/>
            <w:shd w:val="clear" w:color="auto" w:fill="C00000"/>
          </w:tcPr>
          <w:p>
            <w:pPr>
              <w:spacing w:after="0"/>
              <w:rPr>
                <w:sz w:val="13"/>
                <w:szCs w:val="13"/>
                <w:color w:val="auto"/>
              </w:rPr>
            </w:pPr>
          </w:p>
        </w:tc>
        <w:tc>
          <w:tcPr>
            <w:tcW w:w="2640" w:type="dxa"/>
            <w:vAlign w:val="bottom"/>
            <w:shd w:val="clear" w:color="auto" w:fill="C00000"/>
          </w:tcPr>
          <w:p>
            <w:pPr>
              <w:jc w:val="right"/>
              <w:ind w:right="584"/>
              <w:spacing w:after="0" w:line="159" w:lineRule="exact"/>
              <w:rPr>
                <w:sz w:val="20"/>
                <w:szCs w:val="20"/>
                <w:color w:val="auto"/>
              </w:rPr>
            </w:pPr>
            <w:r>
              <w:rPr>
                <w:rFonts w:ascii="Arial" w:cs="Arial" w:eastAsia="Arial" w:hAnsi="Arial"/>
                <w:sz w:val="14"/>
                <w:szCs w:val="14"/>
                <w:b w:val="1"/>
                <w:bCs w:val="1"/>
                <w:color w:val="FFFFFF"/>
              </w:rPr>
              <w:t>Risk Free</w:t>
            </w:r>
          </w:p>
        </w:tc>
        <w:tc>
          <w:tcPr>
            <w:tcW w:w="1560" w:type="dxa"/>
            <w:vAlign w:val="bottom"/>
            <w:shd w:val="clear" w:color="auto" w:fill="C00000"/>
          </w:tcPr>
          <w:p>
            <w:pPr>
              <w:jc w:val="center"/>
              <w:ind w:right="304"/>
              <w:spacing w:after="0" w:line="159" w:lineRule="exact"/>
              <w:rPr>
                <w:sz w:val="20"/>
                <w:szCs w:val="20"/>
                <w:color w:val="auto"/>
              </w:rPr>
            </w:pPr>
            <w:r>
              <w:rPr>
                <w:rFonts w:ascii="Arial" w:cs="Arial" w:eastAsia="Arial" w:hAnsi="Arial"/>
                <w:sz w:val="14"/>
                <w:szCs w:val="14"/>
                <w:b w:val="1"/>
                <w:bCs w:val="1"/>
                <w:color w:val="FFFFFF"/>
                <w:w w:val="99"/>
              </w:rPr>
              <w:t>Expected</w:t>
            </w:r>
          </w:p>
        </w:tc>
        <w:tc>
          <w:tcPr>
            <w:tcW w:w="1500" w:type="dxa"/>
            <w:vAlign w:val="bottom"/>
            <w:shd w:val="clear" w:color="auto" w:fill="C00000"/>
          </w:tcPr>
          <w:p>
            <w:pPr>
              <w:jc w:val="right"/>
              <w:ind w:right="504"/>
              <w:spacing w:after="0" w:line="159" w:lineRule="exact"/>
              <w:rPr>
                <w:sz w:val="20"/>
                <w:szCs w:val="20"/>
                <w:color w:val="auto"/>
              </w:rPr>
            </w:pPr>
            <w:r>
              <w:rPr>
                <w:rFonts w:ascii="Arial" w:cs="Arial" w:eastAsia="Arial" w:hAnsi="Arial"/>
                <w:sz w:val="14"/>
                <w:szCs w:val="14"/>
                <w:b w:val="1"/>
                <w:bCs w:val="1"/>
                <w:color w:val="FFFFFF"/>
              </w:rPr>
              <w:t>Expected</w:t>
            </w:r>
          </w:p>
        </w:tc>
        <w:tc>
          <w:tcPr>
            <w:tcW w:w="1560" w:type="dxa"/>
            <w:vAlign w:val="bottom"/>
            <w:shd w:val="clear" w:color="auto" w:fill="C00000"/>
          </w:tcPr>
          <w:p>
            <w:pPr>
              <w:jc w:val="right"/>
              <w:ind w:right="504"/>
              <w:spacing w:after="0" w:line="159" w:lineRule="exact"/>
              <w:rPr>
                <w:sz w:val="20"/>
                <w:szCs w:val="20"/>
                <w:color w:val="auto"/>
              </w:rPr>
            </w:pPr>
            <w:r>
              <w:rPr>
                <w:rFonts w:ascii="Arial" w:cs="Arial" w:eastAsia="Arial" w:hAnsi="Arial"/>
                <w:sz w:val="14"/>
                <w:szCs w:val="14"/>
                <w:b w:val="1"/>
                <w:bCs w:val="1"/>
                <w:color w:val="FFFFFF"/>
              </w:rPr>
              <w:t>Expected</w:t>
            </w:r>
          </w:p>
        </w:tc>
        <w:tc>
          <w:tcPr>
            <w:tcW w:w="1400" w:type="dxa"/>
            <w:vAlign w:val="bottom"/>
            <w:shd w:val="clear" w:color="auto" w:fill="C00000"/>
          </w:tcPr>
          <w:p>
            <w:pPr>
              <w:jc w:val="center"/>
              <w:spacing w:after="0" w:line="159" w:lineRule="exact"/>
              <w:rPr>
                <w:sz w:val="20"/>
                <w:szCs w:val="20"/>
                <w:color w:val="auto"/>
              </w:rPr>
            </w:pPr>
            <w:r>
              <w:rPr>
                <w:rFonts w:ascii="Arial" w:cs="Arial" w:eastAsia="Arial" w:hAnsi="Arial"/>
                <w:sz w:val="14"/>
                <w:szCs w:val="14"/>
                <w:b w:val="1"/>
                <w:bCs w:val="1"/>
                <w:color w:val="FFFFFF"/>
              </w:rPr>
              <w:t>Black-Scholes</w:t>
            </w:r>
          </w:p>
        </w:tc>
      </w:tr>
      <w:tr>
        <w:trPr>
          <w:trHeight w:val="173"/>
        </w:trPr>
        <w:tc>
          <w:tcPr>
            <w:tcW w:w="212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Grant Date</w:t>
            </w:r>
          </w:p>
        </w:tc>
        <w:tc>
          <w:tcPr>
            <w:tcW w:w="2640" w:type="dxa"/>
            <w:vAlign w:val="bottom"/>
            <w:shd w:val="clear" w:color="auto" w:fill="C00000"/>
          </w:tcPr>
          <w:p>
            <w:pPr>
              <w:jc w:val="right"/>
              <w:ind w:right="744"/>
              <w:spacing w:after="0"/>
              <w:rPr>
                <w:sz w:val="20"/>
                <w:szCs w:val="20"/>
                <w:color w:val="auto"/>
              </w:rPr>
            </w:pPr>
            <w:r>
              <w:rPr>
                <w:rFonts w:ascii="Arial" w:cs="Arial" w:eastAsia="Arial" w:hAnsi="Arial"/>
                <w:sz w:val="14"/>
                <w:szCs w:val="14"/>
                <w:b w:val="1"/>
                <w:bCs w:val="1"/>
                <w:color w:val="FFFFFF"/>
              </w:rPr>
              <w:t>Rate</w:t>
            </w:r>
          </w:p>
        </w:tc>
        <w:tc>
          <w:tcPr>
            <w:tcW w:w="1560" w:type="dxa"/>
            <w:vAlign w:val="bottom"/>
            <w:shd w:val="clear" w:color="auto" w:fill="C00000"/>
          </w:tcPr>
          <w:p>
            <w:pPr>
              <w:jc w:val="center"/>
              <w:ind w:right="304"/>
              <w:spacing w:after="0"/>
              <w:rPr>
                <w:sz w:val="20"/>
                <w:szCs w:val="20"/>
                <w:color w:val="auto"/>
              </w:rPr>
            </w:pPr>
            <w:r>
              <w:rPr>
                <w:rFonts w:ascii="Arial" w:cs="Arial" w:eastAsia="Arial" w:hAnsi="Arial"/>
                <w:sz w:val="14"/>
                <w:szCs w:val="14"/>
                <w:b w:val="1"/>
                <w:bCs w:val="1"/>
                <w:color w:val="FFFFFF"/>
              </w:rPr>
              <w:t>Life</w:t>
            </w:r>
          </w:p>
        </w:tc>
        <w:tc>
          <w:tcPr>
            <w:tcW w:w="1500" w:type="dxa"/>
            <w:vAlign w:val="bottom"/>
            <w:shd w:val="clear" w:color="auto" w:fill="C00000"/>
          </w:tcPr>
          <w:p>
            <w:pPr>
              <w:jc w:val="right"/>
              <w:ind w:right="544"/>
              <w:spacing w:after="0"/>
              <w:rPr>
                <w:sz w:val="20"/>
                <w:szCs w:val="20"/>
                <w:color w:val="auto"/>
              </w:rPr>
            </w:pPr>
            <w:r>
              <w:rPr>
                <w:rFonts w:ascii="Arial" w:cs="Arial" w:eastAsia="Arial" w:hAnsi="Arial"/>
                <w:sz w:val="14"/>
                <w:szCs w:val="14"/>
                <w:b w:val="1"/>
                <w:bCs w:val="1"/>
                <w:color w:val="FFFFFF"/>
              </w:rPr>
              <w:t>Volatility</w:t>
            </w:r>
          </w:p>
        </w:tc>
        <w:tc>
          <w:tcPr>
            <w:tcW w:w="1560" w:type="dxa"/>
            <w:vAlign w:val="bottom"/>
            <w:shd w:val="clear" w:color="auto" w:fill="C00000"/>
          </w:tcPr>
          <w:p>
            <w:pPr>
              <w:jc w:val="right"/>
              <w:ind w:right="324"/>
              <w:spacing w:after="0"/>
              <w:rPr>
                <w:sz w:val="20"/>
                <w:szCs w:val="20"/>
                <w:color w:val="auto"/>
              </w:rPr>
            </w:pPr>
            <w:r>
              <w:rPr>
                <w:rFonts w:ascii="Arial" w:cs="Arial" w:eastAsia="Arial" w:hAnsi="Arial"/>
                <w:sz w:val="14"/>
                <w:szCs w:val="14"/>
                <w:b w:val="1"/>
                <w:bCs w:val="1"/>
                <w:color w:val="FFFFFF"/>
              </w:rPr>
              <w:t>Dividend Yield</w:t>
            </w:r>
          </w:p>
        </w:tc>
        <w:tc>
          <w:tcPr>
            <w:tcW w:w="140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w w:val="96"/>
              </w:rPr>
              <w:t>Value</w:t>
            </w:r>
          </w:p>
        </w:tc>
      </w:tr>
      <w:tr>
        <w:trPr>
          <w:trHeight w:val="230"/>
        </w:trPr>
        <w:tc>
          <w:tcPr>
            <w:tcW w:w="2120" w:type="dxa"/>
            <w:vAlign w:val="bottom"/>
          </w:tcPr>
          <w:p>
            <w:pPr>
              <w:spacing w:after="0"/>
              <w:rPr>
                <w:sz w:val="20"/>
                <w:szCs w:val="20"/>
                <w:color w:val="auto"/>
              </w:rPr>
            </w:pPr>
            <w:r>
              <w:rPr>
                <w:rFonts w:ascii="Arial" w:cs="Arial" w:eastAsia="Arial" w:hAnsi="Arial"/>
                <w:sz w:val="16"/>
                <w:szCs w:val="16"/>
                <w:color w:val="auto"/>
              </w:rPr>
              <w:t>12/17/2020</w:t>
            </w:r>
          </w:p>
        </w:tc>
        <w:tc>
          <w:tcPr>
            <w:tcW w:w="2640" w:type="dxa"/>
            <w:vAlign w:val="bottom"/>
          </w:tcPr>
          <w:p>
            <w:pPr>
              <w:jc w:val="right"/>
              <w:ind w:right="204"/>
              <w:spacing w:after="0"/>
              <w:rPr>
                <w:sz w:val="20"/>
                <w:szCs w:val="20"/>
                <w:color w:val="auto"/>
              </w:rPr>
            </w:pPr>
            <w:r>
              <w:rPr>
                <w:rFonts w:ascii="Arial" w:cs="Arial" w:eastAsia="Arial" w:hAnsi="Arial"/>
                <w:sz w:val="16"/>
                <w:szCs w:val="16"/>
                <w:color w:val="auto"/>
              </w:rPr>
              <w:t>0.58%</w:t>
            </w:r>
          </w:p>
        </w:tc>
        <w:tc>
          <w:tcPr>
            <w:tcW w:w="1560" w:type="dxa"/>
            <w:vAlign w:val="bottom"/>
          </w:tcPr>
          <w:p>
            <w:pPr>
              <w:ind w:left="640"/>
              <w:spacing w:after="0"/>
              <w:rPr>
                <w:sz w:val="20"/>
                <w:szCs w:val="20"/>
                <w:color w:val="auto"/>
              </w:rPr>
            </w:pPr>
            <w:r>
              <w:rPr>
                <w:rFonts w:ascii="Arial" w:cs="Arial" w:eastAsia="Arial" w:hAnsi="Arial"/>
                <w:sz w:val="16"/>
                <w:szCs w:val="16"/>
                <w:color w:val="auto"/>
              </w:rPr>
              <w:t>6.4 years</w:t>
            </w:r>
          </w:p>
        </w:tc>
        <w:tc>
          <w:tcPr>
            <w:tcW w:w="1500" w:type="dxa"/>
            <w:vAlign w:val="bottom"/>
          </w:tcPr>
          <w:p>
            <w:pPr>
              <w:jc w:val="right"/>
              <w:ind w:right="124"/>
              <w:spacing w:after="0"/>
              <w:rPr>
                <w:sz w:val="20"/>
                <w:szCs w:val="20"/>
                <w:color w:val="auto"/>
              </w:rPr>
            </w:pPr>
            <w:r>
              <w:rPr>
                <w:rFonts w:ascii="Arial" w:cs="Arial" w:eastAsia="Arial" w:hAnsi="Arial"/>
                <w:sz w:val="16"/>
                <w:szCs w:val="16"/>
                <w:color w:val="auto"/>
              </w:rPr>
              <w:t>23.13%</w:t>
            </w:r>
          </w:p>
        </w:tc>
        <w:tc>
          <w:tcPr>
            <w:tcW w:w="1560" w:type="dxa"/>
            <w:vAlign w:val="bottom"/>
          </w:tcPr>
          <w:p>
            <w:pPr>
              <w:jc w:val="right"/>
              <w:ind w:right="124"/>
              <w:spacing w:after="0"/>
              <w:rPr>
                <w:sz w:val="20"/>
                <w:szCs w:val="20"/>
                <w:color w:val="auto"/>
              </w:rPr>
            </w:pPr>
            <w:r>
              <w:rPr>
                <w:rFonts w:ascii="Arial" w:cs="Arial" w:eastAsia="Arial" w:hAnsi="Arial"/>
                <w:sz w:val="16"/>
                <w:szCs w:val="16"/>
                <w:color w:val="auto"/>
              </w:rPr>
              <w:t>0.85%</w:t>
            </w:r>
          </w:p>
        </w:tc>
        <w:tc>
          <w:tcPr>
            <w:tcW w:w="1400" w:type="dxa"/>
            <w:vAlign w:val="bottom"/>
          </w:tcPr>
          <w:p>
            <w:pPr>
              <w:jc w:val="right"/>
              <w:spacing w:after="0"/>
              <w:rPr>
                <w:sz w:val="20"/>
                <w:szCs w:val="20"/>
                <w:color w:val="auto"/>
              </w:rPr>
            </w:pPr>
            <w:r>
              <w:rPr>
                <w:rFonts w:ascii="Arial" w:cs="Arial" w:eastAsia="Arial" w:hAnsi="Arial"/>
                <w:sz w:val="16"/>
                <w:szCs w:val="16"/>
                <w:color w:val="auto"/>
              </w:rPr>
              <w:t>$19.74</w:t>
            </w:r>
          </w:p>
        </w:tc>
      </w:tr>
      <w:tr>
        <w:trPr>
          <w:trHeight w:val="249"/>
        </w:trPr>
        <w:tc>
          <w:tcPr>
            <w:tcW w:w="2120" w:type="dxa"/>
            <w:vAlign w:val="bottom"/>
            <w:shd w:val="clear" w:color="auto" w:fill="D9D9D9"/>
          </w:tcPr>
          <w:p>
            <w:pPr>
              <w:spacing w:after="0"/>
              <w:rPr>
                <w:sz w:val="20"/>
                <w:szCs w:val="20"/>
                <w:color w:val="auto"/>
              </w:rPr>
            </w:pPr>
            <w:r>
              <w:rPr>
                <w:rFonts w:ascii="Arial" w:cs="Arial" w:eastAsia="Arial" w:hAnsi="Arial"/>
                <w:sz w:val="16"/>
                <w:szCs w:val="16"/>
                <w:color w:val="auto"/>
              </w:rPr>
              <w:t>12/19/2019</w:t>
            </w:r>
          </w:p>
        </w:tc>
        <w:tc>
          <w:tcPr>
            <w:tcW w:w="2640" w:type="dxa"/>
            <w:vAlign w:val="bottom"/>
            <w:shd w:val="clear" w:color="auto" w:fill="D9D9D9"/>
          </w:tcPr>
          <w:p>
            <w:pPr>
              <w:jc w:val="right"/>
              <w:ind w:right="204"/>
              <w:spacing w:after="0"/>
              <w:rPr>
                <w:sz w:val="20"/>
                <w:szCs w:val="20"/>
                <w:color w:val="auto"/>
              </w:rPr>
            </w:pPr>
            <w:r>
              <w:rPr>
                <w:rFonts w:ascii="Arial" w:cs="Arial" w:eastAsia="Arial" w:hAnsi="Arial"/>
                <w:sz w:val="16"/>
                <w:szCs w:val="16"/>
                <w:color w:val="auto"/>
              </w:rPr>
              <w:t>1.81%</w:t>
            </w:r>
          </w:p>
        </w:tc>
        <w:tc>
          <w:tcPr>
            <w:tcW w:w="1560" w:type="dxa"/>
            <w:vAlign w:val="bottom"/>
            <w:shd w:val="clear" w:color="auto" w:fill="D9D9D9"/>
          </w:tcPr>
          <w:p>
            <w:pPr>
              <w:ind w:left="640"/>
              <w:spacing w:after="0"/>
              <w:rPr>
                <w:sz w:val="20"/>
                <w:szCs w:val="20"/>
                <w:color w:val="auto"/>
              </w:rPr>
            </w:pPr>
            <w:r>
              <w:rPr>
                <w:rFonts w:ascii="Arial" w:cs="Arial" w:eastAsia="Arial" w:hAnsi="Arial"/>
                <w:sz w:val="16"/>
                <w:szCs w:val="16"/>
                <w:color w:val="auto"/>
              </w:rPr>
              <w:t>6.5 years</w:t>
            </w:r>
          </w:p>
        </w:tc>
        <w:tc>
          <w:tcPr>
            <w:tcW w:w="1500" w:type="dxa"/>
            <w:vAlign w:val="bottom"/>
            <w:shd w:val="clear" w:color="auto" w:fill="D9D9D9"/>
          </w:tcPr>
          <w:p>
            <w:pPr>
              <w:jc w:val="right"/>
              <w:ind w:right="124"/>
              <w:spacing w:after="0"/>
              <w:rPr>
                <w:sz w:val="20"/>
                <w:szCs w:val="20"/>
                <w:color w:val="auto"/>
              </w:rPr>
            </w:pPr>
            <w:r>
              <w:rPr>
                <w:rFonts w:ascii="Arial" w:cs="Arial" w:eastAsia="Arial" w:hAnsi="Arial"/>
                <w:sz w:val="16"/>
                <w:szCs w:val="16"/>
                <w:color w:val="auto"/>
              </w:rPr>
              <w:t>19.37%</w:t>
            </w:r>
          </w:p>
        </w:tc>
        <w:tc>
          <w:tcPr>
            <w:tcW w:w="1560" w:type="dxa"/>
            <w:vAlign w:val="bottom"/>
            <w:shd w:val="clear" w:color="auto" w:fill="D9D9D9"/>
          </w:tcPr>
          <w:p>
            <w:pPr>
              <w:jc w:val="right"/>
              <w:ind w:right="124"/>
              <w:spacing w:after="0"/>
              <w:rPr>
                <w:sz w:val="20"/>
                <w:szCs w:val="20"/>
                <w:color w:val="auto"/>
              </w:rPr>
            </w:pPr>
            <w:r>
              <w:rPr>
                <w:rFonts w:ascii="Arial" w:cs="Arial" w:eastAsia="Arial" w:hAnsi="Arial"/>
                <w:sz w:val="16"/>
                <w:szCs w:val="16"/>
                <w:color w:val="auto"/>
              </w:rPr>
              <w:t>0.97%</w:t>
            </w:r>
          </w:p>
        </w:tc>
        <w:tc>
          <w:tcPr>
            <w:tcW w:w="140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$15.62</w:t>
            </w:r>
          </w:p>
        </w:tc>
      </w:tr>
      <w:tr>
        <w:trPr>
          <w:trHeight w:val="221"/>
        </w:trPr>
        <w:tc>
          <w:tcPr>
            <w:tcW w:w="2120" w:type="dxa"/>
            <w:vAlign w:val="bottom"/>
          </w:tcPr>
          <w:p>
            <w:pPr>
              <w:spacing w:after="0"/>
              <w:rPr>
                <w:sz w:val="20"/>
                <w:szCs w:val="20"/>
                <w:color w:val="auto"/>
              </w:rPr>
            </w:pPr>
            <w:r>
              <w:rPr>
                <w:rFonts w:ascii="Arial" w:cs="Arial" w:eastAsia="Arial" w:hAnsi="Arial"/>
                <w:sz w:val="16"/>
                <w:szCs w:val="16"/>
                <w:color w:val="auto"/>
              </w:rPr>
              <w:t>12/07/2018</w:t>
            </w:r>
          </w:p>
        </w:tc>
        <w:tc>
          <w:tcPr>
            <w:tcW w:w="2640" w:type="dxa"/>
            <w:vAlign w:val="bottom"/>
          </w:tcPr>
          <w:p>
            <w:pPr>
              <w:jc w:val="right"/>
              <w:ind w:right="204"/>
              <w:spacing w:after="0"/>
              <w:rPr>
                <w:sz w:val="20"/>
                <w:szCs w:val="20"/>
                <w:color w:val="auto"/>
              </w:rPr>
            </w:pPr>
            <w:r>
              <w:rPr>
                <w:rFonts w:ascii="Arial" w:cs="Arial" w:eastAsia="Arial" w:hAnsi="Arial"/>
                <w:sz w:val="16"/>
                <w:szCs w:val="16"/>
                <w:color w:val="auto"/>
              </w:rPr>
              <w:t>2.72%</w:t>
            </w:r>
          </w:p>
        </w:tc>
        <w:tc>
          <w:tcPr>
            <w:tcW w:w="1560" w:type="dxa"/>
            <w:vAlign w:val="bottom"/>
          </w:tcPr>
          <w:p>
            <w:pPr>
              <w:ind w:left="640"/>
              <w:spacing w:after="0"/>
              <w:rPr>
                <w:sz w:val="20"/>
                <w:szCs w:val="20"/>
                <w:color w:val="auto"/>
              </w:rPr>
            </w:pPr>
            <w:r>
              <w:rPr>
                <w:rFonts w:ascii="Arial" w:cs="Arial" w:eastAsia="Arial" w:hAnsi="Arial"/>
                <w:sz w:val="16"/>
                <w:szCs w:val="16"/>
                <w:color w:val="auto"/>
              </w:rPr>
              <w:t>5.7 years</w:t>
            </w:r>
          </w:p>
        </w:tc>
        <w:tc>
          <w:tcPr>
            <w:tcW w:w="1500" w:type="dxa"/>
            <w:vAlign w:val="bottom"/>
          </w:tcPr>
          <w:p>
            <w:pPr>
              <w:jc w:val="right"/>
              <w:ind w:right="124"/>
              <w:spacing w:after="0"/>
              <w:rPr>
                <w:sz w:val="20"/>
                <w:szCs w:val="20"/>
                <w:color w:val="auto"/>
              </w:rPr>
            </w:pPr>
            <w:r>
              <w:rPr>
                <w:rFonts w:ascii="Arial" w:cs="Arial" w:eastAsia="Arial" w:hAnsi="Arial"/>
                <w:sz w:val="16"/>
                <w:szCs w:val="16"/>
                <w:color w:val="auto"/>
              </w:rPr>
              <w:t>19.35%</w:t>
            </w:r>
          </w:p>
        </w:tc>
        <w:tc>
          <w:tcPr>
            <w:tcW w:w="1560" w:type="dxa"/>
            <w:vAlign w:val="bottom"/>
          </w:tcPr>
          <w:p>
            <w:pPr>
              <w:jc w:val="right"/>
              <w:ind w:right="124"/>
              <w:spacing w:after="0"/>
              <w:rPr>
                <w:sz w:val="20"/>
                <w:szCs w:val="20"/>
                <w:color w:val="auto"/>
              </w:rPr>
            </w:pPr>
            <w:r>
              <w:rPr>
                <w:rFonts w:ascii="Arial" w:cs="Arial" w:eastAsia="Arial" w:hAnsi="Arial"/>
                <w:sz w:val="16"/>
                <w:szCs w:val="16"/>
                <w:color w:val="auto"/>
              </w:rPr>
              <w:t>1.19%</w:t>
            </w:r>
          </w:p>
        </w:tc>
        <w:tc>
          <w:tcPr>
            <w:tcW w:w="1400" w:type="dxa"/>
            <w:vAlign w:val="bottom"/>
          </w:tcPr>
          <w:p>
            <w:pPr>
              <w:jc w:val="right"/>
              <w:spacing w:after="0"/>
              <w:rPr>
                <w:sz w:val="20"/>
                <w:szCs w:val="20"/>
                <w:color w:val="auto"/>
              </w:rPr>
            </w:pPr>
            <w:r>
              <w:rPr>
                <w:rFonts w:ascii="Arial" w:cs="Arial" w:eastAsia="Arial" w:hAnsi="Arial"/>
                <w:sz w:val="16"/>
                <w:szCs w:val="16"/>
                <w:color w:val="auto"/>
              </w:rPr>
              <w:t>$12.01</w:t>
            </w:r>
          </w:p>
        </w:tc>
      </w:tr>
    </w:tbl>
    <w:p>
      <w:pPr>
        <w:spacing w:after="0" w:line="71" w:lineRule="exact"/>
        <w:rPr>
          <w:sz w:val="20"/>
          <w:szCs w:val="20"/>
          <w:color w:val="auto"/>
        </w:rPr>
      </w:pPr>
    </w:p>
    <w:p>
      <w:pPr>
        <w:ind w:left="400" w:right="20" w:hanging="394"/>
        <w:spacing w:after="0" w:line="255" w:lineRule="auto"/>
        <w:tabs>
          <w:tab w:leader="none" w:pos="4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Amounts reported represent annual cash incentive awards earned for each fiscal year, but paid during the following fiscal year or deferred. Annual cash incentive awards are calculated and paid based on performance against financial performance goals. Additional detail regarding our annual cash incentives is set forth in the “Annual Cash Incentives—Actual Cash Compensation Discussion and Analysis.”</w:t>
      </w:r>
    </w:p>
    <w:p>
      <w:pPr>
        <w:spacing w:after="0" w:line="68" w:lineRule="exact"/>
        <w:rPr>
          <w:rFonts w:ascii="Arial" w:cs="Arial" w:eastAsia="Arial" w:hAnsi="Arial"/>
          <w:sz w:val="17"/>
          <w:szCs w:val="17"/>
          <w:color w:val="auto"/>
        </w:rPr>
      </w:pPr>
    </w:p>
    <w:p>
      <w:pPr>
        <w:ind w:left="400" w:hanging="394"/>
        <w:spacing w:after="0"/>
        <w:tabs>
          <w:tab w:leader="none" w:pos="4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Amounts for fiscal 2021 are set forth below under “All Other Compensation for Fiscal 2021.”</w:t>
      </w:r>
    </w:p>
    <w:p>
      <w:pPr>
        <w:spacing w:after="0" w:line="85" w:lineRule="exact"/>
        <w:rPr>
          <w:rFonts w:ascii="Arial" w:cs="Arial" w:eastAsia="Arial" w:hAnsi="Arial"/>
          <w:sz w:val="18"/>
          <w:szCs w:val="18"/>
          <w:color w:val="auto"/>
        </w:rPr>
      </w:pPr>
    </w:p>
    <w:p>
      <w:pPr>
        <w:ind w:left="400" w:hanging="394"/>
        <w:spacing w:after="0"/>
        <w:tabs>
          <w:tab w:leader="none" w:pos="4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Ms. Dahl was not a named executive officer in fiscal 2019; therefore, her information is provided only for fiscal 2020 and fiscal 2021.</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C00000"/>
        </w:rPr>
        <w:t>All Other Compensation for Fiscal 2021</w:t>
      </w:r>
    </w:p>
    <w:p>
      <w:pPr>
        <w:spacing w:after="0" w:line="127" w:lineRule="exact"/>
        <w:rPr>
          <w:sz w:val="20"/>
          <w:szCs w:val="20"/>
          <w:color w:val="auto"/>
        </w:rPr>
      </w:pPr>
    </w:p>
    <w:p>
      <w:pPr>
        <w:ind w:right="600" w:firstLine="401"/>
        <w:spacing w:after="0" w:line="236" w:lineRule="auto"/>
        <w:rPr>
          <w:sz w:val="20"/>
          <w:szCs w:val="20"/>
          <w:color w:val="auto"/>
        </w:rPr>
      </w:pPr>
      <w:r>
        <w:rPr>
          <w:rFonts w:ascii="Arial" w:cs="Arial" w:eastAsia="Arial" w:hAnsi="Arial"/>
          <w:sz w:val="18"/>
          <w:szCs w:val="18"/>
          <w:color w:val="auto"/>
        </w:rPr>
        <w:t>All other compensation for fiscal 2021 includes the value of Company contributions to our retirement plan(s), the value of modest perquisites provided and the matching portion by the Company for charitable donations by our named executive officers, all of which are described below.</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50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Element</w:t>
            </w:r>
          </w:p>
        </w:tc>
        <w:tc>
          <w:tcPr>
            <w:tcW w:w="9740" w:type="dxa"/>
            <w:vAlign w:val="bottom"/>
            <w:shd w:val="clear" w:color="auto" w:fill="C00000"/>
          </w:tcPr>
          <w:p>
            <w:pPr>
              <w:ind w:left="4900"/>
              <w:spacing w:after="0"/>
              <w:rPr>
                <w:sz w:val="20"/>
                <w:szCs w:val="20"/>
                <w:color w:val="auto"/>
              </w:rPr>
            </w:pPr>
            <w:r>
              <w:rPr>
                <w:rFonts w:ascii="Arial" w:cs="Arial" w:eastAsia="Arial" w:hAnsi="Arial"/>
                <w:sz w:val="14"/>
                <w:szCs w:val="14"/>
                <w:b w:val="1"/>
                <w:bCs w:val="1"/>
                <w:color w:val="FFFFFF"/>
              </w:rPr>
              <w:t>Description</w:t>
            </w:r>
          </w:p>
        </w:tc>
        <w:tc>
          <w:tcPr>
            <w:tcW w:w="20" w:type="dxa"/>
            <w:vAlign w:val="bottom"/>
          </w:tcPr>
          <w:p>
            <w:pPr>
              <w:spacing w:after="0"/>
              <w:rPr>
                <w:sz w:val="17"/>
                <w:szCs w:val="17"/>
                <w:color w:val="auto"/>
              </w:rPr>
            </w:pPr>
          </w:p>
        </w:tc>
      </w:tr>
      <w:tr>
        <w:trPr>
          <w:trHeight w:val="228"/>
        </w:trPr>
        <w:tc>
          <w:tcPr>
            <w:tcW w:w="1500" w:type="dxa"/>
            <w:vAlign w:val="bottom"/>
          </w:tcPr>
          <w:p>
            <w:pPr>
              <w:spacing w:after="0"/>
              <w:rPr>
                <w:sz w:val="20"/>
                <w:szCs w:val="20"/>
                <w:color w:val="auto"/>
              </w:rPr>
            </w:pPr>
            <w:r>
              <w:rPr>
                <w:rFonts w:ascii="Arial" w:cs="Arial" w:eastAsia="Arial" w:hAnsi="Arial"/>
                <w:sz w:val="16"/>
                <w:szCs w:val="16"/>
                <w:color w:val="auto"/>
              </w:rPr>
              <w:t>Retirement</w:t>
            </w:r>
          </w:p>
        </w:tc>
        <w:tc>
          <w:tcPr>
            <w:tcW w:w="9740" w:type="dxa"/>
            <w:vAlign w:val="bottom"/>
          </w:tcPr>
          <w:p>
            <w:pPr>
              <w:ind w:left="720"/>
              <w:spacing w:after="0"/>
              <w:rPr>
                <w:sz w:val="20"/>
                <w:szCs w:val="20"/>
                <w:color w:val="auto"/>
              </w:rPr>
            </w:pPr>
            <w:r>
              <w:rPr>
                <w:rFonts w:ascii="Arial" w:cs="Arial" w:eastAsia="Arial" w:hAnsi="Arial"/>
                <w:sz w:val="16"/>
                <w:szCs w:val="16"/>
                <w:color w:val="auto"/>
              </w:rPr>
              <w:t>Under our Retirement Plan in calendar year 2021, we matched one dollar for each employee dollar contribution, up to an</w:t>
            </w:r>
          </w:p>
        </w:tc>
        <w:tc>
          <w:tcPr>
            <w:tcW w:w="20" w:type="dxa"/>
            <w:vAlign w:val="bottom"/>
          </w:tcPr>
          <w:p>
            <w:pPr>
              <w:spacing w:after="0"/>
              <w:rPr>
                <w:sz w:val="19"/>
                <w:szCs w:val="19"/>
                <w:color w:val="auto"/>
              </w:rPr>
            </w:pPr>
          </w:p>
        </w:tc>
      </w:tr>
      <w:tr>
        <w:trPr>
          <w:trHeight w:val="186"/>
        </w:trPr>
        <w:tc>
          <w:tcPr>
            <w:tcW w:w="1500" w:type="dxa"/>
            <w:vAlign w:val="bottom"/>
          </w:tcPr>
          <w:p>
            <w:pPr>
              <w:spacing w:after="0"/>
              <w:rPr>
                <w:sz w:val="20"/>
                <w:szCs w:val="20"/>
                <w:color w:val="auto"/>
              </w:rPr>
            </w:pPr>
            <w:r>
              <w:rPr>
                <w:rFonts w:ascii="Arial" w:cs="Arial" w:eastAsia="Arial" w:hAnsi="Arial"/>
                <w:sz w:val="16"/>
                <w:szCs w:val="16"/>
                <w:color w:val="auto"/>
              </w:rPr>
              <w:t>Benefits</w:t>
            </w:r>
          </w:p>
        </w:tc>
        <w:tc>
          <w:tcPr>
            <w:tcW w:w="9740" w:type="dxa"/>
            <w:vAlign w:val="bottom"/>
          </w:tcPr>
          <w:p>
            <w:pPr>
              <w:ind w:left="720"/>
              <w:spacing w:after="0"/>
              <w:rPr>
                <w:sz w:val="20"/>
                <w:szCs w:val="20"/>
                <w:color w:val="auto"/>
              </w:rPr>
            </w:pPr>
            <w:r>
              <w:rPr>
                <w:rFonts w:ascii="Arial" w:cs="Arial" w:eastAsia="Arial" w:hAnsi="Arial"/>
                <w:sz w:val="16"/>
                <w:szCs w:val="16"/>
                <w:color w:val="auto"/>
              </w:rPr>
              <w:t>employee maximum of 4%. Additionally, the Company may make a discretionary investment fund contribution. Employees are</w:t>
            </w:r>
          </w:p>
        </w:tc>
        <w:tc>
          <w:tcPr>
            <w:tcW w:w="20" w:type="dxa"/>
            <w:vAlign w:val="bottom"/>
          </w:tcPr>
          <w:p>
            <w:pPr>
              <w:spacing w:after="0"/>
              <w:rPr>
                <w:sz w:val="16"/>
                <w:szCs w:val="16"/>
                <w:color w:val="auto"/>
              </w:rPr>
            </w:pPr>
          </w:p>
        </w:tc>
      </w:tr>
      <w:tr>
        <w:trPr>
          <w:trHeight w:val="186"/>
        </w:trPr>
        <w:tc>
          <w:tcPr>
            <w:tcW w:w="1500" w:type="dxa"/>
            <w:vAlign w:val="bottom"/>
          </w:tcPr>
          <w:p>
            <w:pPr>
              <w:spacing w:after="0"/>
              <w:rPr>
                <w:sz w:val="16"/>
                <w:szCs w:val="16"/>
                <w:color w:val="auto"/>
              </w:rPr>
            </w:pPr>
          </w:p>
        </w:tc>
        <w:tc>
          <w:tcPr>
            <w:tcW w:w="9740" w:type="dxa"/>
            <w:vAlign w:val="bottom"/>
          </w:tcPr>
          <w:p>
            <w:pPr>
              <w:ind w:left="720"/>
              <w:spacing w:after="0"/>
              <w:rPr>
                <w:sz w:val="20"/>
                <w:szCs w:val="20"/>
                <w:color w:val="auto"/>
              </w:rPr>
            </w:pPr>
            <w:r>
              <w:rPr>
                <w:rFonts w:ascii="Arial" w:cs="Arial" w:eastAsia="Arial" w:hAnsi="Arial"/>
                <w:sz w:val="16"/>
                <w:szCs w:val="16"/>
                <w:color w:val="auto"/>
              </w:rPr>
              <w:t>eligible to participate in the plan and receive company contributions, after 30 days of service. For certain employees whose</w:t>
            </w:r>
          </w:p>
        </w:tc>
        <w:tc>
          <w:tcPr>
            <w:tcW w:w="20" w:type="dxa"/>
            <w:vAlign w:val="bottom"/>
          </w:tcPr>
          <w:p>
            <w:pPr>
              <w:spacing w:after="0"/>
              <w:rPr>
                <w:sz w:val="16"/>
                <w:szCs w:val="16"/>
                <w:color w:val="auto"/>
              </w:rPr>
            </w:pPr>
          </w:p>
        </w:tc>
      </w:tr>
      <w:tr>
        <w:trPr>
          <w:trHeight w:val="186"/>
        </w:trPr>
        <w:tc>
          <w:tcPr>
            <w:tcW w:w="1500" w:type="dxa"/>
            <w:vAlign w:val="bottom"/>
          </w:tcPr>
          <w:p>
            <w:pPr>
              <w:spacing w:after="0"/>
              <w:rPr>
                <w:sz w:val="16"/>
                <w:szCs w:val="16"/>
                <w:color w:val="auto"/>
              </w:rPr>
            </w:pPr>
          </w:p>
        </w:tc>
        <w:tc>
          <w:tcPr>
            <w:tcW w:w="9740" w:type="dxa"/>
            <w:vAlign w:val="bottom"/>
          </w:tcPr>
          <w:p>
            <w:pPr>
              <w:ind w:left="720"/>
              <w:spacing w:after="0"/>
              <w:rPr>
                <w:sz w:val="20"/>
                <w:szCs w:val="20"/>
                <w:color w:val="auto"/>
              </w:rPr>
            </w:pPr>
            <w:r>
              <w:rPr>
                <w:rFonts w:ascii="Arial" w:cs="Arial" w:eastAsia="Arial" w:hAnsi="Arial"/>
                <w:sz w:val="16"/>
                <w:szCs w:val="16"/>
                <w:color w:val="auto"/>
              </w:rPr>
              <w:t>compensation exceeds the IRS limit, we also provide a contribution into our nonqualified deferred compensation plans, the</w:t>
            </w:r>
          </w:p>
        </w:tc>
        <w:tc>
          <w:tcPr>
            <w:tcW w:w="20" w:type="dxa"/>
            <w:vAlign w:val="bottom"/>
          </w:tcPr>
          <w:p>
            <w:pPr>
              <w:spacing w:after="0"/>
              <w:rPr>
                <w:sz w:val="16"/>
                <w:szCs w:val="16"/>
                <w:color w:val="auto"/>
              </w:rPr>
            </w:pPr>
          </w:p>
        </w:tc>
      </w:tr>
      <w:tr>
        <w:trPr>
          <w:trHeight w:val="186"/>
        </w:trPr>
        <w:tc>
          <w:tcPr>
            <w:tcW w:w="1500" w:type="dxa"/>
            <w:vAlign w:val="bottom"/>
          </w:tcPr>
          <w:p>
            <w:pPr>
              <w:spacing w:after="0"/>
              <w:rPr>
                <w:sz w:val="16"/>
                <w:szCs w:val="16"/>
                <w:color w:val="auto"/>
              </w:rPr>
            </w:pPr>
          </w:p>
        </w:tc>
        <w:tc>
          <w:tcPr>
            <w:tcW w:w="9740" w:type="dxa"/>
            <w:vAlign w:val="bottom"/>
          </w:tcPr>
          <w:p>
            <w:pPr>
              <w:ind w:left="720"/>
              <w:spacing w:after="0"/>
              <w:rPr>
                <w:sz w:val="20"/>
                <w:szCs w:val="20"/>
                <w:color w:val="auto"/>
              </w:rPr>
            </w:pPr>
            <w:r>
              <w:rPr>
                <w:rFonts w:ascii="Arial" w:cs="Arial" w:eastAsia="Arial" w:hAnsi="Arial"/>
                <w:sz w:val="16"/>
                <w:szCs w:val="16"/>
                <w:color w:val="auto"/>
              </w:rPr>
              <w:t>Supplemental Benefit Plan or the Deferred Plan, as applicable. Our nonqualified deferred compensation plans are described</w:t>
            </w:r>
          </w:p>
        </w:tc>
        <w:tc>
          <w:tcPr>
            <w:tcW w:w="20" w:type="dxa"/>
            <w:vAlign w:val="bottom"/>
          </w:tcPr>
          <w:p>
            <w:pPr>
              <w:spacing w:after="0"/>
              <w:rPr>
                <w:sz w:val="16"/>
                <w:szCs w:val="16"/>
                <w:color w:val="auto"/>
              </w:rPr>
            </w:pPr>
          </w:p>
        </w:tc>
      </w:tr>
      <w:tr>
        <w:trPr>
          <w:trHeight w:val="184"/>
        </w:trPr>
        <w:tc>
          <w:tcPr>
            <w:tcW w:w="1500" w:type="dxa"/>
            <w:vAlign w:val="bottom"/>
          </w:tcPr>
          <w:p>
            <w:pPr>
              <w:spacing w:after="0"/>
              <w:rPr>
                <w:sz w:val="16"/>
                <w:szCs w:val="16"/>
                <w:color w:val="auto"/>
              </w:rPr>
            </w:pPr>
          </w:p>
        </w:tc>
        <w:tc>
          <w:tcPr>
            <w:tcW w:w="9740" w:type="dxa"/>
            <w:vAlign w:val="bottom"/>
          </w:tcPr>
          <w:p>
            <w:pPr>
              <w:ind w:left="720"/>
              <w:spacing w:after="0"/>
              <w:rPr>
                <w:sz w:val="20"/>
                <w:szCs w:val="20"/>
                <w:color w:val="auto"/>
              </w:rPr>
            </w:pPr>
            <w:r>
              <w:rPr>
                <w:rFonts w:ascii="Arial" w:cs="Arial" w:eastAsia="Arial" w:hAnsi="Arial"/>
                <w:sz w:val="16"/>
                <w:szCs w:val="16"/>
                <w:color w:val="auto"/>
              </w:rPr>
              <w:t>under “Nonqualified Deferred Compensation for Fiscal 2021.”</w:t>
            </w:r>
          </w:p>
        </w:tc>
        <w:tc>
          <w:tcPr>
            <w:tcW w:w="20" w:type="dxa"/>
            <w:vAlign w:val="bottom"/>
          </w:tcPr>
          <w:p>
            <w:pPr>
              <w:spacing w:after="0"/>
              <w:rPr>
                <w:sz w:val="16"/>
                <w:szCs w:val="16"/>
                <w:color w:val="auto"/>
              </w:rPr>
            </w:pPr>
          </w:p>
        </w:tc>
      </w:tr>
      <w:tr>
        <w:trPr>
          <w:trHeight w:val="234"/>
        </w:trPr>
        <w:tc>
          <w:tcPr>
            <w:tcW w:w="1500" w:type="dxa"/>
            <w:vAlign w:val="bottom"/>
            <w:shd w:val="clear" w:color="auto" w:fill="D9D9D9"/>
          </w:tcPr>
          <w:p>
            <w:pPr>
              <w:spacing w:after="0"/>
              <w:rPr>
                <w:sz w:val="20"/>
                <w:szCs w:val="20"/>
                <w:color w:val="auto"/>
              </w:rPr>
            </w:pPr>
            <w:r>
              <w:rPr>
                <w:rFonts w:ascii="Arial" w:cs="Arial" w:eastAsia="Arial" w:hAnsi="Arial"/>
                <w:sz w:val="16"/>
                <w:szCs w:val="16"/>
                <w:color w:val="auto"/>
              </w:rPr>
              <w:t>Perquisites</w:t>
            </w:r>
          </w:p>
        </w:tc>
        <w:tc>
          <w:tcPr>
            <w:tcW w:w="9740" w:type="dxa"/>
            <w:vAlign w:val="bottom"/>
            <w:shd w:val="clear" w:color="auto" w:fill="D9D9D9"/>
          </w:tcPr>
          <w:p>
            <w:pPr>
              <w:ind w:left="720"/>
              <w:spacing w:after="0"/>
              <w:rPr>
                <w:sz w:val="20"/>
                <w:szCs w:val="20"/>
                <w:color w:val="auto"/>
              </w:rPr>
            </w:pPr>
            <w:r>
              <w:rPr>
                <w:rFonts w:ascii="Arial" w:cs="Arial" w:eastAsia="Arial" w:hAnsi="Arial"/>
                <w:sz w:val="16"/>
                <w:szCs w:val="16"/>
                <w:color w:val="auto"/>
              </w:rPr>
              <w:t>We provide our executive officers with modest perquisites, including:</w:t>
            </w:r>
          </w:p>
        </w:tc>
        <w:tc>
          <w:tcPr>
            <w:tcW w:w="20" w:type="dxa"/>
            <w:vAlign w:val="bottom"/>
          </w:tcPr>
          <w:p>
            <w:pPr>
              <w:spacing w:after="0"/>
              <w:rPr>
                <w:sz w:val="20"/>
                <w:szCs w:val="20"/>
                <w:color w:val="auto"/>
              </w:rPr>
            </w:pPr>
          </w:p>
        </w:tc>
      </w:tr>
      <w:tr>
        <w:trPr>
          <w:trHeight w:val="220"/>
        </w:trPr>
        <w:tc>
          <w:tcPr>
            <w:tcW w:w="1500" w:type="dxa"/>
            <w:vAlign w:val="bottom"/>
            <w:shd w:val="clear" w:color="auto" w:fill="D9D9D9"/>
          </w:tcPr>
          <w:p>
            <w:pPr>
              <w:spacing w:after="0"/>
              <w:rPr>
                <w:sz w:val="19"/>
                <w:szCs w:val="19"/>
                <w:color w:val="auto"/>
              </w:rPr>
            </w:pPr>
          </w:p>
        </w:tc>
        <w:tc>
          <w:tcPr>
            <w:tcW w:w="9740" w:type="dxa"/>
            <w:vAlign w:val="bottom"/>
            <w:shd w:val="clear" w:color="auto" w:fill="D9D9D9"/>
          </w:tcPr>
          <w:p>
            <w:pPr>
              <w:ind w:left="720"/>
              <w:spacing w:after="0"/>
              <w:rPr>
                <w:sz w:val="20"/>
                <w:szCs w:val="20"/>
                <w:color w:val="auto"/>
              </w:rPr>
            </w:pPr>
            <w:r>
              <w:rPr>
                <w:rFonts w:ascii="Arial" w:cs="Arial" w:eastAsia="Arial" w:hAnsi="Arial"/>
                <w:sz w:val="16"/>
                <w:szCs w:val="16"/>
                <w:color w:val="auto"/>
              </w:rPr>
              <w:t>•  Company-leased automobile—We pay all costs associated with leasing, operating, maintaining and insuring a company-</w:t>
            </w:r>
          </w:p>
        </w:tc>
        <w:tc>
          <w:tcPr>
            <w:tcW w:w="20" w:type="dxa"/>
            <w:vAlign w:val="bottom"/>
          </w:tcPr>
          <w:p>
            <w:pPr>
              <w:spacing w:after="0"/>
              <w:rPr>
                <w:sz w:val="19"/>
                <w:szCs w:val="19"/>
                <w:color w:val="auto"/>
              </w:rPr>
            </w:pPr>
          </w:p>
        </w:tc>
      </w:tr>
      <w:tr>
        <w:trPr>
          <w:trHeight w:val="186"/>
        </w:trPr>
        <w:tc>
          <w:tcPr>
            <w:tcW w:w="1500" w:type="dxa"/>
            <w:vAlign w:val="bottom"/>
            <w:shd w:val="clear" w:color="auto" w:fill="D9D9D9"/>
          </w:tcPr>
          <w:p>
            <w:pPr>
              <w:spacing w:after="0"/>
              <w:rPr>
                <w:sz w:val="16"/>
                <w:szCs w:val="16"/>
                <w:color w:val="auto"/>
              </w:rPr>
            </w:pPr>
          </w:p>
        </w:tc>
        <w:tc>
          <w:tcPr>
            <w:tcW w:w="9740" w:type="dxa"/>
            <w:vAlign w:val="bottom"/>
            <w:shd w:val="clear" w:color="auto" w:fill="D9D9D9"/>
          </w:tcPr>
          <w:p>
            <w:pPr>
              <w:ind w:left="940"/>
              <w:spacing w:after="0"/>
              <w:rPr>
                <w:sz w:val="20"/>
                <w:szCs w:val="20"/>
                <w:color w:val="auto"/>
              </w:rPr>
            </w:pPr>
            <w:r>
              <w:rPr>
                <w:rFonts w:ascii="Arial" w:cs="Arial" w:eastAsia="Arial" w:hAnsi="Arial"/>
                <w:sz w:val="16"/>
                <w:szCs w:val="16"/>
                <w:color w:val="auto"/>
              </w:rPr>
              <w:t>leased automobile up to certain thresholds. Our executive officers are generally eligible for a new vehicle after 30 months</w:t>
            </w:r>
          </w:p>
        </w:tc>
        <w:tc>
          <w:tcPr>
            <w:tcW w:w="20" w:type="dxa"/>
            <w:vAlign w:val="bottom"/>
          </w:tcPr>
          <w:p>
            <w:pPr>
              <w:spacing w:after="0"/>
              <w:rPr>
                <w:sz w:val="16"/>
                <w:szCs w:val="16"/>
                <w:color w:val="auto"/>
              </w:rPr>
            </w:pPr>
          </w:p>
        </w:tc>
      </w:tr>
      <w:tr>
        <w:trPr>
          <w:trHeight w:val="186"/>
        </w:trPr>
        <w:tc>
          <w:tcPr>
            <w:tcW w:w="1500" w:type="dxa"/>
            <w:vAlign w:val="bottom"/>
            <w:shd w:val="clear" w:color="auto" w:fill="D9D9D9"/>
          </w:tcPr>
          <w:p>
            <w:pPr>
              <w:spacing w:after="0"/>
              <w:rPr>
                <w:sz w:val="16"/>
                <w:szCs w:val="16"/>
                <w:color w:val="auto"/>
              </w:rPr>
            </w:pPr>
          </w:p>
        </w:tc>
        <w:tc>
          <w:tcPr>
            <w:tcW w:w="9740" w:type="dxa"/>
            <w:vAlign w:val="bottom"/>
            <w:shd w:val="clear" w:color="auto" w:fill="D9D9D9"/>
          </w:tcPr>
          <w:p>
            <w:pPr>
              <w:ind w:left="940"/>
              <w:spacing w:after="0"/>
              <w:rPr>
                <w:sz w:val="20"/>
                <w:szCs w:val="20"/>
                <w:color w:val="auto"/>
              </w:rPr>
            </w:pPr>
            <w:r>
              <w:rPr>
                <w:rFonts w:ascii="Arial" w:cs="Arial" w:eastAsia="Arial" w:hAnsi="Arial"/>
                <w:sz w:val="16"/>
                <w:szCs w:val="16"/>
                <w:color w:val="auto"/>
                <w:w w:val="99"/>
              </w:rPr>
              <w:t>and may choose to purchase the existing vehicle at book value plus payment of any miscellaneous expenses charged by our</w:t>
            </w:r>
          </w:p>
        </w:tc>
        <w:tc>
          <w:tcPr>
            <w:tcW w:w="20" w:type="dxa"/>
            <w:vAlign w:val="bottom"/>
          </w:tcPr>
          <w:p>
            <w:pPr>
              <w:spacing w:after="0"/>
              <w:rPr>
                <w:sz w:val="16"/>
                <w:szCs w:val="16"/>
                <w:color w:val="auto"/>
              </w:rPr>
            </w:pPr>
          </w:p>
        </w:tc>
      </w:tr>
      <w:tr>
        <w:trPr>
          <w:trHeight w:val="192"/>
        </w:trPr>
        <w:tc>
          <w:tcPr>
            <w:tcW w:w="1500" w:type="dxa"/>
            <w:vAlign w:val="bottom"/>
            <w:shd w:val="clear" w:color="auto" w:fill="D9D9D9"/>
          </w:tcPr>
          <w:p>
            <w:pPr>
              <w:spacing w:after="0"/>
              <w:rPr>
                <w:sz w:val="16"/>
                <w:szCs w:val="16"/>
                <w:color w:val="auto"/>
              </w:rPr>
            </w:pPr>
          </w:p>
        </w:tc>
        <w:tc>
          <w:tcPr>
            <w:tcW w:w="9740" w:type="dxa"/>
            <w:vAlign w:val="bottom"/>
            <w:shd w:val="clear" w:color="auto" w:fill="D9D9D9"/>
          </w:tcPr>
          <w:p>
            <w:pPr>
              <w:ind w:left="940"/>
              <w:spacing w:after="0"/>
              <w:rPr>
                <w:sz w:val="20"/>
                <w:szCs w:val="20"/>
                <w:color w:val="auto"/>
              </w:rPr>
            </w:pPr>
            <w:r>
              <w:rPr>
                <w:rFonts w:ascii="Arial" w:cs="Arial" w:eastAsia="Arial" w:hAnsi="Arial"/>
                <w:sz w:val="16"/>
                <w:szCs w:val="16"/>
                <w:color w:val="auto"/>
              </w:rPr>
              <w:t>leasing company.</w:t>
            </w:r>
          </w:p>
        </w:tc>
        <w:tc>
          <w:tcPr>
            <w:tcW w:w="20" w:type="dxa"/>
            <w:vAlign w:val="bottom"/>
          </w:tcPr>
          <w:p>
            <w:pPr>
              <w:spacing w:after="0"/>
              <w:rPr>
                <w:sz w:val="16"/>
                <w:szCs w:val="16"/>
                <w:color w:val="auto"/>
              </w:rPr>
            </w:pPr>
          </w:p>
        </w:tc>
      </w:tr>
      <w:tr>
        <w:trPr>
          <w:trHeight w:val="233"/>
        </w:trPr>
        <w:tc>
          <w:tcPr>
            <w:tcW w:w="1500" w:type="dxa"/>
            <w:vAlign w:val="bottom"/>
            <w:shd w:val="clear" w:color="auto" w:fill="D9D9D9"/>
          </w:tcPr>
          <w:p>
            <w:pPr>
              <w:spacing w:after="0"/>
              <w:rPr>
                <w:sz w:val="20"/>
                <w:szCs w:val="20"/>
                <w:color w:val="auto"/>
              </w:rPr>
            </w:pPr>
          </w:p>
        </w:tc>
        <w:tc>
          <w:tcPr>
            <w:tcW w:w="9740" w:type="dxa"/>
            <w:vAlign w:val="bottom"/>
            <w:shd w:val="clear" w:color="auto" w:fill="D9D9D9"/>
          </w:tcPr>
          <w:p>
            <w:pPr>
              <w:ind w:left="720"/>
              <w:spacing w:after="0"/>
              <w:rPr>
                <w:sz w:val="20"/>
                <w:szCs w:val="20"/>
                <w:color w:val="auto"/>
              </w:rPr>
            </w:pPr>
            <w:r>
              <w:rPr>
                <w:rFonts w:ascii="Arial" w:cs="Arial" w:eastAsia="Arial" w:hAnsi="Arial"/>
                <w:sz w:val="16"/>
                <w:szCs w:val="16"/>
                <w:color w:val="auto"/>
              </w:rPr>
              <w:t>•  Financial planning—We encourage our executive officers to receive professional advice regarding their financial, tax and</w:t>
            </w:r>
          </w:p>
        </w:tc>
        <w:tc>
          <w:tcPr>
            <w:tcW w:w="20" w:type="dxa"/>
            <w:vAlign w:val="bottom"/>
          </w:tcPr>
          <w:p>
            <w:pPr>
              <w:spacing w:after="0"/>
              <w:rPr>
                <w:sz w:val="20"/>
                <w:szCs w:val="20"/>
                <w:color w:val="auto"/>
              </w:rPr>
            </w:pPr>
          </w:p>
        </w:tc>
      </w:tr>
      <w:tr>
        <w:trPr>
          <w:trHeight w:val="186"/>
        </w:trPr>
        <w:tc>
          <w:tcPr>
            <w:tcW w:w="1500" w:type="dxa"/>
            <w:vAlign w:val="bottom"/>
            <w:shd w:val="clear" w:color="auto" w:fill="D9D9D9"/>
          </w:tcPr>
          <w:p>
            <w:pPr>
              <w:spacing w:after="0"/>
              <w:rPr>
                <w:sz w:val="16"/>
                <w:szCs w:val="16"/>
                <w:color w:val="auto"/>
              </w:rPr>
            </w:pPr>
          </w:p>
        </w:tc>
        <w:tc>
          <w:tcPr>
            <w:tcW w:w="9740" w:type="dxa"/>
            <w:vAlign w:val="bottom"/>
            <w:shd w:val="clear" w:color="auto" w:fill="D9D9D9"/>
          </w:tcPr>
          <w:p>
            <w:pPr>
              <w:ind w:left="940"/>
              <w:spacing w:after="0"/>
              <w:rPr>
                <w:sz w:val="20"/>
                <w:szCs w:val="20"/>
                <w:color w:val="auto"/>
              </w:rPr>
            </w:pPr>
            <w:r>
              <w:rPr>
                <w:rFonts w:ascii="Arial" w:cs="Arial" w:eastAsia="Arial" w:hAnsi="Arial"/>
                <w:sz w:val="16"/>
                <w:szCs w:val="16"/>
                <w:color w:val="auto"/>
              </w:rPr>
              <w:t>estate planning needs. Therefore, we pay up to a maximum defined amount for each of our executive officers to cover tax</w:t>
            </w:r>
          </w:p>
        </w:tc>
        <w:tc>
          <w:tcPr>
            <w:tcW w:w="20" w:type="dxa"/>
            <w:vAlign w:val="bottom"/>
          </w:tcPr>
          <w:p>
            <w:pPr>
              <w:spacing w:after="0"/>
              <w:rPr>
                <w:sz w:val="16"/>
                <w:szCs w:val="16"/>
                <w:color w:val="auto"/>
              </w:rPr>
            </w:pPr>
          </w:p>
        </w:tc>
      </w:tr>
      <w:tr>
        <w:trPr>
          <w:trHeight w:val="186"/>
        </w:trPr>
        <w:tc>
          <w:tcPr>
            <w:tcW w:w="1500" w:type="dxa"/>
            <w:vAlign w:val="bottom"/>
            <w:shd w:val="clear" w:color="auto" w:fill="D9D9D9"/>
          </w:tcPr>
          <w:p>
            <w:pPr>
              <w:spacing w:after="0"/>
              <w:rPr>
                <w:sz w:val="16"/>
                <w:szCs w:val="16"/>
                <w:color w:val="auto"/>
              </w:rPr>
            </w:pPr>
          </w:p>
        </w:tc>
        <w:tc>
          <w:tcPr>
            <w:tcW w:w="9740" w:type="dxa"/>
            <w:vAlign w:val="bottom"/>
            <w:shd w:val="clear" w:color="auto" w:fill="D9D9D9"/>
          </w:tcPr>
          <w:p>
            <w:pPr>
              <w:ind w:left="940"/>
              <w:spacing w:after="0"/>
              <w:rPr>
                <w:sz w:val="20"/>
                <w:szCs w:val="20"/>
                <w:color w:val="auto"/>
              </w:rPr>
            </w:pPr>
            <w:r>
              <w:rPr>
                <w:rFonts w:ascii="Arial" w:cs="Arial" w:eastAsia="Arial" w:hAnsi="Arial"/>
                <w:sz w:val="16"/>
                <w:szCs w:val="16"/>
                <w:color w:val="auto"/>
              </w:rPr>
              <w:t>planning, tax return preparation, financial counseling and estate planning. Every three years, we will pay up to an additional</w:t>
            </w:r>
          </w:p>
        </w:tc>
        <w:tc>
          <w:tcPr>
            <w:tcW w:w="20" w:type="dxa"/>
            <w:vAlign w:val="bottom"/>
          </w:tcPr>
          <w:p>
            <w:pPr>
              <w:spacing w:after="0"/>
              <w:rPr>
                <w:sz w:val="16"/>
                <w:szCs w:val="16"/>
                <w:color w:val="auto"/>
              </w:rPr>
            </w:pPr>
          </w:p>
        </w:tc>
      </w:tr>
      <w:tr>
        <w:trPr>
          <w:trHeight w:val="186"/>
        </w:trPr>
        <w:tc>
          <w:tcPr>
            <w:tcW w:w="1500" w:type="dxa"/>
            <w:vAlign w:val="bottom"/>
            <w:shd w:val="clear" w:color="auto" w:fill="D9D9D9"/>
          </w:tcPr>
          <w:p>
            <w:pPr>
              <w:spacing w:after="0"/>
              <w:rPr>
                <w:sz w:val="16"/>
                <w:szCs w:val="16"/>
                <w:color w:val="auto"/>
              </w:rPr>
            </w:pPr>
          </w:p>
        </w:tc>
        <w:tc>
          <w:tcPr>
            <w:tcW w:w="9740" w:type="dxa"/>
            <w:vAlign w:val="bottom"/>
            <w:shd w:val="clear" w:color="auto" w:fill="D9D9D9"/>
          </w:tcPr>
          <w:p>
            <w:pPr>
              <w:ind w:left="940"/>
              <w:spacing w:after="0"/>
              <w:rPr>
                <w:sz w:val="20"/>
                <w:szCs w:val="20"/>
                <w:color w:val="auto"/>
              </w:rPr>
            </w:pPr>
            <w:r>
              <w:rPr>
                <w:rFonts w:ascii="Arial" w:cs="Arial" w:eastAsia="Arial" w:hAnsi="Arial"/>
                <w:sz w:val="16"/>
                <w:szCs w:val="16"/>
                <w:color w:val="auto"/>
              </w:rPr>
              <w:t>50% of the annual allowance. Annual allowance ranges from $5,000 to $15,000 depending on the level of the executive</w:t>
            </w:r>
          </w:p>
        </w:tc>
        <w:tc>
          <w:tcPr>
            <w:tcW w:w="20" w:type="dxa"/>
            <w:vAlign w:val="bottom"/>
          </w:tcPr>
          <w:p>
            <w:pPr>
              <w:spacing w:after="0"/>
              <w:rPr>
                <w:sz w:val="16"/>
                <w:szCs w:val="16"/>
                <w:color w:val="auto"/>
              </w:rPr>
            </w:pPr>
          </w:p>
        </w:tc>
      </w:tr>
      <w:tr>
        <w:trPr>
          <w:trHeight w:val="192"/>
        </w:trPr>
        <w:tc>
          <w:tcPr>
            <w:tcW w:w="1500" w:type="dxa"/>
            <w:vAlign w:val="bottom"/>
            <w:shd w:val="clear" w:color="auto" w:fill="D9D9D9"/>
          </w:tcPr>
          <w:p>
            <w:pPr>
              <w:spacing w:after="0"/>
              <w:rPr>
                <w:sz w:val="16"/>
                <w:szCs w:val="16"/>
                <w:color w:val="auto"/>
              </w:rPr>
            </w:pPr>
          </w:p>
        </w:tc>
        <w:tc>
          <w:tcPr>
            <w:tcW w:w="9740" w:type="dxa"/>
            <w:vAlign w:val="bottom"/>
            <w:shd w:val="clear" w:color="auto" w:fill="D9D9D9"/>
          </w:tcPr>
          <w:p>
            <w:pPr>
              <w:ind w:left="940"/>
              <w:spacing w:after="0"/>
              <w:rPr>
                <w:sz w:val="20"/>
                <w:szCs w:val="20"/>
                <w:color w:val="auto"/>
              </w:rPr>
            </w:pPr>
            <w:r>
              <w:rPr>
                <w:rFonts w:ascii="Arial" w:cs="Arial" w:eastAsia="Arial" w:hAnsi="Arial"/>
                <w:sz w:val="16"/>
                <w:szCs w:val="16"/>
                <w:color w:val="auto"/>
              </w:rPr>
              <w:t>officer’s position.</w:t>
            </w:r>
          </w:p>
        </w:tc>
        <w:tc>
          <w:tcPr>
            <w:tcW w:w="20" w:type="dxa"/>
            <w:vAlign w:val="bottom"/>
          </w:tcPr>
          <w:p>
            <w:pPr>
              <w:spacing w:after="0"/>
              <w:rPr>
                <w:sz w:val="16"/>
                <w:szCs w:val="16"/>
                <w:color w:val="auto"/>
              </w:rPr>
            </w:pPr>
          </w:p>
        </w:tc>
      </w:tr>
      <w:tr>
        <w:trPr>
          <w:trHeight w:val="233"/>
        </w:trPr>
        <w:tc>
          <w:tcPr>
            <w:tcW w:w="1500" w:type="dxa"/>
            <w:vAlign w:val="bottom"/>
            <w:shd w:val="clear" w:color="auto" w:fill="D9D9D9"/>
          </w:tcPr>
          <w:p>
            <w:pPr>
              <w:spacing w:after="0"/>
              <w:rPr>
                <w:sz w:val="20"/>
                <w:szCs w:val="20"/>
                <w:color w:val="auto"/>
              </w:rPr>
            </w:pPr>
          </w:p>
        </w:tc>
        <w:tc>
          <w:tcPr>
            <w:tcW w:w="9740" w:type="dxa"/>
            <w:vAlign w:val="bottom"/>
            <w:shd w:val="clear" w:color="auto" w:fill="D9D9D9"/>
          </w:tcPr>
          <w:p>
            <w:pPr>
              <w:ind w:left="720"/>
              <w:spacing w:after="0"/>
              <w:rPr>
                <w:sz w:val="20"/>
                <w:szCs w:val="20"/>
                <w:color w:val="auto"/>
              </w:rPr>
            </w:pPr>
            <w:r>
              <w:rPr>
                <w:rFonts w:ascii="Arial" w:cs="Arial" w:eastAsia="Arial" w:hAnsi="Arial"/>
                <w:sz w:val="16"/>
                <w:szCs w:val="16"/>
                <w:color w:val="auto"/>
              </w:rPr>
              <w:t>•  Annual executive physical—To help ensure the health of our executive officers, we generally pay up to $2,000 for approved</w:t>
            </w:r>
          </w:p>
        </w:tc>
        <w:tc>
          <w:tcPr>
            <w:tcW w:w="20" w:type="dxa"/>
            <w:vAlign w:val="bottom"/>
          </w:tcPr>
          <w:p>
            <w:pPr>
              <w:spacing w:after="0"/>
              <w:rPr>
                <w:sz w:val="20"/>
                <w:szCs w:val="20"/>
                <w:color w:val="auto"/>
              </w:rPr>
            </w:pPr>
          </w:p>
        </w:tc>
      </w:tr>
      <w:tr>
        <w:trPr>
          <w:trHeight w:val="192"/>
        </w:trPr>
        <w:tc>
          <w:tcPr>
            <w:tcW w:w="1500" w:type="dxa"/>
            <w:vAlign w:val="bottom"/>
            <w:shd w:val="clear" w:color="auto" w:fill="D9D9D9"/>
          </w:tcPr>
          <w:p>
            <w:pPr>
              <w:spacing w:after="0"/>
              <w:rPr>
                <w:sz w:val="16"/>
                <w:szCs w:val="16"/>
                <w:color w:val="auto"/>
              </w:rPr>
            </w:pPr>
          </w:p>
        </w:tc>
        <w:tc>
          <w:tcPr>
            <w:tcW w:w="9740" w:type="dxa"/>
            <w:vAlign w:val="bottom"/>
            <w:shd w:val="clear" w:color="auto" w:fill="D9D9D9"/>
          </w:tcPr>
          <w:p>
            <w:pPr>
              <w:ind w:left="940"/>
              <w:spacing w:after="0"/>
              <w:rPr>
                <w:sz w:val="20"/>
                <w:szCs w:val="20"/>
                <w:color w:val="auto"/>
              </w:rPr>
            </w:pPr>
            <w:r>
              <w:rPr>
                <w:rFonts w:ascii="Arial" w:cs="Arial" w:eastAsia="Arial" w:hAnsi="Arial"/>
                <w:sz w:val="16"/>
                <w:szCs w:val="16"/>
                <w:color w:val="auto"/>
              </w:rPr>
              <w:t>physical exam expenses not covered by the executive officer’s health insurance.</w:t>
            </w:r>
          </w:p>
        </w:tc>
        <w:tc>
          <w:tcPr>
            <w:tcW w:w="20" w:type="dxa"/>
            <w:vAlign w:val="bottom"/>
          </w:tcPr>
          <w:p>
            <w:pPr>
              <w:spacing w:after="0"/>
              <w:rPr>
                <w:sz w:val="16"/>
                <w:szCs w:val="16"/>
                <w:color w:val="auto"/>
              </w:rPr>
            </w:pPr>
          </w:p>
        </w:tc>
      </w:tr>
      <w:tr>
        <w:trPr>
          <w:trHeight w:val="220"/>
        </w:trPr>
        <w:tc>
          <w:tcPr>
            <w:tcW w:w="1500" w:type="dxa"/>
            <w:vAlign w:val="bottom"/>
            <w:shd w:val="clear" w:color="auto" w:fill="D9D9D9"/>
          </w:tcPr>
          <w:p>
            <w:pPr>
              <w:spacing w:after="0"/>
              <w:rPr>
                <w:sz w:val="19"/>
                <w:szCs w:val="19"/>
                <w:color w:val="auto"/>
              </w:rPr>
            </w:pPr>
          </w:p>
        </w:tc>
        <w:tc>
          <w:tcPr>
            <w:tcW w:w="9740" w:type="dxa"/>
            <w:vAlign w:val="bottom"/>
            <w:shd w:val="clear" w:color="auto" w:fill="D9D9D9"/>
          </w:tcPr>
          <w:p>
            <w:pPr>
              <w:ind w:left="720"/>
              <w:spacing w:after="0"/>
              <w:rPr>
                <w:sz w:val="20"/>
                <w:szCs w:val="20"/>
                <w:color w:val="auto"/>
              </w:rPr>
            </w:pPr>
            <w:r>
              <w:rPr>
                <w:rFonts w:ascii="Arial" w:cs="Arial" w:eastAsia="Arial" w:hAnsi="Arial"/>
                <w:sz w:val="16"/>
                <w:szCs w:val="16"/>
                <w:color w:val="auto"/>
              </w:rPr>
              <w:t>•  Company products—To enable our executive officers the opportunity to become more familiar with our products and use</w:t>
            </w:r>
          </w:p>
        </w:tc>
        <w:tc>
          <w:tcPr>
            <w:tcW w:w="20" w:type="dxa"/>
            <w:vAlign w:val="bottom"/>
          </w:tcPr>
          <w:p>
            <w:pPr>
              <w:spacing w:after="0"/>
              <w:rPr>
                <w:sz w:val="19"/>
                <w:szCs w:val="19"/>
                <w:color w:val="auto"/>
              </w:rPr>
            </w:pPr>
          </w:p>
        </w:tc>
      </w:tr>
      <w:tr>
        <w:trPr>
          <w:trHeight w:val="186"/>
        </w:trPr>
        <w:tc>
          <w:tcPr>
            <w:tcW w:w="1500" w:type="dxa"/>
            <w:vAlign w:val="bottom"/>
            <w:shd w:val="clear" w:color="auto" w:fill="D9D9D9"/>
          </w:tcPr>
          <w:p>
            <w:pPr>
              <w:spacing w:after="0"/>
              <w:rPr>
                <w:sz w:val="16"/>
                <w:szCs w:val="16"/>
                <w:color w:val="auto"/>
              </w:rPr>
            </w:pPr>
          </w:p>
        </w:tc>
        <w:tc>
          <w:tcPr>
            <w:tcW w:w="9740" w:type="dxa"/>
            <w:vAlign w:val="bottom"/>
            <w:shd w:val="clear" w:color="auto" w:fill="D9D9D9"/>
          </w:tcPr>
          <w:p>
            <w:pPr>
              <w:ind w:left="940"/>
              <w:spacing w:after="0"/>
              <w:rPr>
                <w:sz w:val="20"/>
                <w:szCs w:val="20"/>
                <w:color w:val="auto"/>
              </w:rPr>
            </w:pPr>
            <w:r>
              <w:rPr>
                <w:rFonts w:ascii="Arial" w:cs="Arial" w:eastAsia="Arial" w:hAnsi="Arial"/>
                <w:sz w:val="16"/>
                <w:szCs w:val="16"/>
                <w:color w:val="auto"/>
              </w:rPr>
              <w:t>those products on a regular basis, we provide certain Company products and related accessories for personal use at no</w:t>
            </w:r>
          </w:p>
        </w:tc>
        <w:tc>
          <w:tcPr>
            <w:tcW w:w="20" w:type="dxa"/>
            <w:vAlign w:val="bottom"/>
          </w:tcPr>
          <w:p>
            <w:pPr>
              <w:spacing w:after="0"/>
              <w:rPr>
                <w:sz w:val="16"/>
                <w:szCs w:val="16"/>
                <w:color w:val="auto"/>
              </w:rPr>
            </w:pPr>
          </w:p>
        </w:tc>
      </w:tr>
      <w:tr>
        <w:trPr>
          <w:trHeight w:val="186"/>
        </w:trPr>
        <w:tc>
          <w:tcPr>
            <w:tcW w:w="1500" w:type="dxa"/>
            <w:vAlign w:val="bottom"/>
            <w:shd w:val="clear" w:color="auto" w:fill="D9D9D9"/>
          </w:tcPr>
          <w:p>
            <w:pPr>
              <w:spacing w:after="0"/>
              <w:rPr>
                <w:sz w:val="16"/>
                <w:szCs w:val="16"/>
                <w:color w:val="auto"/>
              </w:rPr>
            </w:pPr>
          </w:p>
        </w:tc>
        <w:tc>
          <w:tcPr>
            <w:tcW w:w="9740" w:type="dxa"/>
            <w:vAlign w:val="bottom"/>
            <w:shd w:val="clear" w:color="auto" w:fill="D9D9D9"/>
          </w:tcPr>
          <w:p>
            <w:pPr>
              <w:ind w:left="940"/>
              <w:spacing w:after="0"/>
              <w:rPr>
                <w:sz w:val="20"/>
                <w:szCs w:val="20"/>
                <w:color w:val="auto"/>
              </w:rPr>
            </w:pPr>
            <w:r>
              <w:rPr>
                <w:rFonts w:ascii="Arial" w:cs="Arial" w:eastAsia="Arial" w:hAnsi="Arial"/>
                <w:sz w:val="16"/>
                <w:szCs w:val="16"/>
                <w:color w:val="auto"/>
              </w:rPr>
              <w:t>cost; provided, however, that executive officers are responsible for applicable taxes attributable to the value of such</w:t>
            </w:r>
          </w:p>
        </w:tc>
        <w:tc>
          <w:tcPr>
            <w:tcW w:w="20" w:type="dxa"/>
            <w:vAlign w:val="bottom"/>
          </w:tcPr>
          <w:p>
            <w:pPr>
              <w:spacing w:after="0"/>
              <w:rPr>
                <w:sz w:val="16"/>
                <w:szCs w:val="16"/>
                <w:color w:val="auto"/>
              </w:rPr>
            </w:pPr>
          </w:p>
        </w:tc>
      </w:tr>
      <w:tr>
        <w:trPr>
          <w:trHeight w:val="186"/>
        </w:trPr>
        <w:tc>
          <w:tcPr>
            <w:tcW w:w="1500" w:type="dxa"/>
            <w:vAlign w:val="bottom"/>
            <w:shd w:val="clear" w:color="auto" w:fill="D9D9D9"/>
          </w:tcPr>
          <w:p>
            <w:pPr>
              <w:spacing w:after="0"/>
              <w:rPr>
                <w:sz w:val="16"/>
                <w:szCs w:val="16"/>
                <w:color w:val="auto"/>
              </w:rPr>
            </w:pPr>
          </w:p>
        </w:tc>
        <w:tc>
          <w:tcPr>
            <w:tcW w:w="9740" w:type="dxa"/>
            <w:vAlign w:val="bottom"/>
            <w:shd w:val="clear" w:color="auto" w:fill="D9D9D9"/>
          </w:tcPr>
          <w:p>
            <w:pPr>
              <w:ind w:left="940"/>
              <w:spacing w:after="0"/>
              <w:rPr>
                <w:sz w:val="20"/>
                <w:szCs w:val="20"/>
                <w:color w:val="auto"/>
              </w:rPr>
            </w:pPr>
            <w:r>
              <w:rPr>
                <w:rFonts w:ascii="Arial" w:cs="Arial" w:eastAsia="Arial" w:hAnsi="Arial"/>
                <w:sz w:val="16"/>
                <w:szCs w:val="16"/>
                <w:color w:val="auto"/>
              </w:rPr>
              <w:t>products. The value of a product or accessory is generally deemed to be our distributor net price or its equivalent, which is</w:t>
            </w:r>
          </w:p>
        </w:tc>
        <w:tc>
          <w:tcPr>
            <w:tcW w:w="20" w:type="dxa"/>
            <w:vAlign w:val="bottom"/>
          </w:tcPr>
          <w:p>
            <w:pPr>
              <w:spacing w:after="0"/>
              <w:rPr>
                <w:sz w:val="16"/>
                <w:szCs w:val="16"/>
                <w:color w:val="auto"/>
              </w:rPr>
            </w:pPr>
          </w:p>
        </w:tc>
      </w:tr>
      <w:tr>
        <w:trPr>
          <w:trHeight w:val="192"/>
        </w:trPr>
        <w:tc>
          <w:tcPr>
            <w:tcW w:w="1500" w:type="dxa"/>
            <w:vAlign w:val="bottom"/>
            <w:shd w:val="clear" w:color="auto" w:fill="D9D9D9"/>
          </w:tcPr>
          <w:p>
            <w:pPr>
              <w:spacing w:after="0"/>
              <w:rPr>
                <w:sz w:val="16"/>
                <w:szCs w:val="16"/>
                <w:color w:val="auto"/>
              </w:rPr>
            </w:pPr>
          </w:p>
        </w:tc>
        <w:tc>
          <w:tcPr>
            <w:tcW w:w="9740" w:type="dxa"/>
            <w:vAlign w:val="bottom"/>
            <w:shd w:val="clear" w:color="auto" w:fill="D9D9D9"/>
          </w:tcPr>
          <w:p>
            <w:pPr>
              <w:ind w:left="940"/>
              <w:spacing w:after="0"/>
              <w:rPr>
                <w:sz w:val="20"/>
                <w:szCs w:val="20"/>
                <w:color w:val="auto"/>
              </w:rPr>
            </w:pPr>
            <w:r>
              <w:rPr>
                <w:rFonts w:ascii="Arial" w:cs="Arial" w:eastAsia="Arial" w:hAnsi="Arial"/>
                <w:sz w:val="16"/>
                <w:szCs w:val="16"/>
                <w:color w:val="auto"/>
              </w:rPr>
              <w:t>also the price at which products are available to employees for purchase.</w:t>
            </w:r>
          </w:p>
        </w:tc>
        <w:tc>
          <w:tcPr>
            <w:tcW w:w="20" w:type="dxa"/>
            <w:vAlign w:val="bottom"/>
          </w:tcPr>
          <w:p>
            <w:pPr>
              <w:spacing w:after="0"/>
              <w:rPr>
                <w:sz w:val="16"/>
                <w:szCs w:val="16"/>
                <w:color w:val="auto"/>
              </w:rPr>
            </w:pPr>
          </w:p>
        </w:tc>
      </w:tr>
      <w:tr>
        <w:trPr>
          <w:trHeight w:val="233"/>
        </w:trPr>
        <w:tc>
          <w:tcPr>
            <w:tcW w:w="1500" w:type="dxa"/>
            <w:vAlign w:val="bottom"/>
            <w:shd w:val="clear" w:color="auto" w:fill="D9D9D9"/>
          </w:tcPr>
          <w:p>
            <w:pPr>
              <w:spacing w:after="0"/>
              <w:rPr>
                <w:sz w:val="20"/>
                <w:szCs w:val="20"/>
                <w:color w:val="auto"/>
              </w:rPr>
            </w:pPr>
          </w:p>
        </w:tc>
        <w:tc>
          <w:tcPr>
            <w:tcW w:w="9740" w:type="dxa"/>
            <w:vAlign w:val="bottom"/>
            <w:shd w:val="clear" w:color="auto" w:fill="D9D9D9"/>
          </w:tcPr>
          <w:p>
            <w:pPr>
              <w:ind w:left="720"/>
              <w:spacing w:after="0"/>
              <w:rPr>
                <w:sz w:val="20"/>
                <w:szCs w:val="20"/>
                <w:color w:val="auto"/>
              </w:rPr>
            </w:pPr>
            <w:r>
              <w:rPr>
                <w:rFonts w:ascii="Arial" w:cs="Arial" w:eastAsia="Arial" w:hAnsi="Arial"/>
                <w:sz w:val="16"/>
                <w:szCs w:val="16"/>
                <w:color w:val="auto"/>
              </w:rPr>
              <w:t>•  Travel expenses—During fiscal 2021, we paid certain travel costs for spouses of our executive officers in connection with</w:t>
            </w:r>
          </w:p>
        </w:tc>
        <w:tc>
          <w:tcPr>
            <w:tcW w:w="20" w:type="dxa"/>
            <w:vAlign w:val="bottom"/>
          </w:tcPr>
          <w:p>
            <w:pPr>
              <w:spacing w:after="0"/>
              <w:rPr>
                <w:sz w:val="20"/>
                <w:szCs w:val="20"/>
                <w:color w:val="auto"/>
              </w:rPr>
            </w:pPr>
          </w:p>
        </w:tc>
      </w:tr>
      <w:tr>
        <w:trPr>
          <w:trHeight w:val="184"/>
        </w:trPr>
        <w:tc>
          <w:tcPr>
            <w:tcW w:w="1500" w:type="dxa"/>
            <w:vAlign w:val="bottom"/>
            <w:shd w:val="clear" w:color="auto" w:fill="D9D9D9"/>
          </w:tcPr>
          <w:p>
            <w:pPr>
              <w:spacing w:after="0"/>
              <w:rPr>
                <w:sz w:val="16"/>
                <w:szCs w:val="16"/>
                <w:color w:val="auto"/>
              </w:rPr>
            </w:pPr>
          </w:p>
        </w:tc>
        <w:tc>
          <w:tcPr>
            <w:tcW w:w="9740" w:type="dxa"/>
            <w:vAlign w:val="bottom"/>
            <w:shd w:val="clear" w:color="auto" w:fill="D9D9D9"/>
          </w:tcPr>
          <w:p>
            <w:pPr>
              <w:ind w:left="940"/>
              <w:spacing w:after="0"/>
              <w:rPr>
                <w:sz w:val="20"/>
                <w:szCs w:val="20"/>
                <w:color w:val="auto"/>
              </w:rPr>
            </w:pPr>
            <w:r>
              <w:rPr>
                <w:rFonts w:ascii="Arial" w:cs="Arial" w:eastAsia="Arial" w:hAnsi="Arial"/>
                <w:sz w:val="16"/>
                <w:szCs w:val="16"/>
                <w:color w:val="auto"/>
              </w:rPr>
              <w:t>certain off-site, business-related meetings in which it was appropriate for a spouse to attend.</w:t>
            </w:r>
          </w:p>
        </w:tc>
        <w:tc>
          <w:tcPr>
            <w:tcW w:w="20" w:type="dxa"/>
            <w:vAlign w:val="bottom"/>
          </w:tcPr>
          <w:p>
            <w:pPr>
              <w:spacing w:after="0"/>
              <w:rPr>
                <w:sz w:val="16"/>
                <w:szCs w:val="16"/>
                <w:color w:val="auto"/>
              </w:rPr>
            </w:pPr>
          </w:p>
        </w:tc>
      </w:tr>
      <w:tr>
        <w:trPr>
          <w:trHeight w:val="188"/>
        </w:trPr>
        <w:tc>
          <w:tcPr>
            <w:tcW w:w="1500" w:type="dxa"/>
            <w:vAlign w:val="bottom"/>
          </w:tcPr>
          <w:p>
            <w:pPr>
              <w:spacing w:after="0"/>
              <w:rPr>
                <w:sz w:val="20"/>
                <w:szCs w:val="20"/>
                <w:color w:val="auto"/>
              </w:rPr>
            </w:pPr>
            <w:r>
              <w:rPr>
                <w:rFonts w:ascii="Arial" w:cs="Arial" w:eastAsia="Arial" w:hAnsi="Arial"/>
                <w:sz w:val="16"/>
                <w:szCs w:val="16"/>
                <w:color w:val="auto"/>
              </w:rPr>
              <w:t>Charitable</w:t>
            </w:r>
          </w:p>
        </w:tc>
        <w:tc>
          <w:tcPr>
            <w:tcW w:w="9740" w:type="dxa"/>
            <w:vAlign w:val="bottom"/>
          </w:tcPr>
          <w:p>
            <w:pPr>
              <w:ind w:left="720"/>
              <w:spacing w:after="0"/>
              <w:rPr>
                <w:sz w:val="20"/>
                <w:szCs w:val="20"/>
                <w:color w:val="auto"/>
              </w:rPr>
            </w:pPr>
            <w:r>
              <w:rPr>
                <w:rFonts w:ascii="Arial" w:cs="Arial" w:eastAsia="Arial" w:hAnsi="Arial"/>
                <w:sz w:val="16"/>
                <w:szCs w:val="16"/>
                <w:color w:val="auto"/>
              </w:rPr>
              <w:t>We support charitable organizations for our employees through our matching gift program. The program for our executive</w:t>
            </w:r>
          </w:p>
        </w:tc>
        <w:tc>
          <w:tcPr>
            <w:tcW w:w="20" w:type="dxa"/>
            <w:vAlign w:val="bottom"/>
          </w:tcPr>
          <w:p>
            <w:pPr>
              <w:spacing w:after="0"/>
              <w:rPr>
                <w:sz w:val="16"/>
                <w:szCs w:val="16"/>
                <w:color w:val="auto"/>
              </w:rPr>
            </w:pPr>
          </w:p>
        </w:tc>
      </w:tr>
      <w:tr>
        <w:trPr>
          <w:trHeight w:val="186"/>
        </w:trPr>
        <w:tc>
          <w:tcPr>
            <w:tcW w:w="1500" w:type="dxa"/>
            <w:vAlign w:val="bottom"/>
          </w:tcPr>
          <w:p>
            <w:pPr>
              <w:spacing w:after="0"/>
              <w:rPr>
                <w:sz w:val="20"/>
                <w:szCs w:val="20"/>
                <w:color w:val="auto"/>
              </w:rPr>
            </w:pPr>
            <w:r>
              <w:rPr>
                <w:rFonts w:ascii="Arial" w:cs="Arial" w:eastAsia="Arial" w:hAnsi="Arial"/>
                <w:sz w:val="16"/>
                <w:szCs w:val="16"/>
                <w:color w:val="auto"/>
              </w:rPr>
              <w:t>Giving</w:t>
            </w:r>
          </w:p>
        </w:tc>
        <w:tc>
          <w:tcPr>
            <w:tcW w:w="9740" w:type="dxa"/>
            <w:vAlign w:val="bottom"/>
          </w:tcPr>
          <w:p>
            <w:pPr>
              <w:ind w:left="720"/>
              <w:spacing w:after="0"/>
              <w:rPr>
                <w:sz w:val="20"/>
                <w:szCs w:val="20"/>
                <w:color w:val="auto"/>
              </w:rPr>
            </w:pPr>
            <w:r>
              <w:rPr>
                <w:rFonts w:ascii="Arial" w:cs="Arial" w:eastAsia="Arial" w:hAnsi="Arial"/>
                <w:sz w:val="16"/>
                <w:szCs w:val="16"/>
                <w:color w:val="auto"/>
              </w:rPr>
              <w:t>officers provides that a gift or gifts by an executive officer and/or his or her spouse to one or more tax exempt 501(c)(3)</w:t>
            </w:r>
          </w:p>
        </w:tc>
        <w:tc>
          <w:tcPr>
            <w:tcW w:w="20" w:type="dxa"/>
            <w:vAlign w:val="bottom"/>
          </w:tcPr>
          <w:p>
            <w:pPr>
              <w:spacing w:after="0"/>
              <w:rPr>
                <w:sz w:val="16"/>
                <w:szCs w:val="16"/>
                <w:color w:val="auto"/>
              </w:rPr>
            </w:pPr>
          </w:p>
        </w:tc>
      </w:tr>
      <w:tr>
        <w:trPr>
          <w:trHeight w:val="192"/>
        </w:trPr>
        <w:tc>
          <w:tcPr>
            <w:tcW w:w="1500" w:type="dxa"/>
            <w:vAlign w:val="bottom"/>
          </w:tcPr>
          <w:p>
            <w:pPr>
              <w:spacing w:after="0"/>
              <w:rPr>
                <w:sz w:val="16"/>
                <w:szCs w:val="16"/>
                <w:color w:val="auto"/>
              </w:rPr>
            </w:pPr>
          </w:p>
        </w:tc>
        <w:tc>
          <w:tcPr>
            <w:tcW w:w="9740" w:type="dxa"/>
            <w:vAlign w:val="bottom"/>
          </w:tcPr>
          <w:p>
            <w:pPr>
              <w:ind w:left="720"/>
              <w:spacing w:after="0"/>
              <w:rPr>
                <w:sz w:val="20"/>
                <w:szCs w:val="20"/>
                <w:color w:val="auto"/>
              </w:rPr>
            </w:pPr>
            <w:r>
              <w:rPr>
                <w:rFonts w:ascii="Arial" w:cs="Arial" w:eastAsia="Arial" w:hAnsi="Arial"/>
                <w:sz w:val="16"/>
                <w:szCs w:val="16"/>
                <w:color w:val="auto"/>
              </w:rPr>
              <w:t>charitable organizations located in the United States will be matched by us in an aggregate amount of up to $3,000 per year.</w:t>
            </w:r>
          </w:p>
        </w:tc>
        <w:tc>
          <w:tcPr>
            <w:tcW w:w="20" w:type="dxa"/>
            <w:vAlign w:val="bottom"/>
          </w:tcPr>
          <w:p>
            <w:pPr>
              <w:spacing w:after="0"/>
              <w:rPr>
                <w:sz w:val="16"/>
                <w:szCs w:val="16"/>
                <w:color w:val="auto"/>
              </w:rPr>
            </w:pPr>
          </w:p>
        </w:tc>
      </w:tr>
      <w:tr>
        <w:trPr>
          <w:trHeight w:val="416"/>
        </w:trPr>
        <w:tc>
          <w:tcPr>
            <w:tcW w:w="1500" w:type="dxa"/>
            <w:vAlign w:val="bottom"/>
          </w:tcPr>
          <w:p>
            <w:pPr>
              <w:spacing w:after="0"/>
              <w:rPr>
                <w:sz w:val="24"/>
                <w:szCs w:val="24"/>
                <w:color w:val="auto"/>
              </w:rPr>
            </w:pPr>
          </w:p>
        </w:tc>
        <w:tc>
          <w:tcPr>
            <w:tcW w:w="9740" w:type="dxa"/>
            <w:vAlign w:val="bottom"/>
          </w:tcPr>
          <w:p>
            <w:pPr>
              <w:ind w:left="4020"/>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24"/>
                <w:szCs w:val="24"/>
                <w:color w:val="auto"/>
              </w:rPr>
            </w:pPr>
          </w:p>
        </w:tc>
      </w:tr>
      <w:tr>
        <w:trPr>
          <w:trHeight w:val="101"/>
        </w:trPr>
        <w:tc>
          <w:tcPr>
            <w:tcW w:w="1500" w:type="dxa"/>
            <w:vAlign w:val="bottom"/>
            <w:tcBorders>
              <w:bottom w:val="single" w:sz="8" w:color="9A9A9A"/>
            </w:tcBorders>
          </w:tcPr>
          <w:p>
            <w:pPr>
              <w:spacing w:after="0"/>
              <w:rPr>
                <w:sz w:val="8"/>
                <w:szCs w:val="8"/>
                <w:color w:val="auto"/>
              </w:rPr>
            </w:pPr>
          </w:p>
        </w:tc>
        <w:tc>
          <w:tcPr>
            <w:tcW w:w="97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-29210</wp:posOffset>
            </wp:positionV>
            <wp:extent cx="3365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311" w:lineRule="exact"/>
        <w:rPr>
          <w:sz w:val="20"/>
          <w:szCs w:val="20"/>
          <w:color w:val="auto"/>
        </w:rPr>
      </w:pPr>
    </w:p>
    <w:p>
      <w:pPr>
        <w:ind w:right="420" w:firstLine="401"/>
        <w:spacing w:after="0" w:line="238" w:lineRule="auto"/>
        <w:rPr>
          <w:sz w:val="20"/>
          <w:szCs w:val="20"/>
          <w:color w:val="auto"/>
        </w:rPr>
      </w:pPr>
      <w:r>
        <w:rPr>
          <w:rFonts w:ascii="Arial" w:cs="Arial" w:eastAsia="Arial" w:hAnsi="Arial"/>
          <w:sz w:val="18"/>
          <w:szCs w:val="18"/>
          <w:color w:val="auto"/>
        </w:rPr>
        <w:t>Specific amounts included in the fiscal 2021 “All Other Compensation” column of the “Summary Compensation Table” are in the table below.</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shd w:val="clear" w:color="auto" w:fill="C00000"/>
          </w:tcPr>
          <w:p>
            <w:pPr>
              <w:spacing w:after="0"/>
              <w:rPr>
                <w:sz w:val="14"/>
                <w:szCs w:val="14"/>
                <w:color w:val="auto"/>
              </w:rPr>
            </w:pPr>
          </w:p>
        </w:tc>
        <w:tc>
          <w:tcPr>
            <w:tcW w:w="2660" w:type="dxa"/>
            <w:vAlign w:val="bottom"/>
            <w:shd w:val="clear" w:color="auto" w:fill="C00000"/>
          </w:tcPr>
          <w:p>
            <w:pPr>
              <w:jc w:val="center"/>
              <w:ind w:left="745"/>
              <w:spacing w:after="0"/>
              <w:rPr>
                <w:sz w:val="20"/>
                <w:szCs w:val="20"/>
                <w:color w:val="auto"/>
              </w:rPr>
            </w:pPr>
            <w:r>
              <w:rPr>
                <w:rFonts w:ascii="Arial" w:cs="Arial" w:eastAsia="Arial" w:hAnsi="Arial"/>
                <w:sz w:val="14"/>
                <w:szCs w:val="14"/>
                <w:b w:val="1"/>
                <w:bCs w:val="1"/>
                <w:color w:val="FFFFFF"/>
              </w:rPr>
              <w:t>Retirement Plan</w:t>
            </w:r>
          </w:p>
        </w:tc>
        <w:tc>
          <w:tcPr>
            <w:tcW w:w="1860" w:type="dxa"/>
            <w:vAlign w:val="bottom"/>
            <w:shd w:val="clear" w:color="auto" w:fill="C00000"/>
          </w:tcPr>
          <w:p>
            <w:pPr>
              <w:jc w:val="center"/>
              <w:ind w:right="225"/>
              <w:spacing w:after="0"/>
              <w:rPr>
                <w:sz w:val="20"/>
                <w:szCs w:val="20"/>
                <w:color w:val="auto"/>
              </w:rPr>
            </w:pPr>
            <w:r>
              <w:rPr>
                <w:rFonts w:ascii="Arial" w:cs="Arial" w:eastAsia="Arial" w:hAnsi="Arial"/>
                <w:sz w:val="14"/>
                <w:szCs w:val="14"/>
                <w:b w:val="1"/>
                <w:bCs w:val="1"/>
                <w:color w:val="FFFFFF"/>
              </w:rPr>
              <w:t>Nonqualified Plan</w:t>
            </w:r>
          </w:p>
        </w:tc>
        <w:tc>
          <w:tcPr>
            <w:tcW w:w="1560" w:type="dxa"/>
            <w:vAlign w:val="bottom"/>
            <w:shd w:val="clear" w:color="auto" w:fill="C00000"/>
          </w:tcPr>
          <w:p>
            <w:pPr>
              <w:jc w:val="center"/>
              <w:ind w:right="245"/>
              <w:spacing w:after="0"/>
              <w:rPr>
                <w:sz w:val="20"/>
                <w:szCs w:val="20"/>
                <w:color w:val="auto"/>
              </w:rPr>
            </w:pPr>
            <w:r>
              <w:rPr>
                <w:rFonts w:ascii="Arial" w:cs="Arial" w:eastAsia="Arial" w:hAnsi="Arial"/>
                <w:sz w:val="14"/>
                <w:szCs w:val="14"/>
                <w:b w:val="1"/>
                <w:bCs w:val="1"/>
                <w:color w:val="FFFFFF"/>
                <w:w w:val="99"/>
              </w:rPr>
              <w:t>Charitable</w:t>
            </w:r>
          </w:p>
        </w:tc>
        <w:tc>
          <w:tcPr>
            <w:tcW w:w="1760" w:type="dxa"/>
            <w:vAlign w:val="bottom"/>
            <w:shd w:val="clear" w:color="auto" w:fill="C00000"/>
          </w:tcPr>
          <w:p>
            <w:pPr>
              <w:spacing w:after="0"/>
              <w:rPr>
                <w:sz w:val="14"/>
                <w:szCs w:val="14"/>
                <w:color w:val="auto"/>
              </w:rPr>
            </w:pPr>
          </w:p>
        </w:tc>
        <w:tc>
          <w:tcPr>
            <w:tcW w:w="1260" w:type="dxa"/>
            <w:vAlign w:val="bottom"/>
            <w:shd w:val="clear" w:color="auto" w:fill="C00000"/>
          </w:tcPr>
          <w:p>
            <w:pPr>
              <w:spacing w:after="0"/>
              <w:rPr>
                <w:sz w:val="14"/>
                <w:szCs w:val="14"/>
                <w:color w:val="auto"/>
              </w:rPr>
            </w:pPr>
          </w:p>
        </w:tc>
      </w:tr>
      <w:tr>
        <w:trPr>
          <w:trHeight w:val="163"/>
        </w:trPr>
        <w:tc>
          <w:tcPr>
            <w:tcW w:w="2140" w:type="dxa"/>
            <w:vAlign w:val="bottom"/>
            <w:shd w:val="clear" w:color="auto" w:fill="C00000"/>
          </w:tcPr>
          <w:p>
            <w:pPr>
              <w:spacing w:after="0"/>
              <w:rPr>
                <w:sz w:val="14"/>
                <w:szCs w:val="14"/>
                <w:color w:val="auto"/>
              </w:rPr>
            </w:pPr>
          </w:p>
        </w:tc>
        <w:tc>
          <w:tcPr>
            <w:tcW w:w="2660" w:type="dxa"/>
            <w:vAlign w:val="bottom"/>
            <w:shd w:val="clear" w:color="auto" w:fill="C00000"/>
          </w:tcPr>
          <w:p>
            <w:pPr>
              <w:jc w:val="center"/>
              <w:ind w:left="765"/>
              <w:spacing w:after="0" w:line="163" w:lineRule="exact"/>
              <w:rPr>
                <w:sz w:val="20"/>
                <w:szCs w:val="20"/>
                <w:color w:val="auto"/>
              </w:rPr>
            </w:pPr>
            <w:r>
              <w:rPr>
                <w:rFonts w:ascii="Arial" w:cs="Arial" w:eastAsia="Arial" w:hAnsi="Arial"/>
                <w:sz w:val="11"/>
                <w:szCs w:val="11"/>
                <w:b w:val="1"/>
                <w:bCs w:val="1"/>
                <w:color w:val="FFFFFF"/>
              </w:rPr>
              <w:t>Contributions</w:t>
            </w:r>
            <w:r>
              <w:rPr>
                <w:rFonts w:ascii="Arial" w:cs="Arial" w:eastAsia="Arial" w:hAnsi="Arial"/>
                <w:sz w:val="18"/>
                <w:szCs w:val="18"/>
                <w:b w:val="1"/>
                <w:bCs w:val="1"/>
                <w:color w:val="FFFFFF"/>
                <w:vertAlign w:val="superscript"/>
              </w:rPr>
              <w:t>(1)</w:t>
            </w:r>
          </w:p>
        </w:tc>
        <w:tc>
          <w:tcPr>
            <w:tcW w:w="1860" w:type="dxa"/>
            <w:vAlign w:val="bottom"/>
            <w:shd w:val="clear" w:color="auto" w:fill="C00000"/>
          </w:tcPr>
          <w:p>
            <w:pPr>
              <w:jc w:val="center"/>
              <w:ind w:right="225"/>
              <w:spacing w:after="0" w:line="163" w:lineRule="exact"/>
              <w:rPr>
                <w:sz w:val="20"/>
                <w:szCs w:val="20"/>
                <w:color w:val="auto"/>
              </w:rPr>
            </w:pPr>
            <w:r>
              <w:rPr>
                <w:rFonts w:ascii="Arial" w:cs="Arial" w:eastAsia="Arial" w:hAnsi="Arial"/>
                <w:sz w:val="11"/>
                <w:szCs w:val="11"/>
                <w:b w:val="1"/>
                <w:bCs w:val="1"/>
                <w:color w:val="FFFFFF"/>
              </w:rPr>
              <w:t>Contributions</w:t>
            </w:r>
            <w:r>
              <w:rPr>
                <w:rFonts w:ascii="Arial" w:cs="Arial" w:eastAsia="Arial" w:hAnsi="Arial"/>
                <w:sz w:val="18"/>
                <w:szCs w:val="18"/>
                <w:b w:val="1"/>
                <w:bCs w:val="1"/>
                <w:color w:val="FFFFFF"/>
                <w:vertAlign w:val="superscript"/>
              </w:rPr>
              <w:t>(2)</w:t>
            </w:r>
          </w:p>
        </w:tc>
        <w:tc>
          <w:tcPr>
            <w:tcW w:w="1560" w:type="dxa"/>
            <w:vAlign w:val="bottom"/>
            <w:shd w:val="clear" w:color="auto" w:fill="C00000"/>
          </w:tcPr>
          <w:p>
            <w:pPr>
              <w:jc w:val="center"/>
              <w:ind w:right="245"/>
              <w:spacing w:after="0" w:line="163" w:lineRule="exact"/>
              <w:rPr>
                <w:sz w:val="20"/>
                <w:szCs w:val="20"/>
                <w:color w:val="auto"/>
              </w:rPr>
            </w:pPr>
            <w:r>
              <w:rPr>
                <w:rFonts w:ascii="Arial" w:cs="Arial" w:eastAsia="Arial" w:hAnsi="Arial"/>
                <w:sz w:val="11"/>
                <w:szCs w:val="11"/>
                <w:b w:val="1"/>
                <w:bCs w:val="1"/>
                <w:color w:val="FFFFFF"/>
              </w:rPr>
              <w:t>Giving</w:t>
            </w:r>
            <w:r>
              <w:rPr>
                <w:rFonts w:ascii="Arial" w:cs="Arial" w:eastAsia="Arial" w:hAnsi="Arial"/>
                <w:sz w:val="18"/>
                <w:szCs w:val="18"/>
                <w:b w:val="1"/>
                <w:bCs w:val="1"/>
                <w:color w:val="FFFFFF"/>
                <w:vertAlign w:val="superscript"/>
              </w:rPr>
              <w:t>(3)</w:t>
            </w:r>
          </w:p>
        </w:tc>
        <w:tc>
          <w:tcPr>
            <w:tcW w:w="1760" w:type="dxa"/>
            <w:vAlign w:val="bottom"/>
            <w:shd w:val="clear" w:color="auto" w:fill="C00000"/>
          </w:tcPr>
          <w:p>
            <w:pPr>
              <w:jc w:val="right"/>
              <w:ind w:right="565"/>
              <w:spacing w:after="0" w:line="163" w:lineRule="exact"/>
              <w:rPr>
                <w:sz w:val="20"/>
                <w:szCs w:val="20"/>
                <w:color w:val="auto"/>
              </w:rPr>
            </w:pPr>
            <w:r>
              <w:rPr>
                <w:rFonts w:ascii="Arial" w:cs="Arial" w:eastAsia="Arial" w:hAnsi="Arial"/>
                <w:sz w:val="11"/>
                <w:szCs w:val="11"/>
                <w:b w:val="1"/>
                <w:bCs w:val="1"/>
                <w:color w:val="FFFFFF"/>
              </w:rPr>
              <w:t>Perquisites</w:t>
            </w:r>
            <w:r>
              <w:rPr>
                <w:rFonts w:ascii="Arial" w:cs="Arial" w:eastAsia="Arial" w:hAnsi="Arial"/>
                <w:sz w:val="18"/>
                <w:szCs w:val="18"/>
                <w:b w:val="1"/>
                <w:bCs w:val="1"/>
                <w:color w:val="FFFFFF"/>
                <w:vertAlign w:val="superscript"/>
              </w:rPr>
              <w:t>(4)</w:t>
            </w:r>
          </w:p>
        </w:tc>
        <w:tc>
          <w:tcPr>
            <w:tcW w:w="1260" w:type="dxa"/>
            <w:vAlign w:val="bottom"/>
            <w:shd w:val="clear" w:color="auto" w:fill="C00000"/>
          </w:tcPr>
          <w:p>
            <w:pPr>
              <w:jc w:val="right"/>
              <w:ind w:right="503"/>
              <w:spacing w:after="0"/>
              <w:rPr>
                <w:sz w:val="20"/>
                <w:szCs w:val="20"/>
                <w:color w:val="auto"/>
              </w:rPr>
            </w:pPr>
            <w:r>
              <w:rPr>
                <w:rFonts w:ascii="Arial" w:cs="Arial" w:eastAsia="Arial" w:hAnsi="Arial"/>
                <w:sz w:val="14"/>
                <w:szCs w:val="14"/>
                <w:b w:val="1"/>
                <w:bCs w:val="1"/>
                <w:color w:val="FFFFFF"/>
              </w:rPr>
              <w:t>Total</w:t>
            </w:r>
          </w:p>
        </w:tc>
      </w:tr>
      <w:tr>
        <w:trPr>
          <w:trHeight w:val="173"/>
        </w:trPr>
        <w:tc>
          <w:tcPr>
            <w:tcW w:w="214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Name</w:t>
            </w:r>
          </w:p>
        </w:tc>
        <w:tc>
          <w:tcPr>
            <w:tcW w:w="2660" w:type="dxa"/>
            <w:vAlign w:val="bottom"/>
            <w:shd w:val="clear" w:color="auto" w:fill="C00000"/>
          </w:tcPr>
          <w:p>
            <w:pPr>
              <w:jc w:val="center"/>
              <w:ind w:left="765"/>
              <w:spacing w:after="0"/>
              <w:rPr>
                <w:sz w:val="20"/>
                <w:szCs w:val="20"/>
                <w:color w:val="auto"/>
              </w:rPr>
            </w:pPr>
            <w:r>
              <w:rPr>
                <w:rFonts w:ascii="Arial" w:cs="Arial" w:eastAsia="Arial" w:hAnsi="Arial"/>
                <w:sz w:val="14"/>
                <w:szCs w:val="14"/>
                <w:b w:val="1"/>
                <w:bCs w:val="1"/>
                <w:color w:val="FFFFFF"/>
              </w:rPr>
              <w:t>($)</w:t>
            </w:r>
          </w:p>
        </w:tc>
        <w:tc>
          <w:tcPr>
            <w:tcW w:w="1860" w:type="dxa"/>
            <w:vAlign w:val="bottom"/>
            <w:shd w:val="clear" w:color="auto" w:fill="C00000"/>
          </w:tcPr>
          <w:p>
            <w:pPr>
              <w:jc w:val="center"/>
              <w:ind w:right="205"/>
              <w:spacing w:after="0"/>
              <w:rPr>
                <w:sz w:val="20"/>
                <w:szCs w:val="20"/>
                <w:color w:val="auto"/>
              </w:rPr>
            </w:pPr>
            <w:r>
              <w:rPr>
                <w:rFonts w:ascii="Arial" w:cs="Arial" w:eastAsia="Arial" w:hAnsi="Arial"/>
                <w:sz w:val="14"/>
                <w:szCs w:val="14"/>
                <w:b w:val="1"/>
                <w:bCs w:val="1"/>
                <w:color w:val="FFFFFF"/>
              </w:rPr>
              <w:t>($)</w:t>
            </w:r>
          </w:p>
        </w:tc>
        <w:tc>
          <w:tcPr>
            <w:tcW w:w="1560" w:type="dxa"/>
            <w:vAlign w:val="bottom"/>
            <w:shd w:val="clear" w:color="auto" w:fill="C00000"/>
          </w:tcPr>
          <w:p>
            <w:pPr>
              <w:jc w:val="center"/>
              <w:ind w:right="245"/>
              <w:spacing w:after="0"/>
              <w:rPr>
                <w:sz w:val="20"/>
                <w:szCs w:val="20"/>
                <w:color w:val="auto"/>
              </w:rPr>
            </w:pPr>
            <w:r>
              <w:rPr>
                <w:rFonts w:ascii="Arial" w:cs="Arial" w:eastAsia="Arial" w:hAnsi="Arial"/>
                <w:sz w:val="14"/>
                <w:szCs w:val="14"/>
                <w:b w:val="1"/>
                <w:bCs w:val="1"/>
                <w:color w:val="FFFFFF"/>
                <w:w w:val="93"/>
              </w:rPr>
              <w:t>($)</w:t>
            </w:r>
          </w:p>
        </w:tc>
        <w:tc>
          <w:tcPr>
            <w:tcW w:w="1760" w:type="dxa"/>
            <w:vAlign w:val="bottom"/>
            <w:shd w:val="clear" w:color="auto" w:fill="C00000"/>
          </w:tcPr>
          <w:p>
            <w:pPr>
              <w:jc w:val="right"/>
              <w:ind w:right="925"/>
              <w:spacing w:after="0"/>
              <w:rPr>
                <w:sz w:val="20"/>
                <w:szCs w:val="20"/>
                <w:color w:val="auto"/>
              </w:rPr>
            </w:pPr>
            <w:r>
              <w:rPr>
                <w:rFonts w:ascii="Arial" w:cs="Arial" w:eastAsia="Arial" w:hAnsi="Arial"/>
                <w:sz w:val="14"/>
                <w:szCs w:val="14"/>
                <w:b w:val="1"/>
                <w:bCs w:val="1"/>
                <w:color w:val="FFFFFF"/>
              </w:rPr>
              <w:t>($)</w:t>
            </w:r>
          </w:p>
        </w:tc>
        <w:tc>
          <w:tcPr>
            <w:tcW w:w="1260" w:type="dxa"/>
            <w:vAlign w:val="bottom"/>
            <w:shd w:val="clear" w:color="auto" w:fill="C00000"/>
          </w:tcPr>
          <w:p>
            <w:pPr>
              <w:jc w:val="right"/>
              <w:ind w:right="563"/>
              <w:spacing w:after="0"/>
              <w:rPr>
                <w:sz w:val="20"/>
                <w:szCs w:val="20"/>
                <w:color w:val="auto"/>
              </w:rPr>
            </w:pPr>
            <w:r>
              <w:rPr>
                <w:rFonts w:ascii="Arial" w:cs="Arial" w:eastAsia="Arial" w:hAnsi="Arial"/>
                <w:sz w:val="14"/>
                <w:szCs w:val="14"/>
                <w:b w:val="1"/>
                <w:bCs w:val="1"/>
                <w:color w:val="FFFFFF"/>
              </w:rPr>
              <w:t>($)</w:t>
            </w:r>
          </w:p>
        </w:tc>
      </w:tr>
      <w:tr>
        <w:trPr>
          <w:trHeight w:val="230"/>
        </w:trPr>
        <w:tc>
          <w:tcPr>
            <w:tcW w:w="2140" w:type="dxa"/>
            <w:vAlign w:val="bottom"/>
          </w:tcPr>
          <w:p>
            <w:pPr>
              <w:spacing w:after="0"/>
              <w:rPr>
                <w:sz w:val="20"/>
                <w:szCs w:val="20"/>
                <w:color w:val="auto"/>
              </w:rPr>
            </w:pPr>
            <w:r>
              <w:rPr>
                <w:rFonts w:ascii="Arial" w:cs="Arial" w:eastAsia="Arial" w:hAnsi="Arial"/>
                <w:sz w:val="16"/>
                <w:szCs w:val="16"/>
                <w:color w:val="auto"/>
              </w:rPr>
              <w:t>Mr. Olson</w:t>
            </w:r>
          </w:p>
        </w:tc>
        <w:tc>
          <w:tcPr>
            <w:tcW w:w="2660" w:type="dxa"/>
            <w:vAlign w:val="bottom"/>
          </w:tcPr>
          <w:p>
            <w:pPr>
              <w:jc w:val="right"/>
              <w:ind w:right="125"/>
              <w:spacing w:after="0"/>
              <w:rPr>
                <w:sz w:val="20"/>
                <w:szCs w:val="20"/>
                <w:color w:val="auto"/>
              </w:rPr>
            </w:pPr>
            <w:r>
              <w:rPr>
                <w:rFonts w:ascii="Arial" w:cs="Arial" w:eastAsia="Arial" w:hAnsi="Arial"/>
                <w:sz w:val="16"/>
                <w:szCs w:val="16"/>
                <w:color w:val="auto"/>
              </w:rPr>
              <w:t>28,483</w:t>
            </w:r>
          </w:p>
        </w:tc>
        <w:tc>
          <w:tcPr>
            <w:tcW w:w="1860" w:type="dxa"/>
            <w:vAlign w:val="bottom"/>
          </w:tcPr>
          <w:p>
            <w:pPr>
              <w:jc w:val="right"/>
              <w:ind w:right="205"/>
              <w:spacing w:after="0"/>
              <w:rPr>
                <w:sz w:val="20"/>
                <w:szCs w:val="20"/>
                <w:color w:val="auto"/>
              </w:rPr>
            </w:pPr>
            <w:r>
              <w:rPr>
                <w:rFonts w:ascii="Arial" w:cs="Arial" w:eastAsia="Arial" w:hAnsi="Arial"/>
                <w:sz w:val="16"/>
                <w:szCs w:val="16"/>
                <w:color w:val="auto"/>
              </w:rPr>
              <w:t>242,932</w:t>
            </w:r>
          </w:p>
        </w:tc>
        <w:tc>
          <w:tcPr>
            <w:tcW w:w="1560" w:type="dxa"/>
            <w:vAlign w:val="bottom"/>
          </w:tcPr>
          <w:p>
            <w:pPr>
              <w:jc w:val="right"/>
              <w:ind w:right="145"/>
              <w:spacing w:after="0"/>
              <w:rPr>
                <w:sz w:val="20"/>
                <w:szCs w:val="20"/>
                <w:color w:val="auto"/>
              </w:rPr>
            </w:pPr>
            <w:r>
              <w:rPr>
                <w:rFonts w:ascii="Arial" w:cs="Arial" w:eastAsia="Arial" w:hAnsi="Arial"/>
                <w:sz w:val="16"/>
                <w:szCs w:val="16"/>
                <w:color w:val="auto"/>
              </w:rPr>
              <w:t>3,000</w:t>
            </w:r>
          </w:p>
        </w:tc>
        <w:tc>
          <w:tcPr>
            <w:tcW w:w="1760" w:type="dxa"/>
            <w:vAlign w:val="bottom"/>
          </w:tcPr>
          <w:p>
            <w:pPr>
              <w:jc w:val="right"/>
              <w:ind w:right="305"/>
              <w:spacing w:after="0"/>
              <w:rPr>
                <w:sz w:val="20"/>
                <w:szCs w:val="20"/>
                <w:color w:val="auto"/>
              </w:rPr>
            </w:pPr>
            <w:r>
              <w:rPr>
                <w:rFonts w:ascii="Arial" w:cs="Arial" w:eastAsia="Arial" w:hAnsi="Arial"/>
                <w:sz w:val="16"/>
                <w:szCs w:val="16"/>
                <w:color w:val="auto"/>
              </w:rPr>
              <w:t>26,363</w:t>
            </w:r>
          </w:p>
        </w:tc>
        <w:tc>
          <w:tcPr>
            <w:tcW w:w="1260" w:type="dxa"/>
            <w:vAlign w:val="bottom"/>
          </w:tcPr>
          <w:p>
            <w:pPr>
              <w:jc w:val="right"/>
              <w:spacing w:after="0"/>
              <w:rPr>
                <w:sz w:val="20"/>
                <w:szCs w:val="20"/>
                <w:color w:val="auto"/>
              </w:rPr>
            </w:pPr>
            <w:r>
              <w:rPr>
                <w:rFonts w:ascii="Arial" w:cs="Arial" w:eastAsia="Arial" w:hAnsi="Arial"/>
                <w:sz w:val="16"/>
                <w:szCs w:val="16"/>
                <w:color w:val="auto"/>
              </w:rPr>
              <w:t>300,778</w:t>
            </w:r>
          </w:p>
        </w:tc>
      </w:tr>
      <w:tr>
        <w:trPr>
          <w:trHeight w:val="249"/>
        </w:trPr>
        <w:tc>
          <w:tcPr>
            <w:tcW w:w="2140" w:type="dxa"/>
            <w:vAlign w:val="bottom"/>
            <w:shd w:val="clear" w:color="auto" w:fill="D9D9D9"/>
          </w:tcPr>
          <w:p>
            <w:pPr>
              <w:spacing w:after="0"/>
              <w:rPr>
                <w:sz w:val="20"/>
                <w:szCs w:val="20"/>
                <w:color w:val="auto"/>
              </w:rPr>
            </w:pPr>
            <w:r>
              <w:rPr>
                <w:rFonts w:ascii="Arial" w:cs="Arial" w:eastAsia="Arial" w:hAnsi="Arial"/>
                <w:sz w:val="16"/>
                <w:szCs w:val="16"/>
                <w:color w:val="auto"/>
              </w:rPr>
              <w:t>Ms. Peterson</w:t>
            </w:r>
          </w:p>
        </w:tc>
        <w:tc>
          <w:tcPr>
            <w:tcW w:w="2660" w:type="dxa"/>
            <w:vAlign w:val="bottom"/>
            <w:shd w:val="clear" w:color="auto" w:fill="D9D9D9"/>
          </w:tcPr>
          <w:p>
            <w:pPr>
              <w:jc w:val="right"/>
              <w:ind w:right="125"/>
              <w:spacing w:after="0"/>
              <w:rPr>
                <w:sz w:val="20"/>
                <w:szCs w:val="20"/>
                <w:color w:val="auto"/>
              </w:rPr>
            </w:pPr>
            <w:r>
              <w:rPr>
                <w:rFonts w:ascii="Arial" w:cs="Arial" w:eastAsia="Arial" w:hAnsi="Arial"/>
                <w:sz w:val="16"/>
                <w:szCs w:val="16"/>
                <w:color w:val="auto"/>
              </w:rPr>
              <w:t>28,483</w:t>
            </w:r>
          </w:p>
        </w:tc>
        <w:tc>
          <w:tcPr>
            <w:tcW w:w="1860" w:type="dxa"/>
            <w:vAlign w:val="bottom"/>
            <w:shd w:val="clear" w:color="auto" w:fill="D9D9D9"/>
          </w:tcPr>
          <w:p>
            <w:pPr>
              <w:jc w:val="right"/>
              <w:ind w:right="205"/>
              <w:spacing w:after="0"/>
              <w:rPr>
                <w:sz w:val="20"/>
                <w:szCs w:val="20"/>
                <w:color w:val="auto"/>
              </w:rPr>
            </w:pPr>
            <w:r>
              <w:rPr>
                <w:rFonts w:ascii="Arial" w:cs="Arial" w:eastAsia="Arial" w:hAnsi="Arial"/>
                <w:sz w:val="16"/>
                <w:szCs w:val="16"/>
                <w:color w:val="auto"/>
              </w:rPr>
              <w:t>87,891</w:t>
            </w:r>
          </w:p>
        </w:tc>
        <w:tc>
          <w:tcPr>
            <w:tcW w:w="1560" w:type="dxa"/>
            <w:vAlign w:val="bottom"/>
            <w:shd w:val="clear" w:color="auto" w:fill="D9D9D9"/>
          </w:tcPr>
          <w:p>
            <w:pPr>
              <w:jc w:val="right"/>
              <w:ind w:right="145"/>
              <w:spacing w:after="0"/>
              <w:rPr>
                <w:sz w:val="20"/>
                <w:szCs w:val="20"/>
                <w:color w:val="auto"/>
              </w:rPr>
            </w:pPr>
            <w:r>
              <w:rPr>
                <w:rFonts w:ascii="Arial" w:cs="Arial" w:eastAsia="Arial" w:hAnsi="Arial"/>
                <w:sz w:val="16"/>
                <w:szCs w:val="16"/>
                <w:color w:val="auto"/>
              </w:rPr>
              <w:t>3,000</w:t>
            </w:r>
          </w:p>
        </w:tc>
        <w:tc>
          <w:tcPr>
            <w:tcW w:w="1760" w:type="dxa"/>
            <w:vAlign w:val="bottom"/>
            <w:shd w:val="clear" w:color="auto" w:fill="D9D9D9"/>
          </w:tcPr>
          <w:p>
            <w:pPr>
              <w:jc w:val="right"/>
              <w:ind w:right="305"/>
              <w:spacing w:after="0"/>
              <w:rPr>
                <w:sz w:val="20"/>
                <w:szCs w:val="20"/>
                <w:color w:val="auto"/>
              </w:rPr>
            </w:pPr>
            <w:r>
              <w:rPr>
                <w:rFonts w:ascii="Arial" w:cs="Arial" w:eastAsia="Arial" w:hAnsi="Arial"/>
                <w:sz w:val="16"/>
                <w:szCs w:val="16"/>
                <w:color w:val="auto"/>
              </w:rPr>
              <w:t>68,058</w:t>
            </w:r>
          </w:p>
        </w:tc>
        <w:tc>
          <w:tcPr>
            <w:tcW w:w="12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187,432</w:t>
            </w:r>
          </w:p>
        </w:tc>
      </w:tr>
      <w:tr>
        <w:trPr>
          <w:trHeight w:val="230"/>
        </w:trPr>
        <w:tc>
          <w:tcPr>
            <w:tcW w:w="2140" w:type="dxa"/>
            <w:vAlign w:val="bottom"/>
          </w:tcPr>
          <w:p>
            <w:pPr>
              <w:spacing w:after="0"/>
              <w:rPr>
                <w:sz w:val="20"/>
                <w:szCs w:val="20"/>
                <w:color w:val="auto"/>
              </w:rPr>
            </w:pPr>
            <w:r>
              <w:rPr>
                <w:rFonts w:ascii="Arial" w:cs="Arial" w:eastAsia="Arial" w:hAnsi="Arial"/>
                <w:sz w:val="16"/>
                <w:szCs w:val="16"/>
                <w:color w:val="auto"/>
              </w:rPr>
              <w:t>Mr. Rodier</w:t>
            </w:r>
          </w:p>
        </w:tc>
        <w:tc>
          <w:tcPr>
            <w:tcW w:w="2660" w:type="dxa"/>
            <w:vAlign w:val="bottom"/>
          </w:tcPr>
          <w:p>
            <w:pPr>
              <w:jc w:val="right"/>
              <w:ind w:right="125"/>
              <w:spacing w:after="0"/>
              <w:rPr>
                <w:sz w:val="20"/>
                <w:szCs w:val="20"/>
                <w:color w:val="auto"/>
              </w:rPr>
            </w:pPr>
            <w:r>
              <w:rPr>
                <w:rFonts w:ascii="Arial" w:cs="Arial" w:eastAsia="Arial" w:hAnsi="Arial"/>
                <w:sz w:val="16"/>
                <w:szCs w:val="16"/>
                <w:color w:val="auto"/>
              </w:rPr>
              <w:t>25,311</w:t>
            </w:r>
          </w:p>
        </w:tc>
        <w:tc>
          <w:tcPr>
            <w:tcW w:w="1860" w:type="dxa"/>
            <w:vAlign w:val="bottom"/>
          </w:tcPr>
          <w:p>
            <w:pPr>
              <w:jc w:val="right"/>
              <w:ind w:right="205"/>
              <w:spacing w:after="0"/>
              <w:rPr>
                <w:sz w:val="20"/>
                <w:szCs w:val="20"/>
                <w:color w:val="auto"/>
              </w:rPr>
            </w:pPr>
            <w:r>
              <w:rPr>
                <w:rFonts w:ascii="Arial" w:cs="Arial" w:eastAsia="Arial" w:hAnsi="Arial"/>
                <w:sz w:val="16"/>
                <w:szCs w:val="16"/>
                <w:color w:val="auto"/>
              </w:rPr>
              <w:t>70,187</w:t>
            </w:r>
          </w:p>
        </w:tc>
        <w:tc>
          <w:tcPr>
            <w:tcW w:w="1560" w:type="dxa"/>
            <w:vAlign w:val="bottom"/>
          </w:tcPr>
          <w:p>
            <w:pPr>
              <w:jc w:val="right"/>
              <w:ind w:right="145"/>
              <w:spacing w:after="0"/>
              <w:rPr>
                <w:sz w:val="20"/>
                <w:szCs w:val="20"/>
                <w:color w:val="auto"/>
              </w:rPr>
            </w:pPr>
            <w:r>
              <w:rPr>
                <w:rFonts w:ascii="Arial" w:cs="Arial" w:eastAsia="Arial" w:hAnsi="Arial"/>
                <w:sz w:val="16"/>
                <w:szCs w:val="16"/>
                <w:color w:val="auto"/>
              </w:rPr>
              <w:t>3,000</w:t>
            </w:r>
          </w:p>
        </w:tc>
        <w:tc>
          <w:tcPr>
            <w:tcW w:w="1760" w:type="dxa"/>
            <w:vAlign w:val="bottom"/>
          </w:tcPr>
          <w:p>
            <w:pPr>
              <w:jc w:val="right"/>
              <w:ind w:right="305"/>
              <w:spacing w:after="0"/>
              <w:rPr>
                <w:sz w:val="20"/>
                <w:szCs w:val="20"/>
                <w:color w:val="auto"/>
              </w:rPr>
            </w:pPr>
            <w:r>
              <w:rPr>
                <w:rFonts w:ascii="Arial" w:cs="Arial" w:eastAsia="Arial" w:hAnsi="Arial"/>
                <w:sz w:val="16"/>
                <w:szCs w:val="16"/>
                <w:color w:val="auto"/>
              </w:rPr>
              <w:t>28,694</w:t>
            </w:r>
          </w:p>
        </w:tc>
        <w:tc>
          <w:tcPr>
            <w:tcW w:w="1260" w:type="dxa"/>
            <w:vAlign w:val="bottom"/>
          </w:tcPr>
          <w:p>
            <w:pPr>
              <w:jc w:val="right"/>
              <w:spacing w:after="0"/>
              <w:rPr>
                <w:sz w:val="20"/>
                <w:szCs w:val="20"/>
                <w:color w:val="auto"/>
              </w:rPr>
            </w:pPr>
            <w:r>
              <w:rPr>
                <w:rFonts w:ascii="Arial" w:cs="Arial" w:eastAsia="Arial" w:hAnsi="Arial"/>
                <w:sz w:val="16"/>
                <w:szCs w:val="16"/>
                <w:color w:val="auto"/>
              </w:rPr>
              <w:t>127,192</w:t>
            </w:r>
          </w:p>
        </w:tc>
      </w:tr>
      <w:tr>
        <w:trPr>
          <w:trHeight w:val="249"/>
        </w:trPr>
        <w:tc>
          <w:tcPr>
            <w:tcW w:w="2140" w:type="dxa"/>
            <w:vAlign w:val="bottom"/>
            <w:shd w:val="clear" w:color="auto" w:fill="D9D9D9"/>
          </w:tcPr>
          <w:p>
            <w:pPr>
              <w:spacing w:after="0"/>
              <w:rPr>
                <w:sz w:val="20"/>
                <w:szCs w:val="20"/>
                <w:color w:val="auto"/>
              </w:rPr>
            </w:pPr>
            <w:r>
              <w:rPr>
                <w:rFonts w:ascii="Arial" w:cs="Arial" w:eastAsia="Arial" w:hAnsi="Arial"/>
                <w:sz w:val="16"/>
                <w:szCs w:val="16"/>
                <w:color w:val="auto"/>
              </w:rPr>
              <w:t>Ms. Dahl</w:t>
            </w:r>
          </w:p>
        </w:tc>
        <w:tc>
          <w:tcPr>
            <w:tcW w:w="2660" w:type="dxa"/>
            <w:vAlign w:val="bottom"/>
            <w:shd w:val="clear" w:color="auto" w:fill="D9D9D9"/>
          </w:tcPr>
          <w:p>
            <w:pPr>
              <w:jc w:val="right"/>
              <w:ind w:right="125"/>
              <w:spacing w:after="0"/>
              <w:rPr>
                <w:sz w:val="20"/>
                <w:szCs w:val="20"/>
                <w:color w:val="auto"/>
              </w:rPr>
            </w:pPr>
            <w:r>
              <w:rPr>
                <w:rFonts w:ascii="Arial" w:cs="Arial" w:eastAsia="Arial" w:hAnsi="Arial"/>
                <w:sz w:val="16"/>
                <w:szCs w:val="16"/>
                <w:color w:val="auto"/>
              </w:rPr>
              <w:t>28,483</w:t>
            </w:r>
          </w:p>
        </w:tc>
        <w:tc>
          <w:tcPr>
            <w:tcW w:w="1860" w:type="dxa"/>
            <w:vAlign w:val="bottom"/>
            <w:shd w:val="clear" w:color="auto" w:fill="D9D9D9"/>
          </w:tcPr>
          <w:p>
            <w:pPr>
              <w:jc w:val="right"/>
              <w:ind w:right="205"/>
              <w:spacing w:after="0"/>
              <w:rPr>
                <w:sz w:val="20"/>
                <w:szCs w:val="20"/>
                <w:color w:val="auto"/>
              </w:rPr>
            </w:pPr>
            <w:r>
              <w:rPr>
                <w:rFonts w:ascii="Arial" w:cs="Arial" w:eastAsia="Arial" w:hAnsi="Arial"/>
                <w:sz w:val="16"/>
                <w:szCs w:val="16"/>
                <w:color w:val="auto"/>
              </w:rPr>
              <w:t>60,580</w:t>
            </w:r>
          </w:p>
        </w:tc>
        <w:tc>
          <w:tcPr>
            <w:tcW w:w="1560" w:type="dxa"/>
            <w:vAlign w:val="bottom"/>
            <w:shd w:val="clear" w:color="auto" w:fill="D9D9D9"/>
          </w:tcPr>
          <w:p>
            <w:pPr>
              <w:jc w:val="right"/>
              <w:ind w:right="145"/>
              <w:spacing w:after="0"/>
              <w:rPr>
                <w:sz w:val="20"/>
                <w:szCs w:val="20"/>
                <w:color w:val="auto"/>
              </w:rPr>
            </w:pPr>
            <w:r>
              <w:rPr>
                <w:rFonts w:ascii="Arial" w:cs="Arial" w:eastAsia="Arial" w:hAnsi="Arial"/>
                <w:sz w:val="16"/>
                <w:szCs w:val="16"/>
                <w:color w:val="auto"/>
              </w:rPr>
              <w:t>3,000</w:t>
            </w:r>
          </w:p>
        </w:tc>
        <w:tc>
          <w:tcPr>
            <w:tcW w:w="1760" w:type="dxa"/>
            <w:vAlign w:val="bottom"/>
            <w:shd w:val="clear" w:color="auto" w:fill="D9D9D9"/>
          </w:tcPr>
          <w:p>
            <w:pPr>
              <w:jc w:val="right"/>
              <w:ind w:right="305"/>
              <w:spacing w:after="0"/>
              <w:rPr>
                <w:sz w:val="20"/>
                <w:szCs w:val="20"/>
                <w:color w:val="auto"/>
              </w:rPr>
            </w:pPr>
            <w:r>
              <w:rPr>
                <w:rFonts w:ascii="Arial" w:cs="Arial" w:eastAsia="Arial" w:hAnsi="Arial"/>
                <w:sz w:val="16"/>
                <w:szCs w:val="16"/>
                <w:color w:val="auto"/>
              </w:rPr>
              <w:t>55,677</w:t>
            </w:r>
          </w:p>
        </w:tc>
        <w:tc>
          <w:tcPr>
            <w:tcW w:w="12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147,740</w:t>
            </w:r>
          </w:p>
        </w:tc>
      </w:tr>
      <w:tr>
        <w:trPr>
          <w:trHeight w:val="234"/>
        </w:trPr>
        <w:tc>
          <w:tcPr>
            <w:tcW w:w="2140" w:type="dxa"/>
            <w:vAlign w:val="bottom"/>
          </w:tcPr>
          <w:p>
            <w:pPr>
              <w:spacing w:after="0"/>
              <w:rPr>
                <w:sz w:val="20"/>
                <w:szCs w:val="20"/>
                <w:color w:val="auto"/>
              </w:rPr>
            </w:pPr>
            <w:r>
              <w:rPr>
                <w:rFonts w:ascii="Arial" w:cs="Arial" w:eastAsia="Arial" w:hAnsi="Arial"/>
                <w:sz w:val="16"/>
                <w:szCs w:val="16"/>
                <w:color w:val="auto"/>
              </w:rPr>
              <w:t>Mr. Hamilton</w:t>
            </w:r>
          </w:p>
        </w:tc>
        <w:tc>
          <w:tcPr>
            <w:tcW w:w="2660" w:type="dxa"/>
            <w:vAlign w:val="bottom"/>
          </w:tcPr>
          <w:p>
            <w:pPr>
              <w:jc w:val="right"/>
              <w:ind w:right="125"/>
              <w:spacing w:after="0"/>
              <w:rPr>
                <w:sz w:val="20"/>
                <w:szCs w:val="20"/>
                <w:color w:val="auto"/>
              </w:rPr>
            </w:pPr>
            <w:r>
              <w:rPr>
                <w:rFonts w:ascii="Arial" w:cs="Arial" w:eastAsia="Arial" w:hAnsi="Arial"/>
                <w:sz w:val="16"/>
                <w:szCs w:val="16"/>
                <w:color w:val="auto"/>
              </w:rPr>
              <w:t>27,913</w:t>
            </w:r>
          </w:p>
        </w:tc>
        <w:tc>
          <w:tcPr>
            <w:tcW w:w="1860" w:type="dxa"/>
            <w:vAlign w:val="bottom"/>
          </w:tcPr>
          <w:p>
            <w:pPr>
              <w:jc w:val="right"/>
              <w:ind w:right="205"/>
              <w:spacing w:after="0"/>
              <w:rPr>
                <w:sz w:val="20"/>
                <w:szCs w:val="20"/>
                <w:color w:val="auto"/>
              </w:rPr>
            </w:pPr>
            <w:r>
              <w:rPr>
                <w:rFonts w:ascii="Arial" w:cs="Arial" w:eastAsia="Arial" w:hAnsi="Arial"/>
                <w:sz w:val="16"/>
                <w:szCs w:val="16"/>
                <w:color w:val="auto"/>
              </w:rPr>
              <w:t>48,477</w:t>
            </w:r>
          </w:p>
        </w:tc>
        <w:tc>
          <w:tcPr>
            <w:tcW w:w="1560" w:type="dxa"/>
            <w:vAlign w:val="bottom"/>
          </w:tcPr>
          <w:p>
            <w:pPr>
              <w:jc w:val="right"/>
              <w:ind w:right="145"/>
              <w:spacing w:after="0"/>
              <w:rPr>
                <w:sz w:val="20"/>
                <w:szCs w:val="20"/>
                <w:color w:val="auto"/>
              </w:rPr>
            </w:pPr>
            <w:r>
              <w:rPr>
                <w:rFonts w:ascii="Arial" w:cs="Arial" w:eastAsia="Arial" w:hAnsi="Arial"/>
                <w:sz w:val="16"/>
                <w:szCs w:val="16"/>
                <w:color w:val="auto"/>
              </w:rPr>
              <w:t>0</w:t>
            </w:r>
          </w:p>
        </w:tc>
        <w:tc>
          <w:tcPr>
            <w:tcW w:w="1760" w:type="dxa"/>
            <w:vAlign w:val="bottom"/>
          </w:tcPr>
          <w:p>
            <w:pPr>
              <w:jc w:val="right"/>
              <w:ind w:right="305"/>
              <w:spacing w:after="0"/>
              <w:rPr>
                <w:sz w:val="20"/>
                <w:szCs w:val="20"/>
                <w:color w:val="auto"/>
              </w:rPr>
            </w:pPr>
            <w:r>
              <w:rPr>
                <w:rFonts w:ascii="Arial" w:cs="Arial" w:eastAsia="Arial" w:hAnsi="Arial"/>
                <w:sz w:val="16"/>
                <w:szCs w:val="16"/>
                <w:color w:val="auto"/>
              </w:rPr>
              <w:t>52,951</w:t>
            </w:r>
          </w:p>
        </w:tc>
        <w:tc>
          <w:tcPr>
            <w:tcW w:w="1260" w:type="dxa"/>
            <w:vAlign w:val="bottom"/>
          </w:tcPr>
          <w:p>
            <w:pPr>
              <w:jc w:val="right"/>
              <w:spacing w:after="0"/>
              <w:rPr>
                <w:sz w:val="20"/>
                <w:szCs w:val="20"/>
                <w:color w:val="auto"/>
              </w:rPr>
            </w:pPr>
            <w:r>
              <w:rPr>
                <w:rFonts w:ascii="Arial" w:cs="Arial" w:eastAsia="Arial" w:hAnsi="Arial"/>
                <w:sz w:val="16"/>
                <w:szCs w:val="16"/>
                <w:color w:val="auto"/>
              </w:rPr>
              <w:t>129,341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203454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034540" cy="8255"/>
                    </a:xfrm>
                    <a:prstGeom prst="rect">
                      <a:avLst/>
                    </a:prstGeom>
                    <a:noFill/>
                  </pic:spPr>
                </pic:pic>
              </a:graphicData>
            </a:graphic>
          </wp:anchor>
        </w:drawing>
      </w:r>
    </w:p>
    <w:p>
      <w:pPr>
        <w:spacing w:after="0" w:line="173" w:lineRule="exact"/>
        <w:rPr>
          <w:sz w:val="20"/>
          <w:szCs w:val="20"/>
          <w:color w:val="auto"/>
        </w:rPr>
      </w:pPr>
    </w:p>
    <w:p>
      <w:pPr>
        <w:ind w:left="400" w:hanging="394"/>
        <w:spacing w:after="0"/>
        <w:tabs>
          <w:tab w:leader="none" w:pos="4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Amounts reported represent Company matching contributions and a discretionary investment fund contribution.</w:t>
      </w:r>
    </w:p>
    <w:p>
      <w:pPr>
        <w:spacing w:after="0" w:line="55" w:lineRule="exact"/>
        <w:rPr>
          <w:rFonts w:ascii="Arial" w:cs="Arial" w:eastAsia="Arial" w:hAnsi="Arial"/>
          <w:sz w:val="16"/>
          <w:szCs w:val="16"/>
          <w:color w:val="auto"/>
        </w:rPr>
      </w:pPr>
    </w:p>
    <w:p>
      <w:pPr>
        <w:ind w:left="400" w:hanging="394"/>
        <w:spacing w:after="0"/>
        <w:tabs>
          <w:tab w:leader="none" w:pos="4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Amounts reported represent Company contributions to the Supplemental Benefit Plan.</w:t>
      </w:r>
    </w:p>
    <w:p>
      <w:pPr>
        <w:spacing w:after="0" w:line="55" w:lineRule="exact"/>
        <w:rPr>
          <w:rFonts w:ascii="Arial" w:cs="Arial" w:eastAsia="Arial" w:hAnsi="Arial"/>
          <w:sz w:val="16"/>
          <w:szCs w:val="16"/>
          <w:color w:val="auto"/>
        </w:rPr>
      </w:pPr>
    </w:p>
    <w:p>
      <w:pPr>
        <w:ind w:left="400" w:hanging="394"/>
        <w:spacing w:after="0"/>
        <w:tabs>
          <w:tab w:leader="none" w:pos="4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Amounts reported represent matching contributions for charitable donations made by our executive officers.</w:t>
      </w:r>
    </w:p>
    <w:p>
      <w:pPr>
        <w:spacing w:after="0" w:line="55" w:lineRule="exact"/>
        <w:rPr>
          <w:rFonts w:ascii="Arial" w:cs="Arial" w:eastAsia="Arial" w:hAnsi="Arial"/>
          <w:sz w:val="16"/>
          <w:szCs w:val="16"/>
          <w:color w:val="auto"/>
        </w:rPr>
      </w:pPr>
    </w:p>
    <w:p>
      <w:pPr>
        <w:ind w:left="400" w:hanging="394"/>
        <w:spacing w:after="0" w:line="246" w:lineRule="auto"/>
        <w:tabs>
          <w:tab w:leader="none" w:pos="4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Amounts reported represent Company paid amounts for automobile lease plus reportable income for personal use of the automobile; Company paid amounts for financial planning expenses and executive physical expenses; value of Company products received for personal use; and incremental travel costs paid by the Company for spouses of our executive officers in connection with certain off-site, business-related meetings in which it was appropriate for a spouse to attend.</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Grants of Plan-Based Awards for Fiscal 2021</w:t>
      </w:r>
    </w:p>
    <w:p>
      <w:pPr>
        <w:spacing w:after="0" w:line="127" w:lineRule="exact"/>
        <w:rPr>
          <w:sz w:val="20"/>
          <w:szCs w:val="20"/>
          <w:color w:val="auto"/>
        </w:rPr>
      </w:pPr>
    </w:p>
    <w:p>
      <w:pPr>
        <w:ind w:right="60" w:firstLine="401"/>
        <w:spacing w:after="0" w:line="236" w:lineRule="auto"/>
        <w:rPr>
          <w:sz w:val="20"/>
          <w:szCs w:val="20"/>
          <w:color w:val="auto"/>
        </w:rPr>
      </w:pPr>
      <w:r>
        <w:rPr>
          <w:rFonts w:ascii="Arial" w:cs="Arial" w:eastAsia="Arial" w:hAnsi="Arial"/>
          <w:sz w:val="18"/>
          <w:szCs w:val="18"/>
          <w:color w:val="auto"/>
        </w:rPr>
        <w:t>We currently grant cash and equity awards under our 2010 Plan. During fiscal 2021, plan-based awards granted to our named executive officers included annual cash incentive awards, performance share awards, restricted stock unit awards, and stock option awards. More details on these grants can be found within the “Compensation Discussion and Analysis.”</w:t>
      </w:r>
    </w:p>
    <w:p>
      <w:pPr>
        <w:spacing w:after="0" w:line="9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all plan-based awards granted to our named executive officers during fiscal 2021.</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20" w:type="dxa"/>
            <w:vAlign w:val="bottom"/>
            <w:shd w:val="clear" w:color="auto" w:fill="C00000"/>
          </w:tcPr>
          <w:p>
            <w:pPr>
              <w:spacing w:after="0"/>
              <w:rPr>
                <w:sz w:val="12"/>
                <w:szCs w:val="12"/>
                <w:color w:val="auto"/>
              </w:rPr>
            </w:pPr>
          </w:p>
        </w:tc>
        <w:tc>
          <w:tcPr>
            <w:tcW w:w="700" w:type="dxa"/>
            <w:vAlign w:val="bottom"/>
            <w:shd w:val="clear" w:color="auto" w:fill="C00000"/>
          </w:tcPr>
          <w:p>
            <w:pPr>
              <w:spacing w:after="0"/>
              <w:rPr>
                <w:sz w:val="12"/>
                <w:szCs w:val="12"/>
                <w:color w:val="auto"/>
              </w:rPr>
            </w:pPr>
          </w:p>
        </w:tc>
        <w:tc>
          <w:tcPr>
            <w:tcW w:w="700" w:type="dxa"/>
            <w:vAlign w:val="bottom"/>
            <w:shd w:val="clear" w:color="auto" w:fill="C00000"/>
          </w:tcPr>
          <w:p>
            <w:pPr>
              <w:spacing w:after="0"/>
              <w:rPr>
                <w:sz w:val="12"/>
                <w:szCs w:val="12"/>
                <w:color w:val="auto"/>
              </w:rPr>
            </w:pPr>
          </w:p>
        </w:tc>
        <w:tc>
          <w:tcPr>
            <w:tcW w:w="760" w:type="dxa"/>
            <w:vAlign w:val="bottom"/>
            <w:shd w:val="clear" w:color="auto" w:fill="C00000"/>
          </w:tcPr>
          <w:p>
            <w:pPr>
              <w:spacing w:after="0"/>
              <w:rPr>
                <w:sz w:val="12"/>
                <w:szCs w:val="12"/>
                <w:color w:val="auto"/>
              </w:rPr>
            </w:pPr>
          </w:p>
        </w:tc>
        <w:tc>
          <w:tcPr>
            <w:tcW w:w="720" w:type="dxa"/>
            <w:vAlign w:val="bottom"/>
            <w:shd w:val="clear" w:color="auto" w:fill="C00000"/>
          </w:tcPr>
          <w:p>
            <w:pPr>
              <w:spacing w:after="0"/>
              <w:rPr>
                <w:sz w:val="12"/>
                <w:szCs w:val="12"/>
                <w:color w:val="auto"/>
              </w:rPr>
            </w:pPr>
          </w:p>
        </w:tc>
        <w:tc>
          <w:tcPr>
            <w:tcW w:w="640" w:type="dxa"/>
            <w:vAlign w:val="bottom"/>
            <w:shd w:val="clear" w:color="auto" w:fill="C00000"/>
          </w:tcPr>
          <w:p>
            <w:pPr>
              <w:spacing w:after="0"/>
              <w:rPr>
                <w:sz w:val="12"/>
                <w:szCs w:val="12"/>
                <w:color w:val="auto"/>
              </w:rPr>
            </w:pPr>
          </w:p>
        </w:tc>
        <w:tc>
          <w:tcPr>
            <w:tcW w:w="720" w:type="dxa"/>
            <w:vAlign w:val="bottom"/>
            <w:shd w:val="clear" w:color="auto" w:fill="C00000"/>
          </w:tcPr>
          <w:p>
            <w:pPr>
              <w:spacing w:after="0"/>
              <w:rPr>
                <w:sz w:val="12"/>
                <w:szCs w:val="12"/>
                <w:color w:val="auto"/>
              </w:rPr>
            </w:pPr>
          </w:p>
        </w:tc>
        <w:tc>
          <w:tcPr>
            <w:tcW w:w="700" w:type="dxa"/>
            <w:vAlign w:val="bottom"/>
            <w:shd w:val="clear" w:color="auto" w:fill="C00000"/>
          </w:tcPr>
          <w:p>
            <w:pPr>
              <w:spacing w:after="0"/>
              <w:rPr>
                <w:sz w:val="12"/>
                <w:szCs w:val="12"/>
                <w:color w:val="auto"/>
              </w:rPr>
            </w:pPr>
          </w:p>
        </w:tc>
        <w:tc>
          <w:tcPr>
            <w:tcW w:w="740" w:type="dxa"/>
            <w:vAlign w:val="bottom"/>
            <w:shd w:val="clear" w:color="auto" w:fill="C00000"/>
          </w:tcPr>
          <w:p>
            <w:pPr>
              <w:spacing w:after="0"/>
              <w:rPr>
                <w:sz w:val="12"/>
                <w:szCs w:val="12"/>
                <w:color w:val="auto"/>
              </w:rPr>
            </w:pPr>
          </w:p>
        </w:tc>
        <w:tc>
          <w:tcPr>
            <w:tcW w:w="780" w:type="dxa"/>
            <w:vAlign w:val="bottom"/>
            <w:shd w:val="clear" w:color="auto" w:fill="C00000"/>
          </w:tcPr>
          <w:p>
            <w:pPr>
              <w:jc w:val="center"/>
              <w:spacing w:after="0"/>
              <w:rPr>
                <w:sz w:val="20"/>
                <w:szCs w:val="20"/>
                <w:color w:val="auto"/>
              </w:rPr>
            </w:pPr>
            <w:r>
              <w:rPr>
                <w:rFonts w:ascii="Arial" w:cs="Arial" w:eastAsia="Arial" w:hAnsi="Arial"/>
                <w:sz w:val="12"/>
                <w:szCs w:val="12"/>
                <w:b w:val="1"/>
                <w:bCs w:val="1"/>
                <w:color w:val="FFFFFF"/>
                <w:w w:val="98"/>
              </w:rPr>
              <w:t>All Other</w:t>
            </w:r>
          </w:p>
        </w:tc>
        <w:tc>
          <w:tcPr>
            <w:tcW w:w="920" w:type="dxa"/>
            <w:vAlign w:val="bottom"/>
            <w:shd w:val="clear" w:color="auto" w:fill="C00000"/>
          </w:tcPr>
          <w:p>
            <w:pPr>
              <w:jc w:val="center"/>
              <w:spacing w:after="0"/>
              <w:rPr>
                <w:sz w:val="20"/>
                <w:szCs w:val="20"/>
                <w:color w:val="auto"/>
              </w:rPr>
            </w:pPr>
            <w:r>
              <w:rPr>
                <w:rFonts w:ascii="Arial" w:cs="Arial" w:eastAsia="Arial" w:hAnsi="Arial"/>
                <w:sz w:val="12"/>
                <w:szCs w:val="12"/>
                <w:b w:val="1"/>
                <w:bCs w:val="1"/>
                <w:color w:val="FFFFFF"/>
                <w:w w:val="94"/>
              </w:rPr>
              <w:t>All Other</w:t>
            </w:r>
          </w:p>
        </w:tc>
        <w:tc>
          <w:tcPr>
            <w:tcW w:w="860" w:type="dxa"/>
            <w:vAlign w:val="bottom"/>
            <w:shd w:val="clear" w:color="auto" w:fill="C00000"/>
          </w:tcPr>
          <w:p>
            <w:pPr>
              <w:spacing w:after="0"/>
              <w:rPr>
                <w:sz w:val="12"/>
                <w:szCs w:val="12"/>
                <w:color w:val="auto"/>
              </w:rPr>
            </w:pPr>
          </w:p>
        </w:tc>
        <w:tc>
          <w:tcPr>
            <w:tcW w:w="780" w:type="dxa"/>
            <w:vAlign w:val="bottom"/>
            <w:shd w:val="clear" w:color="auto" w:fill="C00000"/>
          </w:tcPr>
          <w:p>
            <w:pPr>
              <w:spacing w:after="0"/>
              <w:rPr>
                <w:sz w:val="12"/>
                <w:szCs w:val="12"/>
                <w:color w:val="auto"/>
              </w:rPr>
            </w:pPr>
          </w:p>
        </w:tc>
      </w:tr>
      <w:tr>
        <w:trPr>
          <w:trHeight w:val="133"/>
        </w:trPr>
        <w:tc>
          <w:tcPr>
            <w:tcW w:w="2220" w:type="dxa"/>
            <w:vAlign w:val="bottom"/>
            <w:shd w:val="clear" w:color="auto" w:fill="C00000"/>
          </w:tcPr>
          <w:p>
            <w:pPr>
              <w:spacing w:after="0"/>
              <w:rPr>
                <w:sz w:val="11"/>
                <w:szCs w:val="11"/>
                <w:color w:val="auto"/>
              </w:rPr>
            </w:pPr>
          </w:p>
        </w:tc>
        <w:tc>
          <w:tcPr>
            <w:tcW w:w="700" w:type="dxa"/>
            <w:vAlign w:val="bottom"/>
            <w:shd w:val="clear" w:color="auto" w:fill="C00000"/>
          </w:tcPr>
          <w:p>
            <w:pPr>
              <w:spacing w:after="0"/>
              <w:rPr>
                <w:sz w:val="11"/>
                <w:szCs w:val="11"/>
                <w:color w:val="auto"/>
              </w:rPr>
            </w:pPr>
          </w:p>
        </w:tc>
        <w:tc>
          <w:tcPr>
            <w:tcW w:w="700" w:type="dxa"/>
            <w:vAlign w:val="bottom"/>
            <w:shd w:val="clear" w:color="auto" w:fill="C00000"/>
          </w:tcPr>
          <w:p>
            <w:pPr>
              <w:spacing w:after="0"/>
              <w:rPr>
                <w:sz w:val="11"/>
                <w:szCs w:val="11"/>
                <w:color w:val="auto"/>
              </w:rPr>
            </w:pPr>
          </w:p>
        </w:tc>
        <w:tc>
          <w:tcPr>
            <w:tcW w:w="760" w:type="dxa"/>
            <w:vAlign w:val="bottom"/>
            <w:shd w:val="clear" w:color="auto" w:fill="C00000"/>
          </w:tcPr>
          <w:p>
            <w:pPr>
              <w:spacing w:after="0"/>
              <w:rPr>
                <w:sz w:val="11"/>
                <w:szCs w:val="11"/>
                <w:color w:val="auto"/>
              </w:rPr>
            </w:pPr>
          </w:p>
        </w:tc>
        <w:tc>
          <w:tcPr>
            <w:tcW w:w="720" w:type="dxa"/>
            <w:vAlign w:val="bottom"/>
            <w:shd w:val="clear" w:color="auto" w:fill="C00000"/>
          </w:tcPr>
          <w:p>
            <w:pPr>
              <w:spacing w:after="0"/>
              <w:rPr>
                <w:sz w:val="11"/>
                <w:szCs w:val="11"/>
                <w:color w:val="auto"/>
              </w:rPr>
            </w:pPr>
          </w:p>
        </w:tc>
        <w:tc>
          <w:tcPr>
            <w:tcW w:w="640" w:type="dxa"/>
            <w:vAlign w:val="bottom"/>
            <w:shd w:val="clear" w:color="auto" w:fill="C00000"/>
          </w:tcPr>
          <w:p>
            <w:pPr>
              <w:spacing w:after="0"/>
              <w:rPr>
                <w:sz w:val="11"/>
                <w:szCs w:val="11"/>
                <w:color w:val="auto"/>
              </w:rPr>
            </w:pPr>
          </w:p>
        </w:tc>
        <w:tc>
          <w:tcPr>
            <w:tcW w:w="720" w:type="dxa"/>
            <w:vAlign w:val="bottom"/>
            <w:shd w:val="clear" w:color="auto" w:fill="C00000"/>
          </w:tcPr>
          <w:p>
            <w:pPr>
              <w:spacing w:after="0"/>
              <w:rPr>
                <w:sz w:val="11"/>
                <w:szCs w:val="11"/>
                <w:color w:val="auto"/>
              </w:rPr>
            </w:pPr>
          </w:p>
        </w:tc>
        <w:tc>
          <w:tcPr>
            <w:tcW w:w="700" w:type="dxa"/>
            <w:vAlign w:val="bottom"/>
            <w:shd w:val="clear" w:color="auto" w:fill="C00000"/>
          </w:tcPr>
          <w:p>
            <w:pPr>
              <w:spacing w:after="0"/>
              <w:rPr>
                <w:sz w:val="11"/>
                <w:szCs w:val="11"/>
                <w:color w:val="auto"/>
              </w:rPr>
            </w:pPr>
          </w:p>
        </w:tc>
        <w:tc>
          <w:tcPr>
            <w:tcW w:w="740" w:type="dxa"/>
            <w:vAlign w:val="bottom"/>
            <w:shd w:val="clear" w:color="auto" w:fill="C00000"/>
          </w:tcPr>
          <w:p>
            <w:pPr>
              <w:spacing w:after="0"/>
              <w:rPr>
                <w:sz w:val="11"/>
                <w:szCs w:val="11"/>
                <w:color w:val="auto"/>
              </w:rPr>
            </w:pPr>
          </w:p>
        </w:tc>
        <w:tc>
          <w:tcPr>
            <w:tcW w:w="780" w:type="dxa"/>
            <w:vAlign w:val="bottom"/>
            <w:shd w:val="clear" w:color="auto" w:fill="C00000"/>
          </w:tcPr>
          <w:p>
            <w:pPr>
              <w:jc w:val="center"/>
              <w:spacing w:after="0" w:line="133" w:lineRule="exact"/>
              <w:rPr>
                <w:sz w:val="20"/>
                <w:szCs w:val="20"/>
                <w:color w:val="auto"/>
              </w:rPr>
            </w:pPr>
            <w:r>
              <w:rPr>
                <w:rFonts w:ascii="Arial" w:cs="Arial" w:eastAsia="Arial" w:hAnsi="Arial"/>
                <w:sz w:val="12"/>
                <w:szCs w:val="12"/>
                <w:b w:val="1"/>
                <w:bCs w:val="1"/>
                <w:color w:val="FFFFFF"/>
                <w:w w:val="91"/>
              </w:rPr>
              <w:t>Stock</w:t>
            </w:r>
          </w:p>
        </w:tc>
        <w:tc>
          <w:tcPr>
            <w:tcW w:w="920" w:type="dxa"/>
            <w:vAlign w:val="bottom"/>
            <w:shd w:val="clear" w:color="auto" w:fill="C00000"/>
          </w:tcPr>
          <w:p>
            <w:pPr>
              <w:jc w:val="center"/>
              <w:spacing w:after="0" w:line="133" w:lineRule="exact"/>
              <w:rPr>
                <w:sz w:val="20"/>
                <w:szCs w:val="20"/>
                <w:color w:val="auto"/>
              </w:rPr>
            </w:pPr>
            <w:r>
              <w:rPr>
                <w:rFonts w:ascii="Arial" w:cs="Arial" w:eastAsia="Arial" w:hAnsi="Arial"/>
                <w:sz w:val="12"/>
                <w:szCs w:val="12"/>
                <w:b w:val="1"/>
                <w:bCs w:val="1"/>
                <w:color w:val="FFFFFF"/>
                <w:w w:val="92"/>
              </w:rPr>
              <w:t>Option</w:t>
            </w:r>
          </w:p>
        </w:tc>
        <w:tc>
          <w:tcPr>
            <w:tcW w:w="860" w:type="dxa"/>
            <w:vAlign w:val="bottom"/>
            <w:shd w:val="clear" w:color="auto" w:fill="C00000"/>
          </w:tcPr>
          <w:p>
            <w:pPr>
              <w:spacing w:after="0"/>
              <w:rPr>
                <w:sz w:val="11"/>
                <w:szCs w:val="11"/>
                <w:color w:val="auto"/>
              </w:rPr>
            </w:pPr>
          </w:p>
        </w:tc>
        <w:tc>
          <w:tcPr>
            <w:tcW w:w="780" w:type="dxa"/>
            <w:vAlign w:val="bottom"/>
            <w:shd w:val="clear" w:color="auto" w:fill="C00000"/>
          </w:tcPr>
          <w:p>
            <w:pPr>
              <w:jc w:val="center"/>
              <w:spacing w:after="0" w:line="133" w:lineRule="exact"/>
              <w:rPr>
                <w:sz w:val="20"/>
                <w:szCs w:val="20"/>
                <w:color w:val="auto"/>
              </w:rPr>
            </w:pPr>
            <w:r>
              <w:rPr>
                <w:rFonts w:ascii="Arial" w:cs="Arial" w:eastAsia="Arial" w:hAnsi="Arial"/>
                <w:sz w:val="12"/>
                <w:szCs w:val="12"/>
                <w:b w:val="1"/>
                <w:bCs w:val="1"/>
                <w:color w:val="FFFFFF"/>
                <w:w w:val="93"/>
              </w:rPr>
              <w:t>Grant</w:t>
            </w:r>
          </w:p>
        </w:tc>
      </w:tr>
      <w:tr>
        <w:trPr>
          <w:trHeight w:val="133"/>
        </w:trPr>
        <w:tc>
          <w:tcPr>
            <w:tcW w:w="2220" w:type="dxa"/>
            <w:vAlign w:val="bottom"/>
            <w:shd w:val="clear" w:color="auto" w:fill="C00000"/>
          </w:tcPr>
          <w:p>
            <w:pPr>
              <w:spacing w:after="0"/>
              <w:rPr>
                <w:sz w:val="11"/>
                <w:szCs w:val="11"/>
                <w:color w:val="auto"/>
              </w:rPr>
            </w:pPr>
          </w:p>
        </w:tc>
        <w:tc>
          <w:tcPr>
            <w:tcW w:w="700" w:type="dxa"/>
            <w:vAlign w:val="bottom"/>
            <w:shd w:val="clear" w:color="auto" w:fill="C00000"/>
          </w:tcPr>
          <w:p>
            <w:pPr>
              <w:spacing w:after="0"/>
              <w:rPr>
                <w:sz w:val="11"/>
                <w:szCs w:val="11"/>
                <w:color w:val="auto"/>
              </w:rPr>
            </w:pPr>
          </w:p>
        </w:tc>
        <w:tc>
          <w:tcPr>
            <w:tcW w:w="700" w:type="dxa"/>
            <w:vAlign w:val="bottom"/>
            <w:shd w:val="clear" w:color="auto" w:fill="C00000"/>
          </w:tcPr>
          <w:p>
            <w:pPr>
              <w:spacing w:after="0"/>
              <w:rPr>
                <w:sz w:val="11"/>
                <w:szCs w:val="11"/>
                <w:color w:val="auto"/>
              </w:rPr>
            </w:pPr>
          </w:p>
        </w:tc>
        <w:tc>
          <w:tcPr>
            <w:tcW w:w="760" w:type="dxa"/>
            <w:vAlign w:val="bottom"/>
            <w:shd w:val="clear" w:color="auto" w:fill="C00000"/>
          </w:tcPr>
          <w:p>
            <w:pPr>
              <w:spacing w:after="0"/>
              <w:rPr>
                <w:sz w:val="11"/>
                <w:szCs w:val="11"/>
                <w:color w:val="auto"/>
              </w:rPr>
            </w:pPr>
          </w:p>
        </w:tc>
        <w:tc>
          <w:tcPr>
            <w:tcW w:w="720" w:type="dxa"/>
            <w:vAlign w:val="bottom"/>
            <w:shd w:val="clear" w:color="auto" w:fill="C00000"/>
          </w:tcPr>
          <w:p>
            <w:pPr>
              <w:spacing w:after="0"/>
              <w:rPr>
                <w:sz w:val="11"/>
                <w:szCs w:val="11"/>
                <w:color w:val="auto"/>
              </w:rPr>
            </w:pPr>
          </w:p>
        </w:tc>
        <w:tc>
          <w:tcPr>
            <w:tcW w:w="640" w:type="dxa"/>
            <w:vAlign w:val="bottom"/>
            <w:shd w:val="clear" w:color="auto" w:fill="C00000"/>
          </w:tcPr>
          <w:p>
            <w:pPr>
              <w:spacing w:after="0"/>
              <w:rPr>
                <w:sz w:val="11"/>
                <w:szCs w:val="11"/>
                <w:color w:val="auto"/>
              </w:rPr>
            </w:pPr>
          </w:p>
        </w:tc>
        <w:tc>
          <w:tcPr>
            <w:tcW w:w="720" w:type="dxa"/>
            <w:vAlign w:val="bottom"/>
            <w:shd w:val="clear" w:color="auto" w:fill="C00000"/>
          </w:tcPr>
          <w:p>
            <w:pPr>
              <w:spacing w:after="0"/>
              <w:rPr>
                <w:sz w:val="11"/>
                <w:szCs w:val="11"/>
                <w:color w:val="auto"/>
              </w:rPr>
            </w:pPr>
          </w:p>
        </w:tc>
        <w:tc>
          <w:tcPr>
            <w:tcW w:w="700" w:type="dxa"/>
            <w:vAlign w:val="bottom"/>
            <w:shd w:val="clear" w:color="auto" w:fill="C00000"/>
          </w:tcPr>
          <w:p>
            <w:pPr>
              <w:spacing w:after="0"/>
              <w:rPr>
                <w:sz w:val="11"/>
                <w:szCs w:val="11"/>
                <w:color w:val="auto"/>
              </w:rPr>
            </w:pPr>
          </w:p>
        </w:tc>
        <w:tc>
          <w:tcPr>
            <w:tcW w:w="740" w:type="dxa"/>
            <w:vAlign w:val="bottom"/>
            <w:shd w:val="clear" w:color="auto" w:fill="C00000"/>
          </w:tcPr>
          <w:p>
            <w:pPr>
              <w:spacing w:after="0"/>
              <w:rPr>
                <w:sz w:val="11"/>
                <w:szCs w:val="11"/>
                <w:color w:val="auto"/>
              </w:rPr>
            </w:pPr>
          </w:p>
        </w:tc>
        <w:tc>
          <w:tcPr>
            <w:tcW w:w="780" w:type="dxa"/>
            <w:vAlign w:val="bottom"/>
            <w:shd w:val="clear" w:color="auto" w:fill="C00000"/>
          </w:tcPr>
          <w:p>
            <w:pPr>
              <w:jc w:val="center"/>
              <w:spacing w:after="0" w:line="133" w:lineRule="exact"/>
              <w:rPr>
                <w:sz w:val="20"/>
                <w:szCs w:val="20"/>
                <w:color w:val="auto"/>
              </w:rPr>
            </w:pPr>
            <w:r>
              <w:rPr>
                <w:rFonts w:ascii="Arial" w:cs="Arial" w:eastAsia="Arial" w:hAnsi="Arial"/>
                <w:sz w:val="12"/>
                <w:szCs w:val="12"/>
                <w:b w:val="1"/>
                <w:bCs w:val="1"/>
                <w:color w:val="FFFFFF"/>
                <w:w w:val="97"/>
              </w:rPr>
              <w:t>Awards:</w:t>
            </w:r>
          </w:p>
        </w:tc>
        <w:tc>
          <w:tcPr>
            <w:tcW w:w="920" w:type="dxa"/>
            <w:vAlign w:val="bottom"/>
            <w:shd w:val="clear" w:color="auto" w:fill="C00000"/>
          </w:tcPr>
          <w:p>
            <w:pPr>
              <w:jc w:val="center"/>
              <w:spacing w:after="0" w:line="133" w:lineRule="exact"/>
              <w:rPr>
                <w:sz w:val="20"/>
                <w:szCs w:val="20"/>
                <w:color w:val="auto"/>
              </w:rPr>
            </w:pPr>
            <w:r>
              <w:rPr>
                <w:rFonts w:ascii="Arial" w:cs="Arial" w:eastAsia="Arial" w:hAnsi="Arial"/>
                <w:sz w:val="12"/>
                <w:szCs w:val="12"/>
                <w:b w:val="1"/>
                <w:bCs w:val="1"/>
                <w:color w:val="FFFFFF"/>
                <w:w w:val="92"/>
              </w:rPr>
              <w:t>Awards:</w:t>
            </w:r>
          </w:p>
        </w:tc>
        <w:tc>
          <w:tcPr>
            <w:tcW w:w="860" w:type="dxa"/>
            <w:vAlign w:val="bottom"/>
            <w:shd w:val="clear" w:color="auto" w:fill="C00000"/>
          </w:tcPr>
          <w:p>
            <w:pPr>
              <w:jc w:val="center"/>
              <w:ind w:right="63"/>
              <w:spacing w:after="0" w:line="133" w:lineRule="exact"/>
              <w:rPr>
                <w:sz w:val="20"/>
                <w:szCs w:val="20"/>
                <w:color w:val="auto"/>
              </w:rPr>
            </w:pPr>
            <w:r>
              <w:rPr>
                <w:rFonts w:ascii="Arial" w:cs="Arial" w:eastAsia="Arial" w:hAnsi="Arial"/>
                <w:sz w:val="12"/>
                <w:szCs w:val="12"/>
                <w:b w:val="1"/>
                <w:bCs w:val="1"/>
                <w:color w:val="FFFFFF"/>
                <w:w w:val="93"/>
              </w:rPr>
              <w:t>Exercise</w:t>
            </w:r>
          </w:p>
        </w:tc>
        <w:tc>
          <w:tcPr>
            <w:tcW w:w="780" w:type="dxa"/>
            <w:vAlign w:val="bottom"/>
            <w:shd w:val="clear" w:color="auto" w:fill="C00000"/>
          </w:tcPr>
          <w:p>
            <w:pPr>
              <w:jc w:val="center"/>
              <w:spacing w:after="0" w:line="133" w:lineRule="exact"/>
              <w:rPr>
                <w:sz w:val="20"/>
                <w:szCs w:val="20"/>
                <w:color w:val="auto"/>
              </w:rPr>
            </w:pPr>
            <w:r>
              <w:rPr>
                <w:rFonts w:ascii="Arial" w:cs="Arial" w:eastAsia="Arial" w:hAnsi="Arial"/>
                <w:sz w:val="12"/>
                <w:szCs w:val="12"/>
                <w:b w:val="1"/>
                <w:bCs w:val="1"/>
                <w:color w:val="FFFFFF"/>
                <w:w w:val="93"/>
              </w:rPr>
              <w:t>Date Fair</w:t>
            </w:r>
          </w:p>
        </w:tc>
      </w:tr>
      <w:tr>
        <w:trPr>
          <w:trHeight w:val="133"/>
        </w:trPr>
        <w:tc>
          <w:tcPr>
            <w:tcW w:w="2220" w:type="dxa"/>
            <w:vAlign w:val="bottom"/>
            <w:shd w:val="clear" w:color="auto" w:fill="C00000"/>
          </w:tcPr>
          <w:p>
            <w:pPr>
              <w:spacing w:after="0"/>
              <w:rPr>
                <w:sz w:val="11"/>
                <w:szCs w:val="11"/>
                <w:color w:val="auto"/>
              </w:rPr>
            </w:pPr>
          </w:p>
        </w:tc>
        <w:tc>
          <w:tcPr>
            <w:tcW w:w="700" w:type="dxa"/>
            <w:vAlign w:val="bottom"/>
            <w:shd w:val="clear" w:color="auto" w:fill="C00000"/>
          </w:tcPr>
          <w:p>
            <w:pPr>
              <w:spacing w:after="0"/>
              <w:rPr>
                <w:sz w:val="11"/>
                <w:szCs w:val="11"/>
                <w:color w:val="auto"/>
              </w:rPr>
            </w:pPr>
          </w:p>
        </w:tc>
        <w:tc>
          <w:tcPr>
            <w:tcW w:w="700" w:type="dxa"/>
            <w:vAlign w:val="bottom"/>
            <w:shd w:val="clear" w:color="auto" w:fill="C00000"/>
          </w:tcPr>
          <w:p>
            <w:pPr>
              <w:spacing w:after="0"/>
              <w:rPr>
                <w:sz w:val="11"/>
                <w:szCs w:val="11"/>
                <w:color w:val="auto"/>
              </w:rPr>
            </w:pPr>
          </w:p>
        </w:tc>
        <w:tc>
          <w:tcPr>
            <w:tcW w:w="2120" w:type="dxa"/>
            <w:vAlign w:val="bottom"/>
            <w:gridSpan w:val="3"/>
            <w:shd w:val="clear" w:color="auto" w:fill="C00000"/>
          </w:tcPr>
          <w:p>
            <w:pPr>
              <w:jc w:val="center"/>
              <w:spacing w:after="0" w:line="133" w:lineRule="exact"/>
              <w:rPr>
                <w:sz w:val="20"/>
                <w:szCs w:val="20"/>
                <w:color w:val="auto"/>
              </w:rPr>
            </w:pPr>
            <w:r>
              <w:rPr>
                <w:rFonts w:ascii="Arial" w:cs="Arial" w:eastAsia="Arial" w:hAnsi="Arial"/>
                <w:sz w:val="12"/>
                <w:szCs w:val="12"/>
                <w:b w:val="1"/>
                <w:bCs w:val="1"/>
                <w:color w:val="FFFFFF"/>
                <w:w w:val="95"/>
              </w:rPr>
              <w:t>Estimated Future Payouts</w:t>
            </w:r>
          </w:p>
        </w:tc>
        <w:tc>
          <w:tcPr>
            <w:tcW w:w="2160" w:type="dxa"/>
            <w:vAlign w:val="bottom"/>
            <w:gridSpan w:val="3"/>
            <w:shd w:val="clear" w:color="auto" w:fill="C00000"/>
          </w:tcPr>
          <w:p>
            <w:pPr>
              <w:jc w:val="center"/>
              <w:ind w:right="2"/>
              <w:spacing w:after="0" w:line="133" w:lineRule="exact"/>
              <w:rPr>
                <w:sz w:val="20"/>
                <w:szCs w:val="20"/>
                <w:color w:val="auto"/>
              </w:rPr>
            </w:pPr>
            <w:r>
              <w:rPr>
                <w:rFonts w:ascii="Arial" w:cs="Arial" w:eastAsia="Arial" w:hAnsi="Arial"/>
                <w:sz w:val="12"/>
                <w:szCs w:val="12"/>
                <w:b w:val="1"/>
                <w:bCs w:val="1"/>
                <w:color w:val="FFFFFF"/>
                <w:w w:val="95"/>
              </w:rPr>
              <w:t>Estimated Future Payouts</w:t>
            </w:r>
          </w:p>
        </w:tc>
        <w:tc>
          <w:tcPr>
            <w:tcW w:w="780" w:type="dxa"/>
            <w:vAlign w:val="bottom"/>
            <w:shd w:val="clear" w:color="auto" w:fill="C00000"/>
          </w:tcPr>
          <w:p>
            <w:pPr>
              <w:jc w:val="center"/>
              <w:spacing w:after="0" w:line="133" w:lineRule="exact"/>
              <w:rPr>
                <w:sz w:val="20"/>
                <w:szCs w:val="20"/>
                <w:color w:val="auto"/>
              </w:rPr>
            </w:pPr>
            <w:r>
              <w:rPr>
                <w:rFonts w:ascii="Arial" w:cs="Arial" w:eastAsia="Arial" w:hAnsi="Arial"/>
                <w:sz w:val="12"/>
                <w:szCs w:val="12"/>
                <w:b w:val="1"/>
                <w:bCs w:val="1"/>
                <w:color w:val="FFFFFF"/>
                <w:w w:val="96"/>
              </w:rPr>
              <w:t>Number of</w:t>
            </w:r>
          </w:p>
        </w:tc>
        <w:tc>
          <w:tcPr>
            <w:tcW w:w="920" w:type="dxa"/>
            <w:vAlign w:val="bottom"/>
            <w:shd w:val="clear" w:color="auto" w:fill="C00000"/>
          </w:tcPr>
          <w:p>
            <w:pPr>
              <w:jc w:val="center"/>
              <w:spacing w:after="0" w:line="133" w:lineRule="exact"/>
              <w:rPr>
                <w:sz w:val="20"/>
                <w:szCs w:val="20"/>
                <w:color w:val="auto"/>
              </w:rPr>
            </w:pPr>
            <w:r>
              <w:rPr>
                <w:rFonts w:ascii="Arial" w:cs="Arial" w:eastAsia="Arial" w:hAnsi="Arial"/>
                <w:sz w:val="12"/>
                <w:szCs w:val="12"/>
                <w:b w:val="1"/>
                <w:bCs w:val="1"/>
                <w:color w:val="FFFFFF"/>
                <w:w w:val="93"/>
              </w:rPr>
              <w:t>Number of</w:t>
            </w:r>
          </w:p>
        </w:tc>
        <w:tc>
          <w:tcPr>
            <w:tcW w:w="860" w:type="dxa"/>
            <w:vAlign w:val="bottom"/>
            <w:shd w:val="clear" w:color="auto" w:fill="C00000"/>
          </w:tcPr>
          <w:p>
            <w:pPr>
              <w:jc w:val="center"/>
              <w:ind w:right="63"/>
              <w:spacing w:after="0" w:line="133" w:lineRule="exact"/>
              <w:rPr>
                <w:sz w:val="20"/>
                <w:szCs w:val="20"/>
                <w:color w:val="auto"/>
              </w:rPr>
            </w:pPr>
            <w:r>
              <w:rPr>
                <w:rFonts w:ascii="Arial" w:cs="Arial" w:eastAsia="Arial" w:hAnsi="Arial"/>
                <w:sz w:val="12"/>
                <w:szCs w:val="12"/>
                <w:b w:val="1"/>
                <w:bCs w:val="1"/>
                <w:color w:val="FFFFFF"/>
                <w:w w:val="95"/>
              </w:rPr>
              <w:t>or Base</w:t>
            </w:r>
          </w:p>
        </w:tc>
        <w:tc>
          <w:tcPr>
            <w:tcW w:w="780" w:type="dxa"/>
            <w:vAlign w:val="bottom"/>
            <w:shd w:val="clear" w:color="auto" w:fill="C00000"/>
          </w:tcPr>
          <w:p>
            <w:pPr>
              <w:jc w:val="center"/>
              <w:spacing w:after="0" w:line="133" w:lineRule="exact"/>
              <w:rPr>
                <w:sz w:val="20"/>
                <w:szCs w:val="20"/>
                <w:color w:val="auto"/>
              </w:rPr>
            </w:pPr>
            <w:r>
              <w:rPr>
                <w:rFonts w:ascii="Arial" w:cs="Arial" w:eastAsia="Arial" w:hAnsi="Arial"/>
                <w:sz w:val="12"/>
                <w:szCs w:val="12"/>
                <w:b w:val="1"/>
                <w:bCs w:val="1"/>
                <w:color w:val="FFFFFF"/>
                <w:w w:val="94"/>
              </w:rPr>
              <w:t>Value of</w:t>
            </w:r>
          </w:p>
        </w:tc>
      </w:tr>
      <w:tr>
        <w:trPr>
          <w:trHeight w:val="124"/>
        </w:trPr>
        <w:tc>
          <w:tcPr>
            <w:tcW w:w="2220" w:type="dxa"/>
            <w:vAlign w:val="bottom"/>
            <w:shd w:val="clear" w:color="auto" w:fill="C00000"/>
          </w:tcPr>
          <w:p>
            <w:pPr>
              <w:spacing w:after="0"/>
              <w:rPr>
                <w:sz w:val="10"/>
                <w:szCs w:val="10"/>
                <w:color w:val="auto"/>
              </w:rPr>
            </w:pPr>
          </w:p>
        </w:tc>
        <w:tc>
          <w:tcPr>
            <w:tcW w:w="700" w:type="dxa"/>
            <w:vAlign w:val="bottom"/>
            <w:shd w:val="clear" w:color="auto" w:fill="C00000"/>
          </w:tcPr>
          <w:p>
            <w:pPr>
              <w:spacing w:after="0"/>
              <w:rPr>
                <w:sz w:val="10"/>
                <w:szCs w:val="10"/>
                <w:color w:val="auto"/>
              </w:rPr>
            </w:pPr>
          </w:p>
        </w:tc>
        <w:tc>
          <w:tcPr>
            <w:tcW w:w="700" w:type="dxa"/>
            <w:vAlign w:val="bottom"/>
            <w:shd w:val="clear" w:color="auto" w:fill="C00000"/>
          </w:tcPr>
          <w:p>
            <w:pPr>
              <w:spacing w:after="0"/>
              <w:rPr>
                <w:sz w:val="10"/>
                <w:szCs w:val="10"/>
                <w:color w:val="auto"/>
              </w:rPr>
            </w:pPr>
          </w:p>
        </w:tc>
        <w:tc>
          <w:tcPr>
            <w:tcW w:w="2120" w:type="dxa"/>
            <w:vAlign w:val="bottom"/>
            <w:gridSpan w:val="3"/>
            <w:shd w:val="clear" w:color="auto" w:fill="C00000"/>
          </w:tcPr>
          <w:p>
            <w:pPr>
              <w:jc w:val="center"/>
              <w:spacing w:after="0" w:line="124" w:lineRule="exact"/>
              <w:rPr>
                <w:sz w:val="20"/>
                <w:szCs w:val="20"/>
                <w:color w:val="auto"/>
              </w:rPr>
            </w:pPr>
            <w:r>
              <w:rPr>
                <w:rFonts w:ascii="Arial" w:cs="Arial" w:eastAsia="Arial" w:hAnsi="Arial"/>
                <w:sz w:val="12"/>
                <w:szCs w:val="12"/>
                <w:b w:val="1"/>
                <w:bCs w:val="1"/>
                <w:color w:val="FFFFFF"/>
                <w:w w:val="95"/>
              </w:rPr>
              <w:t>Under Non-Equity Incentive</w:t>
            </w:r>
          </w:p>
        </w:tc>
        <w:tc>
          <w:tcPr>
            <w:tcW w:w="2160" w:type="dxa"/>
            <w:vAlign w:val="bottom"/>
            <w:gridSpan w:val="3"/>
            <w:shd w:val="clear" w:color="auto" w:fill="C00000"/>
          </w:tcPr>
          <w:p>
            <w:pPr>
              <w:jc w:val="center"/>
              <w:ind w:right="22"/>
              <w:spacing w:after="0" w:line="124" w:lineRule="exact"/>
              <w:rPr>
                <w:sz w:val="20"/>
                <w:szCs w:val="20"/>
                <w:color w:val="auto"/>
              </w:rPr>
            </w:pPr>
            <w:r>
              <w:rPr>
                <w:rFonts w:ascii="Arial" w:cs="Arial" w:eastAsia="Arial" w:hAnsi="Arial"/>
                <w:sz w:val="12"/>
                <w:szCs w:val="12"/>
                <w:b w:val="1"/>
                <w:bCs w:val="1"/>
                <w:color w:val="FFFFFF"/>
                <w:w w:val="95"/>
              </w:rPr>
              <w:t>Under Equity Incentive Plan</w:t>
            </w:r>
          </w:p>
        </w:tc>
        <w:tc>
          <w:tcPr>
            <w:tcW w:w="780" w:type="dxa"/>
            <w:vAlign w:val="bottom"/>
            <w:shd w:val="clear" w:color="auto" w:fill="C00000"/>
          </w:tcPr>
          <w:p>
            <w:pPr>
              <w:jc w:val="center"/>
              <w:spacing w:after="0" w:line="124" w:lineRule="exact"/>
              <w:rPr>
                <w:sz w:val="20"/>
                <w:szCs w:val="20"/>
                <w:color w:val="auto"/>
              </w:rPr>
            </w:pPr>
            <w:r>
              <w:rPr>
                <w:rFonts w:ascii="Arial" w:cs="Arial" w:eastAsia="Arial" w:hAnsi="Arial"/>
                <w:sz w:val="12"/>
                <w:szCs w:val="12"/>
                <w:b w:val="1"/>
                <w:bCs w:val="1"/>
                <w:color w:val="FFFFFF"/>
                <w:w w:val="98"/>
              </w:rPr>
              <w:t>Shares of</w:t>
            </w:r>
          </w:p>
        </w:tc>
        <w:tc>
          <w:tcPr>
            <w:tcW w:w="920" w:type="dxa"/>
            <w:vAlign w:val="bottom"/>
            <w:shd w:val="clear" w:color="auto" w:fill="C00000"/>
          </w:tcPr>
          <w:p>
            <w:pPr>
              <w:jc w:val="center"/>
              <w:spacing w:after="0" w:line="124" w:lineRule="exact"/>
              <w:rPr>
                <w:sz w:val="20"/>
                <w:szCs w:val="20"/>
                <w:color w:val="auto"/>
              </w:rPr>
            </w:pPr>
            <w:r>
              <w:rPr>
                <w:rFonts w:ascii="Arial" w:cs="Arial" w:eastAsia="Arial" w:hAnsi="Arial"/>
                <w:sz w:val="12"/>
                <w:szCs w:val="12"/>
                <w:b w:val="1"/>
                <w:bCs w:val="1"/>
                <w:color w:val="FFFFFF"/>
                <w:w w:val="97"/>
              </w:rPr>
              <w:t>Securities</w:t>
            </w:r>
          </w:p>
        </w:tc>
        <w:tc>
          <w:tcPr>
            <w:tcW w:w="860" w:type="dxa"/>
            <w:vAlign w:val="bottom"/>
            <w:shd w:val="clear" w:color="auto" w:fill="C00000"/>
          </w:tcPr>
          <w:p>
            <w:pPr>
              <w:jc w:val="center"/>
              <w:ind w:right="63"/>
              <w:spacing w:after="0" w:line="124" w:lineRule="exact"/>
              <w:rPr>
                <w:sz w:val="20"/>
                <w:szCs w:val="20"/>
                <w:color w:val="auto"/>
              </w:rPr>
            </w:pPr>
            <w:r>
              <w:rPr>
                <w:rFonts w:ascii="Arial" w:cs="Arial" w:eastAsia="Arial" w:hAnsi="Arial"/>
                <w:sz w:val="12"/>
                <w:szCs w:val="12"/>
                <w:b w:val="1"/>
                <w:bCs w:val="1"/>
                <w:color w:val="FFFFFF"/>
                <w:w w:val="95"/>
              </w:rPr>
              <w:t>Price of</w:t>
            </w:r>
          </w:p>
        </w:tc>
        <w:tc>
          <w:tcPr>
            <w:tcW w:w="780" w:type="dxa"/>
            <w:vAlign w:val="bottom"/>
            <w:shd w:val="clear" w:color="auto" w:fill="C00000"/>
          </w:tcPr>
          <w:p>
            <w:pPr>
              <w:jc w:val="center"/>
              <w:spacing w:after="0" w:line="124" w:lineRule="exact"/>
              <w:rPr>
                <w:sz w:val="20"/>
                <w:szCs w:val="20"/>
                <w:color w:val="auto"/>
              </w:rPr>
            </w:pPr>
            <w:r>
              <w:rPr>
                <w:rFonts w:ascii="Arial" w:cs="Arial" w:eastAsia="Arial" w:hAnsi="Arial"/>
                <w:sz w:val="12"/>
                <w:szCs w:val="12"/>
                <w:b w:val="1"/>
                <w:bCs w:val="1"/>
                <w:color w:val="FFFFFF"/>
                <w:w w:val="97"/>
              </w:rPr>
              <w:t>Stock and</w:t>
            </w:r>
          </w:p>
        </w:tc>
      </w:tr>
      <w:tr>
        <w:trPr>
          <w:trHeight w:val="154"/>
        </w:trPr>
        <w:tc>
          <w:tcPr>
            <w:tcW w:w="2220" w:type="dxa"/>
            <w:vAlign w:val="bottom"/>
            <w:shd w:val="clear" w:color="auto" w:fill="C00000"/>
          </w:tcPr>
          <w:p>
            <w:pPr>
              <w:spacing w:after="0"/>
              <w:rPr>
                <w:sz w:val="13"/>
                <w:szCs w:val="13"/>
                <w:color w:val="auto"/>
              </w:rPr>
            </w:pPr>
          </w:p>
        </w:tc>
        <w:tc>
          <w:tcPr>
            <w:tcW w:w="700" w:type="dxa"/>
            <w:vAlign w:val="bottom"/>
            <w:shd w:val="clear" w:color="auto" w:fill="C00000"/>
          </w:tcPr>
          <w:p>
            <w:pPr>
              <w:spacing w:after="0"/>
              <w:rPr>
                <w:sz w:val="13"/>
                <w:szCs w:val="13"/>
                <w:color w:val="auto"/>
              </w:rPr>
            </w:pPr>
          </w:p>
        </w:tc>
        <w:tc>
          <w:tcPr>
            <w:tcW w:w="700" w:type="dxa"/>
            <w:vAlign w:val="bottom"/>
            <w:shd w:val="clear" w:color="auto" w:fill="C00000"/>
          </w:tcPr>
          <w:p>
            <w:pPr>
              <w:spacing w:after="0"/>
              <w:rPr>
                <w:sz w:val="13"/>
                <w:szCs w:val="13"/>
                <w:color w:val="auto"/>
              </w:rPr>
            </w:pPr>
          </w:p>
        </w:tc>
        <w:tc>
          <w:tcPr>
            <w:tcW w:w="1480" w:type="dxa"/>
            <w:vAlign w:val="bottom"/>
            <w:gridSpan w:val="2"/>
            <w:shd w:val="clear" w:color="auto" w:fill="C00000"/>
          </w:tcPr>
          <w:p>
            <w:pPr>
              <w:jc w:val="center"/>
              <w:ind w:left="603"/>
              <w:spacing w:after="0" w:line="154" w:lineRule="exact"/>
              <w:rPr>
                <w:sz w:val="20"/>
                <w:szCs w:val="20"/>
                <w:color w:val="auto"/>
              </w:rPr>
            </w:pPr>
            <w:r>
              <w:rPr>
                <w:rFonts w:ascii="Arial" w:cs="Arial" w:eastAsia="Arial" w:hAnsi="Arial"/>
                <w:sz w:val="11"/>
                <w:szCs w:val="11"/>
                <w:b w:val="1"/>
                <w:bCs w:val="1"/>
                <w:color w:val="FFFFFF"/>
              </w:rPr>
              <w:t>Plan Awards</w:t>
            </w:r>
            <w:r>
              <w:rPr>
                <w:rFonts w:ascii="Arial" w:cs="Arial" w:eastAsia="Arial" w:hAnsi="Arial"/>
                <w:sz w:val="17"/>
                <w:szCs w:val="17"/>
                <w:b w:val="1"/>
                <w:bCs w:val="1"/>
                <w:color w:val="FFFFFF"/>
                <w:vertAlign w:val="superscript"/>
              </w:rPr>
              <w:t>(1)</w:t>
            </w:r>
          </w:p>
        </w:tc>
        <w:tc>
          <w:tcPr>
            <w:tcW w:w="640" w:type="dxa"/>
            <w:vAlign w:val="bottom"/>
            <w:shd w:val="clear" w:color="auto" w:fill="C00000"/>
          </w:tcPr>
          <w:p>
            <w:pPr>
              <w:spacing w:after="0"/>
              <w:rPr>
                <w:sz w:val="13"/>
                <w:szCs w:val="13"/>
                <w:color w:val="auto"/>
              </w:rPr>
            </w:pPr>
          </w:p>
        </w:tc>
        <w:tc>
          <w:tcPr>
            <w:tcW w:w="720" w:type="dxa"/>
            <w:vAlign w:val="bottom"/>
            <w:shd w:val="clear" w:color="auto" w:fill="C00000"/>
          </w:tcPr>
          <w:p>
            <w:pPr>
              <w:spacing w:after="0"/>
              <w:rPr>
                <w:sz w:val="13"/>
                <w:szCs w:val="13"/>
                <w:color w:val="auto"/>
              </w:rPr>
            </w:pPr>
          </w:p>
        </w:tc>
        <w:tc>
          <w:tcPr>
            <w:tcW w:w="700" w:type="dxa"/>
            <w:vAlign w:val="bottom"/>
            <w:shd w:val="clear" w:color="auto" w:fill="C00000"/>
          </w:tcPr>
          <w:p>
            <w:pPr>
              <w:jc w:val="center"/>
              <w:spacing w:after="0" w:line="154" w:lineRule="exact"/>
              <w:rPr>
                <w:sz w:val="20"/>
                <w:szCs w:val="20"/>
                <w:color w:val="auto"/>
              </w:rPr>
            </w:pPr>
            <w:r>
              <w:rPr>
                <w:rFonts w:ascii="Arial" w:cs="Arial" w:eastAsia="Arial" w:hAnsi="Arial"/>
                <w:sz w:val="11"/>
                <w:szCs w:val="11"/>
                <w:b w:val="1"/>
                <w:bCs w:val="1"/>
                <w:color w:val="FFFFFF"/>
              </w:rPr>
              <w:t>Awards</w:t>
            </w:r>
            <w:r>
              <w:rPr>
                <w:rFonts w:ascii="Arial" w:cs="Arial" w:eastAsia="Arial" w:hAnsi="Arial"/>
                <w:sz w:val="17"/>
                <w:szCs w:val="17"/>
                <w:b w:val="1"/>
                <w:bCs w:val="1"/>
                <w:color w:val="FFFFFF"/>
                <w:vertAlign w:val="superscript"/>
              </w:rPr>
              <w:t>(2)</w:t>
            </w:r>
          </w:p>
        </w:tc>
        <w:tc>
          <w:tcPr>
            <w:tcW w:w="740" w:type="dxa"/>
            <w:vAlign w:val="bottom"/>
            <w:shd w:val="clear" w:color="auto" w:fill="C00000"/>
          </w:tcPr>
          <w:p>
            <w:pPr>
              <w:spacing w:after="0"/>
              <w:rPr>
                <w:sz w:val="13"/>
                <w:szCs w:val="13"/>
                <w:color w:val="auto"/>
              </w:rPr>
            </w:pPr>
          </w:p>
        </w:tc>
        <w:tc>
          <w:tcPr>
            <w:tcW w:w="780" w:type="dxa"/>
            <w:vAlign w:val="bottom"/>
            <w:shd w:val="clear" w:color="auto" w:fill="C00000"/>
          </w:tcPr>
          <w:p>
            <w:pPr>
              <w:jc w:val="center"/>
              <w:spacing w:after="0"/>
              <w:rPr>
                <w:sz w:val="20"/>
                <w:szCs w:val="20"/>
                <w:color w:val="auto"/>
              </w:rPr>
            </w:pPr>
            <w:r>
              <w:rPr>
                <w:rFonts w:ascii="Arial" w:cs="Arial" w:eastAsia="Arial" w:hAnsi="Arial"/>
                <w:sz w:val="12"/>
                <w:szCs w:val="12"/>
                <w:b w:val="1"/>
                <w:bCs w:val="1"/>
                <w:color w:val="FFFFFF"/>
                <w:w w:val="95"/>
              </w:rPr>
              <w:t>Stock or</w:t>
            </w:r>
          </w:p>
        </w:tc>
        <w:tc>
          <w:tcPr>
            <w:tcW w:w="920" w:type="dxa"/>
            <w:vAlign w:val="bottom"/>
            <w:shd w:val="clear" w:color="auto" w:fill="C00000"/>
          </w:tcPr>
          <w:p>
            <w:pPr>
              <w:jc w:val="center"/>
              <w:spacing w:after="0"/>
              <w:rPr>
                <w:sz w:val="20"/>
                <w:szCs w:val="20"/>
                <w:color w:val="auto"/>
              </w:rPr>
            </w:pPr>
            <w:r>
              <w:rPr>
                <w:rFonts w:ascii="Arial" w:cs="Arial" w:eastAsia="Arial" w:hAnsi="Arial"/>
                <w:sz w:val="12"/>
                <w:szCs w:val="12"/>
                <w:b w:val="1"/>
                <w:bCs w:val="1"/>
                <w:color w:val="FFFFFF"/>
                <w:w w:val="95"/>
              </w:rPr>
              <w:t>Underlying</w:t>
            </w:r>
          </w:p>
        </w:tc>
        <w:tc>
          <w:tcPr>
            <w:tcW w:w="860" w:type="dxa"/>
            <w:vAlign w:val="bottom"/>
            <w:shd w:val="clear" w:color="auto" w:fill="C00000"/>
          </w:tcPr>
          <w:p>
            <w:pPr>
              <w:jc w:val="center"/>
              <w:ind w:right="63"/>
              <w:spacing w:after="0"/>
              <w:rPr>
                <w:sz w:val="20"/>
                <w:szCs w:val="20"/>
                <w:color w:val="auto"/>
              </w:rPr>
            </w:pPr>
            <w:r>
              <w:rPr>
                <w:rFonts w:ascii="Arial" w:cs="Arial" w:eastAsia="Arial" w:hAnsi="Arial"/>
                <w:sz w:val="12"/>
                <w:szCs w:val="12"/>
                <w:b w:val="1"/>
                <w:bCs w:val="1"/>
                <w:color w:val="FFFFFF"/>
                <w:w w:val="98"/>
              </w:rPr>
              <w:t>Option</w:t>
            </w:r>
          </w:p>
        </w:tc>
        <w:tc>
          <w:tcPr>
            <w:tcW w:w="780" w:type="dxa"/>
            <w:vAlign w:val="bottom"/>
            <w:shd w:val="clear" w:color="auto" w:fill="C00000"/>
          </w:tcPr>
          <w:p>
            <w:pPr>
              <w:jc w:val="center"/>
              <w:spacing w:after="0"/>
              <w:rPr>
                <w:sz w:val="20"/>
                <w:szCs w:val="20"/>
                <w:color w:val="auto"/>
              </w:rPr>
            </w:pPr>
            <w:r>
              <w:rPr>
                <w:rFonts w:ascii="Arial" w:cs="Arial" w:eastAsia="Arial" w:hAnsi="Arial"/>
                <w:sz w:val="12"/>
                <w:szCs w:val="12"/>
                <w:b w:val="1"/>
                <w:bCs w:val="1"/>
                <w:color w:val="FFFFFF"/>
                <w:w w:val="92"/>
              </w:rPr>
              <w:t>Option</w:t>
            </w:r>
          </w:p>
        </w:tc>
      </w:tr>
      <w:tr>
        <w:trPr>
          <w:trHeight w:val="148"/>
        </w:trPr>
        <w:tc>
          <w:tcPr>
            <w:tcW w:w="2220" w:type="dxa"/>
            <w:vAlign w:val="bottom"/>
            <w:shd w:val="clear" w:color="auto" w:fill="C00000"/>
          </w:tcPr>
          <w:p>
            <w:pPr>
              <w:spacing w:after="0"/>
              <w:rPr>
                <w:sz w:val="12"/>
                <w:szCs w:val="12"/>
                <w:color w:val="auto"/>
              </w:rPr>
            </w:pPr>
          </w:p>
        </w:tc>
        <w:tc>
          <w:tcPr>
            <w:tcW w:w="700" w:type="dxa"/>
            <w:vAlign w:val="bottom"/>
            <w:shd w:val="clear" w:color="auto" w:fill="C00000"/>
          </w:tcPr>
          <w:p>
            <w:pPr>
              <w:jc w:val="center"/>
              <w:ind w:left="22"/>
              <w:spacing w:after="0"/>
              <w:rPr>
                <w:sz w:val="20"/>
                <w:szCs w:val="20"/>
                <w:color w:val="auto"/>
              </w:rPr>
            </w:pPr>
            <w:r>
              <w:rPr>
                <w:rFonts w:ascii="Arial" w:cs="Arial" w:eastAsia="Arial" w:hAnsi="Arial"/>
                <w:sz w:val="12"/>
                <w:szCs w:val="12"/>
                <w:b w:val="1"/>
                <w:bCs w:val="1"/>
                <w:color w:val="FFFFFF"/>
                <w:w w:val="93"/>
              </w:rPr>
              <w:t>Grant</w:t>
            </w:r>
          </w:p>
        </w:tc>
        <w:tc>
          <w:tcPr>
            <w:tcW w:w="700" w:type="dxa"/>
            <w:vAlign w:val="bottom"/>
            <w:shd w:val="clear" w:color="auto" w:fill="C00000"/>
          </w:tcPr>
          <w:p>
            <w:pPr>
              <w:jc w:val="center"/>
              <w:spacing w:after="0"/>
              <w:rPr>
                <w:sz w:val="20"/>
                <w:szCs w:val="20"/>
                <w:color w:val="auto"/>
              </w:rPr>
            </w:pPr>
            <w:r>
              <w:rPr>
                <w:rFonts w:ascii="Arial" w:cs="Arial" w:eastAsia="Arial" w:hAnsi="Arial"/>
                <w:sz w:val="12"/>
                <w:szCs w:val="12"/>
                <w:b w:val="1"/>
                <w:bCs w:val="1"/>
                <w:color w:val="FFFFFF"/>
                <w:w w:val="96"/>
              </w:rPr>
              <w:t>Approval</w:t>
            </w:r>
          </w:p>
        </w:tc>
        <w:tc>
          <w:tcPr>
            <w:tcW w:w="760" w:type="dxa"/>
            <w:vAlign w:val="bottom"/>
            <w:shd w:val="clear" w:color="auto" w:fill="C00000"/>
          </w:tcPr>
          <w:p>
            <w:pPr>
              <w:jc w:val="right"/>
              <w:ind w:right="63"/>
              <w:spacing w:after="0"/>
              <w:rPr>
                <w:sz w:val="20"/>
                <w:szCs w:val="20"/>
                <w:color w:val="auto"/>
              </w:rPr>
            </w:pPr>
            <w:r>
              <w:rPr>
                <w:rFonts w:ascii="Arial" w:cs="Arial" w:eastAsia="Arial" w:hAnsi="Arial"/>
                <w:sz w:val="12"/>
                <w:szCs w:val="12"/>
                <w:b w:val="1"/>
                <w:bCs w:val="1"/>
                <w:color w:val="FFFFFF"/>
              </w:rPr>
              <w:t>Threshold</w:t>
            </w:r>
          </w:p>
        </w:tc>
        <w:tc>
          <w:tcPr>
            <w:tcW w:w="720" w:type="dxa"/>
            <w:vAlign w:val="bottom"/>
            <w:shd w:val="clear" w:color="auto" w:fill="C00000"/>
          </w:tcPr>
          <w:p>
            <w:pPr>
              <w:jc w:val="center"/>
              <w:ind w:right="62"/>
              <w:spacing w:after="0"/>
              <w:rPr>
                <w:sz w:val="20"/>
                <w:szCs w:val="20"/>
                <w:color w:val="auto"/>
              </w:rPr>
            </w:pPr>
            <w:r>
              <w:rPr>
                <w:rFonts w:ascii="Arial" w:cs="Arial" w:eastAsia="Arial" w:hAnsi="Arial"/>
                <w:sz w:val="12"/>
                <w:szCs w:val="12"/>
                <w:b w:val="1"/>
                <w:bCs w:val="1"/>
                <w:color w:val="FFFFFF"/>
                <w:w w:val="98"/>
              </w:rPr>
              <w:t>Target</w:t>
            </w:r>
          </w:p>
        </w:tc>
        <w:tc>
          <w:tcPr>
            <w:tcW w:w="640" w:type="dxa"/>
            <w:vAlign w:val="bottom"/>
            <w:shd w:val="clear" w:color="auto" w:fill="C00000"/>
          </w:tcPr>
          <w:p>
            <w:pPr>
              <w:jc w:val="right"/>
              <w:ind w:right="42"/>
              <w:spacing w:after="0"/>
              <w:rPr>
                <w:sz w:val="20"/>
                <w:szCs w:val="20"/>
                <w:color w:val="auto"/>
              </w:rPr>
            </w:pPr>
            <w:r>
              <w:rPr>
                <w:rFonts w:ascii="Arial" w:cs="Arial" w:eastAsia="Arial" w:hAnsi="Arial"/>
                <w:sz w:val="12"/>
                <w:szCs w:val="12"/>
                <w:b w:val="1"/>
                <w:bCs w:val="1"/>
                <w:color w:val="FFFFFF"/>
                <w:w w:val="93"/>
              </w:rPr>
              <w:t>Maximum</w:t>
            </w:r>
          </w:p>
        </w:tc>
        <w:tc>
          <w:tcPr>
            <w:tcW w:w="720" w:type="dxa"/>
            <w:vAlign w:val="bottom"/>
            <w:shd w:val="clear" w:color="auto" w:fill="C00000"/>
          </w:tcPr>
          <w:p>
            <w:pPr>
              <w:jc w:val="right"/>
              <w:ind w:right="42"/>
              <w:spacing w:after="0"/>
              <w:rPr>
                <w:sz w:val="20"/>
                <w:szCs w:val="20"/>
                <w:color w:val="auto"/>
              </w:rPr>
            </w:pPr>
            <w:r>
              <w:rPr>
                <w:rFonts w:ascii="Arial" w:cs="Arial" w:eastAsia="Arial" w:hAnsi="Arial"/>
                <w:sz w:val="12"/>
                <w:szCs w:val="12"/>
                <w:b w:val="1"/>
                <w:bCs w:val="1"/>
                <w:color w:val="FFFFFF"/>
              </w:rPr>
              <w:t>Threshold</w:t>
            </w:r>
          </w:p>
        </w:tc>
        <w:tc>
          <w:tcPr>
            <w:tcW w:w="700" w:type="dxa"/>
            <w:vAlign w:val="bottom"/>
            <w:shd w:val="clear" w:color="auto" w:fill="C00000"/>
          </w:tcPr>
          <w:p>
            <w:pPr>
              <w:jc w:val="center"/>
              <w:spacing w:after="0"/>
              <w:rPr>
                <w:sz w:val="20"/>
                <w:szCs w:val="20"/>
                <w:color w:val="auto"/>
              </w:rPr>
            </w:pPr>
            <w:r>
              <w:rPr>
                <w:rFonts w:ascii="Arial" w:cs="Arial" w:eastAsia="Arial" w:hAnsi="Arial"/>
                <w:sz w:val="12"/>
                <w:szCs w:val="12"/>
                <w:b w:val="1"/>
                <w:bCs w:val="1"/>
                <w:color w:val="FFFFFF"/>
                <w:w w:val="92"/>
              </w:rPr>
              <w:t>Target</w:t>
            </w:r>
          </w:p>
        </w:tc>
        <w:tc>
          <w:tcPr>
            <w:tcW w:w="740" w:type="dxa"/>
            <w:vAlign w:val="bottom"/>
            <w:shd w:val="clear" w:color="auto" w:fill="C00000"/>
          </w:tcPr>
          <w:p>
            <w:pPr>
              <w:jc w:val="right"/>
              <w:ind w:right="82"/>
              <w:spacing w:after="0"/>
              <w:rPr>
                <w:sz w:val="20"/>
                <w:szCs w:val="20"/>
                <w:color w:val="auto"/>
              </w:rPr>
            </w:pPr>
            <w:r>
              <w:rPr>
                <w:rFonts w:ascii="Arial" w:cs="Arial" w:eastAsia="Arial" w:hAnsi="Arial"/>
                <w:sz w:val="12"/>
                <w:szCs w:val="12"/>
                <w:b w:val="1"/>
                <w:bCs w:val="1"/>
                <w:color w:val="FFFFFF"/>
              </w:rPr>
              <w:t>Maximum</w:t>
            </w:r>
          </w:p>
        </w:tc>
        <w:tc>
          <w:tcPr>
            <w:tcW w:w="780" w:type="dxa"/>
            <w:vAlign w:val="bottom"/>
            <w:shd w:val="clear" w:color="auto" w:fill="C00000"/>
          </w:tcPr>
          <w:p>
            <w:pPr>
              <w:jc w:val="center"/>
              <w:spacing w:after="0"/>
              <w:rPr>
                <w:sz w:val="20"/>
                <w:szCs w:val="20"/>
                <w:color w:val="auto"/>
              </w:rPr>
            </w:pPr>
            <w:r>
              <w:rPr>
                <w:rFonts w:ascii="Arial" w:cs="Arial" w:eastAsia="Arial" w:hAnsi="Arial"/>
                <w:sz w:val="12"/>
                <w:szCs w:val="12"/>
                <w:b w:val="1"/>
                <w:bCs w:val="1"/>
                <w:color w:val="FFFFFF"/>
                <w:w w:val="99"/>
              </w:rPr>
              <w:t>Units</w:t>
            </w:r>
          </w:p>
        </w:tc>
        <w:tc>
          <w:tcPr>
            <w:tcW w:w="920" w:type="dxa"/>
            <w:vAlign w:val="bottom"/>
            <w:shd w:val="clear" w:color="auto" w:fill="C00000"/>
          </w:tcPr>
          <w:p>
            <w:pPr>
              <w:jc w:val="center"/>
              <w:spacing w:after="0" w:line="148" w:lineRule="exact"/>
              <w:rPr>
                <w:sz w:val="20"/>
                <w:szCs w:val="20"/>
                <w:color w:val="auto"/>
              </w:rPr>
            </w:pPr>
            <w:r>
              <w:rPr>
                <w:rFonts w:ascii="Arial" w:cs="Arial" w:eastAsia="Arial" w:hAnsi="Arial"/>
                <w:sz w:val="11"/>
                <w:szCs w:val="11"/>
                <w:b w:val="1"/>
                <w:bCs w:val="1"/>
                <w:color w:val="FFFFFF"/>
              </w:rPr>
              <w:t>Options</w:t>
            </w:r>
            <w:r>
              <w:rPr>
                <w:rFonts w:ascii="Arial" w:cs="Arial" w:eastAsia="Arial" w:hAnsi="Arial"/>
                <w:sz w:val="17"/>
                <w:szCs w:val="17"/>
                <w:b w:val="1"/>
                <w:bCs w:val="1"/>
                <w:color w:val="FFFFFF"/>
                <w:vertAlign w:val="superscript"/>
              </w:rPr>
              <w:t>(3)</w:t>
            </w:r>
          </w:p>
        </w:tc>
        <w:tc>
          <w:tcPr>
            <w:tcW w:w="860" w:type="dxa"/>
            <w:vAlign w:val="bottom"/>
            <w:shd w:val="clear" w:color="auto" w:fill="C00000"/>
          </w:tcPr>
          <w:p>
            <w:pPr>
              <w:jc w:val="center"/>
              <w:ind w:right="63"/>
              <w:spacing w:after="0" w:line="148" w:lineRule="exact"/>
              <w:rPr>
                <w:sz w:val="20"/>
                <w:szCs w:val="20"/>
                <w:color w:val="auto"/>
              </w:rPr>
            </w:pPr>
            <w:r>
              <w:rPr>
                <w:rFonts w:ascii="Arial" w:cs="Arial" w:eastAsia="Arial" w:hAnsi="Arial"/>
                <w:sz w:val="11"/>
                <w:szCs w:val="11"/>
                <w:b w:val="1"/>
                <w:bCs w:val="1"/>
                <w:color w:val="FFFFFF"/>
              </w:rPr>
              <w:t>Awards</w:t>
            </w:r>
            <w:r>
              <w:rPr>
                <w:rFonts w:ascii="Arial" w:cs="Arial" w:eastAsia="Arial" w:hAnsi="Arial"/>
                <w:sz w:val="17"/>
                <w:szCs w:val="17"/>
                <w:b w:val="1"/>
                <w:bCs w:val="1"/>
                <w:color w:val="FFFFFF"/>
                <w:vertAlign w:val="superscript"/>
              </w:rPr>
              <w:t>(4)</w:t>
            </w:r>
          </w:p>
        </w:tc>
        <w:tc>
          <w:tcPr>
            <w:tcW w:w="780" w:type="dxa"/>
            <w:vAlign w:val="bottom"/>
            <w:shd w:val="clear" w:color="auto" w:fill="C00000"/>
          </w:tcPr>
          <w:p>
            <w:pPr>
              <w:jc w:val="center"/>
              <w:spacing w:after="0" w:line="148" w:lineRule="exact"/>
              <w:rPr>
                <w:sz w:val="20"/>
                <w:szCs w:val="20"/>
                <w:color w:val="auto"/>
              </w:rPr>
            </w:pPr>
            <w:r>
              <w:rPr>
                <w:rFonts w:ascii="Arial" w:cs="Arial" w:eastAsia="Arial" w:hAnsi="Arial"/>
                <w:sz w:val="11"/>
                <w:szCs w:val="11"/>
                <w:b w:val="1"/>
                <w:bCs w:val="1"/>
                <w:color w:val="FFFFFF"/>
              </w:rPr>
              <w:t>Awards</w:t>
            </w:r>
            <w:r>
              <w:rPr>
                <w:rFonts w:ascii="Arial" w:cs="Arial" w:eastAsia="Arial" w:hAnsi="Arial"/>
                <w:sz w:val="17"/>
                <w:szCs w:val="17"/>
                <w:b w:val="1"/>
                <w:bCs w:val="1"/>
                <w:color w:val="FFFFFF"/>
                <w:vertAlign w:val="superscript"/>
              </w:rPr>
              <w:t>(5)</w:t>
            </w:r>
          </w:p>
        </w:tc>
      </w:tr>
      <w:tr>
        <w:trPr>
          <w:trHeight w:val="145"/>
        </w:trPr>
        <w:tc>
          <w:tcPr>
            <w:tcW w:w="2220" w:type="dxa"/>
            <w:vAlign w:val="bottom"/>
            <w:shd w:val="clear" w:color="auto" w:fill="C00000"/>
          </w:tcPr>
          <w:p>
            <w:pPr>
              <w:spacing w:after="0"/>
              <w:rPr>
                <w:sz w:val="20"/>
                <w:szCs w:val="20"/>
                <w:color w:val="auto"/>
              </w:rPr>
            </w:pPr>
            <w:r>
              <w:rPr>
                <w:rFonts w:ascii="Arial" w:cs="Arial" w:eastAsia="Arial" w:hAnsi="Arial"/>
                <w:sz w:val="12"/>
                <w:szCs w:val="12"/>
                <w:b w:val="1"/>
                <w:bCs w:val="1"/>
                <w:color w:val="FFFFFF"/>
              </w:rPr>
              <w:t>Name</w:t>
            </w:r>
          </w:p>
        </w:tc>
        <w:tc>
          <w:tcPr>
            <w:tcW w:w="700" w:type="dxa"/>
            <w:vAlign w:val="bottom"/>
            <w:shd w:val="clear" w:color="auto" w:fill="C00000"/>
          </w:tcPr>
          <w:p>
            <w:pPr>
              <w:jc w:val="center"/>
              <w:ind w:left="22"/>
              <w:spacing w:after="0"/>
              <w:rPr>
                <w:sz w:val="20"/>
                <w:szCs w:val="20"/>
                <w:color w:val="auto"/>
              </w:rPr>
            </w:pPr>
            <w:r>
              <w:rPr>
                <w:rFonts w:ascii="Arial" w:cs="Arial" w:eastAsia="Arial" w:hAnsi="Arial"/>
                <w:sz w:val="12"/>
                <w:szCs w:val="12"/>
                <w:b w:val="1"/>
                <w:bCs w:val="1"/>
                <w:color w:val="FFFFFF"/>
                <w:w w:val="99"/>
              </w:rPr>
              <w:t>Date</w:t>
            </w:r>
          </w:p>
        </w:tc>
        <w:tc>
          <w:tcPr>
            <w:tcW w:w="700" w:type="dxa"/>
            <w:vAlign w:val="bottom"/>
            <w:shd w:val="clear" w:color="auto" w:fill="C00000"/>
          </w:tcPr>
          <w:p>
            <w:pPr>
              <w:jc w:val="center"/>
              <w:ind w:left="2"/>
              <w:spacing w:after="0"/>
              <w:rPr>
                <w:sz w:val="20"/>
                <w:szCs w:val="20"/>
                <w:color w:val="auto"/>
              </w:rPr>
            </w:pPr>
            <w:r>
              <w:rPr>
                <w:rFonts w:ascii="Arial" w:cs="Arial" w:eastAsia="Arial" w:hAnsi="Arial"/>
                <w:sz w:val="12"/>
                <w:szCs w:val="12"/>
                <w:b w:val="1"/>
                <w:bCs w:val="1"/>
                <w:color w:val="FFFFFF"/>
                <w:w w:val="92"/>
              </w:rPr>
              <w:t>Date</w:t>
            </w:r>
          </w:p>
        </w:tc>
        <w:tc>
          <w:tcPr>
            <w:tcW w:w="760" w:type="dxa"/>
            <w:vAlign w:val="bottom"/>
            <w:shd w:val="clear" w:color="auto" w:fill="C00000"/>
          </w:tcPr>
          <w:p>
            <w:pPr>
              <w:jc w:val="right"/>
              <w:ind w:right="263"/>
              <w:spacing w:after="0"/>
              <w:rPr>
                <w:sz w:val="20"/>
                <w:szCs w:val="20"/>
                <w:color w:val="auto"/>
              </w:rPr>
            </w:pPr>
            <w:r>
              <w:rPr>
                <w:rFonts w:ascii="Arial" w:cs="Arial" w:eastAsia="Arial" w:hAnsi="Arial"/>
                <w:sz w:val="12"/>
                <w:szCs w:val="12"/>
                <w:b w:val="1"/>
                <w:bCs w:val="1"/>
                <w:color w:val="FFFFFF"/>
              </w:rPr>
              <w:t>($)</w:t>
            </w:r>
          </w:p>
        </w:tc>
        <w:tc>
          <w:tcPr>
            <w:tcW w:w="720" w:type="dxa"/>
            <w:vAlign w:val="bottom"/>
            <w:shd w:val="clear" w:color="auto" w:fill="C00000"/>
          </w:tcPr>
          <w:p>
            <w:pPr>
              <w:jc w:val="center"/>
              <w:ind w:right="62"/>
              <w:spacing w:after="0"/>
              <w:rPr>
                <w:sz w:val="20"/>
                <w:szCs w:val="20"/>
                <w:color w:val="auto"/>
              </w:rPr>
            </w:pPr>
            <w:r>
              <w:rPr>
                <w:rFonts w:ascii="Arial" w:cs="Arial" w:eastAsia="Arial" w:hAnsi="Arial"/>
                <w:sz w:val="12"/>
                <w:szCs w:val="12"/>
                <w:b w:val="1"/>
                <w:bCs w:val="1"/>
                <w:color w:val="FFFFFF"/>
              </w:rPr>
              <w:t>($)</w:t>
            </w:r>
          </w:p>
        </w:tc>
        <w:tc>
          <w:tcPr>
            <w:tcW w:w="640" w:type="dxa"/>
            <w:vAlign w:val="bottom"/>
            <w:shd w:val="clear" w:color="auto" w:fill="C00000"/>
          </w:tcPr>
          <w:p>
            <w:pPr>
              <w:jc w:val="right"/>
              <w:ind w:right="242"/>
              <w:spacing w:after="0"/>
              <w:rPr>
                <w:sz w:val="20"/>
                <w:szCs w:val="20"/>
                <w:color w:val="auto"/>
              </w:rPr>
            </w:pPr>
            <w:r>
              <w:rPr>
                <w:rFonts w:ascii="Arial" w:cs="Arial" w:eastAsia="Arial" w:hAnsi="Arial"/>
                <w:sz w:val="12"/>
                <w:szCs w:val="12"/>
                <w:b w:val="1"/>
                <w:bCs w:val="1"/>
                <w:color w:val="FFFFFF"/>
              </w:rPr>
              <w:t>($)</w:t>
            </w:r>
          </w:p>
        </w:tc>
        <w:tc>
          <w:tcPr>
            <w:tcW w:w="720" w:type="dxa"/>
            <w:vAlign w:val="bottom"/>
            <w:shd w:val="clear" w:color="auto" w:fill="C00000"/>
          </w:tcPr>
          <w:p>
            <w:pPr>
              <w:jc w:val="right"/>
              <w:ind w:right="242"/>
              <w:spacing w:after="0"/>
              <w:rPr>
                <w:sz w:val="20"/>
                <w:szCs w:val="20"/>
                <w:color w:val="auto"/>
              </w:rPr>
            </w:pPr>
            <w:r>
              <w:rPr>
                <w:rFonts w:ascii="Arial" w:cs="Arial" w:eastAsia="Arial" w:hAnsi="Arial"/>
                <w:sz w:val="12"/>
                <w:szCs w:val="12"/>
                <w:b w:val="1"/>
                <w:bCs w:val="1"/>
                <w:color w:val="FFFFFF"/>
              </w:rPr>
              <w:t>(#)</w:t>
            </w:r>
          </w:p>
        </w:tc>
        <w:tc>
          <w:tcPr>
            <w:tcW w:w="700" w:type="dxa"/>
            <w:vAlign w:val="bottom"/>
            <w:shd w:val="clear" w:color="auto" w:fill="C00000"/>
          </w:tcPr>
          <w:p>
            <w:pPr>
              <w:jc w:val="center"/>
              <w:spacing w:after="0"/>
              <w:rPr>
                <w:sz w:val="20"/>
                <w:szCs w:val="20"/>
                <w:color w:val="auto"/>
              </w:rPr>
            </w:pPr>
            <w:r>
              <w:rPr>
                <w:rFonts w:ascii="Arial" w:cs="Arial" w:eastAsia="Arial" w:hAnsi="Arial"/>
                <w:sz w:val="12"/>
                <w:szCs w:val="12"/>
                <w:b w:val="1"/>
                <w:bCs w:val="1"/>
                <w:color w:val="FFFFFF"/>
                <w:w w:val="95"/>
              </w:rPr>
              <w:t>(#)</w:t>
            </w:r>
          </w:p>
        </w:tc>
        <w:tc>
          <w:tcPr>
            <w:tcW w:w="740" w:type="dxa"/>
            <w:vAlign w:val="bottom"/>
            <w:shd w:val="clear" w:color="auto" w:fill="C00000"/>
          </w:tcPr>
          <w:p>
            <w:pPr>
              <w:jc w:val="right"/>
              <w:ind w:right="282"/>
              <w:spacing w:after="0"/>
              <w:rPr>
                <w:sz w:val="20"/>
                <w:szCs w:val="20"/>
                <w:color w:val="auto"/>
              </w:rPr>
            </w:pPr>
            <w:r>
              <w:rPr>
                <w:rFonts w:ascii="Arial" w:cs="Arial" w:eastAsia="Arial" w:hAnsi="Arial"/>
                <w:sz w:val="12"/>
                <w:szCs w:val="12"/>
                <w:b w:val="1"/>
                <w:bCs w:val="1"/>
                <w:color w:val="FFFFFF"/>
              </w:rPr>
              <w:t>(#)</w:t>
            </w:r>
          </w:p>
        </w:tc>
        <w:tc>
          <w:tcPr>
            <w:tcW w:w="780" w:type="dxa"/>
            <w:vAlign w:val="bottom"/>
            <w:shd w:val="clear" w:color="auto" w:fill="C00000"/>
          </w:tcPr>
          <w:p>
            <w:pPr>
              <w:jc w:val="center"/>
              <w:spacing w:after="0"/>
              <w:rPr>
                <w:sz w:val="20"/>
                <w:szCs w:val="20"/>
                <w:color w:val="auto"/>
              </w:rPr>
            </w:pPr>
            <w:r>
              <w:rPr>
                <w:rFonts w:ascii="Arial" w:cs="Arial" w:eastAsia="Arial" w:hAnsi="Arial"/>
                <w:sz w:val="12"/>
                <w:szCs w:val="12"/>
                <w:b w:val="1"/>
                <w:bCs w:val="1"/>
                <w:color w:val="FFFFFF"/>
                <w:w w:val="95"/>
              </w:rPr>
              <w:t>(#)</w:t>
            </w:r>
          </w:p>
        </w:tc>
        <w:tc>
          <w:tcPr>
            <w:tcW w:w="920" w:type="dxa"/>
            <w:vAlign w:val="bottom"/>
            <w:shd w:val="clear" w:color="auto" w:fill="C00000"/>
          </w:tcPr>
          <w:p>
            <w:pPr>
              <w:jc w:val="center"/>
              <w:spacing w:after="0"/>
              <w:rPr>
                <w:sz w:val="20"/>
                <w:szCs w:val="20"/>
                <w:color w:val="auto"/>
              </w:rPr>
            </w:pPr>
            <w:r>
              <w:rPr>
                <w:rFonts w:ascii="Arial" w:cs="Arial" w:eastAsia="Arial" w:hAnsi="Arial"/>
                <w:sz w:val="12"/>
                <w:szCs w:val="12"/>
                <w:b w:val="1"/>
                <w:bCs w:val="1"/>
                <w:color w:val="FFFFFF"/>
                <w:w w:val="95"/>
              </w:rPr>
              <w:t>(#)</w:t>
            </w:r>
          </w:p>
        </w:tc>
        <w:tc>
          <w:tcPr>
            <w:tcW w:w="860" w:type="dxa"/>
            <w:vAlign w:val="bottom"/>
            <w:shd w:val="clear" w:color="auto" w:fill="C00000"/>
          </w:tcPr>
          <w:p>
            <w:pPr>
              <w:jc w:val="center"/>
              <w:ind w:right="43"/>
              <w:spacing w:after="0"/>
              <w:rPr>
                <w:sz w:val="20"/>
                <w:szCs w:val="20"/>
                <w:color w:val="auto"/>
              </w:rPr>
            </w:pPr>
            <w:r>
              <w:rPr>
                <w:rFonts w:ascii="Arial" w:cs="Arial" w:eastAsia="Arial" w:hAnsi="Arial"/>
                <w:sz w:val="12"/>
                <w:szCs w:val="12"/>
                <w:b w:val="1"/>
                <w:bCs w:val="1"/>
                <w:color w:val="FFFFFF"/>
                <w:w w:val="95"/>
              </w:rPr>
              <w:t>($/Sh)</w:t>
            </w:r>
          </w:p>
        </w:tc>
        <w:tc>
          <w:tcPr>
            <w:tcW w:w="780" w:type="dxa"/>
            <w:vAlign w:val="bottom"/>
            <w:shd w:val="clear" w:color="auto" w:fill="C00000"/>
          </w:tcPr>
          <w:p>
            <w:pPr>
              <w:jc w:val="center"/>
              <w:spacing w:after="0"/>
              <w:rPr>
                <w:sz w:val="20"/>
                <w:szCs w:val="20"/>
                <w:color w:val="auto"/>
              </w:rPr>
            </w:pPr>
            <w:r>
              <w:rPr>
                <w:rFonts w:ascii="Arial" w:cs="Arial" w:eastAsia="Arial" w:hAnsi="Arial"/>
                <w:sz w:val="12"/>
                <w:szCs w:val="12"/>
                <w:b w:val="1"/>
                <w:bCs w:val="1"/>
                <w:color w:val="FFFFFF"/>
                <w:w w:val="95"/>
              </w:rPr>
              <w:t>($)</w:t>
            </w:r>
          </w:p>
        </w:tc>
      </w:tr>
      <w:tr>
        <w:trPr>
          <w:trHeight w:val="180"/>
        </w:trPr>
        <w:tc>
          <w:tcPr>
            <w:tcW w:w="2220" w:type="dxa"/>
            <w:vAlign w:val="bottom"/>
          </w:tcPr>
          <w:p>
            <w:pPr>
              <w:spacing w:after="0"/>
              <w:rPr>
                <w:sz w:val="20"/>
                <w:szCs w:val="20"/>
                <w:color w:val="auto"/>
              </w:rPr>
            </w:pPr>
            <w:r>
              <w:rPr>
                <w:rFonts w:ascii="Arial" w:cs="Arial" w:eastAsia="Arial" w:hAnsi="Arial"/>
                <w:sz w:val="12"/>
                <w:szCs w:val="12"/>
                <w:color w:val="auto"/>
              </w:rPr>
              <w:t>Richard M. Olson</w:t>
            </w: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6"/>
        </w:trPr>
        <w:tc>
          <w:tcPr>
            <w:tcW w:w="2220" w:type="dxa"/>
            <w:vAlign w:val="bottom"/>
          </w:tcPr>
          <w:p>
            <w:pPr>
              <w:ind w:left="240"/>
              <w:spacing w:after="0"/>
              <w:rPr>
                <w:sz w:val="20"/>
                <w:szCs w:val="20"/>
                <w:color w:val="auto"/>
              </w:rPr>
            </w:pPr>
            <w:r>
              <w:rPr>
                <w:rFonts w:ascii="Arial" w:cs="Arial" w:eastAsia="Arial" w:hAnsi="Arial"/>
                <w:sz w:val="12"/>
                <w:szCs w:val="12"/>
                <w:color w:val="auto"/>
              </w:rPr>
              <w:t>Annual Cash Incentive</w:t>
            </w:r>
          </w:p>
        </w:tc>
        <w:tc>
          <w:tcPr>
            <w:tcW w:w="700" w:type="dxa"/>
            <w:vAlign w:val="bottom"/>
          </w:tcPr>
          <w:p>
            <w:pPr>
              <w:jc w:val="center"/>
              <w:ind w:left="2"/>
              <w:spacing w:after="0"/>
              <w:rPr>
                <w:sz w:val="20"/>
                <w:szCs w:val="20"/>
                <w:color w:val="auto"/>
              </w:rPr>
            </w:pPr>
            <w:r>
              <w:rPr>
                <w:rFonts w:ascii="Arial" w:cs="Arial" w:eastAsia="Arial" w:hAnsi="Arial"/>
                <w:sz w:val="12"/>
                <w:szCs w:val="12"/>
                <w:color w:val="auto"/>
                <w:w w:val="99"/>
              </w:rPr>
              <w:t>—</w:t>
            </w:r>
          </w:p>
        </w:tc>
        <w:tc>
          <w:tcPr>
            <w:tcW w:w="700" w:type="dxa"/>
            <w:vAlign w:val="bottom"/>
          </w:tcPr>
          <w:p>
            <w:pPr>
              <w:jc w:val="center"/>
              <w:ind w:left="2"/>
              <w:spacing w:after="0"/>
              <w:rPr>
                <w:sz w:val="20"/>
                <w:szCs w:val="20"/>
                <w:color w:val="auto"/>
              </w:rPr>
            </w:pPr>
            <w:r>
              <w:rPr>
                <w:rFonts w:ascii="Arial" w:cs="Arial" w:eastAsia="Arial" w:hAnsi="Arial"/>
                <w:sz w:val="12"/>
                <w:szCs w:val="12"/>
                <w:color w:val="auto"/>
                <w:w w:val="99"/>
              </w:rPr>
              <w:t>—</w:t>
            </w:r>
          </w:p>
        </w:tc>
        <w:tc>
          <w:tcPr>
            <w:tcW w:w="760" w:type="dxa"/>
            <w:vAlign w:val="bottom"/>
          </w:tcPr>
          <w:p>
            <w:pPr>
              <w:jc w:val="right"/>
              <w:ind w:right="43"/>
              <w:spacing w:after="0"/>
              <w:rPr>
                <w:sz w:val="20"/>
                <w:szCs w:val="20"/>
                <w:color w:val="auto"/>
              </w:rPr>
            </w:pPr>
            <w:r>
              <w:rPr>
                <w:rFonts w:ascii="Arial" w:cs="Arial" w:eastAsia="Arial" w:hAnsi="Arial"/>
                <w:sz w:val="12"/>
                <w:szCs w:val="12"/>
                <w:color w:val="auto"/>
              </w:rPr>
              <w:t>502,046</w:t>
            </w:r>
          </w:p>
        </w:tc>
        <w:tc>
          <w:tcPr>
            <w:tcW w:w="720" w:type="dxa"/>
            <w:vAlign w:val="bottom"/>
          </w:tcPr>
          <w:p>
            <w:pPr>
              <w:jc w:val="right"/>
              <w:ind w:right="62"/>
              <w:spacing w:after="0"/>
              <w:rPr>
                <w:sz w:val="20"/>
                <w:szCs w:val="20"/>
                <w:color w:val="auto"/>
              </w:rPr>
            </w:pPr>
            <w:r>
              <w:rPr>
                <w:rFonts w:ascii="Arial" w:cs="Arial" w:eastAsia="Arial" w:hAnsi="Arial"/>
                <w:sz w:val="12"/>
                <w:szCs w:val="12"/>
                <w:color w:val="auto"/>
              </w:rPr>
              <w:t>1,255,116</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2,510,232</w:t>
            </w: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2220" w:type="dxa"/>
            <w:vAlign w:val="bottom"/>
          </w:tcPr>
          <w:p>
            <w:pPr>
              <w:ind w:left="240"/>
              <w:spacing w:after="0"/>
              <w:rPr>
                <w:sz w:val="20"/>
                <w:szCs w:val="20"/>
                <w:color w:val="auto"/>
              </w:rPr>
            </w:pPr>
            <w:r>
              <w:rPr>
                <w:rFonts w:ascii="Arial" w:cs="Arial" w:eastAsia="Arial" w:hAnsi="Arial"/>
                <w:sz w:val="12"/>
                <w:szCs w:val="12"/>
                <w:color w:val="auto"/>
              </w:rPr>
              <w:t>Performance Shares</w:t>
            </w:r>
          </w:p>
        </w:tc>
        <w:tc>
          <w:tcPr>
            <w:tcW w:w="700" w:type="dxa"/>
            <w:vAlign w:val="bottom"/>
          </w:tcPr>
          <w:p>
            <w:pPr>
              <w:jc w:val="center"/>
              <w:ind w:left="2"/>
              <w:spacing w:after="0"/>
              <w:rPr>
                <w:sz w:val="20"/>
                <w:szCs w:val="20"/>
                <w:color w:val="auto"/>
              </w:rPr>
            </w:pPr>
            <w:r>
              <w:rPr>
                <w:rFonts w:ascii="Arial" w:cs="Arial" w:eastAsia="Arial" w:hAnsi="Arial"/>
                <w:sz w:val="12"/>
                <w:szCs w:val="12"/>
                <w:color w:val="auto"/>
                <w:w w:val="94"/>
              </w:rPr>
              <w:t>12/01/20</w:t>
            </w:r>
          </w:p>
        </w:tc>
        <w:tc>
          <w:tcPr>
            <w:tcW w:w="700" w:type="dxa"/>
            <w:vAlign w:val="bottom"/>
          </w:tcPr>
          <w:p>
            <w:pPr>
              <w:jc w:val="center"/>
              <w:ind w:left="2"/>
              <w:spacing w:after="0"/>
              <w:rPr>
                <w:sz w:val="20"/>
                <w:szCs w:val="20"/>
                <w:color w:val="auto"/>
              </w:rPr>
            </w:pPr>
            <w:r>
              <w:rPr>
                <w:rFonts w:ascii="Arial" w:cs="Arial" w:eastAsia="Arial" w:hAnsi="Arial"/>
                <w:sz w:val="12"/>
                <w:szCs w:val="12"/>
                <w:color w:val="auto"/>
                <w:w w:val="94"/>
              </w:rPr>
              <w:t>12/01/20</w:t>
            </w: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11,200</w:t>
            </w:r>
          </w:p>
        </w:tc>
        <w:tc>
          <w:tcPr>
            <w:tcW w:w="700" w:type="dxa"/>
            <w:vAlign w:val="bottom"/>
          </w:tcPr>
          <w:p>
            <w:pPr>
              <w:jc w:val="right"/>
              <w:ind w:right="3"/>
              <w:spacing w:after="0"/>
              <w:rPr>
                <w:sz w:val="20"/>
                <w:szCs w:val="20"/>
                <w:color w:val="auto"/>
              </w:rPr>
            </w:pPr>
            <w:r>
              <w:rPr>
                <w:rFonts w:ascii="Arial" w:cs="Arial" w:eastAsia="Arial" w:hAnsi="Arial"/>
                <w:sz w:val="12"/>
                <w:szCs w:val="12"/>
                <w:color w:val="auto"/>
              </w:rPr>
              <w:t>28,000</w:t>
            </w: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56,000</w:t>
            </w: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2,536,520</w:t>
            </w:r>
          </w:p>
        </w:tc>
      </w:tr>
      <w:tr>
        <w:trPr>
          <w:trHeight w:val="189"/>
        </w:trPr>
        <w:tc>
          <w:tcPr>
            <w:tcW w:w="2220" w:type="dxa"/>
            <w:vAlign w:val="bottom"/>
          </w:tcPr>
          <w:p>
            <w:pPr>
              <w:ind w:left="240"/>
              <w:spacing w:after="0"/>
              <w:rPr>
                <w:sz w:val="20"/>
                <w:szCs w:val="20"/>
                <w:color w:val="auto"/>
              </w:rPr>
            </w:pPr>
            <w:r>
              <w:rPr>
                <w:rFonts w:ascii="Arial" w:cs="Arial" w:eastAsia="Arial" w:hAnsi="Arial"/>
                <w:sz w:val="12"/>
                <w:szCs w:val="12"/>
                <w:color w:val="auto"/>
              </w:rPr>
              <w:t>Stock Options</w:t>
            </w:r>
          </w:p>
        </w:tc>
        <w:tc>
          <w:tcPr>
            <w:tcW w:w="700" w:type="dxa"/>
            <w:vAlign w:val="bottom"/>
          </w:tcPr>
          <w:p>
            <w:pPr>
              <w:jc w:val="center"/>
              <w:ind w:left="2"/>
              <w:spacing w:after="0"/>
              <w:rPr>
                <w:sz w:val="20"/>
                <w:szCs w:val="20"/>
                <w:color w:val="auto"/>
              </w:rPr>
            </w:pPr>
            <w:r>
              <w:rPr>
                <w:rFonts w:ascii="Arial" w:cs="Arial" w:eastAsia="Arial" w:hAnsi="Arial"/>
                <w:sz w:val="12"/>
                <w:szCs w:val="12"/>
                <w:color w:val="auto"/>
                <w:w w:val="94"/>
              </w:rPr>
              <w:t>12/17/20</w:t>
            </w:r>
          </w:p>
        </w:tc>
        <w:tc>
          <w:tcPr>
            <w:tcW w:w="700" w:type="dxa"/>
            <w:vAlign w:val="bottom"/>
          </w:tcPr>
          <w:p>
            <w:pPr>
              <w:jc w:val="center"/>
              <w:ind w:left="2"/>
              <w:spacing w:after="0"/>
              <w:rPr>
                <w:sz w:val="20"/>
                <w:szCs w:val="20"/>
                <w:color w:val="auto"/>
              </w:rPr>
            </w:pPr>
            <w:r>
              <w:rPr>
                <w:rFonts w:ascii="Arial" w:cs="Arial" w:eastAsia="Arial" w:hAnsi="Arial"/>
                <w:sz w:val="12"/>
                <w:szCs w:val="12"/>
                <w:color w:val="auto"/>
                <w:w w:val="94"/>
              </w:rPr>
              <w:t>12/01/20</w:t>
            </w: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jc w:val="right"/>
              <w:ind w:right="43"/>
              <w:spacing w:after="0"/>
              <w:rPr>
                <w:sz w:val="20"/>
                <w:szCs w:val="20"/>
                <w:color w:val="auto"/>
              </w:rPr>
            </w:pPr>
            <w:r>
              <w:rPr>
                <w:rFonts w:ascii="Arial" w:cs="Arial" w:eastAsia="Arial" w:hAnsi="Arial"/>
                <w:sz w:val="12"/>
                <w:szCs w:val="12"/>
                <w:color w:val="auto"/>
              </w:rPr>
              <w:t>134,300</w:t>
            </w:r>
          </w:p>
        </w:tc>
        <w:tc>
          <w:tcPr>
            <w:tcW w:w="860" w:type="dxa"/>
            <w:vAlign w:val="bottom"/>
          </w:tcPr>
          <w:p>
            <w:pPr>
              <w:jc w:val="right"/>
              <w:ind w:right="43"/>
              <w:spacing w:after="0"/>
              <w:rPr>
                <w:sz w:val="20"/>
                <w:szCs w:val="20"/>
                <w:color w:val="auto"/>
              </w:rPr>
            </w:pPr>
            <w:r>
              <w:rPr>
                <w:rFonts w:ascii="Arial" w:cs="Arial" w:eastAsia="Arial" w:hAnsi="Arial"/>
                <w:sz w:val="12"/>
                <w:szCs w:val="12"/>
                <w:color w:val="auto"/>
              </w:rPr>
              <w:t>93.33</w:t>
            </w:r>
          </w:p>
        </w:tc>
        <w:tc>
          <w:tcPr>
            <w:tcW w:w="780" w:type="dxa"/>
            <w:vAlign w:val="bottom"/>
          </w:tcPr>
          <w:p>
            <w:pPr>
              <w:jc w:val="right"/>
              <w:spacing w:after="0"/>
              <w:rPr>
                <w:sz w:val="20"/>
                <w:szCs w:val="20"/>
                <w:color w:val="auto"/>
              </w:rPr>
            </w:pPr>
            <w:r>
              <w:rPr>
                <w:rFonts w:ascii="Arial" w:cs="Arial" w:eastAsia="Arial" w:hAnsi="Arial"/>
                <w:sz w:val="12"/>
                <w:szCs w:val="12"/>
                <w:color w:val="auto"/>
              </w:rPr>
              <w:t>2,651,082</w:t>
            </w:r>
          </w:p>
        </w:tc>
      </w:tr>
      <w:tr>
        <w:trPr>
          <w:trHeight w:val="183"/>
        </w:trPr>
        <w:tc>
          <w:tcPr>
            <w:tcW w:w="2220" w:type="dxa"/>
            <w:vAlign w:val="bottom"/>
            <w:shd w:val="clear" w:color="auto" w:fill="D9D9D9"/>
          </w:tcPr>
          <w:p>
            <w:pPr>
              <w:spacing w:after="0"/>
              <w:rPr>
                <w:sz w:val="20"/>
                <w:szCs w:val="20"/>
                <w:color w:val="auto"/>
              </w:rPr>
            </w:pPr>
            <w:r>
              <w:rPr>
                <w:rFonts w:ascii="Arial" w:cs="Arial" w:eastAsia="Arial" w:hAnsi="Arial"/>
                <w:sz w:val="12"/>
                <w:szCs w:val="12"/>
                <w:color w:val="auto"/>
              </w:rPr>
              <w:t>Renee J. Peterson</w:t>
            </w:r>
          </w:p>
        </w:tc>
        <w:tc>
          <w:tcPr>
            <w:tcW w:w="700" w:type="dxa"/>
            <w:vAlign w:val="bottom"/>
            <w:shd w:val="clear" w:color="auto" w:fill="D9D9D9"/>
          </w:tcPr>
          <w:p>
            <w:pPr>
              <w:spacing w:after="0"/>
              <w:rPr>
                <w:sz w:val="15"/>
                <w:szCs w:val="15"/>
                <w:color w:val="auto"/>
              </w:rPr>
            </w:pPr>
          </w:p>
        </w:tc>
        <w:tc>
          <w:tcPr>
            <w:tcW w:w="700" w:type="dxa"/>
            <w:vAlign w:val="bottom"/>
            <w:shd w:val="clear" w:color="auto" w:fill="D9D9D9"/>
          </w:tcPr>
          <w:p>
            <w:pPr>
              <w:spacing w:after="0"/>
              <w:rPr>
                <w:sz w:val="15"/>
                <w:szCs w:val="15"/>
                <w:color w:val="auto"/>
              </w:rPr>
            </w:pPr>
          </w:p>
        </w:tc>
        <w:tc>
          <w:tcPr>
            <w:tcW w:w="760" w:type="dxa"/>
            <w:vAlign w:val="bottom"/>
            <w:shd w:val="clear" w:color="auto" w:fill="D9D9D9"/>
          </w:tcPr>
          <w:p>
            <w:pPr>
              <w:spacing w:after="0"/>
              <w:rPr>
                <w:sz w:val="15"/>
                <w:szCs w:val="15"/>
                <w:color w:val="auto"/>
              </w:rPr>
            </w:pPr>
          </w:p>
        </w:tc>
        <w:tc>
          <w:tcPr>
            <w:tcW w:w="720" w:type="dxa"/>
            <w:vAlign w:val="bottom"/>
            <w:shd w:val="clear" w:color="auto" w:fill="D9D9D9"/>
          </w:tcPr>
          <w:p>
            <w:pPr>
              <w:spacing w:after="0"/>
              <w:rPr>
                <w:sz w:val="15"/>
                <w:szCs w:val="15"/>
                <w:color w:val="auto"/>
              </w:rPr>
            </w:pPr>
          </w:p>
        </w:tc>
        <w:tc>
          <w:tcPr>
            <w:tcW w:w="640" w:type="dxa"/>
            <w:vAlign w:val="bottom"/>
            <w:shd w:val="clear" w:color="auto" w:fill="D9D9D9"/>
          </w:tcPr>
          <w:p>
            <w:pPr>
              <w:spacing w:after="0"/>
              <w:rPr>
                <w:sz w:val="15"/>
                <w:szCs w:val="15"/>
                <w:color w:val="auto"/>
              </w:rPr>
            </w:pPr>
          </w:p>
        </w:tc>
        <w:tc>
          <w:tcPr>
            <w:tcW w:w="720" w:type="dxa"/>
            <w:vAlign w:val="bottom"/>
            <w:shd w:val="clear" w:color="auto" w:fill="D9D9D9"/>
          </w:tcPr>
          <w:p>
            <w:pPr>
              <w:spacing w:after="0"/>
              <w:rPr>
                <w:sz w:val="15"/>
                <w:szCs w:val="15"/>
                <w:color w:val="auto"/>
              </w:rPr>
            </w:pPr>
          </w:p>
        </w:tc>
        <w:tc>
          <w:tcPr>
            <w:tcW w:w="700" w:type="dxa"/>
            <w:vAlign w:val="bottom"/>
            <w:shd w:val="clear" w:color="auto" w:fill="D9D9D9"/>
          </w:tcPr>
          <w:p>
            <w:pPr>
              <w:spacing w:after="0"/>
              <w:rPr>
                <w:sz w:val="15"/>
                <w:szCs w:val="15"/>
                <w:color w:val="auto"/>
              </w:rPr>
            </w:pPr>
          </w:p>
        </w:tc>
        <w:tc>
          <w:tcPr>
            <w:tcW w:w="740" w:type="dxa"/>
            <w:vAlign w:val="bottom"/>
            <w:shd w:val="clear" w:color="auto" w:fill="D9D9D9"/>
          </w:tcPr>
          <w:p>
            <w:pPr>
              <w:spacing w:after="0"/>
              <w:rPr>
                <w:sz w:val="15"/>
                <w:szCs w:val="15"/>
                <w:color w:val="auto"/>
              </w:rPr>
            </w:pPr>
          </w:p>
        </w:tc>
        <w:tc>
          <w:tcPr>
            <w:tcW w:w="780" w:type="dxa"/>
            <w:vAlign w:val="bottom"/>
            <w:shd w:val="clear" w:color="auto" w:fill="D9D9D9"/>
          </w:tcPr>
          <w:p>
            <w:pPr>
              <w:spacing w:after="0"/>
              <w:rPr>
                <w:sz w:val="15"/>
                <w:szCs w:val="15"/>
                <w:color w:val="auto"/>
              </w:rPr>
            </w:pPr>
          </w:p>
        </w:tc>
        <w:tc>
          <w:tcPr>
            <w:tcW w:w="920" w:type="dxa"/>
            <w:vAlign w:val="bottom"/>
            <w:shd w:val="clear" w:color="auto" w:fill="D9D9D9"/>
          </w:tcPr>
          <w:p>
            <w:pPr>
              <w:spacing w:after="0"/>
              <w:rPr>
                <w:sz w:val="15"/>
                <w:szCs w:val="15"/>
                <w:color w:val="auto"/>
              </w:rPr>
            </w:pPr>
          </w:p>
        </w:tc>
        <w:tc>
          <w:tcPr>
            <w:tcW w:w="860" w:type="dxa"/>
            <w:vAlign w:val="bottom"/>
            <w:shd w:val="clear" w:color="auto" w:fill="D9D9D9"/>
          </w:tcPr>
          <w:p>
            <w:pPr>
              <w:spacing w:after="0"/>
              <w:rPr>
                <w:sz w:val="15"/>
                <w:szCs w:val="15"/>
                <w:color w:val="auto"/>
              </w:rPr>
            </w:pPr>
          </w:p>
        </w:tc>
        <w:tc>
          <w:tcPr>
            <w:tcW w:w="780" w:type="dxa"/>
            <w:vAlign w:val="bottom"/>
            <w:shd w:val="clear" w:color="auto" w:fill="D9D9D9"/>
          </w:tcPr>
          <w:p>
            <w:pPr>
              <w:spacing w:after="0"/>
              <w:rPr>
                <w:sz w:val="15"/>
                <w:szCs w:val="15"/>
                <w:color w:val="auto"/>
              </w:rPr>
            </w:pPr>
          </w:p>
        </w:tc>
      </w:tr>
      <w:tr>
        <w:trPr>
          <w:trHeight w:val="186"/>
        </w:trPr>
        <w:tc>
          <w:tcPr>
            <w:tcW w:w="2220" w:type="dxa"/>
            <w:vAlign w:val="bottom"/>
            <w:shd w:val="clear" w:color="auto" w:fill="D9D9D9"/>
          </w:tcPr>
          <w:p>
            <w:pPr>
              <w:ind w:left="240"/>
              <w:spacing w:after="0"/>
              <w:rPr>
                <w:sz w:val="20"/>
                <w:szCs w:val="20"/>
                <w:color w:val="auto"/>
              </w:rPr>
            </w:pPr>
            <w:r>
              <w:rPr>
                <w:rFonts w:ascii="Arial" w:cs="Arial" w:eastAsia="Arial" w:hAnsi="Arial"/>
                <w:sz w:val="12"/>
                <w:szCs w:val="12"/>
                <w:color w:val="auto"/>
              </w:rPr>
              <w:t>Annual Cash Incentive</w:t>
            </w:r>
          </w:p>
        </w:tc>
        <w:tc>
          <w:tcPr>
            <w:tcW w:w="700" w:type="dxa"/>
            <w:vAlign w:val="bottom"/>
            <w:shd w:val="clear" w:color="auto" w:fill="D9D9D9"/>
          </w:tcPr>
          <w:p>
            <w:pPr>
              <w:jc w:val="center"/>
              <w:ind w:left="2"/>
              <w:spacing w:after="0"/>
              <w:rPr>
                <w:sz w:val="20"/>
                <w:szCs w:val="20"/>
                <w:color w:val="auto"/>
              </w:rPr>
            </w:pPr>
            <w:r>
              <w:rPr>
                <w:rFonts w:ascii="Arial" w:cs="Arial" w:eastAsia="Arial" w:hAnsi="Arial"/>
                <w:sz w:val="12"/>
                <w:szCs w:val="12"/>
                <w:color w:val="auto"/>
                <w:w w:val="99"/>
              </w:rPr>
              <w:t>—</w:t>
            </w:r>
          </w:p>
        </w:tc>
        <w:tc>
          <w:tcPr>
            <w:tcW w:w="700" w:type="dxa"/>
            <w:vAlign w:val="bottom"/>
            <w:shd w:val="clear" w:color="auto" w:fill="D9D9D9"/>
          </w:tcPr>
          <w:p>
            <w:pPr>
              <w:jc w:val="center"/>
              <w:ind w:left="2"/>
              <w:spacing w:after="0"/>
              <w:rPr>
                <w:sz w:val="20"/>
                <w:szCs w:val="20"/>
                <w:color w:val="auto"/>
              </w:rPr>
            </w:pPr>
            <w:r>
              <w:rPr>
                <w:rFonts w:ascii="Arial" w:cs="Arial" w:eastAsia="Arial" w:hAnsi="Arial"/>
                <w:sz w:val="12"/>
                <w:szCs w:val="12"/>
                <w:color w:val="auto"/>
                <w:w w:val="99"/>
              </w:rPr>
              <w:t>—</w:t>
            </w:r>
          </w:p>
        </w:tc>
        <w:tc>
          <w:tcPr>
            <w:tcW w:w="760" w:type="dxa"/>
            <w:vAlign w:val="bottom"/>
            <w:shd w:val="clear" w:color="auto" w:fill="D9D9D9"/>
          </w:tcPr>
          <w:p>
            <w:pPr>
              <w:jc w:val="right"/>
              <w:ind w:right="43"/>
              <w:spacing w:after="0"/>
              <w:rPr>
                <w:sz w:val="20"/>
                <w:szCs w:val="20"/>
                <w:color w:val="auto"/>
              </w:rPr>
            </w:pPr>
            <w:r>
              <w:rPr>
                <w:rFonts w:ascii="Arial" w:cs="Arial" w:eastAsia="Arial" w:hAnsi="Arial"/>
                <w:sz w:val="12"/>
                <w:szCs w:val="12"/>
                <w:color w:val="auto"/>
              </w:rPr>
              <w:t>181,141</w:t>
            </w:r>
          </w:p>
        </w:tc>
        <w:tc>
          <w:tcPr>
            <w:tcW w:w="720" w:type="dxa"/>
            <w:vAlign w:val="bottom"/>
            <w:shd w:val="clear" w:color="auto" w:fill="D9D9D9"/>
          </w:tcPr>
          <w:p>
            <w:pPr>
              <w:jc w:val="right"/>
              <w:ind w:right="62"/>
              <w:spacing w:after="0"/>
              <w:rPr>
                <w:sz w:val="20"/>
                <w:szCs w:val="20"/>
                <w:color w:val="auto"/>
              </w:rPr>
            </w:pPr>
            <w:r>
              <w:rPr>
                <w:rFonts w:ascii="Arial" w:cs="Arial" w:eastAsia="Arial" w:hAnsi="Arial"/>
                <w:sz w:val="12"/>
                <w:szCs w:val="12"/>
                <w:color w:val="auto"/>
              </w:rPr>
              <w:t>452,853</w:t>
            </w:r>
          </w:p>
        </w:tc>
        <w:tc>
          <w:tcPr>
            <w:tcW w:w="640" w:type="dxa"/>
            <w:vAlign w:val="bottom"/>
            <w:shd w:val="clear" w:color="auto" w:fill="D9D9D9"/>
          </w:tcPr>
          <w:p>
            <w:pPr>
              <w:jc w:val="right"/>
              <w:ind w:right="2"/>
              <w:spacing w:after="0"/>
              <w:rPr>
                <w:sz w:val="20"/>
                <w:szCs w:val="20"/>
                <w:color w:val="auto"/>
              </w:rPr>
            </w:pPr>
            <w:r>
              <w:rPr>
                <w:rFonts w:ascii="Arial" w:cs="Arial" w:eastAsia="Arial" w:hAnsi="Arial"/>
                <w:sz w:val="12"/>
                <w:szCs w:val="12"/>
                <w:color w:val="auto"/>
              </w:rPr>
              <w:t>905,706</w:t>
            </w:r>
          </w:p>
        </w:tc>
        <w:tc>
          <w:tcPr>
            <w:tcW w:w="720" w:type="dxa"/>
            <w:vAlign w:val="bottom"/>
            <w:shd w:val="clear" w:color="auto" w:fill="D9D9D9"/>
          </w:tcPr>
          <w:p>
            <w:pPr>
              <w:spacing w:after="0"/>
              <w:rPr>
                <w:sz w:val="16"/>
                <w:szCs w:val="16"/>
                <w:color w:val="auto"/>
              </w:rPr>
            </w:pPr>
          </w:p>
        </w:tc>
        <w:tc>
          <w:tcPr>
            <w:tcW w:w="700" w:type="dxa"/>
            <w:vAlign w:val="bottom"/>
            <w:shd w:val="clear" w:color="auto" w:fill="D9D9D9"/>
          </w:tcPr>
          <w:p>
            <w:pPr>
              <w:spacing w:after="0"/>
              <w:rPr>
                <w:sz w:val="16"/>
                <w:szCs w:val="16"/>
                <w:color w:val="auto"/>
              </w:rPr>
            </w:pPr>
          </w:p>
        </w:tc>
        <w:tc>
          <w:tcPr>
            <w:tcW w:w="740" w:type="dxa"/>
            <w:vAlign w:val="bottom"/>
            <w:shd w:val="clear" w:color="auto" w:fill="D9D9D9"/>
          </w:tcPr>
          <w:p>
            <w:pPr>
              <w:spacing w:after="0"/>
              <w:rPr>
                <w:sz w:val="16"/>
                <w:szCs w:val="16"/>
                <w:color w:val="auto"/>
              </w:rPr>
            </w:pPr>
          </w:p>
        </w:tc>
        <w:tc>
          <w:tcPr>
            <w:tcW w:w="780" w:type="dxa"/>
            <w:vAlign w:val="bottom"/>
            <w:shd w:val="clear" w:color="auto" w:fill="D9D9D9"/>
          </w:tcPr>
          <w:p>
            <w:pPr>
              <w:spacing w:after="0"/>
              <w:rPr>
                <w:sz w:val="16"/>
                <w:szCs w:val="16"/>
                <w:color w:val="auto"/>
              </w:rPr>
            </w:pPr>
          </w:p>
        </w:tc>
        <w:tc>
          <w:tcPr>
            <w:tcW w:w="920" w:type="dxa"/>
            <w:vAlign w:val="bottom"/>
            <w:shd w:val="clear" w:color="auto" w:fill="D9D9D9"/>
          </w:tcPr>
          <w:p>
            <w:pPr>
              <w:spacing w:after="0"/>
              <w:rPr>
                <w:sz w:val="16"/>
                <w:szCs w:val="16"/>
                <w:color w:val="auto"/>
              </w:rPr>
            </w:pPr>
          </w:p>
        </w:tc>
        <w:tc>
          <w:tcPr>
            <w:tcW w:w="860" w:type="dxa"/>
            <w:vAlign w:val="bottom"/>
            <w:shd w:val="clear" w:color="auto" w:fill="D9D9D9"/>
          </w:tcPr>
          <w:p>
            <w:pPr>
              <w:spacing w:after="0"/>
              <w:rPr>
                <w:sz w:val="16"/>
                <w:szCs w:val="16"/>
                <w:color w:val="auto"/>
              </w:rPr>
            </w:pPr>
          </w:p>
        </w:tc>
        <w:tc>
          <w:tcPr>
            <w:tcW w:w="780" w:type="dxa"/>
            <w:vAlign w:val="bottom"/>
            <w:shd w:val="clear" w:color="auto" w:fill="D9D9D9"/>
          </w:tcPr>
          <w:p>
            <w:pPr>
              <w:spacing w:after="0"/>
              <w:rPr>
                <w:sz w:val="16"/>
                <w:szCs w:val="16"/>
                <w:color w:val="auto"/>
              </w:rPr>
            </w:pPr>
          </w:p>
        </w:tc>
      </w:tr>
      <w:tr>
        <w:trPr>
          <w:trHeight w:val="186"/>
        </w:trPr>
        <w:tc>
          <w:tcPr>
            <w:tcW w:w="2220" w:type="dxa"/>
            <w:vAlign w:val="bottom"/>
            <w:shd w:val="clear" w:color="auto" w:fill="D9D9D9"/>
          </w:tcPr>
          <w:p>
            <w:pPr>
              <w:ind w:left="240"/>
              <w:spacing w:after="0"/>
              <w:rPr>
                <w:sz w:val="20"/>
                <w:szCs w:val="20"/>
                <w:color w:val="auto"/>
              </w:rPr>
            </w:pPr>
            <w:r>
              <w:rPr>
                <w:rFonts w:ascii="Arial" w:cs="Arial" w:eastAsia="Arial" w:hAnsi="Arial"/>
                <w:sz w:val="12"/>
                <w:szCs w:val="12"/>
                <w:color w:val="auto"/>
              </w:rPr>
              <w:t>Performance Shares</w:t>
            </w:r>
          </w:p>
        </w:tc>
        <w:tc>
          <w:tcPr>
            <w:tcW w:w="700" w:type="dxa"/>
            <w:vAlign w:val="bottom"/>
            <w:shd w:val="clear" w:color="auto" w:fill="D9D9D9"/>
          </w:tcPr>
          <w:p>
            <w:pPr>
              <w:jc w:val="center"/>
              <w:ind w:left="2"/>
              <w:spacing w:after="0"/>
              <w:rPr>
                <w:sz w:val="20"/>
                <w:szCs w:val="20"/>
                <w:color w:val="auto"/>
              </w:rPr>
            </w:pPr>
            <w:r>
              <w:rPr>
                <w:rFonts w:ascii="Arial" w:cs="Arial" w:eastAsia="Arial" w:hAnsi="Arial"/>
                <w:sz w:val="12"/>
                <w:szCs w:val="12"/>
                <w:color w:val="auto"/>
                <w:w w:val="94"/>
              </w:rPr>
              <w:t>12/01/20</w:t>
            </w:r>
          </w:p>
        </w:tc>
        <w:tc>
          <w:tcPr>
            <w:tcW w:w="700" w:type="dxa"/>
            <w:vAlign w:val="bottom"/>
            <w:shd w:val="clear" w:color="auto" w:fill="D9D9D9"/>
          </w:tcPr>
          <w:p>
            <w:pPr>
              <w:jc w:val="center"/>
              <w:ind w:left="2"/>
              <w:spacing w:after="0"/>
              <w:rPr>
                <w:sz w:val="20"/>
                <w:szCs w:val="20"/>
                <w:color w:val="auto"/>
              </w:rPr>
            </w:pPr>
            <w:r>
              <w:rPr>
                <w:rFonts w:ascii="Arial" w:cs="Arial" w:eastAsia="Arial" w:hAnsi="Arial"/>
                <w:sz w:val="12"/>
                <w:szCs w:val="12"/>
                <w:color w:val="auto"/>
                <w:w w:val="94"/>
              </w:rPr>
              <w:t>12/01/20</w:t>
            </w:r>
          </w:p>
        </w:tc>
        <w:tc>
          <w:tcPr>
            <w:tcW w:w="760" w:type="dxa"/>
            <w:vAlign w:val="bottom"/>
            <w:shd w:val="clear" w:color="auto" w:fill="D9D9D9"/>
          </w:tcPr>
          <w:p>
            <w:pPr>
              <w:spacing w:after="0"/>
              <w:rPr>
                <w:sz w:val="16"/>
                <w:szCs w:val="16"/>
                <w:color w:val="auto"/>
              </w:rPr>
            </w:pPr>
          </w:p>
        </w:tc>
        <w:tc>
          <w:tcPr>
            <w:tcW w:w="720" w:type="dxa"/>
            <w:vAlign w:val="bottom"/>
            <w:shd w:val="clear" w:color="auto" w:fill="D9D9D9"/>
          </w:tcPr>
          <w:p>
            <w:pPr>
              <w:spacing w:after="0"/>
              <w:rPr>
                <w:sz w:val="16"/>
                <w:szCs w:val="16"/>
                <w:color w:val="auto"/>
              </w:rPr>
            </w:pPr>
          </w:p>
        </w:tc>
        <w:tc>
          <w:tcPr>
            <w:tcW w:w="640" w:type="dxa"/>
            <w:vAlign w:val="bottom"/>
            <w:shd w:val="clear" w:color="auto" w:fill="D9D9D9"/>
          </w:tcPr>
          <w:p>
            <w:pPr>
              <w:spacing w:after="0"/>
              <w:rPr>
                <w:sz w:val="16"/>
                <w:szCs w:val="16"/>
                <w:color w:val="auto"/>
              </w:rPr>
            </w:pPr>
          </w:p>
        </w:tc>
        <w:tc>
          <w:tcPr>
            <w:tcW w:w="720" w:type="dxa"/>
            <w:vAlign w:val="bottom"/>
            <w:shd w:val="clear" w:color="auto" w:fill="D9D9D9"/>
          </w:tcPr>
          <w:p>
            <w:pPr>
              <w:jc w:val="right"/>
              <w:ind w:right="22"/>
              <w:spacing w:after="0"/>
              <w:rPr>
                <w:sz w:val="20"/>
                <w:szCs w:val="20"/>
                <w:color w:val="auto"/>
              </w:rPr>
            </w:pPr>
            <w:r>
              <w:rPr>
                <w:rFonts w:ascii="Arial" w:cs="Arial" w:eastAsia="Arial" w:hAnsi="Arial"/>
                <w:sz w:val="12"/>
                <w:szCs w:val="12"/>
                <w:color w:val="auto"/>
              </w:rPr>
              <w:t>2,800</w:t>
            </w:r>
          </w:p>
        </w:tc>
        <w:tc>
          <w:tcPr>
            <w:tcW w:w="700" w:type="dxa"/>
            <w:vAlign w:val="bottom"/>
            <w:shd w:val="clear" w:color="auto" w:fill="D9D9D9"/>
          </w:tcPr>
          <w:p>
            <w:pPr>
              <w:jc w:val="right"/>
              <w:ind w:right="3"/>
              <w:spacing w:after="0"/>
              <w:rPr>
                <w:sz w:val="20"/>
                <w:szCs w:val="20"/>
                <w:color w:val="auto"/>
              </w:rPr>
            </w:pPr>
            <w:r>
              <w:rPr>
                <w:rFonts w:ascii="Arial" w:cs="Arial" w:eastAsia="Arial" w:hAnsi="Arial"/>
                <w:sz w:val="12"/>
                <w:szCs w:val="12"/>
                <w:color w:val="auto"/>
              </w:rPr>
              <w:t>7,000</w:t>
            </w:r>
          </w:p>
        </w:tc>
        <w:tc>
          <w:tcPr>
            <w:tcW w:w="740" w:type="dxa"/>
            <w:vAlign w:val="bottom"/>
            <w:shd w:val="clear" w:color="auto" w:fill="D9D9D9"/>
          </w:tcPr>
          <w:p>
            <w:pPr>
              <w:jc w:val="right"/>
              <w:ind w:right="42"/>
              <w:spacing w:after="0"/>
              <w:rPr>
                <w:sz w:val="20"/>
                <w:szCs w:val="20"/>
                <w:color w:val="auto"/>
              </w:rPr>
            </w:pPr>
            <w:r>
              <w:rPr>
                <w:rFonts w:ascii="Arial" w:cs="Arial" w:eastAsia="Arial" w:hAnsi="Arial"/>
                <w:sz w:val="12"/>
                <w:szCs w:val="12"/>
                <w:color w:val="auto"/>
              </w:rPr>
              <w:t>14,000</w:t>
            </w:r>
          </w:p>
        </w:tc>
        <w:tc>
          <w:tcPr>
            <w:tcW w:w="780" w:type="dxa"/>
            <w:vAlign w:val="bottom"/>
            <w:shd w:val="clear" w:color="auto" w:fill="D9D9D9"/>
          </w:tcPr>
          <w:p>
            <w:pPr>
              <w:spacing w:after="0"/>
              <w:rPr>
                <w:sz w:val="16"/>
                <w:szCs w:val="16"/>
                <w:color w:val="auto"/>
              </w:rPr>
            </w:pPr>
          </w:p>
        </w:tc>
        <w:tc>
          <w:tcPr>
            <w:tcW w:w="920" w:type="dxa"/>
            <w:vAlign w:val="bottom"/>
            <w:shd w:val="clear" w:color="auto" w:fill="D9D9D9"/>
          </w:tcPr>
          <w:p>
            <w:pPr>
              <w:spacing w:after="0"/>
              <w:rPr>
                <w:sz w:val="16"/>
                <w:szCs w:val="16"/>
                <w:color w:val="auto"/>
              </w:rPr>
            </w:pPr>
          </w:p>
        </w:tc>
        <w:tc>
          <w:tcPr>
            <w:tcW w:w="860" w:type="dxa"/>
            <w:vAlign w:val="bottom"/>
            <w:shd w:val="clear" w:color="auto" w:fill="D9D9D9"/>
          </w:tcPr>
          <w:p>
            <w:pPr>
              <w:spacing w:after="0"/>
              <w:rPr>
                <w:sz w:val="16"/>
                <w:szCs w:val="16"/>
                <w:color w:val="auto"/>
              </w:rPr>
            </w:pPr>
          </w:p>
        </w:tc>
        <w:tc>
          <w:tcPr>
            <w:tcW w:w="780" w:type="dxa"/>
            <w:vAlign w:val="bottom"/>
            <w:shd w:val="clear" w:color="auto" w:fill="D9D9D9"/>
          </w:tcPr>
          <w:p>
            <w:pPr>
              <w:jc w:val="right"/>
              <w:spacing w:after="0"/>
              <w:rPr>
                <w:sz w:val="20"/>
                <w:szCs w:val="20"/>
                <w:color w:val="auto"/>
              </w:rPr>
            </w:pPr>
            <w:r>
              <w:rPr>
                <w:rFonts w:ascii="Arial" w:cs="Arial" w:eastAsia="Arial" w:hAnsi="Arial"/>
                <w:sz w:val="12"/>
                <w:szCs w:val="12"/>
                <w:color w:val="auto"/>
              </w:rPr>
              <w:t>634,130</w:t>
            </w:r>
          </w:p>
        </w:tc>
      </w:tr>
      <w:tr>
        <w:trPr>
          <w:trHeight w:val="192"/>
        </w:trPr>
        <w:tc>
          <w:tcPr>
            <w:tcW w:w="2220" w:type="dxa"/>
            <w:vAlign w:val="bottom"/>
            <w:shd w:val="clear" w:color="auto" w:fill="D9D9D9"/>
          </w:tcPr>
          <w:p>
            <w:pPr>
              <w:ind w:left="240"/>
              <w:spacing w:after="0"/>
              <w:rPr>
                <w:sz w:val="20"/>
                <w:szCs w:val="20"/>
                <w:color w:val="auto"/>
              </w:rPr>
            </w:pPr>
            <w:r>
              <w:rPr>
                <w:rFonts w:ascii="Arial" w:cs="Arial" w:eastAsia="Arial" w:hAnsi="Arial"/>
                <w:sz w:val="12"/>
                <w:szCs w:val="12"/>
                <w:color w:val="auto"/>
              </w:rPr>
              <w:t>Stock Options</w:t>
            </w:r>
          </w:p>
        </w:tc>
        <w:tc>
          <w:tcPr>
            <w:tcW w:w="700" w:type="dxa"/>
            <w:vAlign w:val="bottom"/>
            <w:shd w:val="clear" w:color="auto" w:fill="D9D9D9"/>
          </w:tcPr>
          <w:p>
            <w:pPr>
              <w:jc w:val="center"/>
              <w:ind w:left="2"/>
              <w:spacing w:after="0"/>
              <w:rPr>
                <w:sz w:val="20"/>
                <w:szCs w:val="20"/>
                <w:color w:val="auto"/>
              </w:rPr>
            </w:pPr>
            <w:r>
              <w:rPr>
                <w:rFonts w:ascii="Arial" w:cs="Arial" w:eastAsia="Arial" w:hAnsi="Arial"/>
                <w:sz w:val="12"/>
                <w:szCs w:val="12"/>
                <w:color w:val="auto"/>
                <w:w w:val="94"/>
              </w:rPr>
              <w:t>12/17/20</w:t>
            </w:r>
          </w:p>
        </w:tc>
        <w:tc>
          <w:tcPr>
            <w:tcW w:w="700" w:type="dxa"/>
            <w:vAlign w:val="bottom"/>
            <w:shd w:val="clear" w:color="auto" w:fill="D9D9D9"/>
          </w:tcPr>
          <w:p>
            <w:pPr>
              <w:jc w:val="center"/>
              <w:ind w:left="2"/>
              <w:spacing w:after="0"/>
              <w:rPr>
                <w:sz w:val="20"/>
                <w:szCs w:val="20"/>
                <w:color w:val="auto"/>
              </w:rPr>
            </w:pPr>
            <w:r>
              <w:rPr>
                <w:rFonts w:ascii="Arial" w:cs="Arial" w:eastAsia="Arial" w:hAnsi="Arial"/>
                <w:sz w:val="12"/>
                <w:szCs w:val="12"/>
                <w:color w:val="auto"/>
                <w:w w:val="94"/>
              </w:rPr>
              <w:t>12/01/20</w:t>
            </w:r>
          </w:p>
        </w:tc>
        <w:tc>
          <w:tcPr>
            <w:tcW w:w="760" w:type="dxa"/>
            <w:vAlign w:val="bottom"/>
            <w:shd w:val="clear" w:color="auto" w:fill="D9D9D9"/>
          </w:tcPr>
          <w:p>
            <w:pPr>
              <w:spacing w:after="0"/>
              <w:rPr>
                <w:sz w:val="16"/>
                <w:szCs w:val="16"/>
                <w:color w:val="auto"/>
              </w:rPr>
            </w:pPr>
          </w:p>
        </w:tc>
        <w:tc>
          <w:tcPr>
            <w:tcW w:w="720" w:type="dxa"/>
            <w:vAlign w:val="bottom"/>
            <w:shd w:val="clear" w:color="auto" w:fill="D9D9D9"/>
          </w:tcPr>
          <w:p>
            <w:pPr>
              <w:spacing w:after="0"/>
              <w:rPr>
                <w:sz w:val="16"/>
                <w:szCs w:val="16"/>
                <w:color w:val="auto"/>
              </w:rPr>
            </w:pPr>
          </w:p>
        </w:tc>
        <w:tc>
          <w:tcPr>
            <w:tcW w:w="640" w:type="dxa"/>
            <w:vAlign w:val="bottom"/>
            <w:shd w:val="clear" w:color="auto" w:fill="D9D9D9"/>
          </w:tcPr>
          <w:p>
            <w:pPr>
              <w:spacing w:after="0"/>
              <w:rPr>
                <w:sz w:val="16"/>
                <w:szCs w:val="16"/>
                <w:color w:val="auto"/>
              </w:rPr>
            </w:pPr>
          </w:p>
        </w:tc>
        <w:tc>
          <w:tcPr>
            <w:tcW w:w="720" w:type="dxa"/>
            <w:vAlign w:val="bottom"/>
            <w:shd w:val="clear" w:color="auto" w:fill="D9D9D9"/>
          </w:tcPr>
          <w:p>
            <w:pPr>
              <w:spacing w:after="0"/>
              <w:rPr>
                <w:sz w:val="16"/>
                <w:szCs w:val="16"/>
                <w:color w:val="auto"/>
              </w:rPr>
            </w:pPr>
          </w:p>
        </w:tc>
        <w:tc>
          <w:tcPr>
            <w:tcW w:w="700" w:type="dxa"/>
            <w:vAlign w:val="bottom"/>
            <w:shd w:val="clear" w:color="auto" w:fill="D9D9D9"/>
          </w:tcPr>
          <w:p>
            <w:pPr>
              <w:spacing w:after="0"/>
              <w:rPr>
                <w:sz w:val="16"/>
                <w:szCs w:val="16"/>
                <w:color w:val="auto"/>
              </w:rPr>
            </w:pPr>
          </w:p>
        </w:tc>
        <w:tc>
          <w:tcPr>
            <w:tcW w:w="740" w:type="dxa"/>
            <w:vAlign w:val="bottom"/>
            <w:shd w:val="clear" w:color="auto" w:fill="D9D9D9"/>
          </w:tcPr>
          <w:p>
            <w:pPr>
              <w:spacing w:after="0"/>
              <w:rPr>
                <w:sz w:val="16"/>
                <w:szCs w:val="16"/>
                <w:color w:val="auto"/>
              </w:rPr>
            </w:pPr>
          </w:p>
        </w:tc>
        <w:tc>
          <w:tcPr>
            <w:tcW w:w="780" w:type="dxa"/>
            <w:vAlign w:val="bottom"/>
            <w:shd w:val="clear" w:color="auto" w:fill="D9D9D9"/>
          </w:tcPr>
          <w:p>
            <w:pPr>
              <w:spacing w:after="0"/>
              <w:rPr>
                <w:sz w:val="16"/>
                <w:szCs w:val="16"/>
                <w:color w:val="auto"/>
              </w:rPr>
            </w:pPr>
          </w:p>
        </w:tc>
        <w:tc>
          <w:tcPr>
            <w:tcW w:w="920" w:type="dxa"/>
            <w:vAlign w:val="bottom"/>
            <w:shd w:val="clear" w:color="auto" w:fill="D9D9D9"/>
          </w:tcPr>
          <w:p>
            <w:pPr>
              <w:jc w:val="right"/>
              <w:ind w:right="43"/>
              <w:spacing w:after="0"/>
              <w:rPr>
                <w:sz w:val="20"/>
                <w:szCs w:val="20"/>
                <w:color w:val="auto"/>
              </w:rPr>
            </w:pPr>
            <w:r>
              <w:rPr>
                <w:rFonts w:ascii="Arial" w:cs="Arial" w:eastAsia="Arial" w:hAnsi="Arial"/>
                <w:sz w:val="12"/>
                <w:szCs w:val="12"/>
                <w:color w:val="auto"/>
              </w:rPr>
              <w:t>33,600</w:t>
            </w:r>
          </w:p>
        </w:tc>
        <w:tc>
          <w:tcPr>
            <w:tcW w:w="860" w:type="dxa"/>
            <w:vAlign w:val="bottom"/>
            <w:shd w:val="clear" w:color="auto" w:fill="D9D9D9"/>
          </w:tcPr>
          <w:p>
            <w:pPr>
              <w:jc w:val="right"/>
              <w:ind w:right="43"/>
              <w:spacing w:after="0"/>
              <w:rPr>
                <w:sz w:val="20"/>
                <w:szCs w:val="20"/>
                <w:color w:val="auto"/>
              </w:rPr>
            </w:pPr>
            <w:r>
              <w:rPr>
                <w:rFonts w:ascii="Arial" w:cs="Arial" w:eastAsia="Arial" w:hAnsi="Arial"/>
                <w:sz w:val="12"/>
                <w:szCs w:val="12"/>
                <w:color w:val="auto"/>
              </w:rPr>
              <w:t>93.33</w:t>
            </w:r>
          </w:p>
        </w:tc>
        <w:tc>
          <w:tcPr>
            <w:tcW w:w="780" w:type="dxa"/>
            <w:vAlign w:val="bottom"/>
            <w:shd w:val="clear" w:color="auto" w:fill="D9D9D9"/>
          </w:tcPr>
          <w:p>
            <w:pPr>
              <w:jc w:val="right"/>
              <w:spacing w:after="0"/>
              <w:rPr>
                <w:sz w:val="20"/>
                <w:szCs w:val="20"/>
                <w:color w:val="auto"/>
              </w:rPr>
            </w:pPr>
            <w:r>
              <w:rPr>
                <w:rFonts w:ascii="Arial" w:cs="Arial" w:eastAsia="Arial" w:hAnsi="Arial"/>
                <w:sz w:val="12"/>
                <w:szCs w:val="12"/>
                <w:color w:val="auto"/>
              </w:rPr>
              <w:t>663,264</w:t>
            </w:r>
          </w:p>
        </w:tc>
      </w:tr>
      <w:tr>
        <w:trPr>
          <w:trHeight w:val="180"/>
        </w:trPr>
        <w:tc>
          <w:tcPr>
            <w:tcW w:w="2220" w:type="dxa"/>
            <w:vAlign w:val="bottom"/>
          </w:tcPr>
          <w:p>
            <w:pPr>
              <w:spacing w:after="0"/>
              <w:rPr>
                <w:sz w:val="20"/>
                <w:szCs w:val="20"/>
                <w:color w:val="auto"/>
              </w:rPr>
            </w:pPr>
            <w:r>
              <w:rPr>
                <w:rFonts w:ascii="Arial" w:cs="Arial" w:eastAsia="Arial" w:hAnsi="Arial"/>
                <w:sz w:val="12"/>
                <w:szCs w:val="12"/>
                <w:color w:val="auto"/>
              </w:rPr>
              <w:t>Richard W. Rodier</w:t>
            </w: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6"/>
        </w:trPr>
        <w:tc>
          <w:tcPr>
            <w:tcW w:w="2220" w:type="dxa"/>
            <w:vAlign w:val="bottom"/>
          </w:tcPr>
          <w:p>
            <w:pPr>
              <w:ind w:left="240"/>
              <w:spacing w:after="0"/>
              <w:rPr>
                <w:sz w:val="20"/>
                <w:szCs w:val="20"/>
                <w:color w:val="auto"/>
              </w:rPr>
            </w:pPr>
            <w:r>
              <w:rPr>
                <w:rFonts w:ascii="Arial" w:cs="Arial" w:eastAsia="Arial" w:hAnsi="Arial"/>
                <w:sz w:val="12"/>
                <w:szCs w:val="12"/>
                <w:color w:val="auto"/>
              </w:rPr>
              <w:t>Annual Cash Incentive</w:t>
            </w:r>
          </w:p>
        </w:tc>
        <w:tc>
          <w:tcPr>
            <w:tcW w:w="700" w:type="dxa"/>
            <w:vAlign w:val="bottom"/>
          </w:tcPr>
          <w:p>
            <w:pPr>
              <w:jc w:val="center"/>
              <w:ind w:left="2"/>
              <w:spacing w:after="0"/>
              <w:rPr>
                <w:sz w:val="20"/>
                <w:szCs w:val="20"/>
                <w:color w:val="auto"/>
              </w:rPr>
            </w:pPr>
            <w:r>
              <w:rPr>
                <w:rFonts w:ascii="Arial" w:cs="Arial" w:eastAsia="Arial" w:hAnsi="Arial"/>
                <w:sz w:val="12"/>
                <w:szCs w:val="12"/>
                <w:color w:val="auto"/>
                <w:w w:val="99"/>
              </w:rPr>
              <w:t>—</w:t>
            </w:r>
          </w:p>
        </w:tc>
        <w:tc>
          <w:tcPr>
            <w:tcW w:w="700" w:type="dxa"/>
            <w:vAlign w:val="bottom"/>
          </w:tcPr>
          <w:p>
            <w:pPr>
              <w:jc w:val="center"/>
              <w:ind w:left="2"/>
              <w:spacing w:after="0"/>
              <w:rPr>
                <w:sz w:val="20"/>
                <w:szCs w:val="20"/>
                <w:color w:val="auto"/>
              </w:rPr>
            </w:pPr>
            <w:r>
              <w:rPr>
                <w:rFonts w:ascii="Arial" w:cs="Arial" w:eastAsia="Arial" w:hAnsi="Arial"/>
                <w:sz w:val="12"/>
                <w:szCs w:val="12"/>
                <w:color w:val="auto"/>
                <w:w w:val="99"/>
              </w:rPr>
              <w:t>—</w:t>
            </w:r>
          </w:p>
        </w:tc>
        <w:tc>
          <w:tcPr>
            <w:tcW w:w="760" w:type="dxa"/>
            <w:vAlign w:val="bottom"/>
          </w:tcPr>
          <w:p>
            <w:pPr>
              <w:jc w:val="right"/>
              <w:ind w:right="43"/>
              <w:spacing w:after="0"/>
              <w:rPr>
                <w:sz w:val="20"/>
                <w:szCs w:val="20"/>
                <w:color w:val="auto"/>
              </w:rPr>
            </w:pPr>
            <w:r>
              <w:rPr>
                <w:rFonts w:ascii="Arial" w:cs="Arial" w:eastAsia="Arial" w:hAnsi="Arial"/>
                <w:sz w:val="12"/>
                <w:szCs w:val="12"/>
                <w:color w:val="auto"/>
              </w:rPr>
              <w:t>144,353</w:t>
            </w:r>
          </w:p>
        </w:tc>
        <w:tc>
          <w:tcPr>
            <w:tcW w:w="720" w:type="dxa"/>
            <w:vAlign w:val="bottom"/>
          </w:tcPr>
          <w:p>
            <w:pPr>
              <w:jc w:val="right"/>
              <w:ind w:right="62"/>
              <w:spacing w:after="0"/>
              <w:rPr>
                <w:sz w:val="20"/>
                <w:szCs w:val="20"/>
                <w:color w:val="auto"/>
              </w:rPr>
            </w:pPr>
            <w:r>
              <w:rPr>
                <w:rFonts w:ascii="Arial" w:cs="Arial" w:eastAsia="Arial" w:hAnsi="Arial"/>
                <w:sz w:val="12"/>
                <w:szCs w:val="12"/>
                <w:color w:val="auto"/>
              </w:rPr>
              <w:t>360,882</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721,764</w:t>
            </w: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2220" w:type="dxa"/>
            <w:vAlign w:val="bottom"/>
          </w:tcPr>
          <w:p>
            <w:pPr>
              <w:ind w:left="240"/>
              <w:spacing w:after="0"/>
              <w:rPr>
                <w:sz w:val="20"/>
                <w:szCs w:val="20"/>
                <w:color w:val="auto"/>
              </w:rPr>
            </w:pPr>
            <w:r>
              <w:rPr>
                <w:rFonts w:ascii="Arial" w:cs="Arial" w:eastAsia="Arial" w:hAnsi="Arial"/>
                <w:sz w:val="12"/>
                <w:szCs w:val="12"/>
                <w:color w:val="auto"/>
              </w:rPr>
              <w:t>Performance Shares</w:t>
            </w:r>
          </w:p>
        </w:tc>
        <w:tc>
          <w:tcPr>
            <w:tcW w:w="700" w:type="dxa"/>
            <w:vAlign w:val="bottom"/>
          </w:tcPr>
          <w:p>
            <w:pPr>
              <w:jc w:val="center"/>
              <w:ind w:left="2"/>
              <w:spacing w:after="0"/>
              <w:rPr>
                <w:sz w:val="20"/>
                <w:szCs w:val="20"/>
                <w:color w:val="auto"/>
              </w:rPr>
            </w:pPr>
            <w:r>
              <w:rPr>
                <w:rFonts w:ascii="Arial" w:cs="Arial" w:eastAsia="Arial" w:hAnsi="Arial"/>
                <w:sz w:val="12"/>
                <w:szCs w:val="12"/>
                <w:color w:val="auto"/>
                <w:w w:val="94"/>
              </w:rPr>
              <w:t>12/01/20</w:t>
            </w:r>
          </w:p>
        </w:tc>
        <w:tc>
          <w:tcPr>
            <w:tcW w:w="700" w:type="dxa"/>
            <w:vAlign w:val="bottom"/>
          </w:tcPr>
          <w:p>
            <w:pPr>
              <w:jc w:val="center"/>
              <w:ind w:left="2"/>
              <w:spacing w:after="0"/>
              <w:rPr>
                <w:sz w:val="20"/>
                <w:szCs w:val="20"/>
                <w:color w:val="auto"/>
              </w:rPr>
            </w:pPr>
            <w:r>
              <w:rPr>
                <w:rFonts w:ascii="Arial" w:cs="Arial" w:eastAsia="Arial" w:hAnsi="Arial"/>
                <w:sz w:val="12"/>
                <w:szCs w:val="12"/>
                <w:color w:val="auto"/>
                <w:w w:val="94"/>
              </w:rPr>
              <w:t>12/01/20</w:t>
            </w: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2,480</w:t>
            </w:r>
          </w:p>
        </w:tc>
        <w:tc>
          <w:tcPr>
            <w:tcW w:w="700" w:type="dxa"/>
            <w:vAlign w:val="bottom"/>
          </w:tcPr>
          <w:p>
            <w:pPr>
              <w:jc w:val="right"/>
              <w:ind w:right="3"/>
              <w:spacing w:after="0"/>
              <w:rPr>
                <w:sz w:val="20"/>
                <w:szCs w:val="20"/>
                <w:color w:val="auto"/>
              </w:rPr>
            </w:pPr>
            <w:r>
              <w:rPr>
                <w:rFonts w:ascii="Arial" w:cs="Arial" w:eastAsia="Arial" w:hAnsi="Arial"/>
                <w:sz w:val="12"/>
                <w:szCs w:val="12"/>
                <w:color w:val="auto"/>
              </w:rPr>
              <w:t>6,200</w:t>
            </w: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12,400</w:t>
            </w: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561,658</w:t>
            </w:r>
          </w:p>
        </w:tc>
      </w:tr>
      <w:tr>
        <w:trPr>
          <w:trHeight w:val="189"/>
        </w:trPr>
        <w:tc>
          <w:tcPr>
            <w:tcW w:w="2220" w:type="dxa"/>
            <w:vAlign w:val="bottom"/>
          </w:tcPr>
          <w:p>
            <w:pPr>
              <w:ind w:left="240"/>
              <w:spacing w:after="0"/>
              <w:rPr>
                <w:sz w:val="20"/>
                <w:szCs w:val="20"/>
                <w:color w:val="auto"/>
              </w:rPr>
            </w:pPr>
            <w:r>
              <w:rPr>
                <w:rFonts w:ascii="Arial" w:cs="Arial" w:eastAsia="Arial" w:hAnsi="Arial"/>
                <w:sz w:val="12"/>
                <w:szCs w:val="12"/>
                <w:color w:val="auto"/>
              </w:rPr>
              <w:t>Stock Options</w:t>
            </w:r>
          </w:p>
        </w:tc>
        <w:tc>
          <w:tcPr>
            <w:tcW w:w="700" w:type="dxa"/>
            <w:vAlign w:val="bottom"/>
          </w:tcPr>
          <w:p>
            <w:pPr>
              <w:jc w:val="center"/>
              <w:ind w:left="2"/>
              <w:spacing w:after="0"/>
              <w:rPr>
                <w:sz w:val="20"/>
                <w:szCs w:val="20"/>
                <w:color w:val="auto"/>
              </w:rPr>
            </w:pPr>
            <w:r>
              <w:rPr>
                <w:rFonts w:ascii="Arial" w:cs="Arial" w:eastAsia="Arial" w:hAnsi="Arial"/>
                <w:sz w:val="12"/>
                <w:szCs w:val="12"/>
                <w:color w:val="auto"/>
                <w:w w:val="94"/>
              </w:rPr>
              <w:t>12/17/20</w:t>
            </w:r>
          </w:p>
        </w:tc>
        <w:tc>
          <w:tcPr>
            <w:tcW w:w="700" w:type="dxa"/>
            <w:vAlign w:val="bottom"/>
          </w:tcPr>
          <w:p>
            <w:pPr>
              <w:jc w:val="center"/>
              <w:ind w:left="2"/>
              <w:spacing w:after="0"/>
              <w:rPr>
                <w:sz w:val="20"/>
                <w:szCs w:val="20"/>
                <w:color w:val="auto"/>
              </w:rPr>
            </w:pPr>
            <w:r>
              <w:rPr>
                <w:rFonts w:ascii="Arial" w:cs="Arial" w:eastAsia="Arial" w:hAnsi="Arial"/>
                <w:sz w:val="12"/>
                <w:szCs w:val="12"/>
                <w:color w:val="auto"/>
                <w:w w:val="94"/>
              </w:rPr>
              <w:t>12/01/20</w:t>
            </w: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jc w:val="right"/>
              <w:ind w:right="43"/>
              <w:spacing w:after="0"/>
              <w:rPr>
                <w:sz w:val="20"/>
                <w:szCs w:val="20"/>
                <w:color w:val="auto"/>
              </w:rPr>
            </w:pPr>
            <w:r>
              <w:rPr>
                <w:rFonts w:ascii="Arial" w:cs="Arial" w:eastAsia="Arial" w:hAnsi="Arial"/>
                <w:sz w:val="12"/>
                <w:szCs w:val="12"/>
                <w:color w:val="auto"/>
              </w:rPr>
              <w:t>29,600</w:t>
            </w:r>
          </w:p>
        </w:tc>
        <w:tc>
          <w:tcPr>
            <w:tcW w:w="860" w:type="dxa"/>
            <w:vAlign w:val="bottom"/>
          </w:tcPr>
          <w:p>
            <w:pPr>
              <w:jc w:val="right"/>
              <w:ind w:right="43"/>
              <w:spacing w:after="0"/>
              <w:rPr>
                <w:sz w:val="20"/>
                <w:szCs w:val="20"/>
                <w:color w:val="auto"/>
              </w:rPr>
            </w:pPr>
            <w:r>
              <w:rPr>
                <w:rFonts w:ascii="Arial" w:cs="Arial" w:eastAsia="Arial" w:hAnsi="Arial"/>
                <w:sz w:val="12"/>
                <w:szCs w:val="12"/>
                <w:color w:val="auto"/>
              </w:rPr>
              <w:t>93.33</w:t>
            </w:r>
          </w:p>
        </w:tc>
        <w:tc>
          <w:tcPr>
            <w:tcW w:w="780" w:type="dxa"/>
            <w:vAlign w:val="bottom"/>
          </w:tcPr>
          <w:p>
            <w:pPr>
              <w:jc w:val="right"/>
              <w:spacing w:after="0"/>
              <w:rPr>
                <w:sz w:val="20"/>
                <w:szCs w:val="20"/>
                <w:color w:val="auto"/>
              </w:rPr>
            </w:pPr>
            <w:r>
              <w:rPr>
                <w:rFonts w:ascii="Arial" w:cs="Arial" w:eastAsia="Arial" w:hAnsi="Arial"/>
                <w:sz w:val="12"/>
                <w:szCs w:val="12"/>
                <w:color w:val="auto"/>
              </w:rPr>
              <w:t>584,304</w:t>
            </w:r>
          </w:p>
        </w:tc>
      </w:tr>
      <w:tr>
        <w:trPr>
          <w:trHeight w:val="183"/>
        </w:trPr>
        <w:tc>
          <w:tcPr>
            <w:tcW w:w="2220" w:type="dxa"/>
            <w:vAlign w:val="bottom"/>
            <w:shd w:val="clear" w:color="auto" w:fill="D9D9D9"/>
          </w:tcPr>
          <w:p>
            <w:pPr>
              <w:spacing w:after="0"/>
              <w:rPr>
                <w:sz w:val="20"/>
                <w:szCs w:val="20"/>
                <w:color w:val="auto"/>
              </w:rPr>
            </w:pPr>
            <w:r>
              <w:rPr>
                <w:rFonts w:ascii="Arial" w:cs="Arial" w:eastAsia="Arial" w:hAnsi="Arial"/>
                <w:sz w:val="12"/>
                <w:szCs w:val="12"/>
                <w:color w:val="auto"/>
              </w:rPr>
              <w:t>Amy E. Dahl</w:t>
            </w:r>
          </w:p>
        </w:tc>
        <w:tc>
          <w:tcPr>
            <w:tcW w:w="700" w:type="dxa"/>
            <w:vAlign w:val="bottom"/>
            <w:shd w:val="clear" w:color="auto" w:fill="D9D9D9"/>
          </w:tcPr>
          <w:p>
            <w:pPr>
              <w:spacing w:after="0"/>
              <w:rPr>
                <w:sz w:val="15"/>
                <w:szCs w:val="15"/>
                <w:color w:val="auto"/>
              </w:rPr>
            </w:pPr>
          </w:p>
        </w:tc>
        <w:tc>
          <w:tcPr>
            <w:tcW w:w="700" w:type="dxa"/>
            <w:vAlign w:val="bottom"/>
            <w:shd w:val="clear" w:color="auto" w:fill="D9D9D9"/>
          </w:tcPr>
          <w:p>
            <w:pPr>
              <w:spacing w:after="0"/>
              <w:rPr>
                <w:sz w:val="15"/>
                <w:szCs w:val="15"/>
                <w:color w:val="auto"/>
              </w:rPr>
            </w:pPr>
          </w:p>
        </w:tc>
        <w:tc>
          <w:tcPr>
            <w:tcW w:w="760" w:type="dxa"/>
            <w:vAlign w:val="bottom"/>
            <w:shd w:val="clear" w:color="auto" w:fill="D9D9D9"/>
          </w:tcPr>
          <w:p>
            <w:pPr>
              <w:spacing w:after="0"/>
              <w:rPr>
                <w:sz w:val="15"/>
                <w:szCs w:val="15"/>
                <w:color w:val="auto"/>
              </w:rPr>
            </w:pPr>
          </w:p>
        </w:tc>
        <w:tc>
          <w:tcPr>
            <w:tcW w:w="720" w:type="dxa"/>
            <w:vAlign w:val="bottom"/>
            <w:shd w:val="clear" w:color="auto" w:fill="D9D9D9"/>
          </w:tcPr>
          <w:p>
            <w:pPr>
              <w:spacing w:after="0"/>
              <w:rPr>
                <w:sz w:val="15"/>
                <w:szCs w:val="15"/>
                <w:color w:val="auto"/>
              </w:rPr>
            </w:pPr>
          </w:p>
        </w:tc>
        <w:tc>
          <w:tcPr>
            <w:tcW w:w="640" w:type="dxa"/>
            <w:vAlign w:val="bottom"/>
            <w:shd w:val="clear" w:color="auto" w:fill="D9D9D9"/>
          </w:tcPr>
          <w:p>
            <w:pPr>
              <w:spacing w:after="0"/>
              <w:rPr>
                <w:sz w:val="15"/>
                <w:szCs w:val="15"/>
                <w:color w:val="auto"/>
              </w:rPr>
            </w:pPr>
          </w:p>
        </w:tc>
        <w:tc>
          <w:tcPr>
            <w:tcW w:w="720" w:type="dxa"/>
            <w:vAlign w:val="bottom"/>
            <w:shd w:val="clear" w:color="auto" w:fill="D9D9D9"/>
          </w:tcPr>
          <w:p>
            <w:pPr>
              <w:spacing w:after="0"/>
              <w:rPr>
                <w:sz w:val="15"/>
                <w:szCs w:val="15"/>
                <w:color w:val="auto"/>
              </w:rPr>
            </w:pPr>
          </w:p>
        </w:tc>
        <w:tc>
          <w:tcPr>
            <w:tcW w:w="700" w:type="dxa"/>
            <w:vAlign w:val="bottom"/>
            <w:shd w:val="clear" w:color="auto" w:fill="D9D9D9"/>
          </w:tcPr>
          <w:p>
            <w:pPr>
              <w:spacing w:after="0"/>
              <w:rPr>
                <w:sz w:val="15"/>
                <w:szCs w:val="15"/>
                <w:color w:val="auto"/>
              </w:rPr>
            </w:pPr>
          </w:p>
        </w:tc>
        <w:tc>
          <w:tcPr>
            <w:tcW w:w="740" w:type="dxa"/>
            <w:vAlign w:val="bottom"/>
            <w:shd w:val="clear" w:color="auto" w:fill="D9D9D9"/>
          </w:tcPr>
          <w:p>
            <w:pPr>
              <w:spacing w:after="0"/>
              <w:rPr>
                <w:sz w:val="15"/>
                <w:szCs w:val="15"/>
                <w:color w:val="auto"/>
              </w:rPr>
            </w:pPr>
          </w:p>
        </w:tc>
        <w:tc>
          <w:tcPr>
            <w:tcW w:w="780" w:type="dxa"/>
            <w:vAlign w:val="bottom"/>
            <w:shd w:val="clear" w:color="auto" w:fill="D9D9D9"/>
          </w:tcPr>
          <w:p>
            <w:pPr>
              <w:spacing w:after="0"/>
              <w:rPr>
                <w:sz w:val="15"/>
                <w:szCs w:val="15"/>
                <w:color w:val="auto"/>
              </w:rPr>
            </w:pPr>
          </w:p>
        </w:tc>
        <w:tc>
          <w:tcPr>
            <w:tcW w:w="920" w:type="dxa"/>
            <w:vAlign w:val="bottom"/>
            <w:shd w:val="clear" w:color="auto" w:fill="D9D9D9"/>
          </w:tcPr>
          <w:p>
            <w:pPr>
              <w:spacing w:after="0"/>
              <w:rPr>
                <w:sz w:val="15"/>
                <w:szCs w:val="15"/>
                <w:color w:val="auto"/>
              </w:rPr>
            </w:pPr>
          </w:p>
        </w:tc>
        <w:tc>
          <w:tcPr>
            <w:tcW w:w="860" w:type="dxa"/>
            <w:vAlign w:val="bottom"/>
            <w:shd w:val="clear" w:color="auto" w:fill="D9D9D9"/>
          </w:tcPr>
          <w:p>
            <w:pPr>
              <w:spacing w:after="0"/>
              <w:rPr>
                <w:sz w:val="15"/>
                <w:szCs w:val="15"/>
                <w:color w:val="auto"/>
              </w:rPr>
            </w:pPr>
          </w:p>
        </w:tc>
        <w:tc>
          <w:tcPr>
            <w:tcW w:w="780" w:type="dxa"/>
            <w:vAlign w:val="bottom"/>
            <w:shd w:val="clear" w:color="auto" w:fill="D9D9D9"/>
          </w:tcPr>
          <w:p>
            <w:pPr>
              <w:spacing w:after="0"/>
              <w:rPr>
                <w:sz w:val="15"/>
                <w:szCs w:val="15"/>
                <w:color w:val="auto"/>
              </w:rPr>
            </w:pPr>
          </w:p>
        </w:tc>
      </w:tr>
      <w:tr>
        <w:trPr>
          <w:trHeight w:val="186"/>
        </w:trPr>
        <w:tc>
          <w:tcPr>
            <w:tcW w:w="2220" w:type="dxa"/>
            <w:vAlign w:val="bottom"/>
            <w:shd w:val="clear" w:color="auto" w:fill="D9D9D9"/>
          </w:tcPr>
          <w:p>
            <w:pPr>
              <w:ind w:left="240"/>
              <w:spacing w:after="0"/>
              <w:rPr>
                <w:sz w:val="20"/>
                <w:szCs w:val="20"/>
                <w:color w:val="auto"/>
              </w:rPr>
            </w:pPr>
            <w:r>
              <w:rPr>
                <w:rFonts w:ascii="Arial" w:cs="Arial" w:eastAsia="Arial" w:hAnsi="Arial"/>
                <w:sz w:val="12"/>
                <w:szCs w:val="12"/>
                <w:color w:val="auto"/>
              </w:rPr>
              <w:t>Annual Cash Incentive</w:t>
            </w:r>
          </w:p>
        </w:tc>
        <w:tc>
          <w:tcPr>
            <w:tcW w:w="700" w:type="dxa"/>
            <w:vAlign w:val="bottom"/>
            <w:shd w:val="clear" w:color="auto" w:fill="D9D9D9"/>
          </w:tcPr>
          <w:p>
            <w:pPr>
              <w:jc w:val="center"/>
              <w:ind w:left="2"/>
              <w:spacing w:after="0"/>
              <w:rPr>
                <w:sz w:val="20"/>
                <w:szCs w:val="20"/>
                <w:color w:val="auto"/>
              </w:rPr>
            </w:pPr>
            <w:r>
              <w:rPr>
                <w:rFonts w:ascii="Arial" w:cs="Arial" w:eastAsia="Arial" w:hAnsi="Arial"/>
                <w:sz w:val="12"/>
                <w:szCs w:val="12"/>
                <w:color w:val="auto"/>
                <w:w w:val="99"/>
              </w:rPr>
              <w:t>—</w:t>
            </w:r>
          </w:p>
        </w:tc>
        <w:tc>
          <w:tcPr>
            <w:tcW w:w="700" w:type="dxa"/>
            <w:vAlign w:val="bottom"/>
            <w:shd w:val="clear" w:color="auto" w:fill="D9D9D9"/>
          </w:tcPr>
          <w:p>
            <w:pPr>
              <w:jc w:val="center"/>
              <w:ind w:left="2"/>
              <w:spacing w:after="0"/>
              <w:rPr>
                <w:sz w:val="20"/>
                <w:szCs w:val="20"/>
                <w:color w:val="auto"/>
              </w:rPr>
            </w:pPr>
            <w:r>
              <w:rPr>
                <w:rFonts w:ascii="Arial" w:cs="Arial" w:eastAsia="Arial" w:hAnsi="Arial"/>
                <w:sz w:val="12"/>
                <w:szCs w:val="12"/>
                <w:color w:val="auto"/>
                <w:w w:val="99"/>
              </w:rPr>
              <w:t>—</w:t>
            </w:r>
          </w:p>
        </w:tc>
        <w:tc>
          <w:tcPr>
            <w:tcW w:w="760" w:type="dxa"/>
            <w:vAlign w:val="bottom"/>
            <w:shd w:val="clear" w:color="auto" w:fill="D9D9D9"/>
          </w:tcPr>
          <w:p>
            <w:pPr>
              <w:jc w:val="right"/>
              <w:ind w:right="43"/>
              <w:spacing w:after="0"/>
              <w:rPr>
                <w:sz w:val="20"/>
                <w:szCs w:val="20"/>
                <w:color w:val="auto"/>
              </w:rPr>
            </w:pPr>
            <w:r>
              <w:rPr>
                <w:rFonts w:ascii="Arial" w:cs="Arial" w:eastAsia="Arial" w:hAnsi="Arial"/>
                <w:sz w:val="12"/>
                <w:szCs w:val="12"/>
                <w:color w:val="auto"/>
              </w:rPr>
              <w:t>124,965</w:t>
            </w:r>
          </w:p>
        </w:tc>
        <w:tc>
          <w:tcPr>
            <w:tcW w:w="720" w:type="dxa"/>
            <w:vAlign w:val="bottom"/>
            <w:shd w:val="clear" w:color="auto" w:fill="D9D9D9"/>
          </w:tcPr>
          <w:p>
            <w:pPr>
              <w:jc w:val="right"/>
              <w:ind w:right="62"/>
              <w:spacing w:after="0"/>
              <w:rPr>
                <w:sz w:val="20"/>
                <w:szCs w:val="20"/>
                <w:color w:val="auto"/>
              </w:rPr>
            </w:pPr>
            <w:r>
              <w:rPr>
                <w:rFonts w:ascii="Arial" w:cs="Arial" w:eastAsia="Arial" w:hAnsi="Arial"/>
                <w:sz w:val="12"/>
                <w:szCs w:val="12"/>
                <w:color w:val="auto"/>
              </w:rPr>
              <w:t>312,413</w:t>
            </w:r>
          </w:p>
        </w:tc>
        <w:tc>
          <w:tcPr>
            <w:tcW w:w="640" w:type="dxa"/>
            <w:vAlign w:val="bottom"/>
            <w:shd w:val="clear" w:color="auto" w:fill="D9D9D9"/>
          </w:tcPr>
          <w:p>
            <w:pPr>
              <w:jc w:val="right"/>
              <w:ind w:right="2"/>
              <w:spacing w:after="0"/>
              <w:rPr>
                <w:sz w:val="20"/>
                <w:szCs w:val="20"/>
                <w:color w:val="auto"/>
              </w:rPr>
            </w:pPr>
            <w:r>
              <w:rPr>
                <w:rFonts w:ascii="Arial" w:cs="Arial" w:eastAsia="Arial" w:hAnsi="Arial"/>
                <w:sz w:val="12"/>
                <w:szCs w:val="12"/>
                <w:color w:val="auto"/>
              </w:rPr>
              <w:t>624,826</w:t>
            </w:r>
          </w:p>
        </w:tc>
        <w:tc>
          <w:tcPr>
            <w:tcW w:w="720" w:type="dxa"/>
            <w:vAlign w:val="bottom"/>
            <w:shd w:val="clear" w:color="auto" w:fill="D9D9D9"/>
          </w:tcPr>
          <w:p>
            <w:pPr>
              <w:spacing w:after="0"/>
              <w:rPr>
                <w:sz w:val="16"/>
                <w:szCs w:val="16"/>
                <w:color w:val="auto"/>
              </w:rPr>
            </w:pPr>
          </w:p>
        </w:tc>
        <w:tc>
          <w:tcPr>
            <w:tcW w:w="700" w:type="dxa"/>
            <w:vAlign w:val="bottom"/>
            <w:shd w:val="clear" w:color="auto" w:fill="D9D9D9"/>
          </w:tcPr>
          <w:p>
            <w:pPr>
              <w:spacing w:after="0"/>
              <w:rPr>
                <w:sz w:val="16"/>
                <w:szCs w:val="16"/>
                <w:color w:val="auto"/>
              </w:rPr>
            </w:pPr>
          </w:p>
        </w:tc>
        <w:tc>
          <w:tcPr>
            <w:tcW w:w="740" w:type="dxa"/>
            <w:vAlign w:val="bottom"/>
            <w:shd w:val="clear" w:color="auto" w:fill="D9D9D9"/>
          </w:tcPr>
          <w:p>
            <w:pPr>
              <w:spacing w:after="0"/>
              <w:rPr>
                <w:sz w:val="16"/>
                <w:szCs w:val="16"/>
                <w:color w:val="auto"/>
              </w:rPr>
            </w:pPr>
          </w:p>
        </w:tc>
        <w:tc>
          <w:tcPr>
            <w:tcW w:w="780" w:type="dxa"/>
            <w:vAlign w:val="bottom"/>
            <w:shd w:val="clear" w:color="auto" w:fill="D9D9D9"/>
          </w:tcPr>
          <w:p>
            <w:pPr>
              <w:spacing w:after="0"/>
              <w:rPr>
                <w:sz w:val="16"/>
                <w:szCs w:val="16"/>
                <w:color w:val="auto"/>
              </w:rPr>
            </w:pPr>
          </w:p>
        </w:tc>
        <w:tc>
          <w:tcPr>
            <w:tcW w:w="920" w:type="dxa"/>
            <w:vAlign w:val="bottom"/>
            <w:shd w:val="clear" w:color="auto" w:fill="D9D9D9"/>
          </w:tcPr>
          <w:p>
            <w:pPr>
              <w:spacing w:after="0"/>
              <w:rPr>
                <w:sz w:val="16"/>
                <w:szCs w:val="16"/>
                <w:color w:val="auto"/>
              </w:rPr>
            </w:pPr>
          </w:p>
        </w:tc>
        <w:tc>
          <w:tcPr>
            <w:tcW w:w="860" w:type="dxa"/>
            <w:vAlign w:val="bottom"/>
            <w:shd w:val="clear" w:color="auto" w:fill="D9D9D9"/>
          </w:tcPr>
          <w:p>
            <w:pPr>
              <w:spacing w:after="0"/>
              <w:rPr>
                <w:sz w:val="16"/>
                <w:szCs w:val="16"/>
                <w:color w:val="auto"/>
              </w:rPr>
            </w:pPr>
          </w:p>
        </w:tc>
        <w:tc>
          <w:tcPr>
            <w:tcW w:w="780" w:type="dxa"/>
            <w:vAlign w:val="bottom"/>
            <w:shd w:val="clear" w:color="auto" w:fill="D9D9D9"/>
          </w:tcPr>
          <w:p>
            <w:pPr>
              <w:spacing w:after="0"/>
              <w:rPr>
                <w:sz w:val="16"/>
                <w:szCs w:val="16"/>
                <w:color w:val="auto"/>
              </w:rPr>
            </w:pPr>
          </w:p>
        </w:tc>
      </w:tr>
      <w:tr>
        <w:trPr>
          <w:trHeight w:val="186"/>
        </w:trPr>
        <w:tc>
          <w:tcPr>
            <w:tcW w:w="2220" w:type="dxa"/>
            <w:vAlign w:val="bottom"/>
            <w:shd w:val="clear" w:color="auto" w:fill="D9D9D9"/>
          </w:tcPr>
          <w:p>
            <w:pPr>
              <w:ind w:left="240"/>
              <w:spacing w:after="0"/>
              <w:rPr>
                <w:sz w:val="20"/>
                <w:szCs w:val="20"/>
                <w:color w:val="auto"/>
              </w:rPr>
            </w:pPr>
            <w:r>
              <w:rPr>
                <w:rFonts w:ascii="Arial" w:cs="Arial" w:eastAsia="Arial" w:hAnsi="Arial"/>
                <w:sz w:val="12"/>
                <w:szCs w:val="12"/>
                <w:color w:val="auto"/>
              </w:rPr>
              <w:t>Performance Shares</w:t>
            </w:r>
          </w:p>
        </w:tc>
        <w:tc>
          <w:tcPr>
            <w:tcW w:w="700" w:type="dxa"/>
            <w:vAlign w:val="bottom"/>
            <w:shd w:val="clear" w:color="auto" w:fill="D9D9D9"/>
          </w:tcPr>
          <w:p>
            <w:pPr>
              <w:jc w:val="center"/>
              <w:ind w:left="2"/>
              <w:spacing w:after="0"/>
              <w:rPr>
                <w:sz w:val="20"/>
                <w:szCs w:val="20"/>
                <w:color w:val="auto"/>
              </w:rPr>
            </w:pPr>
            <w:r>
              <w:rPr>
                <w:rFonts w:ascii="Arial" w:cs="Arial" w:eastAsia="Arial" w:hAnsi="Arial"/>
                <w:sz w:val="12"/>
                <w:szCs w:val="12"/>
                <w:color w:val="auto"/>
                <w:w w:val="94"/>
              </w:rPr>
              <w:t>12/01/20</w:t>
            </w:r>
          </w:p>
        </w:tc>
        <w:tc>
          <w:tcPr>
            <w:tcW w:w="700" w:type="dxa"/>
            <w:vAlign w:val="bottom"/>
            <w:shd w:val="clear" w:color="auto" w:fill="D9D9D9"/>
          </w:tcPr>
          <w:p>
            <w:pPr>
              <w:jc w:val="center"/>
              <w:ind w:left="2"/>
              <w:spacing w:after="0"/>
              <w:rPr>
                <w:sz w:val="20"/>
                <w:szCs w:val="20"/>
                <w:color w:val="auto"/>
              </w:rPr>
            </w:pPr>
            <w:r>
              <w:rPr>
                <w:rFonts w:ascii="Arial" w:cs="Arial" w:eastAsia="Arial" w:hAnsi="Arial"/>
                <w:sz w:val="12"/>
                <w:szCs w:val="12"/>
                <w:color w:val="auto"/>
                <w:w w:val="94"/>
              </w:rPr>
              <w:t>12/01/20</w:t>
            </w:r>
          </w:p>
        </w:tc>
        <w:tc>
          <w:tcPr>
            <w:tcW w:w="760" w:type="dxa"/>
            <w:vAlign w:val="bottom"/>
            <w:shd w:val="clear" w:color="auto" w:fill="D9D9D9"/>
          </w:tcPr>
          <w:p>
            <w:pPr>
              <w:spacing w:after="0"/>
              <w:rPr>
                <w:sz w:val="16"/>
                <w:szCs w:val="16"/>
                <w:color w:val="auto"/>
              </w:rPr>
            </w:pPr>
          </w:p>
        </w:tc>
        <w:tc>
          <w:tcPr>
            <w:tcW w:w="720" w:type="dxa"/>
            <w:vAlign w:val="bottom"/>
            <w:shd w:val="clear" w:color="auto" w:fill="D9D9D9"/>
          </w:tcPr>
          <w:p>
            <w:pPr>
              <w:spacing w:after="0"/>
              <w:rPr>
                <w:sz w:val="16"/>
                <w:szCs w:val="16"/>
                <w:color w:val="auto"/>
              </w:rPr>
            </w:pPr>
          </w:p>
        </w:tc>
        <w:tc>
          <w:tcPr>
            <w:tcW w:w="640" w:type="dxa"/>
            <w:vAlign w:val="bottom"/>
            <w:shd w:val="clear" w:color="auto" w:fill="D9D9D9"/>
          </w:tcPr>
          <w:p>
            <w:pPr>
              <w:spacing w:after="0"/>
              <w:rPr>
                <w:sz w:val="16"/>
                <w:szCs w:val="16"/>
                <w:color w:val="auto"/>
              </w:rPr>
            </w:pPr>
          </w:p>
        </w:tc>
        <w:tc>
          <w:tcPr>
            <w:tcW w:w="720" w:type="dxa"/>
            <w:vAlign w:val="bottom"/>
            <w:shd w:val="clear" w:color="auto" w:fill="D9D9D9"/>
          </w:tcPr>
          <w:p>
            <w:pPr>
              <w:jc w:val="right"/>
              <w:ind w:right="22"/>
              <w:spacing w:after="0"/>
              <w:rPr>
                <w:sz w:val="20"/>
                <w:szCs w:val="20"/>
                <w:color w:val="auto"/>
              </w:rPr>
            </w:pPr>
            <w:r>
              <w:rPr>
                <w:rFonts w:ascii="Arial" w:cs="Arial" w:eastAsia="Arial" w:hAnsi="Arial"/>
                <w:sz w:val="12"/>
                <w:szCs w:val="12"/>
                <w:color w:val="auto"/>
              </w:rPr>
              <w:t>1,760</w:t>
            </w:r>
          </w:p>
        </w:tc>
        <w:tc>
          <w:tcPr>
            <w:tcW w:w="700" w:type="dxa"/>
            <w:vAlign w:val="bottom"/>
            <w:shd w:val="clear" w:color="auto" w:fill="D9D9D9"/>
          </w:tcPr>
          <w:p>
            <w:pPr>
              <w:jc w:val="right"/>
              <w:ind w:right="3"/>
              <w:spacing w:after="0"/>
              <w:rPr>
                <w:sz w:val="20"/>
                <w:szCs w:val="20"/>
                <w:color w:val="auto"/>
              </w:rPr>
            </w:pPr>
            <w:r>
              <w:rPr>
                <w:rFonts w:ascii="Arial" w:cs="Arial" w:eastAsia="Arial" w:hAnsi="Arial"/>
                <w:sz w:val="12"/>
                <w:szCs w:val="12"/>
                <w:color w:val="auto"/>
              </w:rPr>
              <w:t>4,400</w:t>
            </w:r>
          </w:p>
        </w:tc>
        <w:tc>
          <w:tcPr>
            <w:tcW w:w="740" w:type="dxa"/>
            <w:vAlign w:val="bottom"/>
            <w:shd w:val="clear" w:color="auto" w:fill="D9D9D9"/>
          </w:tcPr>
          <w:p>
            <w:pPr>
              <w:jc w:val="right"/>
              <w:ind w:right="42"/>
              <w:spacing w:after="0"/>
              <w:rPr>
                <w:sz w:val="20"/>
                <w:szCs w:val="20"/>
                <w:color w:val="auto"/>
              </w:rPr>
            </w:pPr>
            <w:r>
              <w:rPr>
                <w:rFonts w:ascii="Arial" w:cs="Arial" w:eastAsia="Arial" w:hAnsi="Arial"/>
                <w:sz w:val="12"/>
                <w:szCs w:val="12"/>
                <w:color w:val="auto"/>
              </w:rPr>
              <w:t>8,800</w:t>
            </w:r>
          </w:p>
        </w:tc>
        <w:tc>
          <w:tcPr>
            <w:tcW w:w="780" w:type="dxa"/>
            <w:vAlign w:val="bottom"/>
            <w:shd w:val="clear" w:color="auto" w:fill="D9D9D9"/>
          </w:tcPr>
          <w:p>
            <w:pPr>
              <w:spacing w:after="0"/>
              <w:rPr>
                <w:sz w:val="16"/>
                <w:szCs w:val="16"/>
                <w:color w:val="auto"/>
              </w:rPr>
            </w:pPr>
          </w:p>
        </w:tc>
        <w:tc>
          <w:tcPr>
            <w:tcW w:w="920" w:type="dxa"/>
            <w:vAlign w:val="bottom"/>
            <w:shd w:val="clear" w:color="auto" w:fill="D9D9D9"/>
          </w:tcPr>
          <w:p>
            <w:pPr>
              <w:spacing w:after="0"/>
              <w:rPr>
                <w:sz w:val="16"/>
                <w:szCs w:val="16"/>
                <w:color w:val="auto"/>
              </w:rPr>
            </w:pPr>
          </w:p>
        </w:tc>
        <w:tc>
          <w:tcPr>
            <w:tcW w:w="860" w:type="dxa"/>
            <w:vAlign w:val="bottom"/>
            <w:shd w:val="clear" w:color="auto" w:fill="D9D9D9"/>
          </w:tcPr>
          <w:p>
            <w:pPr>
              <w:spacing w:after="0"/>
              <w:rPr>
                <w:sz w:val="16"/>
                <w:szCs w:val="16"/>
                <w:color w:val="auto"/>
              </w:rPr>
            </w:pPr>
          </w:p>
        </w:tc>
        <w:tc>
          <w:tcPr>
            <w:tcW w:w="780" w:type="dxa"/>
            <w:vAlign w:val="bottom"/>
            <w:shd w:val="clear" w:color="auto" w:fill="D9D9D9"/>
          </w:tcPr>
          <w:p>
            <w:pPr>
              <w:jc w:val="right"/>
              <w:spacing w:after="0"/>
              <w:rPr>
                <w:sz w:val="20"/>
                <w:szCs w:val="20"/>
                <w:color w:val="auto"/>
              </w:rPr>
            </w:pPr>
            <w:r>
              <w:rPr>
                <w:rFonts w:ascii="Arial" w:cs="Arial" w:eastAsia="Arial" w:hAnsi="Arial"/>
                <w:sz w:val="12"/>
                <w:szCs w:val="12"/>
                <w:color w:val="auto"/>
              </w:rPr>
              <w:t>398,596</w:t>
            </w:r>
          </w:p>
        </w:tc>
      </w:tr>
      <w:tr>
        <w:trPr>
          <w:trHeight w:val="192"/>
        </w:trPr>
        <w:tc>
          <w:tcPr>
            <w:tcW w:w="2220" w:type="dxa"/>
            <w:vAlign w:val="bottom"/>
            <w:shd w:val="clear" w:color="auto" w:fill="D9D9D9"/>
          </w:tcPr>
          <w:p>
            <w:pPr>
              <w:ind w:left="240"/>
              <w:spacing w:after="0"/>
              <w:rPr>
                <w:sz w:val="20"/>
                <w:szCs w:val="20"/>
                <w:color w:val="auto"/>
              </w:rPr>
            </w:pPr>
            <w:r>
              <w:rPr>
                <w:rFonts w:ascii="Arial" w:cs="Arial" w:eastAsia="Arial" w:hAnsi="Arial"/>
                <w:sz w:val="12"/>
                <w:szCs w:val="12"/>
                <w:color w:val="auto"/>
              </w:rPr>
              <w:t>Stock Options</w:t>
            </w:r>
          </w:p>
        </w:tc>
        <w:tc>
          <w:tcPr>
            <w:tcW w:w="700" w:type="dxa"/>
            <w:vAlign w:val="bottom"/>
            <w:shd w:val="clear" w:color="auto" w:fill="D9D9D9"/>
          </w:tcPr>
          <w:p>
            <w:pPr>
              <w:jc w:val="center"/>
              <w:ind w:left="2"/>
              <w:spacing w:after="0"/>
              <w:rPr>
                <w:sz w:val="20"/>
                <w:szCs w:val="20"/>
                <w:color w:val="auto"/>
              </w:rPr>
            </w:pPr>
            <w:r>
              <w:rPr>
                <w:rFonts w:ascii="Arial" w:cs="Arial" w:eastAsia="Arial" w:hAnsi="Arial"/>
                <w:sz w:val="12"/>
                <w:szCs w:val="12"/>
                <w:color w:val="auto"/>
                <w:w w:val="94"/>
              </w:rPr>
              <w:t>12/17/20</w:t>
            </w:r>
          </w:p>
        </w:tc>
        <w:tc>
          <w:tcPr>
            <w:tcW w:w="700" w:type="dxa"/>
            <w:vAlign w:val="bottom"/>
            <w:shd w:val="clear" w:color="auto" w:fill="D9D9D9"/>
          </w:tcPr>
          <w:p>
            <w:pPr>
              <w:jc w:val="center"/>
              <w:ind w:left="2"/>
              <w:spacing w:after="0"/>
              <w:rPr>
                <w:sz w:val="20"/>
                <w:szCs w:val="20"/>
                <w:color w:val="auto"/>
              </w:rPr>
            </w:pPr>
            <w:r>
              <w:rPr>
                <w:rFonts w:ascii="Arial" w:cs="Arial" w:eastAsia="Arial" w:hAnsi="Arial"/>
                <w:sz w:val="12"/>
                <w:szCs w:val="12"/>
                <w:color w:val="auto"/>
                <w:w w:val="94"/>
              </w:rPr>
              <w:t>12/01/20</w:t>
            </w:r>
          </w:p>
        </w:tc>
        <w:tc>
          <w:tcPr>
            <w:tcW w:w="760" w:type="dxa"/>
            <w:vAlign w:val="bottom"/>
            <w:shd w:val="clear" w:color="auto" w:fill="D9D9D9"/>
          </w:tcPr>
          <w:p>
            <w:pPr>
              <w:spacing w:after="0"/>
              <w:rPr>
                <w:sz w:val="16"/>
                <w:szCs w:val="16"/>
                <w:color w:val="auto"/>
              </w:rPr>
            </w:pPr>
          </w:p>
        </w:tc>
        <w:tc>
          <w:tcPr>
            <w:tcW w:w="720" w:type="dxa"/>
            <w:vAlign w:val="bottom"/>
            <w:shd w:val="clear" w:color="auto" w:fill="D9D9D9"/>
          </w:tcPr>
          <w:p>
            <w:pPr>
              <w:spacing w:after="0"/>
              <w:rPr>
                <w:sz w:val="16"/>
                <w:szCs w:val="16"/>
                <w:color w:val="auto"/>
              </w:rPr>
            </w:pPr>
          </w:p>
        </w:tc>
        <w:tc>
          <w:tcPr>
            <w:tcW w:w="640" w:type="dxa"/>
            <w:vAlign w:val="bottom"/>
            <w:shd w:val="clear" w:color="auto" w:fill="D9D9D9"/>
          </w:tcPr>
          <w:p>
            <w:pPr>
              <w:spacing w:after="0"/>
              <w:rPr>
                <w:sz w:val="16"/>
                <w:szCs w:val="16"/>
                <w:color w:val="auto"/>
              </w:rPr>
            </w:pPr>
          </w:p>
        </w:tc>
        <w:tc>
          <w:tcPr>
            <w:tcW w:w="720" w:type="dxa"/>
            <w:vAlign w:val="bottom"/>
            <w:shd w:val="clear" w:color="auto" w:fill="D9D9D9"/>
          </w:tcPr>
          <w:p>
            <w:pPr>
              <w:spacing w:after="0"/>
              <w:rPr>
                <w:sz w:val="16"/>
                <w:szCs w:val="16"/>
                <w:color w:val="auto"/>
              </w:rPr>
            </w:pPr>
          </w:p>
        </w:tc>
        <w:tc>
          <w:tcPr>
            <w:tcW w:w="700" w:type="dxa"/>
            <w:vAlign w:val="bottom"/>
            <w:shd w:val="clear" w:color="auto" w:fill="D9D9D9"/>
          </w:tcPr>
          <w:p>
            <w:pPr>
              <w:spacing w:after="0"/>
              <w:rPr>
                <w:sz w:val="16"/>
                <w:szCs w:val="16"/>
                <w:color w:val="auto"/>
              </w:rPr>
            </w:pPr>
          </w:p>
        </w:tc>
        <w:tc>
          <w:tcPr>
            <w:tcW w:w="740" w:type="dxa"/>
            <w:vAlign w:val="bottom"/>
            <w:shd w:val="clear" w:color="auto" w:fill="D9D9D9"/>
          </w:tcPr>
          <w:p>
            <w:pPr>
              <w:spacing w:after="0"/>
              <w:rPr>
                <w:sz w:val="16"/>
                <w:szCs w:val="16"/>
                <w:color w:val="auto"/>
              </w:rPr>
            </w:pPr>
          </w:p>
        </w:tc>
        <w:tc>
          <w:tcPr>
            <w:tcW w:w="780" w:type="dxa"/>
            <w:vAlign w:val="bottom"/>
            <w:shd w:val="clear" w:color="auto" w:fill="D9D9D9"/>
          </w:tcPr>
          <w:p>
            <w:pPr>
              <w:spacing w:after="0"/>
              <w:rPr>
                <w:sz w:val="16"/>
                <w:szCs w:val="16"/>
                <w:color w:val="auto"/>
              </w:rPr>
            </w:pPr>
          </w:p>
        </w:tc>
        <w:tc>
          <w:tcPr>
            <w:tcW w:w="920" w:type="dxa"/>
            <w:vAlign w:val="bottom"/>
            <w:shd w:val="clear" w:color="auto" w:fill="D9D9D9"/>
          </w:tcPr>
          <w:p>
            <w:pPr>
              <w:jc w:val="right"/>
              <w:ind w:right="43"/>
              <w:spacing w:after="0"/>
              <w:rPr>
                <w:sz w:val="20"/>
                <w:szCs w:val="20"/>
                <w:color w:val="auto"/>
              </w:rPr>
            </w:pPr>
            <w:r>
              <w:rPr>
                <w:rFonts w:ascii="Arial" w:cs="Arial" w:eastAsia="Arial" w:hAnsi="Arial"/>
                <w:sz w:val="12"/>
                <w:szCs w:val="12"/>
                <w:color w:val="auto"/>
              </w:rPr>
              <w:t>21,300</w:t>
            </w:r>
          </w:p>
        </w:tc>
        <w:tc>
          <w:tcPr>
            <w:tcW w:w="860" w:type="dxa"/>
            <w:vAlign w:val="bottom"/>
            <w:shd w:val="clear" w:color="auto" w:fill="D9D9D9"/>
          </w:tcPr>
          <w:p>
            <w:pPr>
              <w:jc w:val="right"/>
              <w:ind w:right="43"/>
              <w:spacing w:after="0"/>
              <w:rPr>
                <w:sz w:val="20"/>
                <w:szCs w:val="20"/>
                <w:color w:val="auto"/>
              </w:rPr>
            </w:pPr>
            <w:r>
              <w:rPr>
                <w:rFonts w:ascii="Arial" w:cs="Arial" w:eastAsia="Arial" w:hAnsi="Arial"/>
                <w:sz w:val="12"/>
                <w:szCs w:val="12"/>
                <w:color w:val="auto"/>
              </w:rPr>
              <w:t>93.33</w:t>
            </w:r>
          </w:p>
        </w:tc>
        <w:tc>
          <w:tcPr>
            <w:tcW w:w="780" w:type="dxa"/>
            <w:vAlign w:val="bottom"/>
            <w:shd w:val="clear" w:color="auto" w:fill="D9D9D9"/>
          </w:tcPr>
          <w:p>
            <w:pPr>
              <w:jc w:val="right"/>
              <w:spacing w:after="0"/>
              <w:rPr>
                <w:sz w:val="20"/>
                <w:szCs w:val="20"/>
                <w:color w:val="auto"/>
              </w:rPr>
            </w:pPr>
            <w:r>
              <w:rPr>
                <w:rFonts w:ascii="Arial" w:cs="Arial" w:eastAsia="Arial" w:hAnsi="Arial"/>
                <w:sz w:val="12"/>
                <w:szCs w:val="12"/>
                <w:color w:val="auto"/>
              </w:rPr>
              <w:t>420,462</w:t>
            </w:r>
          </w:p>
        </w:tc>
      </w:tr>
      <w:tr>
        <w:trPr>
          <w:trHeight w:val="180"/>
        </w:trPr>
        <w:tc>
          <w:tcPr>
            <w:tcW w:w="2220" w:type="dxa"/>
            <w:vAlign w:val="bottom"/>
          </w:tcPr>
          <w:p>
            <w:pPr>
              <w:spacing w:after="0"/>
              <w:rPr>
                <w:sz w:val="20"/>
                <w:szCs w:val="20"/>
                <w:color w:val="auto"/>
              </w:rPr>
            </w:pPr>
            <w:r>
              <w:rPr>
                <w:rFonts w:ascii="Arial" w:cs="Arial" w:eastAsia="Arial" w:hAnsi="Arial"/>
                <w:sz w:val="12"/>
                <w:szCs w:val="12"/>
                <w:color w:val="auto"/>
              </w:rPr>
              <w:t>Bradley A. Hamilton</w:t>
            </w: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6"/>
        </w:trPr>
        <w:tc>
          <w:tcPr>
            <w:tcW w:w="2220" w:type="dxa"/>
            <w:vAlign w:val="bottom"/>
          </w:tcPr>
          <w:p>
            <w:pPr>
              <w:ind w:left="240"/>
              <w:spacing w:after="0"/>
              <w:rPr>
                <w:sz w:val="20"/>
                <w:szCs w:val="20"/>
                <w:color w:val="auto"/>
              </w:rPr>
            </w:pPr>
            <w:r>
              <w:rPr>
                <w:rFonts w:ascii="Arial" w:cs="Arial" w:eastAsia="Arial" w:hAnsi="Arial"/>
                <w:sz w:val="12"/>
                <w:szCs w:val="12"/>
                <w:color w:val="auto"/>
              </w:rPr>
              <w:t>Annual Cash Incentive</w:t>
            </w: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jc w:val="right"/>
              <w:ind w:right="43"/>
              <w:spacing w:after="0"/>
              <w:rPr>
                <w:sz w:val="20"/>
                <w:szCs w:val="20"/>
                <w:color w:val="auto"/>
              </w:rPr>
            </w:pPr>
            <w:r>
              <w:rPr>
                <w:rFonts w:ascii="Arial" w:cs="Arial" w:eastAsia="Arial" w:hAnsi="Arial"/>
                <w:sz w:val="12"/>
                <w:szCs w:val="12"/>
                <w:color w:val="auto"/>
              </w:rPr>
              <w:t>103,288</w:t>
            </w:r>
          </w:p>
        </w:tc>
        <w:tc>
          <w:tcPr>
            <w:tcW w:w="720" w:type="dxa"/>
            <w:vAlign w:val="bottom"/>
          </w:tcPr>
          <w:p>
            <w:pPr>
              <w:jc w:val="right"/>
              <w:ind w:right="62"/>
              <w:spacing w:after="0"/>
              <w:rPr>
                <w:sz w:val="20"/>
                <w:szCs w:val="20"/>
                <w:color w:val="auto"/>
              </w:rPr>
            </w:pPr>
            <w:r>
              <w:rPr>
                <w:rFonts w:ascii="Arial" w:cs="Arial" w:eastAsia="Arial" w:hAnsi="Arial"/>
                <w:sz w:val="12"/>
                <w:szCs w:val="12"/>
                <w:color w:val="auto"/>
              </w:rPr>
              <w:t>258,220</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516,440</w:t>
            </w: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2220" w:type="dxa"/>
            <w:vAlign w:val="bottom"/>
          </w:tcPr>
          <w:p>
            <w:pPr>
              <w:ind w:left="240"/>
              <w:spacing w:after="0"/>
              <w:rPr>
                <w:sz w:val="20"/>
                <w:szCs w:val="20"/>
                <w:color w:val="auto"/>
              </w:rPr>
            </w:pPr>
            <w:r>
              <w:rPr>
                <w:rFonts w:ascii="Arial" w:cs="Arial" w:eastAsia="Arial" w:hAnsi="Arial"/>
                <w:sz w:val="12"/>
                <w:szCs w:val="12"/>
                <w:color w:val="auto"/>
              </w:rPr>
              <w:t>Performance Shares</w:t>
            </w:r>
          </w:p>
        </w:tc>
        <w:tc>
          <w:tcPr>
            <w:tcW w:w="700" w:type="dxa"/>
            <w:vAlign w:val="bottom"/>
          </w:tcPr>
          <w:p>
            <w:pPr>
              <w:jc w:val="center"/>
              <w:ind w:left="2"/>
              <w:spacing w:after="0"/>
              <w:rPr>
                <w:sz w:val="20"/>
                <w:szCs w:val="20"/>
                <w:color w:val="auto"/>
              </w:rPr>
            </w:pPr>
            <w:r>
              <w:rPr>
                <w:rFonts w:ascii="Arial" w:cs="Arial" w:eastAsia="Arial" w:hAnsi="Arial"/>
                <w:sz w:val="12"/>
                <w:szCs w:val="12"/>
                <w:color w:val="auto"/>
                <w:w w:val="94"/>
              </w:rPr>
              <w:t>12/01/20</w:t>
            </w:r>
          </w:p>
        </w:tc>
        <w:tc>
          <w:tcPr>
            <w:tcW w:w="700" w:type="dxa"/>
            <w:vAlign w:val="bottom"/>
          </w:tcPr>
          <w:p>
            <w:pPr>
              <w:jc w:val="center"/>
              <w:ind w:left="2"/>
              <w:spacing w:after="0"/>
              <w:rPr>
                <w:sz w:val="20"/>
                <w:szCs w:val="20"/>
                <w:color w:val="auto"/>
              </w:rPr>
            </w:pPr>
            <w:r>
              <w:rPr>
                <w:rFonts w:ascii="Arial" w:cs="Arial" w:eastAsia="Arial" w:hAnsi="Arial"/>
                <w:sz w:val="12"/>
                <w:szCs w:val="12"/>
                <w:color w:val="auto"/>
                <w:w w:val="94"/>
              </w:rPr>
              <w:t>12/01/20</w:t>
            </w: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1,760</w:t>
            </w:r>
          </w:p>
        </w:tc>
        <w:tc>
          <w:tcPr>
            <w:tcW w:w="700" w:type="dxa"/>
            <w:vAlign w:val="bottom"/>
          </w:tcPr>
          <w:p>
            <w:pPr>
              <w:jc w:val="right"/>
              <w:ind w:right="3"/>
              <w:spacing w:after="0"/>
              <w:rPr>
                <w:sz w:val="20"/>
                <w:szCs w:val="20"/>
                <w:color w:val="auto"/>
              </w:rPr>
            </w:pPr>
            <w:r>
              <w:rPr>
                <w:rFonts w:ascii="Arial" w:cs="Arial" w:eastAsia="Arial" w:hAnsi="Arial"/>
                <w:sz w:val="12"/>
                <w:szCs w:val="12"/>
                <w:color w:val="auto"/>
              </w:rPr>
              <w:t>4,400</w:t>
            </w: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8,800</w:t>
            </w: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398,596</w:t>
            </w:r>
          </w:p>
        </w:tc>
      </w:tr>
      <w:tr>
        <w:trPr>
          <w:trHeight w:val="186"/>
        </w:trPr>
        <w:tc>
          <w:tcPr>
            <w:tcW w:w="2220" w:type="dxa"/>
            <w:vAlign w:val="bottom"/>
          </w:tcPr>
          <w:p>
            <w:pPr>
              <w:ind w:left="240"/>
              <w:spacing w:after="0"/>
              <w:rPr>
                <w:sz w:val="20"/>
                <w:szCs w:val="20"/>
                <w:color w:val="auto"/>
              </w:rPr>
            </w:pPr>
            <w:r>
              <w:rPr>
                <w:rFonts w:ascii="Arial" w:cs="Arial" w:eastAsia="Arial" w:hAnsi="Arial"/>
                <w:sz w:val="12"/>
                <w:szCs w:val="12"/>
                <w:color w:val="auto"/>
              </w:rPr>
              <w:t>Stock Options</w:t>
            </w:r>
          </w:p>
        </w:tc>
        <w:tc>
          <w:tcPr>
            <w:tcW w:w="700" w:type="dxa"/>
            <w:vAlign w:val="bottom"/>
          </w:tcPr>
          <w:p>
            <w:pPr>
              <w:jc w:val="center"/>
              <w:ind w:left="2"/>
              <w:spacing w:after="0"/>
              <w:rPr>
                <w:sz w:val="20"/>
                <w:szCs w:val="20"/>
                <w:color w:val="auto"/>
              </w:rPr>
            </w:pPr>
            <w:r>
              <w:rPr>
                <w:rFonts w:ascii="Arial" w:cs="Arial" w:eastAsia="Arial" w:hAnsi="Arial"/>
                <w:sz w:val="12"/>
                <w:szCs w:val="12"/>
                <w:color w:val="auto"/>
                <w:w w:val="94"/>
              </w:rPr>
              <w:t>12/17/20</w:t>
            </w:r>
          </w:p>
        </w:tc>
        <w:tc>
          <w:tcPr>
            <w:tcW w:w="700" w:type="dxa"/>
            <w:vAlign w:val="bottom"/>
          </w:tcPr>
          <w:p>
            <w:pPr>
              <w:jc w:val="center"/>
              <w:ind w:left="2"/>
              <w:spacing w:after="0"/>
              <w:rPr>
                <w:sz w:val="20"/>
                <w:szCs w:val="20"/>
                <w:color w:val="auto"/>
              </w:rPr>
            </w:pPr>
            <w:r>
              <w:rPr>
                <w:rFonts w:ascii="Arial" w:cs="Arial" w:eastAsia="Arial" w:hAnsi="Arial"/>
                <w:sz w:val="12"/>
                <w:szCs w:val="12"/>
                <w:color w:val="auto"/>
                <w:w w:val="94"/>
              </w:rPr>
              <w:t>12/01/20</w:t>
            </w: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jc w:val="right"/>
              <w:ind w:right="43"/>
              <w:spacing w:after="0"/>
              <w:rPr>
                <w:sz w:val="20"/>
                <w:szCs w:val="20"/>
                <w:color w:val="auto"/>
              </w:rPr>
            </w:pPr>
            <w:r>
              <w:rPr>
                <w:rFonts w:ascii="Arial" w:cs="Arial" w:eastAsia="Arial" w:hAnsi="Arial"/>
                <w:sz w:val="12"/>
                <w:szCs w:val="12"/>
                <w:color w:val="auto"/>
              </w:rPr>
              <w:t>21,300</w:t>
            </w:r>
          </w:p>
        </w:tc>
        <w:tc>
          <w:tcPr>
            <w:tcW w:w="860" w:type="dxa"/>
            <w:vAlign w:val="bottom"/>
          </w:tcPr>
          <w:p>
            <w:pPr>
              <w:jc w:val="right"/>
              <w:ind w:right="43"/>
              <w:spacing w:after="0"/>
              <w:rPr>
                <w:sz w:val="20"/>
                <w:szCs w:val="20"/>
                <w:color w:val="auto"/>
              </w:rPr>
            </w:pPr>
            <w:r>
              <w:rPr>
                <w:rFonts w:ascii="Arial" w:cs="Arial" w:eastAsia="Arial" w:hAnsi="Arial"/>
                <w:sz w:val="12"/>
                <w:szCs w:val="12"/>
                <w:color w:val="auto"/>
              </w:rPr>
              <w:t>93.33</w:t>
            </w:r>
          </w:p>
        </w:tc>
        <w:tc>
          <w:tcPr>
            <w:tcW w:w="780" w:type="dxa"/>
            <w:vAlign w:val="bottom"/>
          </w:tcPr>
          <w:p>
            <w:pPr>
              <w:jc w:val="right"/>
              <w:spacing w:after="0"/>
              <w:rPr>
                <w:sz w:val="20"/>
                <w:szCs w:val="20"/>
                <w:color w:val="auto"/>
              </w:rPr>
            </w:pPr>
            <w:r>
              <w:rPr>
                <w:rFonts w:ascii="Arial" w:cs="Arial" w:eastAsia="Arial" w:hAnsi="Arial"/>
                <w:sz w:val="12"/>
                <w:szCs w:val="12"/>
                <w:color w:val="auto"/>
              </w:rPr>
              <w:t>420,462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2342515</wp:posOffset>
            </wp:positionH>
            <wp:positionV relativeFrom="paragraph">
              <wp:posOffset>-2545715</wp:posOffset>
            </wp:positionV>
            <wp:extent cx="26174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61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80010</wp:posOffset>
            </wp:positionV>
            <wp:extent cx="203454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034540" cy="8255"/>
                    </a:xfrm>
                    <a:prstGeom prst="rect">
                      <a:avLst/>
                    </a:prstGeom>
                    <a:noFill/>
                  </pic:spPr>
                </pic:pic>
              </a:graphicData>
            </a:graphic>
          </wp:anchor>
        </w:drawing>
      </w:r>
    </w:p>
    <w:p>
      <w:pPr>
        <w:spacing w:after="0" w:line="171" w:lineRule="exact"/>
        <w:rPr>
          <w:sz w:val="20"/>
          <w:szCs w:val="20"/>
          <w:color w:val="auto"/>
        </w:rPr>
      </w:pPr>
    </w:p>
    <w:p>
      <w:pPr>
        <w:ind w:left="400" w:right="520" w:hanging="394"/>
        <w:spacing w:after="0" w:line="238" w:lineRule="auto"/>
        <w:tabs>
          <w:tab w:leader="none" w:pos="4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Amounts reported represent the range of payouts of annual cash incentive awards for fiscal 2021. Actual payouts for fiscal 2021 are included in the “Summary Compensation Table” in the “Non-Equity Incentive Plan Compensation” column.</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98" w:lineRule="exact"/>
        <w:rPr>
          <w:sz w:val="20"/>
          <w:szCs w:val="20"/>
          <w:color w:val="auto"/>
        </w:rPr>
      </w:pPr>
    </w:p>
    <w:p>
      <w:pPr>
        <w:ind w:left="400" w:right="300" w:hanging="394"/>
        <w:spacing w:after="0" w:line="236" w:lineRule="auto"/>
        <w:tabs>
          <w:tab w:leader="none" w:pos="4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Amounts reported represent the range of performance share award payouts for the fiscal 2021 to fiscal 2023 performance period. Information regarding the performance share awards is set forth within the “Compensation Discussion and Analysis” under “Long-Term Incentives—Performance Share Awards.”</w:t>
      </w:r>
    </w:p>
    <w:p>
      <w:pPr>
        <w:spacing w:after="0" w:line="40" w:lineRule="exact"/>
        <w:rPr>
          <w:rFonts w:ascii="Arial" w:cs="Arial" w:eastAsia="Arial" w:hAnsi="Arial"/>
          <w:sz w:val="18"/>
          <w:szCs w:val="18"/>
          <w:color w:val="auto"/>
        </w:rPr>
      </w:pPr>
    </w:p>
    <w:p>
      <w:pPr>
        <w:ind w:left="400" w:hanging="394"/>
        <w:spacing w:after="0" w:line="235" w:lineRule="auto"/>
        <w:tabs>
          <w:tab w:leader="none" w:pos="4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Amounts reported represent stock options granted during fiscal 2021, which grant date was December 17, 2020. All of these options have a ten-year term and vest ratably in three equal installments on each of the first, second and third year anniversaries of the grant date. Additional information regarding stock options is set forth within the “Compensation Discussion and Analysis” under “Long-Term Incentives —Stock Options.”</w:t>
      </w:r>
    </w:p>
    <w:p>
      <w:pPr>
        <w:spacing w:after="0" w:line="40" w:lineRule="exact"/>
        <w:rPr>
          <w:rFonts w:ascii="Arial" w:cs="Arial" w:eastAsia="Arial" w:hAnsi="Arial"/>
          <w:sz w:val="18"/>
          <w:szCs w:val="18"/>
          <w:color w:val="auto"/>
        </w:rPr>
      </w:pPr>
    </w:p>
    <w:p>
      <w:pPr>
        <w:ind w:left="400" w:right="140" w:hanging="394"/>
        <w:spacing w:after="0" w:line="238" w:lineRule="auto"/>
        <w:tabs>
          <w:tab w:leader="none" w:pos="4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Amounts reported represent the exercise price of stock options granted during fiscal 2021, which equals the closing price of our common stock on December 17, 2020.</w:t>
      </w:r>
    </w:p>
    <w:p>
      <w:pPr>
        <w:spacing w:after="0" w:line="41" w:lineRule="exact"/>
        <w:rPr>
          <w:rFonts w:ascii="Arial" w:cs="Arial" w:eastAsia="Arial" w:hAnsi="Arial"/>
          <w:sz w:val="18"/>
          <w:szCs w:val="18"/>
          <w:color w:val="auto"/>
        </w:rPr>
      </w:pPr>
    </w:p>
    <w:p>
      <w:pPr>
        <w:ind w:left="400" w:right="40" w:hanging="394"/>
        <w:spacing w:after="0" w:line="248" w:lineRule="auto"/>
        <w:tabs>
          <w:tab w:leader="none" w:pos="4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Amounts reported represent the grant date fair value of performance share awards at target granted for the fiscal 2021 to fiscal 2023 performance period and option awards for all named executive officers, each as computed in accordance with FASB ASC Topic 718. The grant date fair value of the performance share awards is based on the closing price of our common stock on December 1, 2020, the grant date, of $90.59. These amounts are also set forth in the “Summary Compensation Table” in the “Stock Awards” column. The grant date fair value of the option awards is based on a Black-Scholes model valuation of $19.74 per share for options granted on December 17, 2020. The specific assumptions used in the valuation of the options are included in footnote 4 to the “Summary Compensation Table.” The option amounts are also set forth in the “Summary Compensation Table” beginning on page in the “Option Awards” column.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71"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Outstanding Equity Awards at Fiscal Year-End for 2021</w:t>
      </w:r>
    </w:p>
    <w:p>
      <w:pPr>
        <w:spacing w:after="0" w:line="127" w:lineRule="exact"/>
        <w:rPr>
          <w:sz w:val="20"/>
          <w:szCs w:val="20"/>
          <w:color w:val="auto"/>
        </w:rPr>
      </w:pPr>
    </w:p>
    <w:p>
      <w:pPr>
        <w:jc w:val="both"/>
        <w:ind w:right="20" w:firstLine="401"/>
        <w:spacing w:after="0" w:line="236" w:lineRule="auto"/>
        <w:rPr>
          <w:sz w:val="20"/>
          <w:szCs w:val="20"/>
          <w:color w:val="auto"/>
        </w:rPr>
      </w:pPr>
      <w:r>
        <w:rPr>
          <w:rFonts w:ascii="Arial" w:cs="Arial" w:eastAsia="Arial" w:hAnsi="Arial"/>
          <w:sz w:val="18"/>
          <w:szCs w:val="18"/>
          <w:color w:val="auto"/>
        </w:rPr>
        <w:t>The following table summarizes all outstanding equity awards previously granted to our named executive officers that were outstanding on October 31, 2021, the last day of fiscal 2021. Specifically, it reflects exercisable and unexercisable stock options, unvested restricted stock unit awards and unvested performance share awards.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420" w:type="dxa"/>
            <w:vAlign w:val="bottom"/>
            <w:shd w:val="clear" w:color="auto" w:fill="C00000"/>
          </w:tcPr>
          <w:p>
            <w:pPr>
              <w:spacing w:after="0"/>
              <w:rPr>
                <w:sz w:val="19"/>
                <w:szCs w:val="19"/>
                <w:color w:val="auto"/>
              </w:rPr>
            </w:pPr>
          </w:p>
        </w:tc>
        <w:tc>
          <w:tcPr>
            <w:tcW w:w="800" w:type="dxa"/>
            <w:vAlign w:val="bottom"/>
            <w:shd w:val="clear" w:color="auto" w:fill="C00000"/>
          </w:tcPr>
          <w:p>
            <w:pPr>
              <w:spacing w:after="0"/>
              <w:rPr>
                <w:sz w:val="19"/>
                <w:szCs w:val="19"/>
                <w:color w:val="auto"/>
              </w:rPr>
            </w:pPr>
          </w:p>
        </w:tc>
        <w:tc>
          <w:tcPr>
            <w:tcW w:w="240" w:type="dxa"/>
            <w:vAlign w:val="bottom"/>
            <w:shd w:val="clear" w:color="auto" w:fill="C00000"/>
          </w:tcPr>
          <w:p>
            <w:pPr>
              <w:spacing w:after="0"/>
              <w:rPr>
                <w:sz w:val="19"/>
                <w:szCs w:val="19"/>
                <w:color w:val="auto"/>
              </w:rPr>
            </w:pPr>
          </w:p>
        </w:tc>
        <w:tc>
          <w:tcPr>
            <w:tcW w:w="2040" w:type="dxa"/>
            <w:vAlign w:val="bottom"/>
            <w:gridSpan w:val="2"/>
            <w:shd w:val="clear" w:color="auto" w:fill="C00000"/>
          </w:tcPr>
          <w:p>
            <w:pPr>
              <w:jc w:val="right"/>
              <w:ind w:right="547"/>
              <w:spacing w:after="0"/>
              <w:rPr>
                <w:sz w:val="20"/>
                <w:szCs w:val="20"/>
                <w:color w:val="auto"/>
              </w:rPr>
            </w:pPr>
            <w:r>
              <w:rPr>
                <w:rFonts w:ascii="Arial" w:cs="Arial" w:eastAsia="Arial" w:hAnsi="Arial"/>
                <w:sz w:val="11"/>
                <w:szCs w:val="11"/>
                <w:b w:val="1"/>
                <w:bCs w:val="1"/>
                <w:color w:val="FFFFFF"/>
              </w:rPr>
              <w:t>Option Awards</w:t>
            </w:r>
          </w:p>
        </w:tc>
        <w:tc>
          <w:tcPr>
            <w:tcW w:w="1020" w:type="dxa"/>
            <w:vAlign w:val="bottom"/>
            <w:shd w:val="clear" w:color="auto" w:fill="C00000"/>
          </w:tcPr>
          <w:p>
            <w:pPr>
              <w:spacing w:after="0"/>
              <w:rPr>
                <w:sz w:val="19"/>
                <w:szCs w:val="19"/>
                <w:color w:val="auto"/>
              </w:rPr>
            </w:pPr>
          </w:p>
        </w:tc>
        <w:tc>
          <w:tcPr>
            <w:tcW w:w="940" w:type="dxa"/>
            <w:vAlign w:val="bottom"/>
            <w:shd w:val="clear" w:color="auto" w:fill="C00000"/>
          </w:tcPr>
          <w:p>
            <w:pPr>
              <w:spacing w:after="0"/>
              <w:rPr>
                <w:sz w:val="19"/>
                <w:szCs w:val="19"/>
                <w:color w:val="auto"/>
              </w:rPr>
            </w:pPr>
          </w:p>
        </w:tc>
        <w:tc>
          <w:tcPr>
            <w:tcW w:w="980" w:type="dxa"/>
            <w:vAlign w:val="bottom"/>
            <w:shd w:val="clear" w:color="auto" w:fill="C00000"/>
          </w:tcPr>
          <w:p>
            <w:pPr>
              <w:spacing w:after="0"/>
              <w:rPr>
                <w:sz w:val="19"/>
                <w:szCs w:val="19"/>
                <w:color w:val="auto"/>
              </w:rPr>
            </w:pPr>
          </w:p>
        </w:tc>
        <w:tc>
          <w:tcPr>
            <w:tcW w:w="1560" w:type="dxa"/>
            <w:vAlign w:val="bottom"/>
            <w:shd w:val="clear" w:color="auto" w:fill="C00000"/>
          </w:tcPr>
          <w:p>
            <w:pPr>
              <w:jc w:val="right"/>
              <w:ind w:right="667"/>
              <w:spacing w:after="0"/>
              <w:rPr>
                <w:sz w:val="20"/>
                <w:szCs w:val="20"/>
                <w:color w:val="auto"/>
              </w:rPr>
            </w:pPr>
            <w:r>
              <w:rPr>
                <w:rFonts w:ascii="Arial" w:cs="Arial" w:eastAsia="Arial" w:hAnsi="Arial"/>
                <w:sz w:val="11"/>
                <w:szCs w:val="11"/>
                <w:b w:val="1"/>
                <w:bCs w:val="1"/>
                <w:color w:val="FFFFFF"/>
              </w:rPr>
              <w:t>Stock Awards</w:t>
            </w:r>
          </w:p>
        </w:tc>
        <w:tc>
          <w:tcPr>
            <w:tcW w:w="1240" w:type="dxa"/>
            <w:vAlign w:val="bottom"/>
            <w:shd w:val="clear" w:color="auto" w:fill="C00000"/>
          </w:tcPr>
          <w:p>
            <w:pPr>
              <w:spacing w:after="0"/>
              <w:rPr>
                <w:sz w:val="19"/>
                <w:szCs w:val="19"/>
                <w:color w:val="auto"/>
              </w:rPr>
            </w:pPr>
          </w:p>
        </w:tc>
      </w:tr>
      <w:tr>
        <w:trPr>
          <w:trHeight w:val="131"/>
        </w:trPr>
        <w:tc>
          <w:tcPr>
            <w:tcW w:w="2420" w:type="dxa"/>
            <w:vAlign w:val="bottom"/>
            <w:shd w:val="clear" w:color="auto" w:fill="C00000"/>
          </w:tcPr>
          <w:p>
            <w:pPr>
              <w:spacing w:after="0"/>
              <w:rPr>
                <w:sz w:val="11"/>
                <w:szCs w:val="11"/>
                <w:color w:val="auto"/>
              </w:rPr>
            </w:pPr>
          </w:p>
        </w:tc>
        <w:tc>
          <w:tcPr>
            <w:tcW w:w="800" w:type="dxa"/>
            <w:vAlign w:val="bottom"/>
            <w:shd w:val="clear" w:color="auto" w:fill="C00000"/>
          </w:tcPr>
          <w:p>
            <w:pPr>
              <w:spacing w:after="0"/>
              <w:rPr>
                <w:sz w:val="11"/>
                <w:szCs w:val="11"/>
                <w:color w:val="auto"/>
              </w:rPr>
            </w:pPr>
          </w:p>
        </w:tc>
        <w:tc>
          <w:tcPr>
            <w:tcW w:w="240" w:type="dxa"/>
            <w:vAlign w:val="bottom"/>
            <w:shd w:val="clear" w:color="auto" w:fill="C00000"/>
          </w:tcPr>
          <w:p>
            <w:pPr>
              <w:spacing w:after="0"/>
              <w:rPr>
                <w:sz w:val="11"/>
                <w:szCs w:val="11"/>
                <w:color w:val="auto"/>
              </w:rPr>
            </w:pPr>
          </w:p>
        </w:tc>
        <w:tc>
          <w:tcPr>
            <w:tcW w:w="1020" w:type="dxa"/>
            <w:vAlign w:val="bottom"/>
            <w:shd w:val="clear" w:color="auto" w:fill="C00000"/>
          </w:tcPr>
          <w:p>
            <w:pPr>
              <w:spacing w:after="0"/>
              <w:rPr>
                <w:sz w:val="11"/>
                <w:szCs w:val="11"/>
                <w:color w:val="auto"/>
              </w:rPr>
            </w:pPr>
          </w:p>
        </w:tc>
        <w:tc>
          <w:tcPr>
            <w:tcW w:w="1020" w:type="dxa"/>
            <w:vAlign w:val="bottom"/>
            <w:shd w:val="clear" w:color="auto" w:fill="C00000"/>
          </w:tcPr>
          <w:p>
            <w:pPr>
              <w:spacing w:after="0"/>
              <w:rPr>
                <w:sz w:val="11"/>
                <w:szCs w:val="11"/>
                <w:color w:val="auto"/>
              </w:rPr>
            </w:pPr>
          </w:p>
        </w:tc>
        <w:tc>
          <w:tcPr>
            <w:tcW w:w="1020" w:type="dxa"/>
            <w:vAlign w:val="bottom"/>
            <w:shd w:val="clear" w:color="auto" w:fill="C00000"/>
          </w:tcPr>
          <w:p>
            <w:pPr>
              <w:spacing w:after="0"/>
              <w:rPr>
                <w:sz w:val="11"/>
                <w:szCs w:val="11"/>
                <w:color w:val="auto"/>
              </w:rPr>
            </w:pPr>
          </w:p>
        </w:tc>
        <w:tc>
          <w:tcPr>
            <w:tcW w:w="940" w:type="dxa"/>
            <w:vAlign w:val="bottom"/>
            <w:shd w:val="clear" w:color="auto" w:fill="C00000"/>
          </w:tcPr>
          <w:p>
            <w:pPr>
              <w:spacing w:after="0"/>
              <w:rPr>
                <w:sz w:val="11"/>
                <w:szCs w:val="11"/>
                <w:color w:val="auto"/>
              </w:rPr>
            </w:pPr>
          </w:p>
        </w:tc>
        <w:tc>
          <w:tcPr>
            <w:tcW w:w="980" w:type="dxa"/>
            <w:vAlign w:val="bottom"/>
            <w:shd w:val="clear" w:color="auto" w:fill="C00000"/>
          </w:tcPr>
          <w:p>
            <w:pPr>
              <w:spacing w:after="0"/>
              <w:rPr>
                <w:sz w:val="11"/>
                <w:szCs w:val="11"/>
                <w:color w:val="auto"/>
              </w:rPr>
            </w:pPr>
          </w:p>
        </w:tc>
        <w:tc>
          <w:tcPr>
            <w:tcW w:w="1560" w:type="dxa"/>
            <w:vAlign w:val="bottom"/>
            <w:shd w:val="clear" w:color="auto" w:fill="C00000"/>
          </w:tcPr>
          <w:p>
            <w:pPr>
              <w:spacing w:after="0"/>
              <w:rPr>
                <w:sz w:val="11"/>
                <w:szCs w:val="11"/>
                <w:color w:val="auto"/>
              </w:rPr>
            </w:pPr>
          </w:p>
        </w:tc>
        <w:tc>
          <w:tcPr>
            <w:tcW w:w="1240" w:type="dxa"/>
            <w:vAlign w:val="bottom"/>
            <w:shd w:val="clear" w:color="auto" w:fill="C00000"/>
          </w:tcPr>
          <w:p>
            <w:pPr>
              <w:jc w:val="center"/>
              <w:ind w:right="27"/>
              <w:spacing w:after="0"/>
              <w:rPr>
                <w:sz w:val="20"/>
                <w:szCs w:val="20"/>
                <w:color w:val="auto"/>
              </w:rPr>
            </w:pPr>
            <w:r>
              <w:rPr>
                <w:rFonts w:ascii="Arial" w:cs="Arial" w:eastAsia="Arial" w:hAnsi="Arial"/>
                <w:sz w:val="11"/>
                <w:szCs w:val="11"/>
                <w:b w:val="1"/>
                <w:bCs w:val="1"/>
                <w:color w:val="FFFFFF"/>
                <w:w w:val="95"/>
              </w:rPr>
              <w:t>Equity</w:t>
            </w:r>
          </w:p>
        </w:tc>
      </w:tr>
      <w:tr>
        <w:trPr>
          <w:trHeight w:val="120"/>
        </w:trPr>
        <w:tc>
          <w:tcPr>
            <w:tcW w:w="2420" w:type="dxa"/>
            <w:vAlign w:val="bottom"/>
            <w:shd w:val="clear" w:color="auto" w:fill="C00000"/>
          </w:tcPr>
          <w:p>
            <w:pPr>
              <w:spacing w:after="0"/>
              <w:rPr>
                <w:sz w:val="10"/>
                <w:szCs w:val="10"/>
                <w:color w:val="auto"/>
              </w:rPr>
            </w:pPr>
          </w:p>
        </w:tc>
        <w:tc>
          <w:tcPr>
            <w:tcW w:w="800" w:type="dxa"/>
            <w:vAlign w:val="bottom"/>
            <w:shd w:val="clear" w:color="auto" w:fill="C00000"/>
          </w:tcPr>
          <w:p>
            <w:pPr>
              <w:spacing w:after="0"/>
              <w:rPr>
                <w:sz w:val="10"/>
                <w:szCs w:val="10"/>
                <w:color w:val="auto"/>
              </w:rPr>
            </w:pPr>
          </w:p>
        </w:tc>
        <w:tc>
          <w:tcPr>
            <w:tcW w:w="240" w:type="dxa"/>
            <w:vAlign w:val="bottom"/>
            <w:shd w:val="clear" w:color="auto" w:fill="C00000"/>
          </w:tcPr>
          <w:p>
            <w:pPr>
              <w:spacing w:after="0"/>
              <w:rPr>
                <w:sz w:val="10"/>
                <w:szCs w:val="10"/>
                <w:color w:val="auto"/>
              </w:rPr>
            </w:pPr>
          </w:p>
        </w:tc>
        <w:tc>
          <w:tcPr>
            <w:tcW w:w="1020" w:type="dxa"/>
            <w:vAlign w:val="bottom"/>
            <w:shd w:val="clear" w:color="auto" w:fill="C00000"/>
          </w:tcPr>
          <w:p>
            <w:pPr>
              <w:spacing w:after="0"/>
              <w:rPr>
                <w:sz w:val="10"/>
                <w:szCs w:val="10"/>
                <w:color w:val="auto"/>
              </w:rPr>
            </w:pPr>
          </w:p>
        </w:tc>
        <w:tc>
          <w:tcPr>
            <w:tcW w:w="1020" w:type="dxa"/>
            <w:vAlign w:val="bottom"/>
            <w:shd w:val="clear" w:color="auto" w:fill="C00000"/>
          </w:tcPr>
          <w:p>
            <w:pPr>
              <w:spacing w:after="0"/>
              <w:rPr>
                <w:sz w:val="10"/>
                <w:szCs w:val="10"/>
                <w:color w:val="auto"/>
              </w:rPr>
            </w:pPr>
          </w:p>
        </w:tc>
        <w:tc>
          <w:tcPr>
            <w:tcW w:w="1020" w:type="dxa"/>
            <w:vAlign w:val="bottom"/>
            <w:shd w:val="clear" w:color="auto" w:fill="C00000"/>
          </w:tcPr>
          <w:p>
            <w:pPr>
              <w:spacing w:after="0"/>
              <w:rPr>
                <w:sz w:val="10"/>
                <w:szCs w:val="10"/>
                <w:color w:val="auto"/>
              </w:rPr>
            </w:pPr>
          </w:p>
        </w:tc>
        <w:tc>
          <w:tcPr>
            <w:tcW w:w="940" w:type="dxa"/>
            <w:vAlign w:val="bottom"/>
            <w:shd w:val="clear" w:color="auto" w:fill="C00000"/>
          </w:tcPr>
          <w:p>
            <w:pPr>
              <w:spacing w:after="0"/>
              <w:rPr>
                <w:sz w:val="10"/>
                <w:szCs w:val="10"/>
                <w:color w:val="auto"/>
              </w:rPr>
            </w:pPr>
          </w:p>
        </w:tc>
        <w:tc>
          <w:tcPr>
            <w:tcW w:w="980" w:type="dxa"/>
            <w:vAlign w:val="bottom"/>
            <w:shd w:val="clear" w:color="auto" w:fill="C00000"/>
          </w:tcPr>
          <w:p>
            <w:pPr>
              <w:spacing w:after="0"/>
              <w:rPr>
                <w:sz w:val="10"/>
                <w:szCs w:val="10"/>
                <w:color w:val="auto"/>
              </w:rPr>
            </w:pPr>
          </w:p>
        </w:tc>
        <w:tc>
          <w:tcPr>
            <w:tcW w:w="1560" w:type="dxa"/>
            <w:vAlign w:val="bottom"/>
            <w:shd w:val="clear" w:color="auto" w:fill="C00000"/>
          </w:tcPr>
          <w:p>
            <w:pPr>
              <w:jc w:val="center"/>
              <w:ind w:right="27"/>
              <w:spacing w:after="0" w:line="120" w:lineRule="exact"/>
              <w:rPr>
                <w:sz w:val="20"/>
                <w:szCs w:val="20"/>
                <w:color w:val="auto"/>
              </w:rPr>
            </w:pPr>
            <w:r>
              <w:rPr>
                <w:rFonts w:ascii="Arial" w:cs="Arial" w:eastAsia="Arial" w:hAnsi="Arial"/>
                <w:sz w:val="11"/>
                <w:szCs w:val="11"/>
                <w:b w:val="1"/>
                <w:bCs w:val="1"/>
                <w:color w:val="FFFFFF"/>
                <w:w w:val="95"/>
              </w:rPr>
              <w:t>Equity</w:t>
            </w:r>
          </w:p>
        </w:tc>
        <w:tc>
          <w:tcPr>
            <w:tcW w:w="1240" w:type="dxa"/>
            <w:vAlign w:val="bottom"/>
            <w:shd w:val="clear" w:color="auto" w:fill="C00000"/>
          </w:tcPr>
          <w:p>
            <w:pPr>
              <w:jc w:val="center"/>
              <w:ind w:right="7"/>
              <w:spacing w:after="0" w:line="120" w:lineRule="exact"/>
              <w:rPr>
                <w:sz w:val="20"/>
                <w:szCs w:val="20"/>
                <w:color w:val="auto"/>
              </w:rPr>
            </w:pPr>
            <w:r>
              <w:rPr>
                <w:rFonts w:ascii="Arial" w:cs="Arial" w:eastAsia="Arial" w:hAnsi="Arial"/>
                <w:sz w:val="11"/>
                <w:szCs w:val="11"/>
                <w:b w:val="1"/>
                <w:bCs w:val="1"/>
                <w:color w:val="FFFFFF"/>
                <w:w w:val="96"/>
              </w:rPr>
              <w:t>Incentive</w:t>
            </w:r>
          </w:p>
        </w:tc>
      </w:tr>
      <w:tr>
        <w:trPr>
          <w:trHeight w:val="120"/>
        </w:trPr>
        <w:tc>
          <w:tcPr>
            <w:tcW w:w="2420" w:type="dxa"/>
            <w:vAlign w:val="bottom"/>
            <w:shd w:val="clear" w:color="auto" w:fill="C00000"/>
          </w:tcPr>
          <w:p>
            <w:pPr>
              <w:spacing w:after="0"/>
              <w:rPr>
                <w:sz w:val="10"/>
                <w:szCs w:val="10"/>
                <w:color w:val="auto"/>
              </w:rPr>
            </w:pPr>
          </w:p>
        </w:tc>
        <w:tc>
          <w:tcPr>
            <w:tcW w:w="800" w:type="dxa"/>
            <w:vAlign w:val="bottom"/>
            <w:shd w:val="clear" w:color="auto" w:fill="C00000"/>
          </w:tcPr>
          <w:p>
            <w:pPr>
              <w:spacing w:after="0"/>
              <w:rPr>
                <w:sz w:val="10"/>
                <w:szCs w:val="10"/>
                <w:color w:val="auto"/>
              </w:rPr>
            </w:pPr>
          </w:p>
        </w:tc>
        <w:tc>
          <w:tcPr>
            <w:tcW w:w="240" w:type="dxa"/>
            <w:vAlign w:val="bottom"/>
            <w:shd w:val="clear" w:color="auto" w:fill="C00000"/>
          </w:tcPr>
          <w:p>
            <w:pPr>
              <w:spacing w:after="0"/>
              <w:rPr>
                <w:sz w:val="10"/>
                <w:szCs w:val="10"/>
                <w:color w:val="auto"/>
              </w:rPr>
            </w:pPr>
          </w:p>
        </w:tc>
        <w:tc>
          <w:tcPr>
            <w:tcW w:w="1020" w:type="dxa"/>
            <w:vAlign w:val="bottom"/>
            <w:shd w:val="clear" w:color="auto" w:fill="C00000"/>
          </w:tcPr>
          <w:p>
            <w:pPr>
              <w:spacing w:after="0"/>
              <w:rPr>
                <w:sz w:val="10"/>
                <w:szCs w:val="10"/>
                <w:color w:val="auto"/>
              </w:rPr>
            </w:pPr>
          </w:p>
        </w:tc>
        <w:tc>
          <w:tcPr>
            <w:tcW w:w="1020" w:type="dxa"/>
            <w:vAlign w:val="bottom"/>
            <w:shd w:val="clear" w:color="auto" w:fill="C00000"/>
          </w:tcPr>
          <w:p>
            <w:pPr>
              <w:spacing w:after="0"/>
              <w:rPr>
                <w:sz w:val="10"/>
                <w:szCs w:val="10"/>
                <w:color w:val="auto"/>
              </w:rPr>
            </w:pPr>
          </w:p>
        </w:tc>
        <w:tc>
          <w:tcPr>
            <w:tcW w:w="1020" w:type="dxa"/>
            <w:vAlign w:val="bottom"/>
            <w:shd w:val="clear" w:color="auto" w:fill="C00000"/>
          </w:tcPr>
          <w:p>
            <w:pPr>
              <w:spacing w:after="0"/>
              <w:rPr>
                <w:sz w:val="10"/>
                <w:szCs w:val="10"/>
                <w:color w:val="auto"/>
              </w:rPr>
            </w:pPr>
          </w:p>
        </w:tc>
        <w:tc>
          <w:tcPr>
            <w:tcW w:w="940" w:type="dxa"/>
            <w:vAlign w:val="bottom"/>
            <w:shd w:val="clear" w:color="auto" w:fill="C00000"/>
          </w:tcPr>
          <w:p>
            <w:pPr>
              <w:spacing w:after="0"/>
              <w:rPr>
                <w:sz w:val="10"/>
                <w:szCs w:val="10"/>
                <w:color w:val="auto"/>
              </w:rPr>
            </w:pPr>
          </w:p>
        </w:tc>
        <w:tc>
          <w:tcPr>
            <w:tcW w:w="980" w:type="dxa"/>
            <w:vAlign w:val="bottom"/>
            <w:shd w:val="clear" w:color="auto" w:fill="C00000"/>
          </w:tcPr>
          <w:p>
            <w:pPr>
              <w:spacing w:after="0"/>
              <w:rPr>
                <w:sz w:val="10"/>
                <w:szCs w:val="10"/>
                <w:color w:val="auto"/>
              </w:rPr>
            </w:pPr>
          </w:p>
        </w:tc>
        <w:tc>
          <w:tcPr>
            <w:tcW w:w="1560" w:type="dxa"/>
            <w:vAlign w:val="bottom"/>
            <w:shd w:val="clear" w:color="auto" w:fill="C00000"/>
          </w:tcPr>
          <w:p>
            <w:pPr>
              <w:jc w:val="center"/>
              <w:ind w:right="7"/>
              <w:spacing w:after="0" w:line="120" w:lineRule="exact"/>
              <w:rPr>
                <w:sz w:val="20"/>
                <w:szCs w:val="20"/>
                <w:color w:val="auto"/>
              </w:rPr>
            </w:pPr>
            <w:r>
              <w:rPr>
                <w:rFonts w:ascii="Arial" w:cs="Arial" w:eastAsia="Arial" w:hAnsi="Arial"/>
                <w:sz w:val="11"/>
                <w:szCs w:val="11"/>
                <w:b w:val="1"/>
                <w:bCs w:val="1"/>
                <w:color w:val="FFFFFF"/>
                <w:w w:val="96"/>
              </w:rPr>
              <w:t>Incentive</w:t>
            </w:r>
          </w:p>
        </w:tc>
        <w:tc>
          <w:tcPr>
            <w:tcW w:w="1240" w:type="dxa"/>
            <w:vAlign w:val="bottom"/>
            <w:shd w:val="clear" w:color="auto" w:fill="C00000"/>
          </w:tcPr>
          <w:p>
            <w:pPr>
              <w:jc w:val="center"/>
              <w:ind w:right="27"/>
              <w:spacing w:after="0" w:line="120" w:lineRule="exact"/>
              <w:rPr>
                <w:sz w:val="20"/>
                <w:szCs w:val="20"/>
                <w:color w:val="auto"/>
              </w:rPr>
            </w:pPr>
            <w:r>
              <w:rPr>
                <w:rFonts w:ascii="Arial" w:cs="Arial" w:eastAsia="Arial" w:hAnsi="Arial"/>
                <w:sz w:val="11"/>
                <w:szCs w:val="11"/>
                <w:b w:val="1"/>
                <w:bCs w:val="1"/>
                <w:color w:val="FFFFFF"/>
                <w:w w:val="97"/>
              </w:rPr>
              <w:t>Plan Awards:</w:t>
            </w:r>
          </w:p>
        </w:tc>
      </w:tr>
      <w:tr>
        <w:trPr>
          <w:trHeight w:val="120"/>
        </w:trPr>
        <w:tc>
          <w:tcPr>
            <w:tcW w:w="2420" w:type="dxa"/>
            <w:vAlign w:val="bottom"/>
            <w:shd w:val="clear" w:color="auto" w:fill="C00000"/>
          </w:tcPr>
          <w:p>
            <w:pPr>
              <w:spacing w:after="0"/>
              <w:rPr>
                <w:sz w:val="10"/>
                <w:szCs w:val="10"/>
                <w:color w:val="auto"/>
              </w:rPr>
            </w:pPr>
          </w:p>
        </w:tc>
        <w:tc>
          <w:tcPr>
            <w:tcW w:w="800" w:type="dxa"/>
            <w:vAlign w:val="bottom"/>
            <w:shd w:val="clear" w:color="auto" w:fill="C00000"/>
          </w:tcPr>
          <w:p>
            <w:pPr>
              <w:spacing w:after="0"/>
              <w:rPr>
                <w:sz w:val="10"/>
                <w:szCs w:val="10"/>
                <w:color w:val="auto"/>
              </w:rPr>
            </w:pPr>
          </w:p>
        </w:tc>
        <w:tc>
          <w:tcPr>
            <w:tcW w:w="240" w:type="dxa"/>
            <w:vAlign w:val="bottom"/>
            <w:shd w:val="clear" w:color="auto" w:fill="C00000"/>
          </w:tcPr>
          <w:p>
            <w:pPr>
              <w:spacing w:after="0"/>
              <w:rPr>
                <w:sz w:val="10"/>
                <w:szCs w:val="10"/>
                <w:color w:val="auto"/>
              </w:rPr>
            </w:pPr>
          </w:p>
        </w:tc>
        <w:tc>
          <w:tcPr>
            <w:tcW w:w="1020" w:type="dxa"/>
            <w:vAlign w:val="bottom"/>
            <w:shd w:val="clear" w:color="auto" w:fill="C00000"/>
          </w:tcPr>
          <w:p>
            <w:pPr>
              <w:spacing w:after="0"/>
              <w:rPr>
                <w:sz w:val="10"/>
                <w:szCs w:val="10"/>
                <w:color w:val="auto"/>
              </w:rPr>
            </w:pPr>
          </w:p>
        </w:tc>
        <w:tc>
          <w:tcPr>
            <w:tcW w:w="1020" w:type="dxa"/>
            <w:vAlign w:val="bottom"/>
            <w:shd w:val="clear" w:color="auto" w:fill="C00000"/>
          </w:tcPr>
          <w:p>
            <w:pPr>
              <w:spacing w:after="0"/>
              <w:rPr>
                <w:sz w:val="10"/>
                <w:szCs w:val="10"/>
                <w:color w:val="auto"/>
              </w:rPr>
            </w:pPr>
          </w:p>
        </w:tc>
        <w:tc>
          <w:tcPr>
            <w:tcW w:w="1020" w:type="dxa"/>
            <w:vAlign w:val="bottom"/>
            <w:shd w:val="clear" w:color="auto" w:fill="C00000"/>
          </w:tcPr>
          <w:p>
            <w:pPr>
              <w:spacing w:after="0"/>
              <w:rPr>
                <w:sz w:val="10"/>
                <w:szCs w:val="10"/>
                <w:color w:val="auto"/>
              </w:rPr>
            </w:pPr>
          </w:p>
        </w:tc>
        <w:tc>
          <w:tcPr>
            <w:tcW w:w="940" w:type="dxa"/>
            <w:vAlign w:val="bottom"/>
            <w:shd w:val="clear" w:color="auto" w:fill="C00000"/>
          </w:tcPr>
          <w:p>
            <w:pPr>
              <w:spacing w:after="0"/>
              <w:rPr>
                <w:sz w:val="10"/>
                <w:szCs w:val="10"/>
                <w:color w:val="auto"/>
              </w:rPr>
            </w:pPr>
          </w:p>
        </w:tc>
        <w:tc>
          <w:tcPr>
            <w:tcW w:w="980" w:type="dxa"/>
            <w:vAlign w:val="bottom"/>
            <w:shd w:val="clear" w:color="auto" w:fill="C00000"/>
          </w:tcPr>
          <w:p>
            <w:pPr>
              <w:jc w:val="center"/>
              <w:ind w:left="27"/>
              <w:spacing w:after="0" w:line="120" w:lineRule="exact"/>
              <w:rPr>
                <w:sz w:val="20"/>
                <w:szCs w:val="20"/>
                <w:color w:val="auto"/>
              </w:rPr>
            </w:pPr>
            <w:r>
              <w:rPr>
                <w:rFonts w:ascii="Arial" w:cs="Arial" w:eastAsia="Arial" w:hAnsi="Arial"/>
                <w:sz w:val="11"/>
                <w:szCs w:val="11"/>
                <w:b w:val="1"/>
                <w:bCs w:val="1"/>
                <w:color w:val="FFFFFF"/>
                <w:w w:val="95"/>
              </w:rPr>
              <w:t>Market</w:t>
            </w:r>
          </w:p>
        </w:tc>
        <w:tc>
          <w:tcPr>
            <w:tcW w:w="1560" w:type="dxa"/>
            <w:vAlign w:val="bottom"/>
            <w:shd w:val="clear" w:color="auto" w:fill="C00000"/>
          </w:tcPr>
          <w:p>
            <w:pPr>
              <w:jc w:val="center"/>
              <w:ind w:right="27"/>
              <w:spacing w:after="0" w:line="120" w:lineRule="exact"/>
              <w:rPr>
                <w:sz w:val="20"/>
                <w:szCs w:val="20"/>
                <w:color w:val="auto"/>
              </w:rPr>
            </w:pPr>
            <w:r>
              <w:rPr>
                <w:rFonts w:ascii="Arial" w:cs="Arial" w:eastAsia="Arial" w:hAnsi="Arial"/>
                <w:sz w:val="11"/>
                <w:szCs w:val="11"/>
                <w:b w:val="1"/>
                <w:bCs w:val="1"/>
                <w:color w:val="FFFFFF"/>
                <w:w w:val="97"/>
              </w:rPr>
              <w:t>Plan Awards:</w:t>
            </w:r>
          </w:p>
        </w:tc>
        <w:tc>
          <w:tcPr>
            <w:tcW w:w="1240" w:type="dxa"/>
            <w:vAlign w:val="bottom"/>
            <w:shd w:val="clear" w:color="auto" w:fill="C00000"/>
          </w:tcPr>
          <w:p>
            <w:pPr>
              <w:jc w:val="center"/>
              <w:ind w:right="27"/>
              <w:spacing w:after="0" w:line="120" w:lineRule="exact"/>
              <w:rPr>
                <w:sz w:val="20"/>
                <w:szCs w:val="20"/>
                <w:color w:val="auto"/>
              </w:rPr>
            </w:pPr>
            <w:r>
              <w:rPr>
                <w:rFonts w:ascii="Arial" w:cs="Arial" w:eastAsia="Arial" w:hAnsi="Arial"/>
                <w:sz w:val="11"/>
                <w:szCs w:val="11"/>
                <w:b w:val="1"/>
                <w:bCs w:val="1"/>
                <w:color w:val="FFFFFF"/>
                <w:w w:val="96"/>
              </w:rPr>
              <w:t>Market or</w:t>
            </w:r>
          </w:p>
        </w:tc>
      </w:tr>
      <w:tr>
        <w:trPr>
          <w:trHeight w:val="120"/>
        </w:trPr>
        <w:tc>
          <w:tcPr>
            <w:tcW w:w="2420" w:type="dxa"/>
            <w:vAlign w:val="bottom"/>
            <w:shd w:val="clear" w:color="auto" w:fill="C00000"/>
          </w:tcPr>
          <w:p>
            <w:pPr>
              <w:spacing w:after="0"/>
              <w:rPr>
                <w:sz w:val="10"/>
                <w:szCs w:val="10"/>
                <w:color w:val="auto"/>
              </w:rPr>
            </w:pPr>
          </w:p>
        </w:tc>
        <w:tc>
          <w:tcPr>
            <w:tcW w:w="1040" w:type="dxa"/>
            <w:vAlign w:val="bottom"/>
            <w:gridSpan w:val="2"/>
            <w:shd w:val="clear" w:color="auto" w:fill="C00000"/>
          </w:tcPr>
          <w:p>
            <w:pPr>
              <w:jc w:val="center"/>
              <w:ind w:left="47"/>
              <w:spacing w:after="0" w:line="120" w:lineRule="exact"/>
              <w:rPr>
                <w:sz w:val="20"/>
                <w:szCs w:val="20"/>
                <w:color w:val="auto"/>
              </w:rPr>
            </w:pPr>
            <w:r>
              <w:rPr>
                <w:rFonts w:ascii="Arial" w:cs="Arial" w:eastAsia="Arial" w:hAnsi="Arial"/>
                <w:sz w:val="11"/>
                <w:szCs w:val="11"/>
                <w:b w:val="1"/>
                <w:bCs w:val="1"/>
                <w:color w:val="FFFFFF"/>
                <w:w w:val="98"/>
              </w:rPr>
              <w:t>Number of</w:t>
            </w:r>
          </w:p>
        </w:tc>
        <w:tc>
          <w:tcPr>
            <w:tcW w:w="1020" w:type="dxa"/>
            <w:vAlign w:val="bottom"/>
            <w:shd w:val="clear" w:color="auto" w:fill="C00000"/>
          </w:tcPr>
          <w:p>
            <w:pPr>
              <w:jc w:val="center"/>
              <w:ind w:left="27"/>
              <w:spacing w:after="0" w:line="120" w:lineRule="exact"/>
              <w:rPr>
                <w:sz w:val="20"/>
                <w:szCs w:val="20"/>
                <w:color w:val="auto"/>
              </w:rPr>
            </w:pPr>
            <w:r>
              <w:rPr>
                <w:rFonts w:ascii="Arial" w:cs="Arial" w:eastAsia="Arial" w:hAnsi="Arial"/>
                <w:sz w:val="11"/>
                <w:szCs w:val="11"/>
                <w:b w:val="1"/>
                <w:bCs w:val="1"/>
                <w:color w:val="FFFFFF"/>
                <w:w w:val="98"/>
              </w:rPr>
              <w:t>Number of</w:t>
            </w:r>
          </w:p>
        </w:tc>
        <w:tc>
          <w:tcPr>
            <w:tcW w:w="1020" w:type="dxa"/>
            <w:vAlign w:val="bottom"/>
            <w:shd w:val="clear" w:color="auto" w:fill="C00000"/>
          </w:tcPr>
          <w:p>
            <w:pPr>
              <w:spacing w:after="0"/>
              <w:rPr>
                <w:sz w:val="10"/>
                <w:szCs w:val="10"/>
                <w:color w:val="auto"/>
              </w:rPr>
            </w:pPr>
          </w:p>
        </w:tc>
        <w:tc>
          <w:tcPr>
            <w:tcW w:w="1020" w:type="dxa"/>
            <w:vAlign w:val="bottom"/>
            <w:shd w:val="clear" w:color="auto" w:fill="C00000"/>
          </w:tcPr>
          <w:p>
            <w:pPr>
              <w:spacing w:after="0"/>
              <w:rPr>
                <w:sz w:val="10"/>
                <w:szCs w:val="10"/>
                <w:color w:val="auto"/>
              </w:rPr>
            </w:pPr>
          </w:p>
        </w:tc>
        <w:tc>
          <w:tcPr>
            <w:tcW w:w="940" w:type="dxa"/>
            <w:vAlign w:val="bottom"/>
            <w:shd w:val="clear" w:color="auto" w:fill="C00000"/>
          </w:tcPr>
          <w:p>
            <w:pPr>
              <w:spacing w:after="0"/>
              <w:rPr>
                <w:sz w:val="10"/>
                <w:szCs w:val="10"/>
                <w:color w:val="auto"/>
              </w:rPr>
            </w:pPr>
          </w:p>
        </w:tc>
        <w:tc>
          <w:tcPr>
            <w:tcW w:w="980" w:type="dxa"/>
            <w:vAlign w:val="bottom"/>
            <w:shd w:val="clear" w:color="auto" w:fill="C00000"/>
          </w:tcPr>
          <w:p>
            <w:pPr>
              <w:jc w:val="center"/>
              <w:ind w:left="27"/>
              <w:spacing w:after="0" w:line="120" w:lineRule="exact"/>
              <w:rPr>
                <w:sz w:val="20"/>
                <w:szCs w:val="20"/>
                <w:color w:val="auto"/>
              </w:rPr>
            </w:pPr>
            <w:r>
              <w:rPr>
                <w:rFonts w:ascii="Arial" w:cs="Arial" w:eastAsia="Arial" w:hAnsi="Arial"/>
                <w:sz w:val="11"/>
                <w:szCs w:val="11"/>
                <w:b w:val="1"/>
                <w:bCs w:val="1"/>
                <w:color w:val="FFFFFF"/>
                <w:w w:val="98"/>
              </w:rPr>
              <w:t>Value of</w:t>
            </w:r>
          </w:p>
        </w:tc>
        <w:tc>
          <w:tcPr>
            <w:tcW w:w="1560" w:type="dxa"/>
            <w:vAlign w:val="bottom"/>
            <w:shd w:val="clear" w:color="auto" w:fill="C00000"/>
          </w:tcPr>
          <w:p>
            <w:pPr>
              <w:jc w:val="center"/>
              <w:ind w:right="27"/>
              <w:spacing w:after="0" w:line="120" w:lineRule="exact"/>
              <w:rPr>
                <w:sz w:val="20"/>
                <w:szCs w:val="20"/>
                <w:color w:val="auto"/>
              </w:rPr>
            </w:pPr>
            <w:r>
              <w:rPr>
                <w:rFonts w:ascii="Arial" w:cs="Arial" w:eastAsia="Arial" w:hAnsi="Arial"/>
                <w:sz w:val="11"/>
                <w:szCs w:val="11"/>
                <w:b w:val="1"/>
                <w:bCs w:val="1"/>
                <w:color w:val="FFFFFF"/>
                <w:w w:val="94"/>
              </w:rPr>
              <w:t>Number of</w:t>
            </w:r>
          </w:p>
        </w:tc>
        <w:tc>
          <w:tcPr>
            <w:tcW w:w="1240" w:type="dxa"/>
            <w:vAlign w:val="bottom"/>
            <w:shd w:val="clear" w:color="auto" w:fill="C00000"/>
          </w:tcPr>
          <w:p>
            <w:pPr>
              <w:jc w:val="center"/>
              <w:ind w:right="7"/>
              <w:spacing w:after="0" w:line="120" w:lineRule="exact"/>
              <w:rPr>
                <w:sz w:val="20"/>
                <w:szCs w:val="20"/>
                <w:color w:val="auto"/>
              </w:rPr>
            </w:pPr>
            <w:r>
              <w:rPr>
                <w:rFonts w:ascii="Arial" w:cs="Arial" w:eastAsia="Arial" w:hAnsi="Arial"/>
                <w:sz w:val="11"/>
                <w:szCs w:val="11"/>
                <w:b w:val="1"/>
                <w:bCs w:val="1"/>
                <w:color w:val="FFFFFF"/>
                <w:w w:val="95"/>
              </w:rPr>
              <w:t>Payout Value</w:t>
            </w:r>
          </w:p>
        </w:tc>
      </w:tr>
      <w:tr>
        <w:trPr>
          <w:trHeight w:val="120"/>
        </w:trPr>
        <w:tc>
          <w:tcPr>
            <w:tcW w:w="2420" w:type="dxa"/>
            <w:vAlign w:val="bottom"/>
            <w:shd w:val="clear" w:color="auto" w:fill="C00000"/>
          </w:tcPr>
          <w:p>
            <w:pPr>
              <w:spacing w:after="0"/>
              <w:rPr>
                <w:sz w:val="10"/>
                <w:szCs w:val="10"/>
                <w:color w:val="auto"/>
              </w:rPr>
            </w:pPr>
          </w:p>
        </w:tc>
        <w:tc>
          <w:tcPr>
            <w:tcW w:w="1040" w:type="dxa"/>
            <w:vAlign w:val="bottom"/>
            <w:gridSpan w:val="2"/>
            <w:shd w:val="clear" w:color="auto" w:fill="C00000"/>
          </w:tcPr>
          <w:p>
            <w:pPr>
              <w:jc w:val="center"/>
              <w:ind w:left="47"/>
              <w:spacing w:after="0" w:line="120" w:lineRule="exact"/>
              <w:rPr>
                <w:sz w:val="20"/>
                <w:szCs w:val="20"/>
                <w:color w:val="auto"/>
              </w:rPr>
            </w:pPr>
            <w:r>
              <w:rPr>
                <w:rFonts w:ascii="Arial" w:cs="Arial" w:eastAsia="Arial" w:hAnsi="Arial"/>
                <w:sz w:val="11"/>
                <w:szCs w:val="11"/>
                <w:b w:val="1"/>
                <w:bCs w:val="1"/>
                <w:color w:val="FFFFFF"/>
                <w:w w:val="94"/>
              </w:rPr>
              <w:t>Securities</w:t>
            </w:r>
          </w:p>
        </w:tc>
        <w:tc>
          <w:tcPr>
            <w:tcW w:w="1020" w:type="dxa"/>
            <w:vAlign w:val="bottom"/>
            <w:shd w:val="clear" w:color="auto" w:fill="C00000"/>
          </w:tcPr>
          <w:p>
            <w:pPr>
              <w:jc w:val="center"/>
              <w:ind w:left="27"/>
              <w:spacing w:after="0" w:line="120" w:lineRule="exact"/>
              <w:rPr>
                <w:sz w:val="20"/>
                <w:szCs w:val="20"/>
                <w:color w:val="auto"/>
              </w:rPr>
            </w:pPr>
            <w:r>
              <w:rPr>
                <w:rFonts w:ascii="Arial" w:cs="Arial" w:eastAsia="Arial" w:hAnsi="Arial"/>
                <w:sz w:val="11"/>
                <w:szCs w:val="11"/>
                <w:b w:val="1"/>
                <w:bCs w:val="1"/>
                <w:color w:val="FFFFFF"/>
                <w:w w:val="94"/>
              </w:rPr>
              <w:t>Securities</w:t>
            </w:r>
          </w:p>
        </w:tc>
        <w:tc>
          <w:tcPr>
            <w:tcW w:w="1020" w:type="dxa"/>
            <w:vAlign w:val="bottom"/>
            <w:shd w:val="clear" w:color="auto" w:fill="C00000"/>
          </w:tcPr>
          <w:p>
            <w:pPr>
              <w:spacing w:after="0"/>
              <w:rPr>
                <w:sz w:val="10"/>
                <w:szCs w:val="10"/>
                <w:color w:val="auto"/>
              </w:rPr>
            </w:pPr>
          </w:p>
        </w:tc>
        <w:tc>
          <w:tcPr>
            <w:tcW w:w="1020" w:type="dxa"/>
            <w:vAlign w:val="bottom"/>
            <w:shd w:val="clear" w:color="auto" w:fill="C00000"/>
          </w:tcPr>
          <w:p>
            <w:pPr>
              <w:spacing w:after="0"/>
              <w:rPr>
                <w:sz w:val="10"/>
                <w:szCs w:val="10"/>
                <w:color w:val="auto"/>
              </w:rPr>
            </w:pPr>
          </w:p>
        </w:tc>
        <w:tc>
          <w:tcPr>
            <w:tcW w:w="940" w:type="dxa"/>
            <w:vAlign w:val="bottom"/>
            <w:shd w:val="clear" w:color="auto" w:fill="C00000"/>
          </w:tcPr>
          <w:p>
            <w:pPr>
              <w:jc w:val="center"/>
              <w:ind w:left="27"/>
              <w:spacing w:after="0" w:line="120" w:lineRule="exact"/>
              <w:rPr>
                <w:sz w:val="20"/>
                <w:szCs w:val="20"/>
                <w:color w:val="auto"/>
              </w:rPr>
            </w:pPr>
            <w:r>
              <w:rPr>
                <w:rFonts w:ascii="Arial" w:cs="Arial" w:eastAsia="Arial" w:hAnsi="Arial"/>
                <w:sz w:val="11"/>
                <w:szCs w:val="11"/>
                <w:b w:val="1"/>
                <w:bCs w:val="1"/>
                <w:color w:val="FFFFFF"/>
                <w:w w:val="98"/>
              </w:rPr>
              <w:t>Number of</w:t>
            </w:r>
          </w:p>
        </w:tc>
        <w:tc>
          <w:tcPr>
            <w:tcW w:w="980" w:type="dxa"/>
            <w:vAlign w:val="bottom"/>
            <w:shd w:val="clear" w:color="auto" w:fill="C00000"/>
          </w:tcPr>
          <w:p>
            <w:pPr>
              <w:jc w:val="center"/>
              <w:ind w:left="27"/>
              <w:spacing w:after="0" w:line="120" w:lineRule="exact"/>
              <w:rPr>
                <w:sz w:val="20"/>
                <w:szCs w:val="20"/>
                <w:color w:val="auto"/>
              </w:rPr>
            </w:pPr>
            <w:r>
              <w:rPr>
                <w:rFonts w:ascii="Arial" w:cs="Arial" w:eastAsia="Arial" w:hAnsi="Arial"/>
                <w:sz w:val="11"/>
                <w:szCs w:val="11"/>
                <w:b w:val="1"/>
                <w:bCs w:val="1"/>
                <w:color w:val="FFFFFF"/>
                <w:w w:val="98"/>
              </w:rPr>
              <w:t>Shares or</w:t>
            </w:r>
          </w:p>
        </w:tc>
        <w:tc>
          <w:tcPr>
            <w:tcW w:w="1560" w:type="dxa"/>
            <w:vAlign w:val="bottom"/>
            <w:shd w:val="clear" w:color="auto" w:fill="C00000"/>
          </w:tcPr>
          <w:p>
            <w:pPr>
              <w:jc w:val="center"/>
              <w:ind w:right="27"/>
              <w:spacing w:after="0" w:line="120" w:lineRule="exact"/>
              <w:rPr>
                <w:sz w:val="20"/>
                <w:szCs w:val="20"/>
                <w:color w:val="auto"/>
              </w:rPr>
            </w:pPr>
            <w:r>
              <w:rPr>
                <w:rFonts w:ascii="Arial" w:cs="Arial" w:eastAsia="Arial" w:hAnsi="Arial"/>
                <w:sz w:val="11"/>
                <w:szCs w:val="11"/>
                <w:b w:val="1"/>
                <w:bCs w:val="1"/>
                <w:color w:val="FFFFFF"/>
                <w:w w:val="94"/>
              </w:rPr>
              <w:t>Unearned</w:t>
            </w:r>
          </w:p>
        </w:tc>
        <w:tc>
          <w:tcPr>
            <w:tcW w:w="1240" w:type="dxa"/>
            <w:vAlign w:val="bottom"/>
            <w:shd w:val="clear" w:color="auto" w:fill="C00000"/>
          </w:tcPr>
          <w:p>
            <w:pPr>
              <w:jc w:val="center"/>
              <w:ind w:right="7"/>
              <w:spacing w:after="0" w:line="120" w:lineRule="exact"/>
              <w:rPr>
                <w:sz w:val="20"/>
                <w:szCs w:val="20"/>
                <w:color w:val="auto"/>
              </w:rPr>
            </w:pPr>
            <w:r>
              <w:rPr>
                <w:rFonts w:ascii="Arial" w:cs="Arial" w:eastAsia="Arial" w:hAnsi="Arial"/>
                <w:sz w:val="11"/>
                <w:szCs w:val="11"/>
                <w:b w:val="1"/>
                <w:bCs w:val="1"/>
                <w:color w:val="FFFFFF"/>
                <w:w w:val="96"/>
              </w:rPr>
              <w:t>of Unearned</w:t>
            </w:r>
          </w:p>
        </w:tc>
      </w:tr>
      <w:tr>
        <w:trPr>
          <w:trHeight w:val="120"/>
        </w:trPr>
        <w:tc>
          <w:tcPr>
            <w:tcW w:w="2420" w:type="dxa"/>
            <w:vAlign w:val="bottom"/>
            <w:shd w:val="clear" w:color="auto" w:fill="C00000"/>
          </w:tcPr>
          <w:p>
            <w:pPr>
              <w:spacing w:after="0"/>
              <w:rPr>
                <w:sz w:val="10"/>
                <w:szCs w:val="10"/>
                <w:color w:val="auto"/>
              </w:rPr>
            </w:pPr>
          </w:p>
        </w:tc>
        <w:tc>
          <w:tcPr>
            <w:tcW w:w="1040" w:type="dxa"/>
            <w:vAlign w:val="bottom"/>
            <w:gridSpan w:val="2"/>
            <w:shd w:val="clear" w:color="auto" w:fill="C00000"/>
          </w:tcPr>
          <w:p>
            <w:pPr>
              <w:jc w:val="center"/>
              <w:ind w:left="27"/>
              <w:spacing w:after="0" w:line="120" w:lineRule="exact"/>
              <w:rPr>
                <w:sz w:val="20"/>
                <w:szCs w:val="20"/>
                <w:color w:val="auto"/>
              </w:rPr>
            </w:pPr>
            <w:r>
              <w:rPr>
                <w:rFonts w:ascii="Arial" w:cs="Arial" w:eastAsia="Arial" w:hAnsi="Arial"/>
                <w:sz w:val="11"/>
                <w:szCs w:val="11"/>
                <w:b w:val="1"/>
                <w:bCs w:val="1"/>
                <w:color w:val="FFFFFF"/>
                <w:w w:val="97"/>
              </w:rPr>
              <w:t>Underlying</w:t>
            </w:r>
          </w:p>
        </w:tc>
        <w:tc>
          <w:tcPr>
            <w:tcW w:w="1020" w:type="dxa"/>
            <w:vAlign w:val="bottom"/>
            <w:shd w:val="clear" w:color="auto" w:fill="C00000"/>
          </w:tcPr>
          <w:p>
            <w:pPr>
              <w:jc w:val="center"/>
              <w:ind w:left="27"/>
              <w:spacing w:after="0" w:line="120" w:lineRule="exact"/>
              <w:rPr>
                <w:sz w:val="20"/>
                <w:szCs w:val="20"/>
                <w:color w:val="auto"/>
              </w:rPr>
            </w:pPr>
            <w:r>
              <w:rPr>
                <w:rFonts w:ascii="Arial" w:cs="Arial" w:eastAsia="Arial" w:hAnsi="Arial"/>
                <w:sz w:val="11"/>
                <w:szCs w:val="11"/>
                <w:b w:val="1"/>
                <w:bCs w:val="1"/>
                <w:color w:val="FFFFFF"/>
                <w:w w:val="93"/>
              </w:rPr>
              <w:t>Underlying</w:t>
            </w:r>
          </w:p>
        </w:tc>
        <w:tc>
          <w:tcPr>
            <w:tcW w:w="1020" w:type="dxa"/>
            <w:vAlign w:val="bottom"/>
            <w:shd w:val="clear" w:color="auto" w:fill="C00000"/>
          </w:tcPr>
          <w:p>
            <w:pPr>
              <w:spacing w:after="0"/>
              <w:rPr>
                <w:sz w:val="10"/>
                <w:szCs w:val="10"/>
                <w:color w:val="auto"/>
              </w:rPr>
            </w:pPr>
          </w:p>
        </w:tc>
        <w:tc>
          <w:tcPr>
            <w:tcW w:w="1020" w:type="dxa"/>
            <w:vAlign w:val="bottom"/>
            <w:shd w:val="clear" w:color="auto" w:fill="C00000"/>
          </w:tcPr>
          <w:p>
            <w:pPr>
              <w:spacing w:after="0"/>
              <w:rPr>
                <w:sz w:val="10"/>
                <w:szCs w:val="10"/>
                <w:color w:val="auto"/>
              </w:rPr>
            </w:pPr>
          </w:p>
        </w:tc>
        <w:tc>
          <w:tcPr>
            <w:tcW w:w="940" w:type="dxa"/>
            <w:vAlign w:val="bottom"/>
            <w:shd w:val="clear" w:color="auto" w:fill="C00000"/>
          </w:tcPr>
          <w:p>
            <w:pPr>
              <w:jc w:val="center"/>
              <w:ind w:left="27"/>
              <w:spacing w:after="0" w:line="120" w:lineRule="exact"/>
              <w:rPr>
                <w:sz w:val="20"/>
                <w:szCs w:val="20"/>
                <w:color w:val="auto"/>
              </w:rPr>
            </w:pPr>
            <w:r>
              <w:rPr>
                <w:rFonts w:ascii="Arial" w:cs="Arial" w:eastAsia="Arial" w:hAnsi="Arial"/>
                <w:sz w:val="11"/>
                <w:szCs w:val="11"/>
                <w:b w:val="1"/>
                <w:bCs w:val="1"/>
                <w:color w:val="FFFFFF"/>
                <w:w w:val="98"/>
              </w:rPr>
              <w:t>Shares or</w:t>
            </w:r>
          </w:p>
        </w:tc>
        <w:tc>
          <w:tcPr>
            <w:tcW w:w="980" w:type="dxa"/>
            <w:vAlign w:val="bottom"/>
            <w:shd w:val="clear" w:color="auto" w:fill="C00000"/>
          </w:tcPr>
          <w:p>
            <w:pPr>
              <w:jc w:val="center"/>
              <w:ind w:left="27"/>
              <w:spacing w:after="0" w:line="120" w:lineRule="exact"/>
              <w:rPr>
                <w:sz w:val="20"/>
                <w:szCs w:val="20"/>
                <w:color w:val="auto"/>
              </w:rPr>
            </w:pPr>
            <w:r>
              <w:rPr>
                <w:rFonts w:ascii="Arial" w:cs="Arial" w:eastAsia="Arial" w:hAnsi="Arial"/>
                <w:sz w:val="11"/>
                <w:szCs w:val="11"/>
                <w:b w:val="1"/>
                <w:bCs w:val="1"/>
                <w:color w:val="FFFFFF"/>
                <w:w w:val="92"/>
              </w:rPr>
              <w:t>Units of</w:t>
            </w:r>
          </w:p>
        </w:tc>
        <w:tc>
          <w:tcPr>
            <w:tcW w:w="1560" w:type="dxa"/>
            <w:vAlign w:val="bottom"/>
            <w:shd w:val="clear" w:color="auto" w:fill="C00000"/>
          </w:tcPr>
          <w:p>
            <w:pPr>
              <w:jc w:val="center"/>
              <w:ind w:right="27"/>
              <w:spacing w:after="0" w:line="120" w:lineRule="exact"/>
              <w:rPr>
                <w:sz w:val="20"/>
                <w:szCs w:val="20"/>
                <w:color w:val="auto"/>
              </w:rPr>
            </w:pPr>
            <w:r>
              <w:rPr>
                <w:rFonts w:ascii="Arial" w:cs="Arial" w:eastAsia="Arial" w:hAnsi="Arial"/>
                <w:sz w:val="11"/>
                <w:szCs w:val="11"/>
                <w:b w:val="1"/>
                <w:bCs w:val="1"/>
                <w:color w:val="FFFFFF"/>
                <w:w w:val="96"/>
              </w:rPr>
              <w:t>Shares, Units</w:t>
            </w:r>
          </w:p>
        </w:tc>
        <w:tc>
          <w:tcPr>
            <w:tcW w:w="1240" w:type="dxa"/>
            <w:vAlign w:val="bottom"/>
            <w:shd w:val="clear" w:color="auto" w:fill="C00000"/>
          </w:tcPr>
          <w:p>
            <w:pPr>
              <w:jc w:val="center"/>
              <w:ind w:right="27"/>
              <w:spacing w:after="0" w:line="120" w:lineRule="exact"/>
              <w:rPr>
                <w:sz w:val="20"/>
                <w:szCs w:val="20"/>
                <w:color w:val="auto"/>
              </w:rPr>
            </w:pPr>
            <w:r>
              <w:rPr>
                <w:rFonts w:ascii="Arial" w:cs="Arial" w:eastAsia="Arial" w:hAnsi="Arial"/>
                <w:sz w:val="11"/>
                <w:szCs w:val="11"/>
                <w:b w:val="1"/>
                <w:bCs w:val="1"/>
                <w:color w:val="FFFFFF"/>
                <w:w w:val="96"/>
              </w:rPr>
              <w:t>Shares, Units</w:t>
            </w:r>
          </w:p>
        </w:tc>
      </w:tr>
      <w:tr>
        <w:trPr>
          <w:trHeight w:val="120"/>
        </w:trPr>
        <w:tc>
          <w:tcPr>
            <w:tcW w:w="2420" w:type="dxa"/>
            <w:vAlign w:val="bottom"/>
            <w:shd w:val="clear" w:color="auto" w:fill="C00000"/>
          </w:tcPr>
          <w:p>
            <w:pPr>
              <w:spacing w:after="0"/>
              <w:rPr>
                <w:sz w:val="10"/>
                <w:szCs w:val="10"/>
                <w:color w:val="auto"/>
              </w:rPr>
            </w:pPr>
          </w:p>
        </w:tc>
        <w:tc>
          <w:tcPr>
            <w:tcW w:w="1040" w:type="dxa"/>
            <w:vAlign w:val="bottom"/>
            <w:gridSpan w:val="2"/>
            <w:shd w:val="clear" w:color="auto" w:fill="C00000"/>
          </w:tcPr>
          <w:p>
            <w:pPr>
              <w:jc w:val="center"/>
              <w:ind w:left="27"/>
              <w:spacing w:after="0" w:line="120" w:lineRule="exact"/>
              <w:rPr>
                <w:sz w:val="20"/>
                <w:szCs w:val="20"/>
                <w:color w:val="auto"/>
              </w:rPr>
            </w:pPr>
            <w:r>
              <w:rPr>
                <w:rFonts w:ascii="Arial" w:cs="Arial" w:eastAsia="Arial" w:hAnsi="Arial"/>
                <w:sz w:val="11"/>
                <w:szCs w:val="11"/>
                <w:b w:val="1"/>
                <w:bCs w:val="1"/>
                <w:color w:val="FFFFFF"/>
                <w:w w:val="97"/>
              </w:rPr>
              <w:t>Unexercised</w:t>
            </w:r>
          </w:p>
        </w:tc>
        <w:tc>
          <w:tcPr>
            <w:tcW w:w="1020" w:type="dxa"/>
            <w:vAlign w:val="bottom"/>
            <w:shd w:val="clear" w:color="auto" w:fill="C00000"/>
          </w:tcPr>
          <w:p>
            <w:pPr>
              <w:jc w:val="center"/>
              <w:ind w:left="27"/>
              <w:spacing w:after="0" w:line="120" w:lineRule="exact"/>
              <w:rPr>
                <w:sz w:val="20"/>
                <w:szCs w:val="20"/>
                <w:color w:val="auto"/>
              </w:rPr>
            </w:pPr>
            <w:r>
              <w:rPr>
                <w:rFonts w:ascii="Arial" w:cs="Arial" w:eastAsia="Arial" w:hAnsi="Arial"/>
                <w:sz w:val="11"/>
                <w:szCs w:val="11"/>
                <w:b w:val="1"/>
                <w:bCs w:val="1"/>
                <w:color w:val="FFFFFF"/>
                <w:w w:val="94"/>
              </w:rPr>
              <w:t>Unexercised</w:t>
            </w:r>
          </w:p>
        </w:tc>
        <w:tc>
          <w:tcPr>
            <w:tcW w:w="1020" w:type="dxa"/>
            <w:vAlign w:val="bottom"/>
            <w:shd w:val="clear" w:color="auto" w:fill="C00000"/>
          </w:tcPr>
          <w:p>
            <w:pPr>
              <w:jc w:val="center"/>
              <w:ind w:left="27"/>
              <w:spacing w:after="0" w:line="120" w:lineRule="exact"/>
              <w:rPr>
                <w:sz w:val="20"/>
                <w:szCs w:val="20"/>
                <w:color w:val="auto"/>
              </w:rPr>
            </w:pPr>
            <w:r>
              <w:rPr>
                <w:rFonts w:ascii="Arial" w:cs="Arial" w:eastAsia="Arial" w:hAnsi="Arial"/>
                <w:sz w:val="11"/>
                <w:szCs w:val="11"/>
                <w:b w:val="1"/>
                <w:bCs w:val="1"/>
                <w:color w:val="FFFFFF"/>
                <w:w w:val="95"/>
              </w:rPr>
              <w:t>Option</w:t>
            </w:r>
          </w:p>
        </w:tc>
        <w:tc>
          <w:tcPr>
            <w:tcW w:w="1020" w:type="dxa"/>
            <w:vAlign w:val="bottom"/>
            <w:shd w:val="clear" w:color="auto" w:fill="C00000"/>
          </w:tcPr>
          <w:p>
            <w:pPr>
              <w:spacing w:after="0"/>
              <w:rPr>
                <w:sz w:val="10"/>
                <w:szCs w:val="10"/>
                <w:color w:val="auto"/>
              </w:rPr>
            </w:pPr>
          </w:p>
        </w:tc>
        <w:tc>
          <w:tcPr>
            <w:tcW w:w="940" w:type="dxa"/>
            <w:vAlign w:val="bottom"/>
            <w:shd w:val="clear" w:color="auto" w:fill="C00000"/>
          </w:tcPr>
          <w:p>
            <w:pPr>
              <w:jc w:val="center"/>
              <w:ind w:left="27"/>
              <w:spacing w:after="0" w:line="120" w:lineRule="exact"/>
              <w:rPr>
                <w:sz w:val="20"/>
                <w:szCs w:val="20"/>
                <w:color w:val="auto"/>
              </w:rPr>
            </w:pPr>
            <w:r>
              <w:rPr>
                <w:rFonts w:ascii="Arial" w:cs="Arial" w:eastAsia="Arial" w:hAnsi="Arial"/>
                <w:sz w:val="11"/>
                <w:szCs w:val="11"/>
                <w:b w:val="1"/>
                <w:bCs w:val="1"/>
                <w:color w:val="FFFFFF"/>
                <w:w w:val="98"/>
              </w:rPr>
              <w:t>Units that</w:t>
            </w:r>
          </w:p>
        </w:tc>
        <w:tc>
          <w:tcPr>
            <w:tcW w:w="980" w:type="dxa"/>
            <w:vAlign w:val="bottom"/>
            <w:shd w:val="clear" w:color="auto" w:fill="C00000"/>
          </w:tcPr>
          <w:p>
            <w:pPr>
              <w:jc w:val="center"/>
              <w:ind w:left="27"/>
              <w:spacing w:after="0" w:line="120" w:lineRule="exact"/>
              <w:rPr>
                <w:sz w:val="20"/>
                <w:szCs w:val="20"/>
                <w:color w:val="auto"/>
              </w:rPr>
            </w:pPr>
            <w:r>
              <w:rPr>
                <w:rFonts w:ascii="Arial" w:cs="Arial" w:eastAsia="Arial" w:hAnsi="Arial"/>
                <w:sz w:val="11"/>
                <w:szCs w:val="11"/>
                <w:b w:val="1"/>
                <w:bCs w:val="1"/>
                <w:color w:val="FFFFFF"/>
                <w:w w:val="93"/>
              </w:rPr>
              <w:t>Stock that</w:t>
            </w:r>
          </w:p>
        </w:tc>
        <w:tc>
          <w:tcPr>
            <w:tcW w:w="1560" w:type="dxa"/>
            <w:vAlign w:val="bottom"/>
            <w:shd w:val="clear" w:color="auto" w:fill="C00000"/>
          </w:tcPr>
          <w:p>
            <w:pPr>
              <w:jc w:val="center"/>
              <w:ind w:right="7"/>
              <w:spacing w:after="0" w:line="120" w:lineRule="exact"/>
              <w:rPr>
                <w:sz w:val="20"/>
                <w:szCs w:val="20"/>
                <w:color w:val="auto"/>
              </w:rPr>
            </w:pPr>
            <w:r>
              <w:rPr>
                <w:rFonts w:ascii="Arial" w:cs="Arial" w:eastAsia="Arial" w:hAnsi="Arial"/>
                <w:sz w:val="11"/>
                <w:szCs w:val="11"/>
                <w:b w:val="1"/>
                <w:bCs w:val="1"/>
                <w:color w:val="FFFFFF"/>
                <w:w w:val="96"/>
              </w:rPr>
              <w:t>or Other Rights</w:t>
            </w:r>
          </w:p>
        </w:tc>
        <w:tc>
          <w:tcPr>
            <w:tcW w:w="1240" w:type="dxa"/>
            <w:vAlign w:val="bottom"/>
            <w:shd w:val="clear" w:color="auto" w:fill="C00000"/>
          </w:tcPr>
          <w:p>
            <w:pPr>
              <w:jc w:val="center"/>
              <w:ind w:right="7"/>
              <w:spacing w:after="0" w:line="120" w:lineRule="exact"/>
              <w:rPr>
                <w:sz w:val="20"/>
                <w:szCs w:val="20"/>
                <w:color w:val="auto"/>
              </w:rPr>
            </w:pPr>
            <w:r>
              <w:rPr>
                <w:rFonts w:ascii="Arial" w:cs="Arial" w:eastAsia="Arial" w:hAnsi="Arial"/>
                <w:sz w:val="11"/>
                <w:szCs w:val="11"/>
                <w:b w:val="1"/>
                <w:bCs w:val="1"/>
                <w:color w:val="FFFFFF"/>
                <w:w w:val="96"/>
              </w:rPr>
              <w:t>or Other Rights</w:t>
            </w:r>
          </w:p>
        </w:tc>
      </w:tr>
      <w:tr>
        <w:trPr>
          <w:trHeight w:val="120"/>
        </w:trPr>
        <w:tc>
          <w:tcPr>
            <w:tcW w:w="2420" w:type="dxa"/>
            <w:vAlign w:val="bottom"/>
            <w:shd w:val="clear" w:color="auto" w:fill="C00000"/>
          </w:tcPr>
          <w:p>
            <w:pPr>
              <w:spacing w:after="0"/>
              <w:rPr>
                <w:sz w:val="10"/>
                <w:szCs w:val="10"/>
                <w:color w:val="auto"/>
              </w:rPr>
            </w:pPr>
          </w:p>
        </w:tc>
        <w:tc>
          <w:tcPr>
            <w:tcW w:w="1040" w:type="dxa"/>
            <w:vAlign w:val="bottom"/>
            <w:gridSpan w:val="2"/>
            <w:shd w:val="clear" w:color="auto" w:fill="C00000"/>
          </w:tcPr>
          <w:p>
            <w:pPr>
              <w:jc w:val="center"/>
              <w:ind w:left="27"/>
              <w:spacing w:after="0" w:line="120" w:lineRule="exact"/>
              <w:rPr>
                <w:sz w:val="20"/>
                <w:szCs w:val="20"/>
                <w:color w:val="auto"/>
              </w:rPr>
            </w:pPr>
            <w:r>
              <w:rPr>
                <w:rFonts w:ascii="Arial" w:cs="Arial" w:eastAsia="Arial" w:hAnsi="Arial"/>
                <w:sz w:val="11"/>
                <w:szCs w:val="11"/>
                <w:b w:val="1"/>
                <w:bCs w:val="1"/>
                <w:color w:val="FFFFFF"/>
                <w:w w:val="96"/>
              </w:rPr>
              <w:t>Options</w:t>
            </w:r>
          </w:p>
        </w:tc>
        <w:tc>
          <w:tcPr>
            <w:tcW w:w="1020" w:type="dxa"/>
            <w:vAlign w:val="bottom"/>
            <w:shd w:val="clear" w:color="auto" w:fill="C00000"/>
          </w:tcPr>
          <w:p>
            <w:pPr>
              <w:jc w:val="center"/>
              <w:ind w:left="7"/>
              <w:spacing w:after="0" w:line="120" w:lineRule="exact"/>
              <w:rPr>
                <w:sz w:val="20"/>
                <w:szCs w:val="20"/>
                <w:color w:val="auto"/>
              </w:rPr>
            </w:pPr>
            <w:r>
              <w:rPr>
                <w:rFonts w:ascii="Arial" w:cs="Arial" w:eastAsia="Arial" w:hAnsi="Arial"/>
                <w:sz w:val="11"/>
                <w:szCs w:val="11"/>
                <w:b w:val="1"/>
                <w:bCs w:val="1"/>
                <w:color w:val="FFFFFF"/>
                <w:w w:val="96"/>
              </w:rPr>
              <w:t>Options</w:t>
            </w:r>
          </w:p>
        </w:tc>
        <w:tc>
          <w:tcPr>
            <w:tcW w:w="1020" w:type="dxa"/>
            <w:vAlign w:val="bottom"/>
            <w:shd w:val="clear" w:color="auto" w:fill="C00000"/>
          </w:tcPr>
          <w:p>
            <w:pPr>
              <w:jc w:val="center"/>
              <w:ind w:left="47"/>
              <w:spacing w:after="0" w:line="120" w:lineRule="exact"/>
              <w:rPr>
                <w:sz w:val="20"/>
                <w:szCs w:val="20"/>
                <w:color w:val="auto"/>
              </w:rPr>
            </w:pPr>
            <w:r>
              <w:rPr>
                <w:rFonts w:ascii="Arial" w:cs="Arial" w:eastAsia="Arial" w:hAnsi="Arial"/>
                <w:sz w:val="11"/>
                <w:szCs w:val="11"/>
                <w:b w:val="1"/>
                <w:bCs w:val="1"/>
                <w:color w:val="FFFFFF"/>
                <w:w w:val="97"/>
              </w:rPr>
              <w:t>Exercise</w:t>
            </w:r>
          </w:p>
        </w:tc>
        <w:tc>
          <w:tcPr>
            <w:tcW w:w="1020" w:type="dxa"/>
            <w:vAlign w:val="bottom"/>
            <w:shd w:val="clear" w:color="auto" w:fill="C00000"/>
          </w:tcPr>
          <w:p>
            <w:pPr>
              <w:jc w:val="center"/>
              <w:ind w:left="27"/>
              <w:spacing w:after="0" w:line="120" w:lineRule="exact"/>
              <w:rPr>
                <w:sz w:val="20"/>
                <w:szCs w:val="20"/>
                <w:color w:val="auto"/>
              </w:rPr>
            </w:pPr>
            <w:r>
              <w:rPr>
                <w:rFonts w:ascii="Arial" w:cs="Arial" w:eastAsia="Arial" w:hAnsi="Arial"/>
                <w:sz w:val="11"/>
                <w:szCs w:val="11"/>
                <w:b w:val="1"/>
                <w:bCs w:val="1"/>
                <w:color w:val="FFFFFF"/>
                <w:w w:val="95"/>
              </w:rPr>
              <w:t>Option</w:t>
            </w:r>
          </w:p>
        </w:tc>
        <w:tc>
          <w:tcPr>
            <w:tcW w:w="940" w:type="dxa"/>
            <w:vAlign w:val="bottom"/>
            <w:shd w:val="clear" w:color="auto" w:fill="C00000"/>
          </w:tcPr>
          <w:p>
            <w:pPr>
              <w:jc w:val="center"/>
              <w:ind w:left="27"/>
              <w:spacing w:after="0" w:line="120" w:lineRule="exact"/>
              <w:rPr>
                <w:sz w:val="20"/>
                <w:szCs w:val="20"/>
                <w:color w:val="auto"/>
              </w:rPr>
            </w:pPr>
            <w:r>
              <w:rPr>
                <w:rFonts w:ascii="Arial" w:cs="Arial" w:eastAsia="Arial" w:hAnsi="Arial"/>
                <w:sz w:val="11"/>
                <w:szCs w:val="11"/>
                <w:b w:val="1"/>
                <w:bCs w:val="1"/>
                <w:color w:val="FFFFFF"/>
                <w:w w:val="96"/>
              </w:rPr>
              <w:t>Have Not</w:t>
            </w:r>
          </w:p>
        </w:tc>
        <w:tc>
          <w:tcPr>
            <w:tcW w:w="980" w:type="dxa"/>
            <w:vAlign w:val="bottom"/>
            <w:shd w:val="clear" w:color="auto" w:fill="C00000"/>
          </w:tcPr>
          <w:p>
            <w:pPr>
              <w:jc w:val="center"/>
              <w:ind w:left="27"/>
              <w:spacing w:after="0" w:line="120" w:lineRule="exact"/>
              <w:rPr>
                <w:sz w:val="20"/>
                <w:szCs w:val="20"/>
                <w:color w:val="auto"/>
              </w:rPr>
            </w:pPr>
            <w:r>
              <w:rPr>
                <w:rFonts w:ascii="Arial" w:cs="Arial" w:eastAsia="Arial" w:hAnsi="Arial"/>
                <w:sz w:val="11"/>
                <w:szCs w:val="11"/>
                <w:b w:val="1"/>
                <w:bCs w:val="1"/>
                <w:color w:val="FFFFFF"/>
                <w:w w:val="96"/>
              </w:rPr>
              <w:t>Have Not</w:t>
            </w:r>
          </w:p>
        </w:tc>
        <w:tc>
          <w:tcPr>
            <w:tcW w:w="1560" w:type="dxa"/>
            <w:vAlign w:val="bottom"/>
            <w:shd w:val="clear" w:color="auto" w:fill="C00000"/>
          </w:tcPr>
          <w:p>
            <w:pPr>
              <w:jc w:val="center"/>
              <w:ind w:right="27"/>
              <w:spacing w:after="0" w:line="120" w:lineRule="exact"/>
              <w:rPr>
                <w:sz w:val="20"/>
                <w:szCs w:val="20"/>
                <w:color w:val="auto"/>
              </w:rPr>
            </w:pPr>
            <w:r>
              <w:rPr>
                <w:rFonts w:ascii="Arial" w:cs="Arial" w:eastAsia="Arial" w:hAnsi="Arial"/>
                <w:sz w:val="11"/>
                <w:szCs w:val="11"/>
                <w:b w:val="1"/>
                <w:bCs w:val="1"/>
                <w:color w:val="FFFFFF"/>
                <w:w w:val="98"/>
              </w:rPr>
              <w:t>That Have</w:t>
            </w:r>
          </w:p>
        </w:tc>
        <w:tc>
          <w:tcPr>
            <w:tcW w:w="1240" w:type="dxa"/>
            <w:vAlign w:val="bottom"/>
            <w:shd w:val="clear" w:color="auto" w:fill="C00000"/>
          </w:tcPr>
          <w:p>
            <w:pPr>
              <w:jc w:val="center"/>
              <w:ind w:right="27"/>
              <w:spacing w:after="0" w:line="120" w:lineRule="exact"/>
              <w:rPr>
                <w:sz w:val="20"/>
                <w:szCs w:val="20"/>
                <w:color w:val="auto"/>
              </w:rPr>
            </w:pPr>
            <w:r>
              <w:rPr>
                <w:rFonts w:ascii="Arial" w:cs="Arial" w:eastAsia="Arial" w:hAnsi="Arial"/>
                <w:sz w:val="11"/>
                <w:szCs w:val="11"/>
                <w:b w:val="1"/>
                <w:bCs w:val="1"/>
                <w:color w:val="FFFFFF"/>
                <w:w w:val="98"/>
              </w:rPr>
              <w:t>That Have</w:t>
            </w:r>
          </w:p>
        </w:tc>
      </w:tr>
      <w:tr>
        <w:trPr>
          <w:trHeight w:val="120"/>
        </w:trPr>
        <w:tc>
          <w:tcPr>
            <w:tcW w:w="2420" w:type="dxa"/>
            <w:vAlign w:val="bottom"/>
            <w:shd w:val="clear" w:color="auto" w:fill="C00000"/>
          </w:tcPr>
          <w:p>
            <w:pPr>
              <w:spacing w:after="0"/>
              <w:rPr>
                <w:sz w:val="10"/>
                <w:szCs w:val="10"/>
                <w:color w:val="auto"/>
              </w:rPr>
            </w:pPr>
          </w:p>
        </w:tc>
        <w:tc>
          <w:tcPr>
            <w:tcW w:w="1040" w:type="dxa"/>
            <w:vAlign w:val="bottom"/>
            <w:gridSpan w:val="2"/>
            <w:shd w:val="clear" w:color="auto" w:fill="C00000"/>
          </w:tcPr>
          <w:p>
            <w:pPr>
              <w:jc w:val="center"/>
              <w:ind w:left="27"/>
              <w:spacing w:after="0" w:line="120" w:lineRule="exact"/>
              <w:rPr>
                <w:sz w:val="20"/>
                <w:szCs w:val="20"/>
                <w:color w:val="auto"/>
              </w:rPr>
            </w:pPr>
            <w:r>
              <w:rPr>
                <w:rFonts w:ascii="Arial" w:cs="Arial" w:eastAsia="Arial" w:hAnsi="Arial"/>
                <w:sz w:val="11"/>
                <w:szCs w:val="11"/>
                <w:b w:val="1"/>
                <w:bCs w:val="1"/>
                <w:color w:val="FFFFFF"/>
                <w:w w:val="98"/>
              </w:rPr>
              <w:t>Exercisable</w:t>
            </w:r>
          </w:p>
        </w:tc>
        <w:tc>
          <w:tcPr>
            <w:tcW w:w="1020" w:type="dxa"/>
            <w:vAlign w:val="bottom"/>
            <w:shd w:val="clear" w:color="auto" w:fill="C00000"/>
          </w:tcPr>
          <w:p>
            <w:pPr>
              <w:jc w:val="center"/>
              <w:ind w:left="27"/>
              <w:spacing w:after="0" w:line="120" w:lineRule="exact"/>
              <w:rPr>
                <w:sz w:val="20"/>
                <w:szCs w:val="20"/>
                <w:color w:val="auto"/>
              </w:rPr>
            </w:pPr>
            <w:r>
              <w:rPr>
                <w:rFonts w:ascii="Arial" w:cs="Arial" w:eastAsia="Arial" w:hAnsi="Arial"/>
                <w:sz w:val="11"/>
                <w:szCs w:val="11"/>
                <w:b w:val="1"/>
                <w:bCs w:val="1"/>
                <w:color w:val="FFFFFF"/>
                <w:w w:val="95"/>
              </w:rPr>
              <w:t>Unexercisable</w:t>
            </w:r>
            <w:r>
              <w:rPr>
                <w:rFonts w:ascii="Arial" w:cs="Arial" w:eastAsia="Arial" w:hAnsi="Arial"/>
                <w:sz w:val="9"/>
                <w:szCs w:val="9"/>
                <w:b w:val="1"/>
                <w:bCs w:val="1"/>
                <w:color w:val="FFFFFF"/>
                <w:w w:val="95"/>
              </w:rPr>
              <w:t>(1)</w:t>
            </w:r>
          </w:p>
        </w:tc>
        <w:tc>
          <w:tcPr>
            <w:tcW w:w="1020" w:type="dxa"/>
            <w:vAlign w:val="bottom"/>
            <w:shd w:val="clear" w:color="auto" w:fill="C00000"/>
          </w:tcPr>
          <w:p>
            <w:pPr>
              <w:jc w:val="center"/>
              <w:ind w:left="27"/>
              <w:spacing w:after="0" w:line="120" w:lineRule="exact"/>
              <w:rPr>
                <w:sz w:val="20"/>
                <w:szCs w:val="20"/>
                <w:color w:val="auto"/>
              </w:rPr>
            </w:pPr>
            <w:r>
              <w:rPr>
                <w:rFonts w:ascii="Arial" w:cs="Arial" w:eastAsia="Arial" w:hAnsi="Arial"/>
                <w:sz w:val="11"/>
                <w:szCs w:val="11"/>
                <w:b w:val="1"/>
                <w:bCs w:val="1"/>
                <w:color w:val="FFFFFF"/>
                <w:w w:val="96"/>
              </w:rPr>
              <w:t>Price</w:t>
            </w:r>
          </w:p>
        </w:tc>
        <w:tc>
          <w:tcPr>
            <w:tcW w:w="1020" w:type="dxa"/>
            <w:vAlign w:val="bottom"/>
            <w:shd w:val="clear" w:color="auto" w:fill="C00000"/>
          </w:tcPr>
          <w:p>
            <w:pPr>
              <w:jc w:val="center"/>
              <w:ind w:left="47"/>
              <w:spacing w:after="0" w:line="120" w:lineRule="exact"/>
              <w:rPr>
                <w:sz w:val="20"/>
                <w:szCs w:val="20"/>
                <w:color w:val="auto"/>
              </w:rPr>
            </w:pPr>
            <w:r>
              <w:rPr>
                <w:rFonts w:ascii="Arial" w:cs="Arial" w:eastAsia="Arial" w:hAnsi="Arial"/>
                <w:sz w:val="11"/>
                <w:szCs w:val="11"/>
                <w:b w:val="1"/>
                <w:bCs w:val="1"/>
                <w:color w:val="FFFFFF"/>
                <w:w w:val="96"/>
              </w:rPr>
              <w:t>Expiration</w:t>
            </w:r>
          </w:p>
        </w:tc>
        <w:tc>
          <w:tcPr>
            <w:tcW w:w="940" w:type="dxa"/>
            <w:vAlign w:val="bottom"/>
            <w:shd w:val="clear" w:color="auto" w:fill="C00000"/>
          </w:tcPr>
          <w:p>
            <w:pPr>
              <w:jc w:val="center"/>
              <w:ind w:left="27"/>
              <w:spacing w:after="0" w:line="120" w:lineRule="exact"/>
              <w:rPr>
                <w:sz w:val="20"/>
                <w:szCs w:val="20"/>
                <w:color w:val="auto"/>
              </w:rPr>
            </w:pPr>
            <w:r>
              <w:rPr>
                <w:rFonts w:ascii="Arial" w:cs="Arial" w:eastAsia="Arial" w:hAnsi="Arial"/>
                <w:sz w:val="11"/>
                <w:szCs w:val="11"/>
                <w:b w:val="1"/>
                <w:bCs w:val="1"/>
                <w:color w:val="FFFFFF"/>
                <w:w w:val="97"/>
              </w:rPr>
              <w:t>Vested</w:t>
            </w:r>
            <w:r>
              <w:rPr>
                <w:rFonts w:ascii="Arial" w:cs="Arial" w:eastAsia="Arial" w:hAnsi="Arial"/>
                <w:sz w:val="9"/>
                <w:szCs w:val="9"/>
                <w:b w:val="1"/>
                <w:bCs w:val="1"/>
                <w:color w:val="FFFFFF"/>
                <w:w w:val="97"/>
              </w:rPr>
              <w:t>(2)</w:t>
            </w:r>
          </w:p>
        </w:tc>
        <w:tc>
          <w:tcPr>
            <w:tcW w:w="980" w:type="dxa"/>
            <w:vAlign w:val="bottom"/>
            <w:shd w:val="clear" w:color="auto" w:fill="C00000"/>
          </w:tcPr>
          <w:p>
            <w:pPr>
              <w:jc w:val="center"/>
              <w:ind w:left="27"/>
              <w:spacing w:after="0" w:line="120" w:lineRule="exact"/>
              <w:rPr>
                <w:sz w:val="20"/>
                <w:szCs w:val="20"/>
                <w:color w:val="auto"/>
              </w:rPr>
            </w:pPr>
            <w:r>
              <w:rPr>
                <w:rFonts w:ascii="Arial" w:cs="Arial" w:eastAsia="Arial" w:hAnsi="Arial"/>
                <w:sz w:val="11"/>
                <w:szCs w:val="11"/>
                <w:b w:val="1"/>
                <w:bCs w:val="1"/>
                <w:color w:val="FFFFFF"/>
                <w:w w:val="97"/>
              </w:rPr>
              <w:t>Vested</w:t>
            </w:r>
            <w:r>
              <w:rPr>
                <w:rFonts w:ascii="Arial" w:cs="Arial" w:eastAsia="Arial" w:hAnsi="Arial"/>
                <w:sz w:val="9"/>
                <w:szCs w:val="9"/>
                <w:b w:val="1"/>
                <w:bCs w:val="1"/>
                <w:color w:val="FFFFFF"/>
                <w:w w:val="97"/>
              </w:rPr>
              <w:t>(3)</w:t>
            </w:r>
          </w:p>
        </w:tc>
        <w:tc>
          <w:tcPr>
            <w:tcW w:w="1560" w:type="dxa"/>
            <w:vAlign w:val="bottom"/>
            <w:shd w:val="clear" w:color="auto" w:fill="C00000"/>
          </w:tcPr>
          <w:p>
            <w:pPr>
              <w:jc w:val="center"/>
              <w:ind w:right="7"/>
              <w:spacing w:after="0" w:line="120" w:lineRule="exact"/>
              <w:rPr>
                <w:sz w:val="20"/>
                <w:szCs w:val="20"/>
                <w:color w:val="auto"/>
              </w:rPr>
            </w:pPr>
            <w:r>
              <w:rPr>
                <w:rFonts w:ascii="Arial" w:cs="Arial" w:eastAsia="Arial" w:hAnsi="Arial"/>
                <w:sz w:val="11"/>
                <w:szCs w:val="11"/>
                <w:b w:val="1"/>
                <w:bCs w:val="1"/>
                <w:color w:val="FFFFFF"/>
                <w:w w:val="96"/>
              </w:rPr>
              <w:t>Not Vested</w:t>
            </w:r>
            <w:r>
              <w:rPr>
                <w:rFonts w:ascii="Arial" w:cs="Arial" w:eastAsia="Arial" w:hAnsi="Arial"/>
                <w:sz w:val="9"/>
                <w:szCs w:val="9"/>
                <w:b w:val="1"/>
                <w:bCs w:val="1"/>
                <w:color w:val="FFFFFF"/>
                <w:w w:val="96"/>
              </w:rPr>
              <w:t>(4)</w:t>
            </w:r>
          </w:p>
        </w:tc>
        <w:tc>
          <w:tcPr>
            <w:tcW w:w="1240" w:type="dxa"/>
            <w:vAlign w:val="bottom"/>
            <w:shd w:val="clear" w:color="auto" w:fill="C00000"/>
          </w:tcPr>
          <w:p>
            <w:pPr>
              <w:jc w:val="center"/>
              <w:ind w:right="7"/>
              <w:spacing w:after="0" w:line="120" w:lineRule="exact"/>
              <w:rPr>
                <w:sz w:val="20"/>
                <w:szCs w:val="20"/>
                <w:color w:val="auto"/>
              </w:rPr>
            </w:pPr>
            <w:r>
              <w:rPr>
                <w:rFonts w:ascii="Arial" w:cs="Arial" w:eastAsia="Arial" w:hAnsi="Arial"/>
                <w:sz w:val="11"/>
                <w:szCs w:val="11"/>
                <w:b w:val="1"/>
                <w:bCs w:val="1"/>
                <w:color w:val="FFFFFF"/>
                <w:w w:val="96"/>
              </w:rPr>
              <w:t>Not Vested</w:t>
            </w:r>
            <w:r>
              <w:rPr>
                <w:rFonts w:ascii="Arial" w:cs="Arial" w:eastAsia="Arial" w:hAnsi="Arial"/>
                <w:sz w:val="9"/>
                <w:szCs w:val="9"/>
                <w:b w:val="1"/>
                <w:bCs w:val="1"/>
                <w:color w:val="FFFFFF"/>
                <w:w w:val="96"/>
              </w:rPr>
              <w:t>(5)</w:t>
            </w:r>
          </w:p>
        </w:tc>
      </w:tr>
      <w:tr>
        <w:trPr>
          <w:trHeight w:val="135"/>
        </w:trPr>
        <w:tc>
          <w:tcPr>
            <w:tcW w:w="2420" w:type="dxa"/>
            <w:vAlign w:val="bottom"/>
            <w:shd w:val="clear" w:color="auto" w:fill="C00000"/>
          </w:tcPr>
          <w:p>
            <w:pPr>
              <w:spacing w:after="0"/>
              <w:rPr>
                <w:sz w:val="20"/>
                <w:szCs w:val="20"/>
                <w:color w:val="auto"/>
              </w:rPr>
            </w:pPr>
            <w:r>
              <w:rPr>
                <w:rFonts w:ascii="Arial" w:cs="Arial" w:eastAsia="Arial" w:hAnsi="Arial"/>
                <w:sz w:val="11"/>
                <w:szCs w:val="11"/>
                <w:b w:val="1"/>
                <w:bCs w:val="1"/>
                <w:color w:val="FFFFFF"/>
              </w:rPr>
              <w:t>Name</w:t>
            </w:r>
          </w:p>
        </w:tc>
        <w:tc>
          <w:tcPr>
            <w:tcW w:w="800" w:type="dxa"/>
            <w:vAlign w:val="bottom"/>
            <w:shd w:val="clear" w:color="auto" w:fill="C00000"/>
          </w:tcPr>
          <w:p>
            <w:pPr>
              <w:jc w:val="center"/>
              <w:ind w:left="267"/>
              <w:spacing w:after="0"/>
              <w:rPr>
                <w:sz w:val="20"/>
                <w:szCs w:val="20"/>
                <w:color w:val="auto"/>
              </w:rPr>
            </w:pPr>
            <w:r>
              <w:rPr>
                <w:rFonts w:ascii="Arial" w:cs="Arial" w:eastAsia="Arial" w:hAnsi="Arial"/>
                <w:sz w:val="11"/>
                <w:szCs w:val="11"/>
                <w:b w:val="1"/>
                <w:bCs w:val="1"/>
                <w:color w:val="FFFFFF"/>
                <w:w w:val="88"/>
              </w:rPr>
              <w:t>(#)</w:t>
            </w:r>
          </w:p>
        </w:tc>
        <w:tc>
          <w:tcPr>
            <w:tcW w:w="240" w:type="dxa"/>
            <w:vAlign w:val="bottom"/>
            <w:shd w:val="clear" w:color="auto" w:fill="C00000"/>
          </w:tcPr>
          <w:p>
            <w:pPr>
              <w:spacing w:after="0"/>
              <w:rPr>
                <w:sz w:val="11"/>
                <w:szCs w:val="11"/>
                <w:color w:val="auto"/>
              </w:rPr>
            </w:pPr>
          </w:p>
        </w:tc>
        <w:tc>
          <w:tcPr>
            <w:tcW w:w="1020" w:type="dxa"/>
            <w:vAlign w:val="bottom"/>
            <w:shd w:val="clear" w:color="auto" w:fill="C00000"/>
          </w:tcPr>
          <w:p>
            <w:pPr>
              <w:jc w:val="center"/>
              <w:ind w:left="27"/>
              <w:spacing w:after="0"/>
              <w:rPr>
                <w:sz w:val="20"/>
                <w:szCs w:val="20"/>
                <w:color w:val="auto"/>
              </w:rPr>
            </w:pPr>
            <w:r>
              <w:rPr>
                <w:rFonts w:ascii="Arial" w:cs="Arial" w:eastAsia="Arial" w:hAnsi="Arial"/>
                <w:sz w:val="11"/>
                <w:szCs w:val="11"/>
                <w:b w:val="1"/>
                <w:bCs w:val="1"/>
                <w:color w:val="FFFFFF"/>
              </w:rPr>
              <w:t>(#)</w:t>
            </w:r>
          </w:p>
        </w:tc>
        <w:tc>
          <w:tcPr>
            <w:tcW w:w="1020" w:type="dxa"/>
            <w:vAlign w:val="bottom"/>
            <w:shd w:val="clear" w:color="auto" w:fill="C00000"/>
          </w:tcPr>
          <w:p>
            <w:pPr>
              <w:jc w:val="center"/>
              <w:ind w:left="27"/>
              <w:spacing w:after="0"/>
              <w:rPr>
                <w:sz w:val="20"/>
                <w:szCs w:val="20"/>
                <w:color w:val="auto"/>
              </w:rPr>
            </w:pPr>
            <w:r>
              <w:rPr>
                <w:rFonts w:ascii="Arial" w:cs="Arial" w:eastAsia="Arial" w:hAnsi="Arial"/>
                <w:sz w:val="11"/>
                <w:szCs w:val="11"/>
                <w:b w:val="1"/>
                <w:bCs w:val="1"/>
                <w:color w:val="FFFFFF"/>
              </w:rPr>
              <w:t>($)</w:t>
            </w:r>
          </w:p>
        </w:tc>
        <w:tc>
          <w:tcPr>
            <w:tcW w:w="1020" w:type="dxa"/>
            <w:vAlign w:val="bottom"/>
            <w:shd w:val="clear" w:color="auto" w:fill="C00000"/>
          </w:tcPr>
          <w:p>
            <w:pPr>
              <w:jc w:val="center"/>
              <w:ind w:left="47"/>
              <w:spacing w:after="0"/>
              <w:rPr>
                <w:sz w:val="20"/>
                <w:szCs w:val="20"/>
                <w:color w:val="auto"/>
              </w:rPr>
            </w:pPr>
            <w:r>
              <w:rPr>
                <w:rFonts w:ascii="Arial" w:cs="Arial" w:eastAsia="Arial" w:hAnsi="Arial"/>
                <w:sz w:val="11"/>
                <w:szCs w:val="11"/>
                <w:b w:val="1"/>
                <w:bCs w:val="1"/>
                <w:color w:val="FFFFFF"/>
              </w:rPr>
              <w:t>Date</w:t>
            </w:r>
          </w:p>
        </w:tc>
        <w:tc>
          <w:tcPr>
            <w:tcW w:w="940" w:type="dxa"/>
            <w:vAlign w:val="bottom"/>
            <w:shd w:val="clear" w:color="auto" w:fill="C00000"/>
          </w:tcPr>
          <w:p>
            <w:pPr>
              <w:jc w:val="center"/>
              <w:ind w:left="27"/>
              <w:spacing w:after="0"/>
              <w:rPr>
                <w:sz w:val="20"/>
                <w:szCs w:val="20"/>
                <w:color w:val="auto"/>
              </w:rPr>
            </w:pPr>
            <w:r>
              <w:rPr>
                <w:rFonts w:ascii="Arial" w:cs="Arial" w:eastAsia="Arial" w:hAnsi="Arial"/>
                <w:sz w:val="11"/>
                <w:szCs w:val="11"/>
                <w:b w:val="1"/>
                <w:bCs w:val="1"/>
                <w:color w:val="FFFFFF"/>
              </w:rPr>
              <w:t>(#)</w:t>
            </w:r>
          </w:p>
        </w:tc>
        <w:tc>
          <w:tcPr>
            <w:tcW w:w="980" w:type="dxa"/>
            <w:vAlign w:val="bottom"/>
            <w:shd w:val="clear" w:color="auto" w:fill="C00000"/>
          </w:tcPr>
          <w:p>
            <w:pPr>
              <w:jc w:val="center"/>
              <w:ind w:left="27"/>
              <w:spacing w:after="0"/>
              <w:rPr>
                <w:sz w:val="20"/>
                <w:szCs w:val="20"/>
                <w:color w:val="auto"/>
              </w:rPr>
            </w:pPr>
            <w:r>
              <w:rPr>
                <w:rFonts w:ascii="Arial" w:cs="Arial" w:eastAsia="Arial" w:hAnsi="Arial"/>
                <w:sz w:val="11"/>
                <w:szCs w:val="11"/>
                <w:b w:val="1"/>
                <w:bCs w:val="1"/>
                <w:color w:val="FFFFFF"/>
              </w:rPr>
              <w:t>($)</w:t>
            </w:r>
          </w:p>
        </w:tc>
        <w:tc>
          <w:tcPr>
            <w:tcW w:w="1560" w:type="dxa"/>
            <w:vAlign w:val="bottom"/>
            <w:shd w:val="clear" w:color="auto" w:fill="C00000"/>
          </w:tcPr>
          <w:p>
            <w:pPr>
              <w:jc w:val="center"/>
              <w:ind w:right="27"/>
              <w:spacing w:after="0"/>
              <w:rPr>
                <w:sz w:val="20"/>
                <w:szCs w:val="20"/>
                <w:color w:val="auto"/>
              </w:rPr>
            </w:pPr>
            <w:r>
              <w:rPr>
                <w:rFonts w:ascii="Arial" w:cs="Arial" w:eastAsia="Arial" w:hAnsi="Arial"/>
                <w:sz w:val="11"/>
                <w:szCs w:val="11"/>
                <w:b w:val="1"/>
                <w:bCs w:val="1"/>
                <w:color w:val="FFFFFF"/>
                <w:w w:val="88"/>
              </w:rPr>
              <w:t>(#)</w:t>
            </w:r>
          </w:p>
        </w:tc>
        <w:tc>
          <w:tcPr>
            <w:tcW w:w="1240" w:type="dxa"/>
            <w:vAlign w:val="bottom"/>
            <w:shd w:val="clear" w:color="auto" w:fill="C00000"/>
          </w:tcPr>
          <w:p>
            <w:pPr>
              <w:jc w:val="center"/>
              <w:ind w:right="27"/>
              <w:spacing w:after="0"/>
              <w:rPr>
                <w:sz w:val="20"/>
                <w:szCs w:val="20"/>
                <w:color w:val="auto"/>
              </w:rPr>
            </w:pPr>
            <w:r>
              <w:rPr>
                <w:rFonts w:ascii="Arial" w:cs="Arial" w:eastAsia="Arial" w:hAnsi="Arial"/>
                <w:sz w:val="11"/>
                <w:szCs w:val="11"/>
                <w:b w:val="1"/>
                <w:bCs w:val="1"/>
                <w:color w:val="FFFFFF"/>
                <w:w w:val="88"/>
              </w:rPr>
              <w:t>($)</w:t>
            </w:r>
          </w:p>
        </w:tc>
      </w:tr>
      <w:tr>
        <w:trPr>
          <w:trHeight w:val="138"/>
        </w:trPr>
        <w:tc>
          <w:tcPr>
            <w:tcW w:w="2420" w:type="dxa"/>
            <w:vAlign w:val="bottom"/>
          </w:tcPr>
          <w:p>
            <w:pPr>
              <w:spacing w:after="0"/>
              <w:rPr>
                <w:sz w:val="20"/>
                <w:szCs w:val="20"/>
                <w:color w:val="auto"/>
              </w:rPr>
            </w:pPr>
            <w:r>
              <w:rPr>
                <w:rFonts w:ascii="Arial" w:cs="Arial" w:eastAsia="Arial" w:hAnsi="Arial"/>
                <w:sz w:val="11"/>
                <w:szCs w:val="11"/>
                <w:color w:val="auto"/>
              </w:rPr>
              <w:t>Richard M. Olson</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33"/>
        </w:trPr>
        <w:tc>
          <w:tcPr>
            <w:tcW w:w="2420" w:type="dxa"/>
            <w:vAlign w:val="bottom"/>
          </w:tcPr>
          <w:p>
            <w:pPr>
              <w:ind w:left="120"/>
              <w:spacing w:after="0"/>
              <w:rPr>
                <w:sz w:val="20"/>
                <w:szCs w:val="20"/>
                <w:color w:val="auto"/>
              </w:rPr>
            </w:pPr>
            <w:r>
              <w:rPr>
                <w:rFonts w:ascii="Arial" w:cs="Arial" w:eastAsia="Arial" w:hAnsi="Arial"/>
                <w:sz w:val="11"/>
                <w:szCs w:val="11"/>
                <w:color w:val="auto"/>
              </w:rPr>
              <w:t>Stock Options</w:t>
            </w:r>
          </w:p>
        </w:tc>
        <w:tc>
          <w:tcPr>
            <w:tcW w:w="1040" w:type="dxa"/>
            <w:vAlign w:val="bottom"/>
            <w:gridSpan w:val="2"/>
          </w:tcPr>
          <w:p>
            <w:pPr>
              <w:jc w:val="right"/>
              <w:ind w:right="20"/>
              <w:spacing w:after="0"/>
              <w:rPr>
                <w:sz w:val="20"/>
                <w:szCs w:val="20"/>
                <w:color w:val="auto"/>
              </w:rPr>
            </w:pPr>
            <w:r>
              <w:rPr>
                <w:rFonts w:ascii="Arial" w:cs="Arial" w:eastAsia="Arial" w:hAnsi="Arial"/>
                <w:sz w:val="11"/>
                <w:szCs w:val="11"/>
                <w:color w:val="auto"/>
              </w:rPr>
              <w:t>12,600</w:t>
            </w:r>
          </w:p>
        </w:tc>
        <w:tc>
          <w:tcPr>
            <w:tcW w:w="1020" w:type="dxa"/>
            <w:vAlign w:val="bottom"/>
          </w:tcPr>
          <w:p>
            <w:pPr>
              <w:jc w:val="right"/>
              <w:spacing w:after="0"/>
              <w:rPr>
                <w:sz w:val="20"/>
                <w:szCs w:val="20"/>
                <w:color w:val="auto"/>
              </w:rPr>
            </w:pPr>
            <w:r>
              <w:rPr>
                <w:rFonts w:ascii="Arial" w:cs="Arial" w:eastAsia="Arial" w:hAnsi="Arial"/>
                <w:sz w:val="11"/>
                <w:szCs w:val="11"/>
                <w:color w:val="auto"/>
              </w:rPr>
              <w:t>0</w:t>
            </w:r>
          </w:p>
        </w:tc>
        <w:tc>
          <w:tcPr>
            <w:tcW w:w="1020" w:type="dxa"/>
            <w:vAlign w:val="bottom"/>
          </w:tcPr>
          <w:p>
            <w:pPr>
              <w:jc w:val="right"/>
              <w:spacing w:after="0"/>
              <w:rPr>
                <w:sz w:val="20"/>
                <w:szCs w:val="20"/>
                <w:color w:val="auto"/>
              </w:rPr>
            </w:pPr>
            <w:r>
              <w:rPr>
                <w:rFonts w:ascii="Arial" w:cs="Arial" w:eastAsia="Arial" w:hAnsi="Arial"/>
                <w:sz w:val="11"/>
                <w:szCs w:val="11"/>
                <w:color w:val="auto"/>
              </w:rPr>
              <w:t>21.0300</w:t>
            </w:r>
          </w:p>
        </w:tc>
        <w:tc>
          <w:tcPr>
            <w:tcW w:w="1020" w:type="dxa"/>
            <w:vAlign w:val="bottom"/>
          </w:tcPr>
          <w:p>
            <w:pPr>
              <w:jc w:val="right"/>
              <w:spacing w:after="0"/>
              <w:rPr>
                <w:sz w:val="20"/>
                <w:szCs w:val="20"/>
                <w:color w:val="auto"/>
              </w:rPr>
            </w:pPr>
            <w:r>
              <w:rPr>
                <w:rFonts w:ascii="Arial" w:cs="Arial" w:eastAsia="Arial" w:hAnsi="Arial"/>
                <w:sz w:val="11"/>
                <w:szCs w:val="11"/>
                <w:color w:val="auto"/>
              </w:rPr>
              <w:t>12/11/2022</w:t>
            </w: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3"/>
        </w:trPr>
        <w:tc>
          <w:tcPr>
            <w:tcW w:w="2420" w:type="dxa"/>
            <w:vAlign w:val="bottom"/>
          </w:tcPr>
          <w:p>
            <w:pPr>
              <w:spacing w:after="0"/>
              <w:rPr>
                <w:sz w:val="11"/>
                <w:szCs w:val="1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1"/>
                <w:szCs w:val="11"/>
                <w:color w:val="auto"/>
              </w:rPr>
              <w:t>12,000</w:t>
            </w:r>
          </w:p>
        </w:tc>
        <w:tc>
          <w:tcPr>
            <w:tcW w:w="1020" w:type="dxa"/>
            <w:vAlign w:val="bottom"/>
          </w:tcPr>
          <w:p>
            <w:pPr>
              <w:jc w:val="right"/>
              <w:spacing w:after="0"/>
              <w:rPr>
                <w:sz w:val="20"/>
                <w:szCs w:val="20"/>
                <w:color w:val="auto"/>
              </w:rPr>
            </w:pPr>
            <w:r>
              <w:rPr>
                <w:rFonts w:ascii="Arial" w:cs="Arial" w:eastAsia="Arial" w:hAnsi="Arial"/>
                <w:sz w:val="11"/>
                <w:szCs w:val="11"/>
                <w:color w:val="auto"/>
              </w:rPr>
              <w:t>0</w:t>
            </w:r>
          </w:p>
        </w:tc>
        <w:tc>
          <w:tcPr>
            <w:tcW w:w="1020" w:type="dxa"/>
            <w:vAlign w:val="bottom"/>
          </w:tcPr>
          <w:p>
            <w:pPr>
              <w:jc w:val="right"/>
              <w:spacing w:after="0"/>
              <w:rPr>
                <w:sz w:val="20"/>
                <w:szCs w:val="20"/>
                <w:color w:val="auto"/>
              </w:rPr>
            </w:pPr>
            <w:r>
              <w:rPr>
                <w:rFonts w:ascii="Arial" w:cs="Arial" w:eastAsia="Arial" w:hAnsi="Arial"/>
                <w:sz w:val="11"/>
                <w:szCs w:val="11"/>
                <w:color w:val="auto"/>
              </w:rPr>
              <w:t>29.7500</w:t>
            </w:r>
          </w:p>
        </w:tc>
        <w:tc>
          <w:tcPr>
            <w:tcW w:w="1020" w:type="dxa"/>
            <w:vAlign w:val="bottom"/>
          </w:tcPr>
          <w:p>
            <w:pPr>
              <w:jc w:val="right"/>
              <w:spacing w:after="0"/>
              <w:rPr>
                <w:sz w:val="20"/>
                <w:szCs w:val="20"/>
                <w:color w:val="auto"/>
              </w:rPr>
            </w:pPr>
            <w:r>
              <w:rPr>
                <w:rFonts w:ascii="Arial" w:cs="Arial" w:eastAsia="Arial" w:hAnsi="Arial"/>
                <w:sz w:val="11"/>
                <w:szCs w:val="11"/>
                <w:color w:val="auto"/>
              </w:rPr>
              <w:t>12/06/2023</w:t>
            </w: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3"/>
        </w:trPr>
        <w:tc>
          <w:tcPr>
            <w:tcW w:w="2420" w:type="dxa"/>
            <w:vAlign w:val="bottom"/>
          </w:tcPr>
          <w:p>
            <w:pPr>
              <w:spacing w:after="0"/>
              <w:rPr>
                <w:sz w:val="11"/>
                <w:szCs w:val="1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1"/>
                <w:szCs w:val="11"/>
                <w:color w:val="auto"/>
              </w:rPr>
              <w:t>20,000</w:t>
            </w:r>
          </w:p>
        </w:tc>
        <w:tc>
          <w:tcPr>
            <w:tcW w:w="1020" w:type="dxa"/>
            <w:vAlign w:val="bottom"/>
          </w:tcPr>
          <w:p>
            <w:pPr>
              <w:jc w:val="right"/>
              <w:spacing w:after="0"/>
              <w:rPr>
                <w:sz w:val="20"/>
                <w:szCs w:val="20"/>
                <w:color w:val="auto"/>
              </w:rPr>
            </w:pPr>
            <w:r>
              <w:rPr>
                <w:rFonts w:ascii="Arial" w:cs="Arial" w:eastAsia="Arial" w:hAnsi="Arial"/>
                <w:sz w:val="11"/>
                <w:szCs w:val="11"/>
                <w:color w:val="auto"/>
              </w:rPr>
              <w:t>0</w:t>
            </w:r>
          </w:p>
        </w:tc>
        <w:tc>
          <w:tcPr>
            <w:tcW w:w="1020" w:type="dxa"/>
            <w:vAlign w:val="bottom"/>
          </w:tcPr>
          <w:p>
            <w:pPr>
              <w:jc w:val="right"/>
              <w:spacing w:after="0"/>
              <w:rPr>
                <w:sz w:val="20"/>
                <w:szCs w:val="20"/>
                <w:color w:val="auto"/>
              </w:rPr>
            </w:pPr>
            <w:r>
              <w:rPr>
                <w:rFonts w:ascii="Arial" w:cs="Arial" w:eastAsia="Arial" w:hAnsi="Arial"/>
                <w:sz w:val="11"/>
                <w:szCs w:val="11"/>
                <w:color w:val="auto"/>
              </w:rPr>
              <w:t>31.3750</w:t>
            </w:r>
          </w:p>
        </w:tc>
        <w:tc>
          <w:tcPr>
            <w:tcW w:w="1020" w:type="dxa"/>
            <w:vAlign w:val="bottom"/>
          </w:tcPr>
          <w:p>
            <w:pPr>
              <w:jc w:val="right"/>
              <w:spacing w:after="0"/>
              <w:rPr>
                <w:sz w:val="20"/>
                <w:szCs w:val="20"/>
                <w:color w:val="auto"/>
              </w:rPr>
            </w:pPr>
            <w:r>
              <w:rPr>
                <w:rFonts w:ascii="Arial" w:cs="Arial" w:eastAsia="Arial" w:hAnsi="Arial"/>
                <w:sz w:val="11"/>
                <w:szCs w:val="11"/>
                <w:color w:val="auto"/>
              </w:rPr>
              <w:t>12/05/2024</w:t>
            </w: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3"/>
        </w:trPr>
        <w:tc>
          <w:tcPr>
            <w:tcW w:w="2420" w:type="dxa"/>
            <w:vAlign w:val="bottom"/>
          </w:tcPr>
          <w:p>
            <w:pPr>
              <w:spacing w:after="0"/>
              <w:rPr>
                <w:sz w:val="11"/>
                <w:szCs w:val="1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1"/>
                <w:szCs w:val="11"/>
                <w:color w:val="auto"/>
              </w:rPr>
              <w:t>44,400</w:t>
            </w:r>
          </w:p>
        </w:tc>
        <w:tc>
          <w:tcPr>
            <w:tcW w:w="1020" w:type="dxa"/>
            <w:vAlign w:val="bottom"/>
          </w:tcPr>
          <w:p>
            <w:pPr>
              <w:jc w:val="right"/>
              <w:spacing w:after="0"/>
              <w:rPr>
                <w:sz w:val="20"/>
                <w:szCs w:val="20"/>
                <w:color w:val="auto"/>
              </w:rPr>
            </w:pPr>
            <w:r>
              <w:rPr>
                <w:rFonts w:ascii="Arial" w:cs="Arial" w:eastAsia="Arial" w:hAnsi="Arial"/>
                <w:sz w:val="11"/>
                <w:szCs w:val="11"/>
                <w:color w:val="auto"/>
              </w:rPr>
              <w:t>0</w:t>
            </w:r>
          </w:p>
        </w:tc>
        <w:tc>
          <w:tcPr>
            <w:tcW w:w="1020" w:type="dxa"/>
            <w:vAlign w:val="bottom"/>
          </w:tcPr>
          <w:p>
            <w:pPr>
              <w:jc w:val="right"/>
              <w:spacing w:after="0"/>
              <w:rPr>
                <w:sz w:val="20"/>
                <w:szCs w:val="20"/>
                <w:color w:val="auto"/>
              </w:rPr>
            </w:pPr>
            <w:r>
              <w:rPr>
                <w:rFonts w:ascii="Arial" w:cs="Arial" w:eastAsia="Arial" w:hAnsi="Arial"/>
                <w:sz w:val="11"/>
                <w:szCs w:val="11"/>
                <w:color w:val="auto"/>
              </w:rPr>
              <w:t>38.8200</w:t>
            </w:r>
          </w:p>
        </w:tc>
        <w:tc>
          <w:tcPr>
            <w:tcW w:w="1020" w:type="dxa"/>
            <w:vAlign w:val="bottom"/>
          </w:tcPr>
          <w:p>
            <w:pPr>
              <w:jc w:val="right"/>
              <w:spacing w:after="0"/>
              <w:rPr>
                <w:sz w:val="20"/>
                <w:szCs w:val="20"/>
                <w:color w:val="auto"/>
              </w:rPr>
            </w:pPr>
            <w:r>
              <w:rPr>
                <w:rFonts w:ascii="Arial" w:cs="Arial" w:eastAsia="Arial" w:hAnsi="Arial"/>
                <w:sz w:val="11"/>
                <w:szCs w:val="11"/>
                <w:color w:val="auto"/>
              </w:rPr>
              <w:t>12/04/2025</w:t>
            </w: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3"/>
        </w:trPr>
        <w:tc>
          <w:tcPr>
            <w:tcW w:w="2420" w:type="dxa"/>
            <w:vAlign w:val="bottom"/>
          </w:tcPr>
          <w:p>
            <w:pPr>
              <w:spacing w:after="0"/>
              <w:rPr>
                <w:sz w:val="11"/>
                <w:szCs w:val="1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1"/>
                <w:szCs w:val="11"/>
                <w:color w:val="auto"/>
              </w:rPr>
              <w:t>119,400</w:t>
            </w:r>
          </w:p>
        </w:tc>
        <w:tc>
          <w:tcPr>
            <w:tcW w:w="1020" w:type="dxa"/>
            <w:vAlign w:val="bottom"/>
          </w:tcPr>
          <w:p>
            <w:pPr>
              <w:jc w:val="right"/>
              <w:spacing w:after="0"/>
              <w:rPr>
                <w:sz w:val="20"/>
                <w:szCs w:val="20"/>
                <w:color w:val="auto"/>
              </w:rPr>
            </w:pPr>
            <w:r>
              <w:rPr>
                <w:rFonts w:ascii="Arial" w:cs="Arial" w:eastAsia="Arial" w:hAnsi="Arial"/>
                <w:sz w:val="11"/>
                <w:szCs w:val="11"/>
                <w:color w:val="auto"/>
              </w:rPr>
              <w:t>0</w:t>
            </w:r>
          </w:p>
        </w:tc>
        <w:tc>
          <w:tcPr>
            <w:tcW w:w="1020" w:type="dxa"/>
            <w:vAlign w:val="bottom"/>
          </w:tcPr>
          <w:p>
            <w:pPr>
              <w:jc w:val="right"/>
              <w:spacing w:after="0"/>
              <w:rPr>
                <w:sz w:val="20"/>
                <w:szCs w:val="20"/>
                <w:color w:val="auto"/>
              </w:rPr>
            </w:pPr>
            <w:r>
              <w:rPr>
                <w:rFonts w:ascii="Arial" w:cs="Arial" w:eastAsia="Arial" w:hAnsi="Arial"/>
                <w:sz w:val="11"/>
                <w:szCs w:val="11"/>
                <w:color w:val="auto"/>
              </w:rPr>
              <w:t>56.5400</w:t>
            </w:r>
          </w:p>
        </w:tc>
        <w:tc>
          <w:tcPr>
            <w:tcW w:w="1020" w:type="dxa"/>
            <w:vAlign w:val="bottom"/>
          </w:tcPr>
          <w:p>
            <w:pPr>
              <w:jc w:val="right"/>
              <w:spacing w:after="0"/>
              <w:rPr>
                <w:sz w:val="20"/>
                <w:szCs w:val="20"/>
                <w:color w:val="auto"/>
              </w:rPr>
            </w:pPr>
            <w:r>
              <w:rPr>
                <w:rFonts w:ascii="Arial" w:cs="Arial" w:eastAsia="Arial" w:hAnsi="Arial"/>
                <w:sz w:val="11"/>
                <w:szCs w:val="11"/>
                <w:color w:val="auto"/>
              </w:rPr>
              <w:t>12/09/2026</w:t>
            </w: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3"/>
        </w:trPr>
        <w:tc>
          <w:tcPr>
            <w:tcW w:w="2420" w:type="dxa"/>
            <w:vAlign w:val="bottom"/>
          </w:tcPr>
          <w:p>
            <w:pPr>
              <w:spacing w:after="0"/>
              <w:rPr>
                <w:sz w:val="11"/>
                <w:szCs w:val="1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1"/>
                <w:szCs w:val="11"/>
                <w:color w:val="auto"/>
              </w:rPr>
              <w:t>102,400</w:t>
            </w:r>
          </w:p>
        </w:tc>
        <w:tc>
          <w:tcPr>
            <w:tcW w:w="1020" w:type="dxa"/>
            <w:vAlign w:val="bottom"/>
          </w:tcPr>
          <w:p>
            <w:pPr>
              <w:jc w:val="right"/>
              <w:spacing w:after="0"/>
              <w:rPr>
                <w:sz w:val="20"/>
                <w:szCs w:val="20"/>
                <w:color w:val="auto"/>
              </w:rPr>
            </w:pPr>
            <w:r>
              <w:rPr>
                <w:rFonts w:ascii="Arial" w:cs="Arial" w:eastAsia="Arial" w:hAnsi="Arial"/>
                <w:sz w:val="11"/>
                <w:szCs w:val="11"/>
                <w:color w:val="auto"/>
              </w:rPr>
              <w:t>0</w:t>
            </w:r>
          </w:p>
        </w:tc>
        <w:tc>
          <w:tcPr>
            <w:tcW w:w="1020" w:type="dxa"/>
            <w:vAlign w:val="bottom"/>
          </w:tcPr>
          <w:p>
            <w:pPr>
              <w:jc w:val="right"/>
              <w:spacing w:after="0"/>
              <w:rPr>
                <w:sz w:val="20"/>
                <w:szCs w:val="20"/>
                <w:color w:val="auto"/>
              </w:rPr>
            </w:pPr>
            <w:r>
              <w:rPr>
                <w:rFonts w:ascii="Arial" w:cs="Arial" w:eastAsia="Arial" w:hAnsi="Arial"/>
                <w:sz w:val="11"/>
                <w:szCs w:val="11"/>
                <w:color w:val="auto"/>
              </w:rPr>
              <w:t>65.9300</w:t>
            </w:r>
          </w:p>
        </w:tc>
        <w:tc>
          <w:tcPr>
            <w:tcW w:w="1020" w:type="dxa"/>
            <w:vAlign w:val="bottom"/>
          </w:tcPr>
          <w:p>
            <w:pPr>
              <w:jc w:val="right"/>
              <w:spacing w:after="0"/>
              <w:rPr>
                <w:sz w:val="20"/>
                <w:szCs w:val="20"/>
                <w:color w:val="auto"/>
              </w:rPr>
            </w:pPr>
            <w:r>
              <w:rPr>
                <w:rFonts w:ascii="Arial" w:cs="Arial" w:eastAsia="Arial" w:hAnsi="Arial"/>
                <w:sz w:val="11"/>
                <w:szCs w:val="11"/>
                <w:color w:val="auto"/>
              </w:rPr>
              <w:t>12/08/2027</w:t>
            </w: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3"/>
        </w:trPr>
        <w:tc>
          <w:tcPr>
            <w:tcW w:w="2420" w:type="dxa"/>
            <w:vAlign w:val="bottom"/>
          </w:tcPr>
          <w:p>
            <w:pPr>
              <w:spacing w:after="0"/>
              <w:rPr>
                <w:sz w:val="11"/>
                <w:szCs w:val="1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1"/>
                <w:szCs w:val="11"/>
                <w:color w:val="auto"/>
              </w:rPr>
              <w:t>91,400</w:t>
            </w:r>
          </w:p>
        </w:tc>
        <w:tc>
          <w:tcPr>
            <w:tcW w:w="1020" w:type="dxa"/>
            <w:vAlign w:val="bottom"/>
          </w:tcPr>
          <w:p>
            <w:pPr>
              <w:jc w:val="right"/>
              <w:spacing w:after="0"/>
              <w:rPr>
                <w:sz w:val="20"/>
                <w:szCs w:val="20"/>
                <w:color w:val="auto"/>
              </w:rPr>
            </w:pPr>
            <w:r>
              <w:rPr>
                <w:rFonts w:ascii="Arial" w:cs="Arial" w:eastAsia="Arial" w:hAnsi="Arial"/>
                <w:sz w:val="11"/>
                <w:szCs w:val="11"/>
                <w:color w:val="auto"/>
              </w:rPr>
              <w:t>45,700</w:t>
            </w:r>
          </w:p>
        </w:tc>
        <w:tc>
          <w:tcPr>
            <w:tcW w:w="1020" w:type="dxa"/>
            <w:vAlign w:val="bottom"/>
          </w:tcPr>
          <w:p>
            <w:pPr>
              <w:jc w:val="right"/>
              <w:spacing w:after="0"/>
              <w:rPr>
                <w:sz w:val="20"/>
                <w:szCs w:val="20"/>
                <w:color w:val="auto"/>
              </w:rPr>
            </w:pPr>
            <w:r>
              <w:rPr>
                <w:rFonts w:ascii="Arial" w:cs="Arial" w:eastAsia="Arial" w:hAnsi="Arial"/>
                <w:sz w:val="11"/>
                <w:szCs w:val="11"/>
                <w:color w:val="auto"/>
              </w:rPr>
              <w:t>58.5300</w:t>
            </w:r>
          </w:p>
        </w:tc>
        <w:tc>
          <w:tcPr>
            <w:tcW w:w="1020" w:type="dxa"/>
            <w:vAlign w:val="bottom"/>
          </w:tcPr>
          <w:p>
            <w:pPr>
              <w:jc w:val="right"/>
              <w:spacing w:after="0"/>
              <w:rPr>
                <w:sz w:val="20"/>
                <w:szCs w:val="20"/>
                <w:color w:val="auto"/>
              </w:rPr>
            </w:pPr>
            <w:r>
              <w:rPr>
                <w:rFonts w:ascii="Arial" w:cs="Arial" w:eastAsia="Arial" w:hAnsi="Arial"/>
                <w:sz w:val="11"/>
                <w:szCs w:val="11"/>
                <w:color w:val="auto"/>
              </w:rPr>
              <w:t>12/07/2028</w:t>
            </w: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3"/>
        </w:trPr>
        <w:tc>
          <w:tcPr>
            <w:tcW w:w="2420" w:type="dxa"/>
            <w:vAlign w:val="bottom"/>
          </w:tcPr>
          <w:p>
            <w:pPr>
              <w:spacing w:after="0"/>
              <w:rPr>
                <w:sz w:val="11"/>
                <w:szCs w:val="1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1"/>
                <w:szCs w:val="11"/>
                <w:color w:val="auto"/>
              </w:rPr>
              <w:t>50,966</w:t>
            </w:r>
          </w:p>
        </w:tc>
        <w:tc>
          <w:tcPr>
            <w:tcW w:w="1020" w:type="dxa"/>
            <w:vAlign w:val="bottom"/>
          </w:tcPr>
          <w:p>
            <w:pPr>
              <w:jc w:val="right"/>
              <w:spacing w:after="0"/>
              <w:rPr>
                <w:sz w:val="20"/>
                <w:szCs w:val="20"/>
                <w:color w:val="auto"/>
              </w:rPr>
            </w:pPr>
            <w:r>
              <w:rPr>
                <w:rFonts w:ascii="Arial" w:cs="Arial" w:eastAsia="Arial" w:hAnsi="Arial"/>
                <w:sz w:val="11"/>
                <w:szCs w:val="11"/>
                <w:color w:val="auto"/>
              </w:rPr>
              <w:t>101,934</w:t>
            </w:r>
          </w:p>
        </w:tc>
        <w:tc>
          <w:tcPr>
            <w:tcW w:w="1020" w:type="dxa"/>
            <w:vAlign w:val="bottom"/>
          </w:tcPr>
          <w:p>
            <w:pPr>
              <w:jc w:val="right"/>
              <w:spacing w:after="0"/>
              <w:rPr>
                <w:sz w:val="20"/>
                <w:szCs w:val="20"/>
                <w:color w:val="auto"/>
              </w:rPr>
            </w:pPr>
            <w:r>
              <w:rPr>
                <w:rFonts w:ascii="Arial" w:cs="Arial" w:eastAsia="Arial" w:hAnsi="Arial"/>
                <w:sz w:val="11"/>
                <w:szCs w:val="11"/>
                <w:color w:val="auto"/>
              </w:rPr>
              <w:t>76.5300</w:t>
            </w:r>
          </w:p>
        </w:tc>
        <w:tc>
          <w:tcPr>
            <w:tcW w:w="1020" w:type="dxa"/>
            <w:vAlign w:val="bottom"/>
          </w:tcPr>
          <w:p>
            <w:pPr>
              <w:jc w:val="right"/>
              <w:spacing w:after="0"/>
              <w:rPr>
                <w:sz w:val="20"/>
                <w:szCs w:val="20"/>
                <w:color w:val="auto"/>
              </w:rPr>
            </w:pPr>
            <w:r>
              <w:rPr>
                <w:rFonts w:ascii="Arial" w:cs="Arial" w:eastAsia="Arial" w:hAnsi="Arial"/>
                <w:sz w:val="11"/>
                <w:szCs w:val="11"/>
                <w:color w:val="auto"/>
              </w:rPr>
              <w:t>12/19/2029</w:t>
            </w: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3"/>
        </w:trPr>
        <w:tc>
          <w:tcPr>
            <w:tcW w:w="2420" w:type="dxa"/>
            <w:vAlign w:val="bottom"/>
          </w:tcPr>
          <w:p>
            <w:pPr>
              <w:spacing w:after="0"/>
              <w:rPr>
                <w:sz w:val="11"/>
                <w:szCs w:val="1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1"/>
                <w:szCs w:val="11"/>
                <w:color w:val="auto"/>
              </w:rPr>
              <w:t>0</w:t>
            </w:r>
          </w:p>
        </w:tc>
        <w:tc>
          <w:tcPr>
            <w:tcW w:w="1020" w:type="dxa"/>
            <w:vAlign w:val="bottom"/>
          </w:tcPr>
          <w:p>
            <w:pPr>
              <w:jc w:val="right"/>
              <w:spacing w:after="0"/>
              <w:rPr>
                <w:sz w:val="20"/>
                <w:szCs w:val="20"/>
                <w:color w:val="auto"/>
              </w:rPr>
            </w:pPr>
            <w:r>
              <w:rPr>
                <w:rFonts w:ascii="Arial" w:cs="Arial" w:eastAsia="Arial" w:hAnsi="Arial"/>
                <w:sz w:val="11"/>
                <w:szCs w:val="11"/>
                <w:color w:val="auto"/>
              </w:rPr>
              <w:t>134,300</w:t>
            </w:r>
          </w:p>
        </w:tc>
        <w:tc>
          <w:tcPr>
            <w:tcW w:w="1020" w:type="dxa"/>
            <w:vAlign w:val="bottom"/>
          </w:tcPr>
          <w:p>
            <w:pPr>
              <w:jc w:val="right"/>
              <w:spacing w:after="0"/>
              <w:rPr>
                <w:sz w:val="20"/>
                <w:szCs w:val="20"/>
                <w:color w:val="auto"/>
              </w:rPr>
            </w:pPr>
            <w:r>
              <w:rPr>
                <w:rFonts w:ascii="Arial" w:cs="Arial" w:eastAsia="Arial" w:hAnsi="Arial"/>
                <w:sz w:val="11"/>
                <w:szCs w:val="11"/>
                <w:color w:val="auto"/>
              </w:rPr>
              <w:t>93.3300</w:t>
            </w:r>
          </w:p>
        </w:tc>
        <w:tc>
          <w:tcPr>
            <w:tcW w:w="1020" w:type="dxa"/>
            <w:vAlign w:val="bottom"/>
          </w:tcPr>
          <w:p>
            <w:pPr>
              <w:jc w:val="right"/>
              <w:spacing w:after="0"/>
              <w:rPr>
                <w:sz w:val="20"/>
                <w:szCs w:val="20"/>
                <w:color w:val="auto"/>
              </w:rPr>
            </w:pPr>
            <w:r>
              <w:rPr>
                <w:rFonts w:ascii="Arial" w:cs="Arial" w:eastAsia="Arial" w:hAnsi="Arial"/>
                <w:sz w:val="11"/>
                <w:szCs w:val="11"/>
                <w:color w:val="auto"/>
              </w:rPr>
              <w:t>12/17/2030</w:t>
            </w: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3"/>
        </w:trPr>
        <w:tc>
          <w:tcPr>
            <w:tcW w:w="2420" w:type="dxa"/>
            <w:vAlign w:val="bottom"/>
          </w:tcPr>
          <w:p>
            <w:pPr>
              <w:ind w:left="120"/>
              <w:spacing w:after="0"/>
              <w:rPr>
                <w:sz w:val="20"/>
                <w:szCs w:val="20"/>
                <w:color w:val="auto"/>
              </w:rPr>
            </w:pPr>
            <w:r>
              <w:rPr>
                <w:rFonts w:ascii="Arial" w:cs="Arial" w:eastAsia="Arial" w:hAnsi="Arial"/>
                <w:sz w:val="11"/>
                <w:szCs w:val="11"/>
                <w:color w:val="auto"/>
              </w:rPr>
              <w:t>F’20-F’22 Performance Shares</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60" w:type="dxa"/>
            <w:vAlign w:val="bottom"/>
          </w:tcPr>
          <w:p>
            <w:pPr>
              <w:jc w:val="right"/>
              <w:ind w:right="127"/>
              <w:spacing w:after="0"/>
              <w:rPr>
                <w:sz w:val="20"/>
                <w:szCs w:val="20"/>
                <w:color w:val="auto"/>
              </w:rPr>
            </w:pPr>
            <w:r>
              <w:rPr>
                <w:rFonts w:ascii="Arial" w:cs="Arial" w:eastAsia="Arial" w:hAnsi="Arial"/>
                <w:sz w:val="11"/>
                <w:szCs w:val="11"/>
                <w:color w:val="auto"/>
              </w:rPr>
              <w:t>27,617</w:t>
            </w:r>
          </w:p>
        </w:tc>
        <w:tc>
          <w:tcPr>
            <w:tcW w:w="1240" w:type="dxa"/>
            <w:vAlign w:val="bottom"/>
          </w:tcPr>
          <w:p>
            <w:pPr>
              <w:jc w:val="right"/>
              <w:spacing w:after="0"/>
              <w:rPr>
                <w:sz w:val="20"/>
                <w:szCs w:val="20"/>
                <w:color w:val="auto"/>
              </w:rPr>
            </w:pPr>
            <w:r>
              <w:rPr>
                <w:rFonts w:ascii="Arial" w:cs="Arial" w:eastAsia="Arial" w:hAnsi="Arial"/>
                <w:sz w:val="11"/>
                <w:szCs w:val="11"/>
                <w:color w:val="auto"/>
              </w:rPr>
              <w:t>2,636,595</w:t>
            </w:r>
          </w:p>
        </w:tc>
      </w:tr>
      <w:tr>
        <w:trPr>
          <w:trHeight w:val="128"/>
        </w:trPr>
        <w:tc>
          <w:tcPr>
            <w:tcW w:w="2420" w:type="dxa"/>
            <w:vAlign w:val="bottom"/>
          </w:tcPr>
          <w:p>
            <w:pPr>
              <w:ind w:left="120"/>
              <w:spacing w:after="0"/>
              <w:rPr>
                <w:sz w:val="20"/>
                <w:szCs w:val="20"/>
                <w:color w:val="auto"/>
              </w:rPr>
            </w:pPr>
            <w:r>
              <w:rPr>
                <w:rFonts w:ascii="Arial" w:cs="Arial" w:eastAsia="Arial" w:hAnsi="Arial"/>
                <w:sz w:val="11"/>
                <w:szCs w:val="11"/>
                <w:color w:val="auto"/>
              </w:rPr>
              <w:t>F’21-F’23 Performance Shares</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60" w:type="dxa"/>
            <w:vAlign w:val="bottom"/>
          </w:tcPr>
          <w:p>
            <w:pPr>
              <w:jc w:val="right"/>
              <w:ind w:right="127"/>
              <w:spacing w:after="0"/>
              <w:rPr>
                <w:sz w:val="20"/>
                <w:szCs w:val="20"/>
                <w:color w:val="auto"/>
              </w:rPr>
            </w:pPr>
            <w:r>
              <w:rPr>
                <w:rFonts w:ascii="Arial" w:cs="Arial" w:eastAsia="Arial" w:hAnsi="Arial"/>
                <w:sz w:val="11"/>
                <w:szCs w:val="11"/>
                <w:color w:val="auto"/>
              </w:rPr>
              <w:t>44,998</w:t>
            </w:r>
          </w:p>
        </w:tc>
        <w:tc>
          <w:tcPr>
            <w:tcW w:w="1240" w:type="dxa"/>
            <w:vAlign w:val="bottom"/>
          </w:tcPr>
          <w:p>
            <w:pPr>
              <w:jc w:val="right"/>
              <w:spacing w:after="0"/>
              <w:rPr>
                <w:sz w:val="20"/>
                <w:szCs w:val="20"/>
                <w:color w:val="auto"/>
              </w:rPr>
            </w:pPr>
            <w:r>
              <w:rPr>
                <w:rFonts w:ascii="Arial" w:cs="Arial" w:eastAsia="Arial" w:hAnsi="Arial"/>
                <w:sz w:val="11"/>
                <w:szCs w:val="11"/>
                <w:color w:val="auto"/>
              </w:rPr>
              <w:t>4,295,959</w:t>
            </w:r>
          </w:p>
        </w:tc>
      </w:tr>
      <w:tr>
        <w:trPr>
          <w:trHeight w:val="133"/>
        </w:trPr>
        <w:tc>
          <w:tcPr>
            <w:tcW w:w="2420" w:type="dxa"/>
            <w:vAlign w:val="bottom"/>
            <w:shd w:val="clear" w:color="auto" w:fill="D9D9D9"/>
          </w:tcPr>
          <w:p>
            <w:pPr>
              <w:spacing w:after="0"/>
              <w:rPr>
                <w:sz w:val="20"/>
                <w:szCs w:val="20"/>
                <w:color w:val="auto"/>
              </w:rPr>
            </w:pPr>
            <w:r>
              <w:rPr>
                <w:rFonts w:ascii="Arial" w:cs="Arial" w:eastAsia="Arial" w:hAnsi="Arial"/>
                <w:sz w:val="11"/>
                <w:szCs w:val="11"/>
                <w:color w:val="auto"/>
              </w:rPr>
              <w:t>Renee J. Peterson</w:t>
            </w:r>
          </w:p>
        </w:tc>
        <w:tc>
          <w:tcPr>
            <w:tcW w:w="800" w:type="dxa"/>
            <w:vAlign w:val="bottom"/>
            <w:shd w:val="clear" w:color="auto" w:fill="D9D9D9"/>
          </w:tcPr>
          <w:p>
            <w:pPr>
              <w:spacing w:after="0"/>
              <w:rPr>
                <w:sz w:val="11"/>
                <w:szCs w:val="11"/>
                <w:color w:val="auto"/>
              </w:rPr>
            </w:pPr>
          </w:p>
        </w:tc>
        <w:tc>
          <w:tcPr>
            <w:tcW w:w="240" w:type="dxa"/>
            <w:vAlign w:val="bottom"/>
            <w:shd w:val="clear" w:color="auto" w:fill="D9D9D9"/>
          </w:tcPr>
          <w:p>
            <w:pPr>
              <w:spacing w:after="0"/>
              <w:rPr>
                <w:sz w:val="11"/>
                <w:szCs w:val="11"/>
                <w:color w:val="auto"/>
              </w:rPr>
            </w:pPr>
          </w:p>
        </w:tc>
        <w:tc>
          <w:tcPr>
            <w:tcW w:w="1020" w:type="dxa"/>
            <w:vAlign w:val="bottom"/>
            <w:shd w:val="clear" w:color="auto" w:fill="D9D9D9"/>
          </w:tcPr>
          <w:p>
            <w:pPr>
              <w:spacing w:after="0"/>
              <w:rPr>
                <w:sz w:val="11"/>
                <w:szCs w:val="11"/>
                <w:color w:val="auto"/>
              </w:rPr>
            </w:pPr>
          </w:p>
        </w:tc>
        <w:tc>
          <w:tcPr>
            <w:tcW w:w="1020" w:type="dxa"/>
            <w:vAlign w:val="bottom"/>
            <w:shd w:val="clear" w:color="auto" w:fill="D9D9D9"/>
          </w:tcPr>
          <w:p>
            <w:pPr>
              <w:spacing w:after="0"/>
              <w:rPr>
                <w:sz w:val="11"/>
                <w:szCs w:val="11"/>
                <w:color w:val="auto"/>
              </w:rPr>
            </w:pPr>
          </w:p>
        </w:tc>
        <w:tc>
          <w:tcPr>
            <w:tcW w:w="1020" w:type="dxa"/>
            <w:vAlign w:val="bottom"/>
            <w:shd w:val="clear" w:color="auto" w:fill="D9D9D9"/>
          </w:tcPr>
          <w:p>
            <w:pPr>
              <w:spacing w:after="0"/>
              <w:rPr>
                <w:sz w:val="11"/>
                <w:szCs w:val="11"/>
                <w:color w:val="auto"/>
              </w:rPr>
            </w:pPr>
          </w:p>
        </w:tc>
        <w:tc>
          <w:tcPr>
            <w:tcW w:w="940" w:type="dxa"/>
            <w:vAlign w:val="bottom"/>
            <w:shd w:val="clear" w:color="auto" w:fill="D9D9D9"/>
          </w:tcPr>
          <w:p>
            <w:pPr>
              <w:spacing w:after="0"/>
              <w:rPr>
                <w:sz w:val="11"/>
                <w:szCs w:val="11"/>
                <w:color w:val="auto"/>
              </w:rPr>
            </w:pPr>
          </w:p>
        </w:tc>
        <w:tc>
          <w:tcPr>
            <w:tcW w:w="980" w:type="dxa"/>
            <w:vAlign w:val="bottom"/>
            <w:shd w:val="clear" w:color="auto" w:fill="D9D9D9"/>
          </w:tcPr>
          <w:p>
            <w:pPr>
              <w:spacing w:after="0"/>
              <w:rPr>
                <w:sz w:val="11"/>
                <w:szCs w:val="11"/>
                <w:color w:val="auto"/>
              </w:rPr>
            </w:pPr>
          </w:p>
        </w:tc>
        <w:tc>
          <w:tcPr>
            <w:tcW w:w="1560" w:type="dxa"/>
            <w:vAlign w:val="bottom"/>
            <w:shd w:val="clear" w:color="auto" w:fill="D9D9D9"/>
          </w:tcPr>
          <w:p>
            <w:pPr>
              <w:spacing w:after="0"/>
              <w:rPr>
                <w:sz w:val="11"/>
                <w:szCs w:val="11"/>
                <w:color w:val="auto"/>
              </w:rPr>
            </w:pPr>
          </w:p>
        </w:tc>
        <w:tc>
          <w:tcPr>
            <w:tcW w:w="1240" w:type="dxa"/>
            <w:vAlign w:val="bottom"/>
            <w:shd w:val="clear" w:color="auto" w:fill="D9D9D9"/>
          </w:tcPr>
          <w:p>
            <w:pPr>
              <w:spacing w:after="0"/>
              <w:rPr>
                <w:sz w:val="11"/>
                <w:szCs w:val="11"/>
                <w:color w:val="auto"/>
              </w:rPr>
            </w:pPr>
          </w:p>
        </w:tc>
      </w:tr>
      <w:tr>
        <w:trPr>
          <w:trHeight w:val="133"/>
        </w:trPr>
        <w:tc>
          <w:tcPr>
            <w:tcW w:w="2420" w:type="dxa"/>
            <w:vAlign w:val="bottom"/>
            <w:shd w:val="clear" w:color="auto" w:fill="D9D9D9"/>
          </w:tcPr>
          <w:p>
            <w:pPr>
              <w:ind w:left="120"/>
              <w:spacing w:after="0"/>
              <w:rPr>
                <w:sz w:val="20"/>
                <w:szCs w:val="20"/>
                <w:color w:val="auto"/>
              </w:rPr>
            </w:pPr>
            <w:r>
              <w:rPr>
                <w:rFonts w:ascii="Arial" w:cs="Arial" w:eastAsia="Arial" w:hAnsi="Arial"/>
                <w:sz w:val="11"/>
                <w:szCs w:val="11"/>
                <w:color w:val="auto"/>
              </w:rPr>
              <w:t>Stock Options</w:t>
            </w:r>
          </w:p>
        </w:tc>
        <w:tc>
          <w:tcPr>
            <w:tcW w:w="1040" w:type="dxa"/>
            <w:vAlign w:val="bottom"/>
            <w:gridSpan w:val="2"/>
            <w:shd w:val="clear" w:color="auto" w:fill="D9D9D9"/>
          </w:tcPr>
          <w:p>
            <w:pPr>
              <w:jc w:val="right"/>
              <w:ind w:right="20"/>
              <w:spacing w:after="0"/>
              <w:rPr>
                <w:sz w:val="20"/>
                <w:szCs w:val="20"/>
                <w:color w:val="auto"/>
              </w:rPr>
            </w:pPr>
            <w:r>
              <w:rPr>
                <w:rFonts w:ascii="Arial" w:cs="Arial" w:eastAsia="Arial" w:hAnsi="Arial"/>
                <w:sz w:val="11"/>
                <w:szCs w:val="11"/>
                <w:color w:val="auto"/>
              </w:rPr>
              <w:t>39,400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38.8200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12/04/2025</w:t>
            </w:r>
          </w:p>
        </w:tc>
        <w:tc>
          <w:tcPr>
            <w:tcW w:w="940" w:type="dxa"/>
            <w:vAlign w:val="bottom"/>
            <w:shd w:val="clear" w:color="auto" w:fill="D9D9D9"/>
          </w:tcPr>
          <w:p>
            <w:pPr>
              <w:spacing w:after="0"/>
              <w:rPr>
                <w:sz w:val="11"/>
                <w:szCs w:val="11"/>
                <w:color w:val="auto"/>
              </w:rPr>
            </w:pPr>
          </w:p>
        </w:tc>
        <w:tc>
          <w:tcPr>
            <w:tcW w:w="980" w:type="dxa"/>
            <w:vAlign w:val="bottom"/>
            <w:shd w:val="clear" w:color="auto" w:fill="D9D9D9"/>
          </w:tcPr>
          <w:p>
            <w:pPr>
              <w:spacing w:after="0"/>
              <w:rPr>
                <w:sz w:val="11"/>
                <w:szCs w:val="11"/>
                <w:color w:val="auto"/>
              </w:rPr>
            </w:pPr>
          </w:p>
        </w:tc>
        <w:tc>
          <w:tcPr>
            <w:tcW w:w="1560" w:type="dxa"/>
            <w:vAlign w:val="bottom"/>
            <w:shd w:val="clear" w:color="auto" w:fill="D9D9D9"/>
          </w:tcPr>
          <w:p>
            <w:pPr>
              <w:spacing w:after="0"/>
              <w:rPr>
                <w:sz w:val="11"/>
                <w:szCs w:val="11"/>
                <w:color w:val="auto"/>
              </w:rPr>
            </w:pPr>
          </w:p>
        </w:tc>
        <w:tc>
          <w:tcPr>
            <w:tcW w:w="1240" w:type="dxa"/>
            <w:vAlign w:val="bottom"/>
            <w:shd w:val="clear" w:color="auto" w:fill="D9D9D9"/>
          </w:tcPr>
          <w:p>
            <w:pPr>
              <w:spacing w:after="0"/>
              <w:rPr>
                <w:sz w:val="11"/>
                <w:szCs w:val="11"/>
                <w:color w:val="auto"/>
              </w:rPr>
            </w:pPr>
          </w:p>
        </w:tc>
      </w:tr>
      <w:tr>
        <w:trPr>
          <w:trHeight w:val="133"/>
        </w:trPr>
        <w:tc>
          <w:tcPr>
            <w:tcW w:w="2420" w:type="dxa"/>
            <w:vAlign w:val="bottom"/>
            <w:shd w:val="clear" w:color="auto" w:fill="D9D9D9"/>
          </w:tcPr>
          <w:p>
            <w:pPr>
              <w:spacing w:after="0"/>
              <w:rPr>
                <w:sz w:val="11"/>
                <w:szCs w:val="11"/>
                <w:color w:val="auto"/>
              </w:rPr>
            </w:pPr>
          </w:p>
        </w:tc>
        <w:tc>
          <w:tcPr>
            <w:tcW w:w="1040" w:type="dxa"/>
            <w:vAlign w:val="bottom"/>
            <w:gridSpan w:val="2"/>
            <w:shd w:val="clear" w:color="auto" w:fill="D9D9D9"/>
          </w:tcPr>
          <w:p>
            <w:pPr>
              <w:jc w:val="right"/>
              <w:ind w:right="20"/>
              <w:spacing w:after="0"/>
              <w:rPr>
                <w:sz w:val="20"/>
                <w:szCs w:val="20"/>
                <w:color w:val="auto"/>
              </w:rPr>
            </w:pPr>
            <w:r>
              <w:rPr>
                <w:rFonts w:ascii="Arial" w:cs="Arial" w:eastAsia="Arial" w:hAnsi="Arial"/>
                <w:sz w:val="11"/>
                <w:szCs w:val="11"/>
                <w:color w:val="auto"/>
              </w:rPr>
              <w:t>36,300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56.5400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12/09/2026</w:t>
            </w:r>
          </w:p>
        </w:tc>
        <w:tc>
          <w:tcPr>
            <w:tcW w:w="940" w:type="dxa"/>
            <w:vAlign w:val="bottom"/>
            <w:shd w:val="clear" w:color="auto" w:fill="D9D9D9"/>
          </w:tcPr>
          <w:p>
            <w:pPr>
              <w:spacing w:after="0"/>
              <w:rPr>
                <w:sz w:val="11"/>
                <w:szCs w:val="11"/>
                <w:color w:val="auto"/>
              </w:rPr>
            </w:pPr>
          </w:p>
        </w:tc>
        <w:tc>
          <w:tcPr>
            <w:tcW w:w="980" w:type="dxa"/>
            <w:vAlign w:val="bottom"/>
            <w:shd w:val="clear" w:color="auto" w:fill="D9D9D9"/>
          </w:tcPr>
          <w:p>
            <w:pPr>
              <w:spacing w:after="0"/>
              <w:rPr>
                <w:sz w:val="11"/>
                <w:szCs w:val="11"/>
                <w:color w:val="auto"/>
              </w:rPr>
            </w:pPr>
          </w:p>
        </w:tc>
        <w:tc>
          <w:tcPr>
            <w:tcW w:w="1560" w:type="dxa"/>
            <w:vAlign w:val="bottom"/>
            <w:shd w:val="clear" w:color="auto" w:fill="D9D9D9"/>
          </w:tcPr>
          <w:p>
            <w:pPr>
              <w:spacing w:after="0"/>
              <w:rPr>
                <w:sz w:val="11"/>
                <w:szCs w:val="11"/>
                <w:color w:val="auto"/>
              </w:rPr>
            </w:pPr>
          </w:p>
        </w:tc>
        <w:tc>
          <w:tcPr>
            <w:tcW w:w="1240" w:type="dxa"/>
            <w:vAlign w:val="bottom"/>
            <w:shd w:val="clear" w:color="auto" w:fill="D9D9D9"/>
          </w:tcPr>
          <w:p>
            <w:pPr>
              <w:spacing w:after="0"/>
              <w:rPr>
                <w:sz w:val="11"/>
                <w:szCs w:val="11"/>
                <w:color w:val="auto"/>
              </w:rPr>
            </w:pPr>
          </w:p>
        </w:tc>
      </w:tr>
      <w:tr>
        <w:trPr>
          <w:trHeight w:val="133"/>
        </w:trPr>
        <w:tc>
          <w:tcPr>
            <w:tcW w:w="2420" w:type="dxa"/>
            <w:vAlign w:val="bottom"/>
            <w:shd w:val="clear" w:color="auto" w:fill="D9D9D9"/>
          </w:tcPr>
          <w:p>
            <w:pPr>
              <w:spacing w:after="0"/>
              <w:rPr>
                <w:sz w:val="11"/>
                <w:szCs w:val="11"/>
                <w:color w:val="auto"/>
              </w:rPr>
            </w:pPr>
          </w:p>
        </w:tc>
        <w:tc>
          <w:tcPr>
            <w:tcW w:w="1040" w:type="dxa"/>
            <w:vAlign w:val="bottom"/>
            <w:gridSpan w:val="2"/>
            <w:shd w:val="clear" w:color="auto" w:fill="D9D9D9"/>
          </w:tcPr>
          <w:p>
            <w:pPr>
              <w:jc w:val="right"/>
              <w:ind w:right="20"/>
              <w:spacing w:after="0"/>
              <w:rPr>
                <w:sz w:val="20"/>
                <w:szCs w:val="20"/>
                <w:color w:val="auto"/>
              </w:rPr>
            </w:pPr>
            <w:r>
              <w:rPr>
                <w:rFonts w:ascii="Arial" w:cs="Arial" w:eastAsia="Arial" w:hAnsi="Arial"/>
                <w:sz w:val="11"/>
                <w:szCs w:val="11"/>
                <w:color w:val="auto"/>
              </w:rPr>
              <w:t>28,400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65.9300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12/08/2027</w:t>
            </w:r>
          </w:p>
        </w:tc>
        <w:tc>
          <w:tcPr>
            <w:tcW w:w="940" w:type="dxa"/>
            <w:vAlign w:val="bottom"/>
            <w:shd w:val="clear" w:color="auto" w:fill="D9D9D9"/>
          </w:tcPr>
          <w:p>
            <w:pPr>
              <w:spacing w:after="0"/>
              <w:rPr>
                <w:sz w:val="11"/>
                <w:szCs w:val="11"/>
                <w:color w:val="auto"/>
              </w:rPr>
            </w:pPr>
          </w:p>
        </w:tc>
        <w:tc>
          <w:tcPr>
            <w:tcW w:w="980" w:type="dxa"/>
            <w:vAlign w:val="bottom"/>
            <w:shd w:val="clear" w:color="auto" w:fill="D9D9D9"/>
          </w:tcPr>
          <w:p>
            <w:pPr>
              <w:spacing w:after="0"/>
              <w:rPr>
                <w:sz w:val="11"/>
                <w:szCs w:val="11"/>
                <w:color w:val="auto"/>
              </w:rPr>
            </w:pPr>
          </w:p>
        </w:tc>
        <w:tc>
          <w:tcPr>
            <w:tcW w:w="1560" w:type="dxa"/>
            <w:vAlign w:val="bottom"/>
            <w:shd w:val="clear" w:color="auto" w:fill="D9D9D9"/>
          </w:tcPr>
          <w:p>
            <w:pPr>
              <w:spacing w:after="0"/>
              <w:rPr>
                <w:sz w:val="11"/>
                <w:szCs w:val="11"/>
                <w:color w:val="auto"/>
              </w:rPr>
            </w:pPr>
          </w:p>
        </w:tc>
        <w:tc>
          <w:tcPr>
            <w:tcW w:w="1240" w:type="dxa"/>
            <w:vAlign w:val="bottom"/>
            <w:shd w:val="clear" w:color="auto" w:fill="D9D9D9"/>
          </w:tcPr>
          <w:p>
            <w:pPr>
              <w:spacing w:after="0"/>
              <w:rPr>
                <w:sz w:val="11"/>
                <w:szCs w:val="11"/>
                <w:color w:val="auto"/>
              </w:rPr>
            </w:pPr>
          </w:p>
        </w:tc>
      </w:tr>
      <w:tr>
        <w:trPr>
          <w:trHeight w:val="133"/>
        </w:trPr>
        <w:tc>
          <w:tcPr>
            <w:tcW w:w="2420" w:type="dxa"/>
            <w:vAlign w:val="bottom"/>
            <w:shd w:val="clear" w:color="auto" w:fill="D9D9D9"/>
          </w:tcPr>
          <w:p>
            <w:pPr>
              <w:spacing w:after="0"/>
              <w:rPr>
                <w:sz w:val="11"/>
                <w:szCs w:val="11"/>
                <w:color w:val="auto"/>
              </w:rPr>
            </w:pPr>
          </w:p>
        </w:tc>
        <w:tc>
          <w:tcPr>
            <w:tcW w:w="1040" w:type="dxa"/>
            <w:vAlign w:val="bottom"/>
            <w:gridSpan w:val="2"/>
            <w:shd w:val="clear" w:color="auto" w:fill="D9D9D9"/>
          </w:tcPr>
          <w:p>
            <w:pPr>
              <w:jc w:val="right"/>
              <w:ind w:right="20"/>
              <w:spacing w:after="0"/>
              <w:rPr>
                <w:sz w:val="20"/>
                <w:szCs w:val="20"/>
                <w:color w:val="auto"/>
              </w:rPr>
            </w:pPr>
            <w:r>
              <w:rPr>
                <w:rFonts w:ascii="Arial" w:cs="Arial" w:eastAsia="Arial" w:hAnsi="Arial"/>
                <w:sz w:val="11"/>
                <w:szCs w:val="11"/>
                <w:color w:val="auto"/>
              </w:rPr>
              <w:t>22,266</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11,134</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58.5300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12/07/2028</w:t>
            </w:r>
          </w:p>
        </w:tc>
        <w:tc>
          <w:tcPr>
            <w:tcW w:w="940" w:type="dxa"/>
            <w:vAlign w:val="bottom"/>
            <w:shd w:val="clear" w:color="auto" w:fill="D9D9D9"/>
          </w:tcPr>
          <w:p>
            <w:pPr>
              <w:spacing w:after="0"/>
              <w:rPr>
                <w:sz w:val="11"/>
                <w:szCs w:val="11"/>
                <w:color w:val="auto"/>
              </w:rPr>
            </w:pPr>
          </w:p>
        </w:tc>
        <w:tc>
          <w:tcPr>
            <w:tcW w:w="980" w:type="dxa"/>
            <w:vAlign w:val="bottom"/>
            <w:shd w:val="clear" w:color="auto" w:fill="D9D9D9"/>
          </w:tcPr>
          <w:p>
            <w:pPr>
              <w:spacing w:after="0"/>
              <w:rPr>
                <w:sz w:val="11"/>
                <w:szCs w:val="11"/>
                <w:color w:val="auto"/>
              </w:rPr>
            </w:pPr>
          </w:p>
        </w:tc>
        <w:tc>
          <w:tcPr>
            <w:tcW w:w="1560" w:type="dxa"/>
            <w:vAlign w:val="bottom"/>
            <w:shd w:val="clear" w:color="auto" w:fill="D9D9D9"/>
          </w:tcPr>
          <w:p>
            <w:pPr>
              <w:spacing w:after="0"/>
              <w:rPr>
                <w:sz w:val="11"/>
                <w:szCs w:val="11"/>
                <w:color w:val="auto"/>
              </w:rPr>
            </w:pPr>
          </w:p>
        </w:tc>
        <w:tc>
          <w:tcPr>
            <w:tcW w:w="1240" w:type="dxa"/>
            <w:vAlign w:val="bottom"/>
            <w:shd w:val="clear" w:color="auto" w:fill="D9D9D9"/>
          </w:tcPr>
          <w:p>
            <w:pPr>
              <w:spacing w:after="0"/>
              <w:rPr>
                <w:sz w:val="11"/>
                <w:szCs w:val="11"/>
                <w:color w:val="auto"/>
              </w:rPr>
            </w:pPr>
          </w:p>
        </w:tc>
      </w:tr>
      <w:tr>
        <w:trPr>
          <w:trHeight w:val="133"/>
        </w:trPr>
        <w:tc>
          <w:tcPr>
            <w:tcW w:w="2420" w:type="dxa"/>
            <w:vAlign w:val="bottom"/>
            <w:shd w:val="clear" w:color="auto" w:fill="D9D9D9"/>
          </w:tcPr>
          <w:p>
            <w:pPr>
              <w:spacing w:after="0"/>
              <w:rPr>
                <w:sz w:val="11"/>
                <w:szCs w:val="11"/>
                <w:color w:val="auto"/>
              </w:rPr>
            </w:pPr>
          </w:p>
        </w:tc>
        <w:tc>
          <w:tcPr>
            <w:tcW w:w="1040" w:type="dxa"/>
            <w:vAlign w:val="bottom"/>
            <w:gridSpan w:val="2"/>
            <w:shd w:val="clear" w:color="auto" w:fill="D9D9D9"/>
          </w:tcPr>
          <w:p>
            <w:pPr>
              <w:jc w:val="right"/>
              <w:ind w:right="20"/>
              <w:spacing w:after="0"/>
              <w:rPr>
                <w:sz w:val="20"/>
                <w:szCs w:val="20"/>
                <w:color w:val="auto"/>
              </w:rPr>
            </w:pPr>
            <w:r>
              <w:rPr>
                <w:rFonts w:ascii="Arial" w:cs="Arial" w:eastAsia="Arial" w:hAnsi="Arial"/>
                <w:sz w:val="11"/>
                <w:szCs w:val="11"/>
                <w:color w:val="auto"/>
              </w:rPr>
              <w:t>11,300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22,600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76.5300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12/19/2029</w:t>
            </w:r>
          </w:p>
        </w:tc>
        <w:tc>
          <w:tcPr>
            <w:tcW w:w="940" w:type="dxa"/>
            <w:vAlign w:val="bottom"/>
            <w:shd w:val="clear" w:color="auto" w:fill="D9D9D9"/>
          </w:tcPr>
          <w:p>
            <w:pPr>
              <w:spacing w:after="0"/>
              <w:rPr>
                <w:sz w:val="11"/>
                <w:szCs w:val="11"/>
                <w:color w:val="auto"/>
              </w:rPr>
            </w:pPr>
          </w:p>
        </w:tc>
        <w:tc>
          <w:tcPr>
            <w:tcW w:w="980" w:type="dxa"/>
            <w:vAlign w:val="bottom"/>
            <w:shd w:val="clear" w:color="auto" w:fill="D9D9D9"/>
          </w:tcPr>
          <w:p>
            <w:pPr>
              <w:spacing w:after="0"/>
              <w:rPr>
                <w:sz w:val="11"/>
                <w:szCs w:val="11"/>
                <w:color w:val="auto"/>
              </w:rPr>
            </w:pPr>
          </w:p>
        </w:tc>
        <w:tc>
          <w:tcPr>
            <w:tcW w:w="1560" w:type="dxa"/>
            <w:vAlign w:val="bottom"/>
            <w:shd w:val="clear" w:color="auto" w:fill="D9D9D9"/>
          </w:tcPr>
          <w:p>
            <w:pPr>
              <w:spacing w:after="0"/>
              <w:rPr>
                <w:sz w:val="11"/>
                <w:szCs w:val="11"/>
                <w:color w:val="auto"/>
              </w:rPr>
            </w:pPr>
          </w:p>
        </w:tc>
        <w:tc>
          <w:tcPr>
            <w:tcW w:w="1240" w:type="dxa"/>
            <w:vAlign w:val="bottom"/>
            <w:shd w:val="clear" w:color="auto" w:fill="D9D9D9"/>
          </w:tcPr>
          <w:p>
            <w:pPr>
              <w:spacing w:after="0"/>
              <w:rPr>
                <w:sz w:val="11"/>
                <w:szCs w:val="11"/>
                <w:color w:val="auto"/>
              </w:rPr>
            </w:pPr>
          </w:p>
        </w:tc>
      </w:tr>
      <w:tr>
        <w:trPr>
          <w:trHeight w:val="133"/>
        </w:trPr>
        <w:tc>
          <w:tcPr>
            <w:tcW w:w="2420" w:type="dxa"/>
            <w:vAlign w:val="bottom"/>
            <w:shd w:val="clear" w:color="auto" w:fill="D9D9D9"/>
          </w:tcPr>
          <w:p>
            <w:pPr>
              <w:spacing w:after="0"/>
              <w:rPr>
                <w:sz w:val="11"/>
                <w:szCs w:val="11"/>
                <w:color w:val="auto"/>
              </w:rPr>
            </w:pPr>
          </w:p>
        </w:tc>
        <w:tc>
          <w:tcPr>
            <w:tcW w:w="1040" w:type="dxa"/>
            <w:vAlign w:val="bottom"/>
            <w:gridSpan w:val="2"/>
            <w:shd w:val="clear" w:color="auto" w:fill="D9D9D9"/>
          </w:tcPr>
          <w:p>
            <w:pPr>
              <w:jc w:val="right"/>
              <w:ind w:right="20"/>
              <w:spacing w:after="0"/>
              <w:rPr>
                <w:sz w:val="20"/>
                <w:szCs w:val="20"/>
                <w:color w:val="auto"/>
              </w:rPr>
            </w:pPr>
            <w:r>
              <w:rPr>
                <w:rFonts w:ascii="Arial" w:cs="Arial" w:eastAsia="Arial" w:hAnsi="Arial"/>
                <w:sz w:val="11"/>
                <w:szCs w:val="11"/>
                <w:color w:val="auto"/>
              </w:rPr>
              <w:t>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33,600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93.3300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12/17/2030</w:t>
            </w:r>
          </w:p>
        </w:tc>
        <w:tc>
          <w:tcPr>
            <w:tcW w:w="940" w:type="dxa"/>
            <w:vAlign w:val="bottom"/>
            <w:shd w:val="clear" w:color="auto" w:fill="D9D9D9"/>
          </w:tcPr>
          <w:p>
            <w:pPr>
              <w:spacing w:after="0"/>
              <w:rPr>
                <w:sz w:val="11"/>
                <w:szCs w:val="11"/>
                <w:color w:val="auto"/>
              </w:rPr>
            </w:pPr>
          </w:p>
        </w:tc>
        <w:tc>
          <w:tcPr>
            <w:tcW w:w="980" w:type="dxa"/>
            <w:vAlign w:val="bottom"/>
            <w:shd w:val="clear" w:color="auto" w:fill="D9D9D9"/>
          </w:tcPr>
          <w:p>
            <w:pPr>
              <w:spacing w:after="0"/>
              <w:rPr>
                <w:sz w:val="11"/>
                <w:szCs w:val="11"/>
                <w:color w:val="auto"/>
              </w:rPr>
            </w:pPr>
          </w:p>
        </w:tc>
        <w:tc>
          <w:tcPr>
            <w:tcW w:w="1560" w:type="dxa"/>
            <w:vAlign w:val="bottom"/>
            <w:shd w:val="clear" w:color="auto" w:fill="D9D9D9"/>
          </w:tcPr>
          <w:p>
            <w:pPr>
              <w:spacing w:after="0"/>
              <w:rPr>
                <w:sz w:val="11"/>
                <w:szCs w:val="11"/>
                <w:color w:val="auto"/>
              </w:rPr>
            </w:pPr>
          </w:p>
        </w:tc>
        <w:tc>
          <w:tcPr>
            <w:tcW w:w="1240" w:type="dxa"/>
            <w:vAlign w:val="bottom"/>
            <w:shd w:val="clear" w:color="auto" w:fill="D9D9D9"/>
          </w:tcPr>
          <w:p>
            <w:pPr>
              <w:spacing w:after="0"/>
              <w:rPr>
                <w:sz w:val="11"/>
                <w:szCs w:val="11"/>
                <w:color w:val="auto"/>
              </w:rPr>
            </w:pPr>
          </w:p>
        </w:tc>
      </w:tr>
      <w:tr>
        <w:trPr>
          <w:trHeight w:val="133"/>
        </w:trPr>
        <w:tc>
          <w:tcPr>
            <w:tcW w:w="2420" w:type="dxa"/>
            <w:vAlign w:val="bottom"/>
            <w:shd w:val="clear" w:color="auto" w:fill="D9D9D9"/>
          </w:tcPr>
          <w:p>
            <w:pPr>
              <w:ind w:left="120"/>
              <w:spacing w:after="0"/>
              <w:rPr>
                <w:sz w:val="20"/>
                <w:szCs w:val="20"/>
                <w:color w:val="auto"/>
              </w:rPr>
            </w:pPr>
            <w:r>
              <w:rPr>
                <w:rFonts w:ascii="Arial" w:cs="Arial" w:eastAsia="Arial" w:hAnsi="Arial"/>
                <w:sz w:val="11"/>
                <w:szCs w:val="11"/>
                <w:color w:val="auto"/>
              </w:rPr>
              <w:t>F’20-F’22 Performance Shares</w:t>
            </w:r>
          </w:p>
        </w:tc>
        <w:tc>
          <w:tcPr>
            <w:tcW w:w="800" w:type="dxa"/>
            <w:vAlign w:val="bottom"/>
            <w:shd w:val="clear" w:color="auto" w:fill="D9D9D9"/>
          </w:tcPr>
          <w:p>
            <w:pPr>
              <w:spacing w:after="0"/>
              <w:rPr>
                <w:sz w:val="11"/>
                <w:szCs w:val="11"/>
                <w:color w:val="auto"/>
              </w:rPr>
            </w:pPr>
          </w:p>
        </w:tc>
        <w:tc>
          <w:tcPr>
            <w:tcW w:w="240" w:type="dxa"/>
            <w:vAlign w:val="bottom"/>
            <w:shd w:val="clear" w:color="auto" w:fill="D9D9D9"/>
          </w:tcPr>
          <w:p>
            <w:pPr>
              <w:spacing w:after="0"/>
              <w:rPr>
                <w:sz w:val="11"/>
                <w:szCs w:val="11"/>
                <w:color w:val="auto"/>
              </w:rPr>
            </w:pPr>
          </w:p>
        </w:tc>
        <w:tc>
          <w:tcPr>
            <w:tcW w:w="1020" w:type="dxa"/>
            <w:vAlign w:val="bottom"/>
            <w:shd w:val="clear" w:color="auto" w:fill="D9D9D9"/>
          </w:tcPr>
          <w:p>
            <w:pPr>
              <w:spacing w:after="0"/>
              <w:rPr>
                <w:sz w:val="11"/>
                <w:szCs w:val="11"/>
                <w:color w:val="auto"/>
              </w:rPr>
            </w:pPr>
          </w:p>
        </w:tc>
        <w:tc>
          <w:tcPr>
            <w:tcW w:w="1020" w:type="dxa"/>
            <w:vAlign w:val="bottom"/>
            <w:shd w:val="clear" w:color="auto" w:fill="D9D9D9"/>
          </w:tcPr>
          <w:p>
            <w:pPr>
              <w:spacing w:after="0"/>
              <w:rPr>
                <w:sz w:val="11"/>
                <w:szCs w:val="11"/>
                <w:color w:val="auto"/>
              </w:rPr>
            </w:pPr>
          </w:p>
        </w:tc>
        <w:tc>
          <w:tcPr>
            <w:tcW w:w="1020" w:type="dxa"/>
            <w:vAlign w:val="bottom"/>
            <w:shd w:val="clear" w:color="auto" w:fill="D9D9D9"/>
          </w:tcPr>
          <w:p>
            <w:pPr>
              <w:spacing w:after="0"/>
              <w:rPr>
                <w:sz w:val="11"/>
                <w:szCs w:val="11"/>
                <w:color w:val="auto"/>
              </w:rPr>
            </w:pPr>
          </w:p>
        </w:tc>
        <w:tc>
          <w:tcPr>
            <w:tcW w:w="940" w:type="dxa"/>
            <w:vAlign w:val="bottom"/>
            <w:shd w:val="clear" w:color="auto" w:fill="D9D9D9"/>
          </w:tcPr>
          <w:p>
            <w:pPr>
              <w:spacing w:after="0"/>
              <w:rPr>
                <w:sz w:val="11"/>
                <w:szCs w:val="11"/>
                <w:color w:val="auto"/>
              </w:rPr>
            </w:pPr>
          </w:p>
        </w:tc>
        <w:tc>
          <w:tcPr>
            <w:tcW w:w="980" w:type="dxa"/>
            <w:vAlign w:val="bottom"/>
            <w:shd w:val="clear" w:color="auto" w:fill="D9D9D9"/>
          </w:tcPr>
          <w:p>
            <w:pPr>
              <w:spacing w:after="0"/>
              <w:rPr>
                <w:sz w:val="11"/>
                <w:szCs w:val="11"/>
                <w:color w:val="auto"/>
              </w:rPr>
            </w:pPr>
          </w:p>
        </w:tc>
        <w:tc>
          <w:tcPr>
            <w:tcW w:w="1560" w:type="dxa"/>
            <w:vAlign w:val="bottom"/>
            <w:shd w:val="clear" w:color="auto" w:fill="D9D9D9"/>
          </w:tcPr>
          <w:p>
            <w:pPr>
              <w:jc w:val="right"/>
              <w:ind w:right="127"/>
              <w:spacing w:after="0"/>
              <w:rPr>
                <w:sz w:val="20"/>
                <w:szCs w:val="20"/>
                <w:color w:val="auto"/>
              </w:rPr>
            </w:pPr>
            <w:r>
              <w:rPr>
                <w:rFonts w:ascii="Arial" w:cs="Arial" w:eastAsia="Arial" w:hAnsi="Arial"/>
                <w:sz w:val="11"/>
                <w:szCs w:val="11"/>
                <w:color w:val="auto"/>
              </w:rPr>
              <w:t>6,127</w:t>
            </w:r>
          </w:p>
        </w:tc>
        <w:tc>
          <w:tcPr>
            <w:tcW w:w="1240" w:type="dxa"/>
            <w:vAlign w:val="bottom"/>
            <w:shd w:val="clear" w:color="auto" w:fill="D9D9D9"/>
          </w:tcPr>
          <w:p>
            <w:pPr>
              <w:jc w:val="right"/>
              <w:spacing w:after="0"/>
              <w:rPr>
                <w:sz w:val="20"/>
                <w:szCs w:val="20"/>
                <w:color w:val="auto"/>
              </w:rPr>
            </w:pPr>
            <w:r>
              <w:rPr>
                <w:rFonts w:ascii="Arial" w:cs="Arial" w:eastAsia="Arial" w:hAnsi="Arial"/>
                <w:sz w:val="11"/>
                <w:szCs w:val="11"/>
                <w:color w:val="auto"/>
              </w:rPr>
              <w:t>584,945</w:t>
            </w:r>
          </w:p>
        </w:tc>
      </w:tr>
      <w:tr>
        <w:trPr>
          <w:trHeight w:val="133"/>
        </w:trPr>
        <w:tc>
          <w:tcPr>
            <w:tcW w:w="2420" w:type="dxa"/>
            <w:vAlign w:val="bottom"/>
            <w:shd w:val="clear" w:color="auto" w:fill="D9D9D9"/>
          </w:tcPr>
          <w:p>
            <w:pPr>
              <w:ind w:left="120"/>
              <w:spacing w:after="0"/>
              <w:rPr>
                <w:sz w:val="20"/>
                <w:szCs w:val="20"/>
                <w:color w:val="auto"/>
              </w:rPr>
            </w:pPr>
            <w:r>
              <w:rPr>
                <w:rFonts w:ascii="Arial" w:cs="Arial" w:eastAsia="Arial" w:hAnsi="Arial"/>
                <w:sz w:val="11"/>
                <w:szCs w:val="11"/>
                <w:color w:val="auto"/>
              </w:rPr>
              <w:t>F’21-F’23 Performance Shares</w:t>
            </w:r>
          </w:p>
        </w:tc>
        <w:tc>
          <w:tcPr>
            <w:tcW w:w="800" w:type="dxa"/>
            <w:vAlign w:val="bottom"/>
            <w:shd w:val="clear" w:color="auto" w:fill="D9D9D9"/>
          </w:tcPr>
          <w:p>
            <w:pPr>
              <w:spacing w:after="0"/>
              <w:rPr>
                <w:sz w:val="11"/>
                <w:szCs w:val="11"/>
                <w:color w:val="auto"/>
              </w:rPr>
            </w:pPr>
          </w:p>
        </w:tc>
        <w:tc>
          <w:tcPr>
            <w:tcW w:w="240" w:type="dxa"/>
            <w:vAlign w:val="bottom"/>
            <w:shd w:val="clear" w:color="auto" w:fill="D9D9D9"/>
          </w:tcPr>
          <w:p>
            <w:pPr>
              <w:spacing w:after="0"/>
              <w:rPr>
                <w:sz w:val="11"/>
                <w:szCs w:val="11"/>
                <w:color w:val="auto"/>
              </w:rPr>
            </w:pPr>
          </w:p>
        </w:tc>
        <w:tc>
          <w:tcPr>
            <w:tcW w:w="1020" w:type="dxa"/>
            <w:vAlign w:val="bottom"/>
            <w:shd w:val="clear" w:color="auto" w:fill="D9D9D9"/>
          </w:tcPr>
          <w:p>
            <w:pPr>
              <w:spacing w:after="0"/>
              <w:rPr>
                <w:sz w:val="11"/>
                <w:szCs w:val="11"/>
                <w:color w:val="auto"/>
              </w:rPr>
            </w:pPr>
          </w:p>
        </w:tc>
        <w:tc>
          <w:tcPr>
            <w:tcW w:w="1020" w:type="dxa"/>
            <w:vAlign w:val="bottom"/>
            <w:shd w:val="clear" w:color="auto" w:fill="D9D9D9"/>
          </w:tcPr>
          <w:p>
            <w:pPr>
              <w:spacing w:after="0"/>
              <w:rPr>
                <w:sz w:val="11"/>
                <w:szCs w:val="11"/>
                <w:color w:val="auto"/>
              </w:rPr>
            </w:pPr>
          </w:p>
        </w:tc>
        <w:tc>
          <w:tcPr>
            <w:tcW w:w="1020" w:type="dxa"/>
            <w:vAlign w:val="bottom"/>
            <w:shd w:val="clear" w:color="auto" w:fill="D9D9D9"/>
          </w:tcPr>
          <w:p>
            <w:pPr>
              <w:spacing w:after="0"/>
              <w:rPr>
                <w:sz w:val="11"/>
                <w:szCs w:val="11"/>
                <w:color w:val="auto"/>
              </w:rPr>
            </w:pPr>
          </w:p>
        </w:tc>
        <w:tc>
          <w:tcPr>
            <w:tcW w:w="940" w:type="dxa"/>
            <w:vAlign w:val="bottom"/>
            <w:shd w:val="clear" w:color="auto" w:fill="D9D9D9"/>
          </w:tcPr>
          <w:p>
            <w:pPr>
              <w:spacing w:after="0"/>
              <w:rPr>
                <w:sz w:val="11"/>
                <w:szCs w:val="11"/>
                <w:color w:val="auto"/>
              </w:rPr>
            </w:pPr>
          </w:p>
        </w:tc>
        <w:tc>
          <w:tcPr>
            <w:tcW w:w="980" w:type="dxa"/>
            <w:vAlign w:val="bottom"/>
            <w:shd w:val="clear" w:color="auto" w:fill="D9D9D9"/>
          </w:tcPr>
          <w:p>
            <w:pPr>
              <w:spacing w:after="0"/>
              <w:rPr>
                <w:sz w:val="11"/>
                <w:szCs w:val="11"/>
                <w:color w:val="auto"/>
              </w:rPr>
            </w:pPr>
          </w:p>
        </w:tc>
        <w:tc>
          <w:tcPr>
            <w:tcW w:w="1560" w:type="dxa"/>
            <w:vAlign w:val="bottom"/>
            <w:shd w:val="clear" w:color="auto" w:fill="D9D9D9"/>
          </w:tcPr>
          <w:p>
            <w:pPr>
              <w:jc w:val="right"/>
              <w:ind w:right="127"/>
              <w:spacing w:after="0"/>
              <w:rPr>
                <w:sz w:val="20"/>
                <w:szCs w:val="20"/>
                <w:color w:val="auto"/>
              </w:rPr>
            </w:pPr>
            <w:r>
              <w:rPr>
                <w:rFonts w:ascii="Arial" w:cs="Arial" w:eastAsia="Arial" w:hAnsi="Arial"/>
                <w:sz w:val="11"/>
                <w:szCs w:val="11"/>
                <w:color w:val="auto"/>
              </w:rPr>
              <w:t>11,249</w:t>
            </w:r>
          </w:p>
        </w:tc>
        <w:tc>
          <w:tcPr>
            <w:tcW w:w="1240" w:type="dxa"/>
            <w:vAlign w:val="bottom"/>
            <w:shd w:val="clear" w:color="auto" w:fill="D9D9D9"/>
          </w:tcPr>
          <w:p>
            <w:pPr>
              <w:jc w:val="right"/>
              <w:spacing w:after="0"/>
              <w:rPr>
                <w:sz w:val="20"/>
                <w:szCs w:val="20"/>
                <w:color w:val="auto"/>
              </w:rPr>
            </w:pPr>
            <w:r>
              <w:rPr>
                <w:rFonts w:ascii="Arial" w:cs="Arial" w:eastAsia="Arial" w:hAnsi="Arial"/>
                <w:sz w:val="11"/>
                <w:szCs w:val="11"/>
                <w:color w:val="auto"/>
              </w:rPr>
              <w:t>1,073,942</w:t>
            </w:r>
          </w:p>
        </w:tc>
      </w:tr>
      <w:tr>
        <w:trPr>
          <w:trHeight w:val="138"/>
        </w:trPr>
        <w:tc>
          <w:tcPr>
            <w:tcW w:w="2420" w:type="dxa"/>
            <w:vAlign w:val="bottom"/>
          </w:tcPr>
          <w:p>
            <w:pPr>
              <w:spacing w:after="0"/>
              <w:rPr>
                <w:sz w:val="20"/>
                <w:szCs w:val="20"/>
                <w:color w:val="auto"/>
              </w:rPr>
            </w:pPr>
            <w:r>
              <w:rPr>
                <w:rFonts w:ascii="Arial" w:cs="Arial" w:eastAsia="Arial" w:hAnsi="Arial"/>
                <w:sz w:val="11"/>
                <w:szCs w:val="11"/>
                <w:color w:val="auto"/>
              </w:rPr>
              <w:t>Richard W. Rodier</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33"/>
        </w:trPr>
        <w:tc>
          <w:tcPr>
            <w:tcW w:w="2420" w:type="dxa"/>
            <w:vAlign w:val="bottom"/>
          </w:tcPr>
          <w:p>
            <w:pPr>
              <w:ind w:left="120"/>
              <w:spacing w:after="0"/>
              <w:rPr>
                <w:sz w:val="20"/>
                <w:szCs w:val="20"/>
                <w:color w:val="auto"/>
              </w:rPr>
            </w:pPr>
            <w:r>
              <w:rPr>
                <w:rFonts w:ascii="Arial" w:cs="Arial" w:eastAsia="Arial" w:hAnsi="Arial"/>
                <w:sz w:val="11"/>
                <w:szCs w:val="11"/>
                <w:color w:val="auto"/>
              </w:rPr>
              <w:t>Stock Options</w:t>
            </w:r>
          </w:p>
        </w:tc>
        <w:tc>
          <w:tcPr>
            <w:tcW w:w="1040" w:type="dxa"/>
            <w:vAlign w:val="bottom"/>
            <w:gridSpan w:val="2"/>
          </w:tcPr>
          <w:p>
            <w:pPr>
              <w:jc w:val="right"/>
              <w:ind w:right="20"/>
              <w:spacing w:after="0"/>
              <w:rPr>
                <w:sz w:val="20"/>
                <w:szCs w:val="20"/>
                <w:color w:val="auto"/>
              </w:rPr>
            </w:pPr>
            <w:r>
              <w:rPr>
                <w:rFonts w:ascii="Arial" w:cs="Arial" w:eastAsia="Arial" w:hAnsi="Arial"/>
                <w:sz w:val="11"/>
                <w:szCs w:val="11"/>
                <w:color w:val="auto"/>
              </w:rPr>
              <w:t>3,600</w:t>
            </w:r>
          </w:p>
        </w:tc>
        <w:tc>
          <w:tcPr>
            <w:tcW w:w="1020" w:type="dxa"/>
            <w:vAlign w:val="bottom"/>
          </w:tcPr>
          <w:p>
            <w:pPr>
              <w:jc w:val="right"/>
              <w:spacing w:after="0"/>
              <w:rPr>
                <w:sz w:val="20"/>
                <w:szCs w:val="20"/>
                <w:color w:val="auto"/>
              </w:rPr>
            </w:pPr>
            <w:r>
              <w:rPr>
                <w:rFonts w:ascii="Arial" w:cs="Arial" w:eastAsia="Arial" w:hAnsi="Arial"/>
                <w:sz w:val="11"/>
                <w:szCs w:val="11"/>
                <w:color w:val="auto"/>
              </w:rPr>
              <w:t>0</w:t>
            </w:r>
          </w:p>
        </w:tc>
        <w:tc>
          <w:tcPr>
            <w:tcW w:w="1020" w:type="dxa"/>
            <w:vAlign w:val="bottom"/>
          </w:tcPr>
          <w:p>
            <w:pPr>
              <w:jc w:val="right"/>
              <w:spacing w:after="0"/>
              <w:rPr>
                <w:sz w:val="20"/>
                <w:szCs w:val="20"/>
                <w:color w:val="auto"/>
              </w:rPr>
            </w:pPr>
            <w:r>
              <w:rPr>
                <w:rFonts w:ascii="Arial" w:cs="Arial" w:eastAsia="Arial" w:hAnsi="Arial"/>
                <w:sz w:val="11"/>
                <w:szCs w:val="11"/>
                <w:color w:val="auto"/>
              </w:rPr>
              <w:t>21.0300</w:t>
            </w:r>
          </w:p>
        </w:tc>
        <w:tc>
          <w:tcPr>
            <w:tcW w:w="1020" w:type="dxa"/>
            <w:vAlign w:val="bottom"/>
          </w:tcPr>
          <w:p>
            <w:pPr>
              <w:jc w:val="right"/>
              <w:spacing w:after="0"/>
              <w:rPr>
                <w:sz w:val="20"/>
                <w:szCs w:val="20"/>
                <w:color w:val="auto"/>
              </w:rPr>
            </w:pPr>
            <w:r>
              <w:rPr>
                <w:rFonts w:ascii="Arial" w:cs="Arial" w:eastAsia="Arial" w:hAnsi="Arial"/>
                <w:sz w:val="11"/>
                <w:szCs w:val="11"/>
                <w:color w:val="auto"/>
              </w:rPr>
              <w:t>12/11/2022</w:t>
            </w: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3"/>
        </w:trPr>
        <w:tc>
          <w:tcPr>
            <w:tcW w:w="2420" w:type="dxa"/>
            <w:vAlign w:val="bottom"/>
          </w:tcPr>
          <w:p>
            <w:pPr>
              <w:spacing w:after="0"/>
              <w:rPr>
                <w:sz w:val="11"/>
                <w:szCs w:val="1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1"/>
                <w:szCs w:val="11"/>
                <w:color w:val="auto"/>
              </w:rPr>
              <w:t>6,000</w:t>
            </w:r>
          </w:p>
        </w:tc>
        <w:tc>
          <w:tcPr>
            <w:tcW w:w="1020" w:type="dxa"/>
            <w:vAlign w:val="bottom"/>
          </w:tcPr>
          <w:p>
            <w:pPr>
              <w:jc w:val="right"/>
              <w:spacing w:after="0"/>
              <w:rPr>
                <w:sz w:val="20"/>
                <w:szCs w:val="20"/>
                <w:color w:val="auto"/>
              </w:rPr>
            </w:pPr>
            <w:r>
              <w:rPr>
                <w:rFonts w:ascii="Arial" w:cs="Arial" w:eastAsia="Arial" w:hAnsi="Arial"/>
                <w:sz w:val="11"/>
                <w:szCs w:val="11"/>
                <w:color w:val="auto"/>
              </w:rPr>
              <w:t>0</w:t>
            </w:r>
          </w:p>
        </w:tc>
        <w:tc>
          <w:tcPr>
            <w:tcW w:w="1020" w:type="dxa"/>
            <w:vAlign w:val="bottom"/>
          </w:tcPr>
          <w:p>
            <w:pPr>
              <w:jc w:val="right"/>
              <w:spacing w:after="0"/>
              <w:rPr>
                <w:sz w:val="20"/>
                <w:szCs w:val="20"/>
                <w:color w:val="auto"/>
              </w:rPr>
            </w:pPr>
            <w:r>
              <w:rPr>
                <w:rFonts w:ascii="Arial" w:cs="Arial" w:eastAsia="Arial" w:hAnsi="Arial"/>
                <w:sz w:val="11"/>
                <w:szCs w:val="11"/>
                <w:color w:val="auto"/>
              </w:rPr>
              <w:t>29.7500</w:t>
            </w:r>
          </w:p>
        </w:tc>
        <w:tc>
          <w:tcPr>
            <w:tcW w:w="1020" w:type="dxa"/>
            <w:vAlign w:val="bottom"/>
          </w:tcPr>
          <w:p>
            <w:pPr>
              <w:jc w:val="right"/>
              <w:spacing w:after="0"/>
              <w:rPr>
                <w:sz w:val="20"/>
                <w:szCs w:val="20"/>
                <w:color w:val="auto"/>
              </w:rPr>
            </w:pPr>
            <w:r>
              <w:rPr>
                <w:rFonts w:ascii="Arial" w:cs="Arial" w:eastAsia="Arial" w:hAnsi="Arial"/>
                <w:sz w:val="11"/>
                <w:szCs w:val="11"/>
                <w:color w:val="auto"/>
              </w:rPr>
              <w:t>12/06/2023</w:t>
            </w: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3"/>
        </w:trPr>
        <w:tc>
          <w:tcPr>
            <w:tcW w:w="2420" w:type="dxa"/>
            <w:vAlign w:val="bottom"/>
          </w:tcPr>
          <w:p>
            <w:pPr>
              <w:spacing w:after="0"/>
              <w:rPr>
                <w:sz w:val="11"/>
                <w:szCs w:val="1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1"/>
                <w:szCs w:val="11"/>
                <w:color w:val="auto"/>
              </w:rPr>
              <w:t>6,400</w:t>
            </w:r>
          </w:p>
        </w:tc>
        <w:tc>
          <w:tcPr>
            <w:tcW w:w="1020" w:type="dxa"/>
            <w:vAlign w:val="bottom"/>
          </w:tcPr>
          <w:p>
            <w:pPr>
              <w:jc w:val="right"/>
              <w:spacing w:after="0"/>
              <w:rPr>
                <w:sz w:val="20"/>
                <w:szCs w:val="20"/>
                <w:color w:val="auto"/>
              </w:rPr>
            </w:pPr>
            <w:r>
              <w:rPr>
                <w:rFonts w:ascii="Arial" w:cs="Arial" w:eastAsia="Arial" w:hAnsi="Arial"/>
                <w:sz w:val="11"/>
                <w:szCs w:val="11"/>
                <w:color w:val="auto"/>
              </w:rPr>
              <w:t>0</w:t>
            </w:r>
          </w:p>
        </w:tc>
        <w:tc>
          <w:tcPr>
            <w:tcW w:w="1020" w:type="dxa"/>
            <w:vAlign w:val="bottom"/>
          </w:tcPr>
          <w:p>
            <w:pPr>
              <w:jc w:val="right"/>
              <w:spacing w:after="0"/>
              <w:rPr>
                <w:sz w:val="20"/>
                <w:szCs w:val="20"/>
                <w:color w:val="auto"/>
              </w:rPr>
            </w:pPr>
            <w:r>
              <w:rPr>
                <w:rFonts w:ascii="Arial" w:cs="Arial" w:eastAsia="Arial" w:hAnsi="Arial"/>
                <w:sz w:val="11"/>
                <w:szCs w:val="11"/>
                <w:color w:val="auto"/>
              </w:rPr>
              <w:t>31.3750</w:t>
            </w:r>
          </w:p>
        </w:tc>
        <w:tc>
          <w:tcPr>
            <w:tcW w:w="1020" w:type="dxa"/>
            <w:vAlign w:val="bottom"/>
          </w:tcPr>
          <w:p>
            <w:pPr>
              <w:jc w:val="right"/>
              <w:spacing w:after="0"/>
              <w:rPr>
                <w:sz w:val="20"/>
                <w:szCs w:val="20"/>
                <w:color w:val="auto"/>
              </w:rPr>
            </w:pPr>
            <w:r>
              <w:rPr>
                <w:rFonts w:ascii="Arial" w:cs="Arial" w:eastAsia="Arial" w:hAnsi="Arial"/>
                <w:sz w:val="11"/>
                <w:szCs w:val="11"/>
                <w:color w:val="auto"/>
              </w:rPr>
              <w:t>12/05/2024</w:t>
            </w: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3"/>
        </w:trPr>
        <w:tc>
          <w:tcPr>
            <w:tcW w:w="2420" w:type="dxa"/>
            <w:vAlign w:val="bottom"/>
          </w:tcPr>
          <w:p>
            <w:pPr>
              <w:spacing w:after="0"/>
              <w:rPr>
                <w:sz w:val="11"/>
                <w:szCs w:val="1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1"/>
                <w:szCs w:val="11"/>
                <w:color w:val="auto"/>
              </w:rPr>
              <w:t>7,400</w:t>
            </w:r>
          </w:p>
        </w:tc>
        <w:tc>
          <w:tcPr>
            <w:tcW w:w="1020" w:type="dxa"/>
            <w:vAlign w:val="bottom"/>
          </w:tcPr>
          <w:p>
            <w:pPr>
              <w:jc w:val="right"/>
              <w:spacing w:after="0"/>
              <w:rPr>
                <w:sz w:val="20"/>
                <w:szCs w:val="20"/>
                <w:color w:val="auto"/>
              </w:rPr>
            </w:pPr>
            <w:r>
              <w:rPr>
                <w:rFonts w:ascii="Arial" w:cs="Arial" w:eastAsia="Arial" w:hAnsi="Arial"/>
                <w:sz w:val="11"/>
                <w:szCs w:val="11"/>
                <w:color w:val="auto"/>
              </w:rPr>
              <w:t>0</w:t>
            </w:r>
          </w:p>
        </w:tc>
        <w:tc>
          <w:tcPr>
            <w:tcW w:w="1020" w:type="dxa"/>
            <w:vAlign w:val="bottom"/>
          </w:tcPr>
          <w:p>
            <w:pPr>
              <w:jc w:val="right"/>
              <w:spacing w:after="0"/>
              <w:rPr>
                <w:sz w:val="20"/>
                <w:szCs w:val="20"/>
                <w:color w:val="auto"/>
              </w:rPr>
            </w:pPr>
            <w:r>
              <w:rPr>
                <w:rFonts w:ascii="Arial" w:cs="Arial" w:eastAsia="Arial" w:hAnsi="Arial"/>
                <w:sz w:val="11"/>
                <w:szCs w:val="11"/>
                <w:color w:val="auto"/>
              </w:rPr>
              <w:t>38.8200</w:t>
            </w:r>
          </w:p>
        </w:tc>
        <w:tc>
          <w:tcPr>
            <w:tcW w:w="1020" w:type="dxa"/>
            <w:vAlign w:val="bottom"/>
          </w:tcPr>
          <w:p>
            <w:pPr>
              <w:jc w:val="right"/>
              <w:spacing w:after="0"/>
              <w:rPr>
                <w:sz w:val="20"/>
                <w:szCs w:val="20"/>
                <w:color w:val="auto"/>
              </w:rPr>
            </w:pPr>
            <w:r>
              <w:rPr>
                <w:rFonts w:ascii="Arial" w:cs="Arial" w:eastAsia="Arial" w:hAnsi="Arial"/>
                <w:sz w:val="11"/>
                <w:szCs w:val="11"/>
                <w:color w:val="auto"/>
              </w:rPr>
              <w:t>12/04/2025</w:t>
            </w: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3"/>
        </w:trPr>
        <w:tc>
          <w:tcPr>
            <w:tcW w:w="2420" w:type="dxa"/>
            <w:vAlign w:val="bottom"/>
          </w:tcPr>
          <w:p>
            <w:pPr>
              <w:spacing w:after="0"/>
              <w:rPr>
                <w:sz w:val="11"/>
                <w:szCs w:val="1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1"/>
                <w:szCs w:val="11"/>
                <w:color w:val="auto"/>
              </w:rPr>
              <w:t>6,400</w:t>
            </w:r>
          </w:p>
        </w:tc>
        <w:tc>
          <w:tcPr>
            <w:tcW w:w="1020" w:type="dxa"/>
            <w:vAlign w:val="bottom"/>
          </w:tcPr>
          <w:p>
            <w:pPr>
              <w:jc w:val="right"/>
              <w:spacing w:after="0"/>
              <w:rPr>
                <w:sz w:val="20"/>
                <w:szCs w:val="20"/>
                <w:color w:val="auto"/>
              </w:rPr>
            </w:pPr>
            <w:r>
              <w:rPr>
                <w:rFonts w:ascii="Arial" w:cs="Arial" w:eastAsia="Arial" w:hAnsi="Arial"/>
                <w:sz w:val="11"/>
                <w:szCs w:val="11"/>
                <w:color w:val="auto"/>
              </w:rPr>
              <w:t>0</w:t>
            </w:r>
          </w:p>
        </w:tc>
        <w:tc>
          <w:tcPr>
            <w:tcW w:w="1020" w:type="dxa"/>
            <w:vAlign w:val="bottom"/>
          </w:tcPr>
          <w:p>
            <w:pPr>
              <w:jc w:val="right"/>
              <w:spacing w:after="0"/>
              <w:rPr>
                <w:sz w:val="20"/>
                <w:szCs w:val="20"/>
                <w:color w:val="auto"/>
              </w:rPr>
            </w:pPr>
            <w:r>
              <w:rPr>
                <w:rFonts w:ascii="Arial" w:cs="Arial" w:eastAsia="Arial" w:hAnsi="Arial"/>
                <w:sz w:val="11"/>
                <w:szCs w:val="11"/>
                <w:color w:val="auto"/>
              </w:rPr>
              <w:t>56.5400</w:t>
            </w:r>
          </w:p>
        </w:tc>
        <w:tc>
          <w:tcPr>
            <w:tcW w:w="1020" w:type="dxa"/>
            <w:vAlign w:val="bottom"/>
          </w:tcPr>
          <w:p>
            <w:pPr>
              <w:jc w:val="right"/>
              <w:spacing w:after="0"/>
              <w:rPr>
                <w:sz w:val="20"/>
                <w:szCs w:val="20"/>
                <w:color w:val="auto"/>
              </w:rPr>
            </w:pPr>
            <w:r>
              <w:rPr>
                <w:rFonts w:ascii="Arial" w:cs="Arial" w:eastAsia="Arial" w:hAnsi="Arial"/>
                <w:sz w:val="11"/>
                <w:szCs w:val="11"/>
                <w:color w:val="auto"/>
              </w:rPr>
              <w:t>12/09/2026</w:t>
            </w: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3"/>
        </w:trPr>
        <w:tc>
          <w:tcPr>
            <w:tcW w:w="2420" w:type="dxa"/>
            <w:vAlign w:val="bottom"/>
          </w:tcPr>
          <w:p>
            <w:pPr>
              <w:spacing w:after="0"/>
              <w:rPr>
                <w:sz w:val="11"/>
                <w:szCs w:val="1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1"/>
                <w:szCs w:val="11"/>
                <w:color w:val="auto"/>
              </w:rPr>
              <w:t>6,600</w:t>
            </w:r>
          </w:p>
        </w:tc>
        <w:tc>
          <w:tcPr>
            <w:tcW w:w="1020" w:type="dxa"/>
            <w:vAlign w:val="bottom"/>
          </w:tcPr>
          <w:p>
            <w:pPr>
              <w:jc w:val="right"/>
              <w:spacing w:after="0"/>
              <w:rPr>
                <w:sz w:val="20"/>
                <w:szCs w:val="20"/>
                <w:color w:val="auto"/>
              </w:rPr>
            </w:pPr>
            <w:r>
              <w:rPr>
                <w:rFonts w:ascii="Arial" w:cs="Arial" w:eastAsia="Arial" w:hAnsi="Arial"/>
                <w:sz w:val="11"/>
                <w:szCs w:val="11"/>
                <w:color w:val="auto"/>
              </w:rPr>
              <w:t>0</w:t>
            </w:r>
          </w:p>
        </w:tc>
        <w:tc>
          <w:tcPr>
            <w:tcW w:w="1020" w:type="dxa"/>
            <w:vAlign w:val="bottom"/>
          </w:tcPr>
          <w:p>
            <w:pPr>
              <w:jc w:val="right"/>
              <w:spacing w:after="0"/>
              <w:rPr>
                <w:sz w:val="20"/>
                <w:szCs w:val="20"/>
                <w:color w:val="auto"/>
              </w:rPr>
            </w:pPr>
            <w:r>
              <w:rPr>
                <w:rFonts w:ascii="Arial" w:cs="Arial" w:eastAsia="Arial" w:hAnsi="Arial"/>
                <w:sz w:val="11"/>
                <w:szCs w:val="11"/>
                <w:color w:val="auto"/>
              </w:rPr>
              <w:t>65.9300</w:t>
            </w:r>
          </w:p>
        </w:tc>
        <w:tc>
          <w:tcPr>
            <w:tcW w:w="1020" w:type="dxa"/>
            <w:vAlign w:val="bottom"/>
          </w:tcPr>
          <w:p>
            <w:pPr>
              <w:jc w:val="right"/>
              <w:spacing w:after="0"/>
              <w:rPr>
                <w:sz w:val="20"/>
                <w:szCs w:val="20"/>
                <w:color w:val="auto"/>
              </w:rPr>
            </w:pPr>
            <w:r>
              <w:rPr>
                <w:rFonts w:ascii="Arial" w:cs="Arial" w:eastAsia="Arial" w:hAnsi="Arial"/>
                <w:sz w:val="11"/>
                <w:szCs w:val="11"/>
                <w:color w:val="auto"/>
              </w:rPr>
              <w:t>12/08/2027</w:t>
            </w: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3"/>
        </w:trPr>
        <w:tc>
          <w:tcPr>
            <w:tcW w:w="2420" w:type="dxa"/>
            <w:vAlign w:val="bottom"/>
          </w:tcPr>
          <w:p>
            <w:pPr>
              <w:spacing w:after="0"/>
              <w:rPr>
                <w:sz w:val="11"/>
                <w:szCs w:val="1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1"/>
                <w:szCs w:val="11"/>
                <w:color w:val="auto"/>
              </w:rPr>
              <w:t>6,000</w:t>
            </w:r>
          </w:p>
        </w:tc>
        <w:tc>
          <w:tcPr>
            <w:tcW w:w="1020" w:type="dxa"/>
            <w:vAlign w:val="bottom"/>
          </w:tcPr>
          <w:p>
            <w:pPr>
              <w:jc w:val="right"/>
              <w:spacing w:after="0"/>
              <w:rPr>
                <w:sz w:val="20"/>
                <w:szCs w:val="20"/>
                <w:color w:val="auto"/>
              </w:rPr>
            </w:pPr>
            <w:r>
              <w:rPr>
                <w:rFonts w:ascii="Arial" w:cs="Arial" w:eastAsia="Arial" w:hAnsi="Arial"/>
                <w:sz w:val="11"/>
                <w:szCs w:val="11"/>
                <w:color w:val="auto"/>
              </w:rPr>
              <w:t>3,000</w:t>
            </w:r>
          </w:p>
        </w:tc>
        <w:tc>
          <w:tcPr>
            <w:tcW w:w="1020" w:type="dxa"/>
            <w:vAlign w:val="bottom"/>
          </w:tcPr>
          <w:p>
            <w:pPr>
              <w:jc w:val="right"/>
              <w:spacing w:after="0"/>
              <w:rPr>
                <w:sz w:val="20"/>
                <w:szCs w:val="20"/>
                <w:color w:val="auto"/>
              </w:rPr>
            </w:pPr>
            <w:r>
              <w:rPr>
                <w:rFonts w:ascii="Arial" w:cs="Arial" w:eastAsia="Arial" w:hAnsi="Arial"/>
                <w:sz w:val="11"/>
                <w:szCs w:val="11"/>
                <w:color w:val="auto"/>
              </w:rPr>
              <w:t>58.5300</w:t>
            </w:r>
          </w:p>
        </w:tc>
        <w:tc>
          <w:tcPr>
            <w:tcW w:w="1020" w:type="dxa"/>
            <w:vAlign w:val="bottom"/>
          </w:tcPr>
          <w:p>
            <w:pPr>
              <w:jc w:val="right"/>
              <w:spacing w:after="0"/>
              <w:rPr>
                <w:sz w:val="20"/>
                <w:szCs w:val="20"/>
                <w:color w:val="auto"/>
              </w:rPr>
            </w:pPr>
            <w:r>
              <w:rPr>
                <w:rFonts w:ascii="Arial" w:cs="Arial" w:eastAsia="Arial" w:hAnsi="Arial"/>
                <w:sz w:val="11"/>
                <w:szCs w:val="11"/>
                <w:color w:val="auto"/>
              </w:rPr>
              <w:t>12/07/2028</w:t>
            </w: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3"/>
        </w:trPr>
        <w:tc>
          <w:tcPr>
            <w:tcW w:w="2420" w:type="dxa"/>
            <w:vAlign w:val="bottom"/>
          </w:tcPr>
          <w:p>
            <w:pPr>
              <w:spacing w:after="0"/>
              <w:rPr>
                <w:sz w:val="11"/>
                <w:szCs w:val="1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1"/>
                <w:szCs w:val="11"/>
                <w:color w:val="auto"/>
              </w:rPr>
              <w:t>6,066</w:t>
            </w:r>
          </w:p>
        </w:tc>
        <w:tc>
          <w:tcPr>
            <w:tcW w:w="1020" w:type="dxa"/>
            <w:vAlign w:val="bottom"/>
          </w:tcPr>
          <w:p>
            <w:pPr>
              <w:jc w:val="right"/>
              <w:spacing w:after="0"/>
              <w:rPr>
                <w:sz w:val="20"/>
                <w:szCs w:val="20"/>
                <w:color w:val="auto"/>
              </w:rPr>
            </w:pPr>
            <w:r>
              <w:rPr>
                <w:rFonts w:ascii="Arial" w:cs="Arial" w:eastAsia="Arial" w:hAnsi="Arial"/>
                <w:sz w:val="11"/>
                <w:szCs w:val="11"/>
                <w:color w:val="auto"/>
              </w:rPr>
              <w:t>12,134</w:t>
            </w:r>
          </w:p>
        </w:tc>
        <w:tc>
          <w:tcPr>
            <w:tcW w:w="1020" w:type="dxa"/>
            <w:vAlign w:val="bottom"/>
          </w:tcPr>
          <w:p>
            <w:pPr>
              <w:jc w:val="right"/>
              <w:spacing w:after="0"/>
              <w:rPr>
                <w:sz w:val="20"/>
                <w:szCs w:val="20"/>
                <w:color w:val="auto"/>
              </w:rPr>
            </w:pPr>
            <w:r>
              <w:rPr>
                <w:rFonts w:ascii="Arial" w:cs="Arial" w:eastAsia="Arial" w:hAnsi="Arial"/>
                <w:sz w:val="11"/>
                <w:szCs w:val="11"/>
                <w:color w:val="auto"/>
              </w:rPr>
              <w:t>76.5300</w:t>
            </w:r>
          </w:p>
        </w:tc>
        <w:tc>
          <w:tcPr>
            <w:tcW w:w="1020" w:type="dxa"/>
            <w:vAlign w:val="bottom"/>
          </w:tcPr>
          <w:p>
            <w:pPr>
              <w:jc w:val="right"/>
              <w:spacing w:after="0"/>
              <w:rPr>
                <w:sz w:val="20"/>
                <w:szCs w:val="20"/>
                <w:color w:val="auto"/>
              </w:rPr>
            </w:pPr>
            <w:r>
              <w:rPr>
                <w:rFonts w:ascii="Arial" w:cs="Arial" w:eastAsia="Arial" w:hAnsi="Arial"/>
                <w:sz w:val="11"/>
                <w:szCs w:val="11"/>
                <w:color w:val="auto"/>
              </w:rPr>
              <w:t>12/19/2029</w:t>
            </w: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3"/>
        </w:trPr>
        <w:tc>
          <w:tcPr>
            <w:tcW w:w="2420" w:type="dxa"/>
            <w:vAlign w:val="bottom"/>
          </w:tcPr>
          <w:p>
            <w:pPr>
              <w:spacing w:after="0"/>
              <w:rPr>
                <w:sz w:val="11"/>
                <w:szCs w:val="1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1"/>
                <w:szCs w:val="11"/>
                <w:color w:val="auto"/>
              </w:rPr>
              <w:t>8,433</w:t>
            </w:r>
          </w:p>
        </w:tc>
        <w:tc>
          <w:tcPr>
            <w:tcW w:w="1020" w:type="dxa"/>
            <w:vAlign w:val="bottom"/>
          </w:tcPr>
          <w:p>
            <w:pPr>
              <w:jc w:val="right"/>
              <w:spacing w:after="0"/>
              <w:rPr>
                <w:sz w:val="20"/>
                <w:szCs w:val="20"/>
                <w:color w:val="auto"/>
              </w:rPr>
            </w:pPr>
            <w:r>
              <w:rPr>
                <w:rFonts w:ascii="Arial" w:cs="Arial" w:eastAsia="Arial" w:hAnsi="Arial"/>
                <w:sz w:val="11"/>
                <w:szCs w:val="11"/>
                <w:color w:val="auto"/>
              </w:rPr>
              <w:t>16,867</w:t>
            </w:r>
          </w:p>
        </w:tc>
        <w:tc>
          <w:tcPr>
            <w:tcW w:w="1020" w:type="dxa"/>
            <w:vAlign w:val="bottom"/>
          </w:tcPr>
          <w:p>
            <w:pPr>
              <w:jc w:val="right"/>
              <w:spacing w:after="0"/>
              <w:rPr>
                <w:sz w:val="20"/>
                <w:szCs w:val="20"/>
                <w:color w:val="auto"/>
              </w:rPr>
            </w:pPr>
            <w:r>
              <w:rPr>
                <w:rFonts w:ascii="Arial" w:cs="Arial" w:eastAsia="Arial" w:hAnsi="Arial"/>
                <w:sz w:val="11"/>
                <w:szCs w:val="11"/>
                <w:color w:val="auto"/>
              </w:rPr>
              <w:t>65.7700</w:t>
            </w:r>
          </w:p>
        </w:tc>
        <w:tc>
          <w:tcPr>
            <w:tcW w:w="1020" w:type="dxa"/>
            <w:vAlign w:val="bottom"/>
          </w:tcPr>
          <w:p>
            <w:pPr>
              <w:jc w:val="right"/>
              <w:spacing w:after="0"/>
              <w:rPr>
                <w:sz w:val="20"/>
                <w:szCs w:val="20"/>
                <w:color w:val="auto"/>
              </w:rPr>
            </w:pPr>
            <w:r>
              <w:rPr>
                <w:rFonts w:ascii="Arial" w:cs="Arial" w:eastAsia="Arial" w:hAnsi="Arial"/>
                <w:sz w:val="11"/>
                <w:szCs w:val="11"/>
                <w:color w:val="auto"/>
              </w:rPr>
              <w:t>05/19/2030</w:t>
            </w: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3"/>
        </w:trPr>
        <w:tc>
          <w:tcPr>
            <w:tcW w:w="2420" w:type="dxa"/>
            <w:vAlign w:val="bottom"/>
          </w:tcPr>
          <w:p>
            <w:pPr>
              <w:spacing w:after="0"/>
              <w:rPr>
                <w:sz w:val="11"/>
                <w:szCs w:val="1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1"/>
                <w:szCs w:val="11"/>
                <w:color w:val="auto"/>
              </w:rPr>
              <w:t>0</w:t>
            </w:r>
          </w:p>
        </w:tc>
        <w:tc>
          <w:tcPr>
            <w:tcW w:w="1020" w:type="dxa"/>
            <w:vAlign w:val="bottom"/>
          </w:tcPr>
          <w:p>
            <w:pPr>
              <w:jc w:val="right"/>
              <w:spacing w:after="0"/>
              <w:rPr>
                <w:sz w:val="20"/>
                <w:szCs w:val="20"/>
                <w:color w:val="auto"/>
              </w:rPr>
            </w:pPr>
            <w:r>
              <w:rPr>
                <w:rFonts w:ascii="Arial" w:cs="Arial" w:eastAsia="Arial" w:hAnsi="Arial"/>
                <w:sz w:val="11"/>
                <w:szCs w:val="11"/>
                <w:color w:val="auto"/>
              </w:rPr>
              <w:t>29,600</w:t>
            </w:r>
          </w:p>
        </w:tc>
        <w:tc>
          <w:tcPr>
            <w:tcW w:w="1020" w:type="dxa"/>
            <w:vAlign w:val="bottom"/>
          </w:tcPr>
          <w:p>
            <w:pPr>
              <w:jc w:val="right"/>
              <w:spacing w:after="0"/>
              <w:rPr>
                <w:sz w:val="20"/>
                <w:szCs w:val="20"/>
                <w:color w:val="auto"/>
              </w:rPr>
            </w:pPr>
            <w:r>
              <w:rPr>
                <w:rFonts w:ascii="Arial" w:cs="Arial" w:eastAsia="Arial" w:hAnsi="Arial"/>
                <w:sz w:val="11"/>
                <w:szCs w:val="11"/>
                <w:color w:val="auto"/>
              </w:rPr>
              <w:t>93.3300</w:t>
            </w:r>
          </w:p>
        </w:tc>
        <w:tc>
          <w:tcPr>
            <w:tcW w:w="1020" w:type="dxa"/>
            <w:vAlign w:val="bottom"/>
          </w:tcPr>
          <w:p>
            <w:pPr>
              <w:jc w:val="right"/>
              <w:spacing w:after="0"/>
              <w:rPr>
                <w:sz w:val="20"/>
                <w:szCs w:val="20"/>
                <w:color w:val="auto"/>
              </w:rPr>
            </w:pPr>
            <w:r>
              <w:rPr>
                <w:rFonts w:ascii="Arial" w:cs="Arial" w:eastAsia="Arial" w:hAnsi="Arial"/>
                <w:sz w:val="11"/>
                <w:szCs w:val="11"/>
                <w:color w:val="auto"/>
              </w:rPr>
              <w:t>12/17/2030</w:t>
            </w: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3"/>
        </w:trPr>
        <w:tc>
          <w:tcPr>
            <w:tcW w:w="2420" w:type="dxa"/>
            <w:vAlign w:val="bottom"/>
          </w:tcPr>
          <w:p>
            <w:pPr>
              <w:ind w:left="120"/>
              <w:spacing w:after="0"/>
              <w:rPr>
                <w:sz w:val="20"/>
                <w:szCs w:val="20"/>
                <w:color w:val="auto"/>
              </w:rPr>
            </w:pPr>
            <w:r>
              <w:rPr>
                <w:rFonts w:ascii="Arial" w:cs="Arial" w:eastAsia="Arial" w:hAnsi="Arial"/>
                <w:sz w:val="11"/>
                <w:szCs w:val="11"/>
                <w:color w:val="auto"/>
              </w:rPr>
              <w:t>Restricted Stock Units - 04/01/2019</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3,967</w:t>
            </w:r>
          </w:p>
        </w:tc>
        <w:tc>
          <w:tcPr>
            <w:tcW w:w="980" w:type="dxa"/>
            <w:vAlign w:val="bottom"/>
          </w:tcPr>
          <w:p>
            <w:pPr>
              <w:jc w:val="right"/>
              <w:spacing w:after="0"/>
              <w:rPr>
                <w:sz w:val="20"/>
                <w:szCs w:val="20"/>
                <w:color w:val="auto"/>
              </w:rPr>
            </w:pPr>
            <w:r>
              <w:rPr>
                <w:rFonts w:ascii="Arial" w:cs="Arial" w:eastAsia="Arial" w:hAnsi="Arial"/>
                <w:sz w:val="11"/>
                <w:szCs w:val="11"/>
                <w:color w:val="auto"/>
              </w:rPr>
              <w:t>398,016</w:t>
            </w:r>
          </w:p>
        </w:tc>
        <w:tc>
          <w:tcPr>
            <w:tcW w:w="156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3"/>
        </w:trPr>
        <w:tc>
          <w:tcPr>
            <w:tcW w:w="2420" w:type="dxa"/>
            <w:vAlign w:val="bottom"/>
          </w:tcPr>
          <w:p>
            <w:pPr>
              <w:ind w:left="120"/>
              <w:spacing w:after="0"/>
              <w:rPr>
                <w:sz w:val="20"/>
                <w:szCs w:val="20"/>
                <w:color w:val="auto"/>
              </w:rPr>
            </w:pPr>
            <w:r>
              <w:rPr>
                <w:rFonts w:ascii="Arial" w:cs="Arial" w:eastAsia="Arial" w:hAnsi="Arial"/>
                <w:sz w:val="11"/>
                <w:szCs w:val="11"/>
                <w:color w:val="auto"/>
              </w:rPr>
              <w:t>Restricted Stock Units - 05/19/2020</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1,085</w:t>
            </w:r>
          </w:p>
        </w:tc>
        <w:tc>
          <w:tcPr>
            <w:tcW w:w="980" w:type="dxa"/>
            <w:vAlign w:val="bottom"/>
          </w:tcPr>
          <w:p>
            <w:pPr>
              <w:jc w:val="right"/>
              <w:spacing w:after="0"/>
              <w:rPr>
                <w:sz w:val="20"/>
                <w:szCs w:val="20"/>
                <w:color w:val="auto"/>
              </w:rPr>
            </w:pPr>
            <w:r>
              <w:rPr>
                <w:rFonts w:ascii="Arial" w:cs="Arial" w:eastAsia="Arial" w:hAnsi="Arial"/>
                <w:sz w:val="11"/>
                <w:szCs w:val="11"/>
                <w:color w:val="auto"/>
              </w:rPr>
              <w:t>108,846</w:t>
            </w:r>
          </w:p>
        </w:tc>
        <w:tc>
          <w:tcPr>
            <w:tcW w:w="156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3"/>
        </w:trPr>
        <w:tc>
          <w:tcPr>
            <w:tcW w:w="2420" w:type="dxa"/>
            <w:vAlign w:val="bottom"/>
          </w:tcPr>
          <w:p>
            <w:pPr>
              <w:ind w:left="120"/>
              <w:spacing w:after="0"/>
              <w:rPr>
                <w:sz w:val="20"/>
                <w:szCs w:val="20"/>
                <w:color w:val="auto"/>
              </w:rPr>
            </w:pPr>
            <w:r>
              <w:rPr>
                <w:rFonts w:ascii="Arial" w:cs="Arial" w:eastAsia="Arial" w:hAnsi="Arial"/>
                <w:sz w:val="11"/>
                <w:szCs w:val="11"/>
                <w:color w:val="auto"/>
              </w:rPr>
              <w:t>F’20-F’22 Performance Shares</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60" w:type="dxa"/>
            <w:vAlign w:val="bottom"/>
          </w:tcPr>
          <w:p>
            <w:pPr>
              <w:jc w:val="right"/>
              <w:ind w:right="127"/>
              <w:spacing w:after="0"/>
              <w:rPr>
                <w:sz w:val="20"/>
                <w:szCs w:val="20"/>
                <w:color w:val="auto"/>
              </w:rPr>
            </w:pPr>
            <w:r>
              <w:rPr>
                <w:rFonts w:ascii="Arial" w:cs="Arial" w:eastAsia="Arial" w:hAnsi="Arial"/>
                <w:sz w:val="11"/>
                <w:szCs w:val="11"/>
                <w:color w:val="auto"/>
              </w:rPr>
              <w:t>3,292</w:t>
            </w:r>
          </w:p>
        </w:tc>
        <w:tc>
          <w:tcPr>
            <w:tcW w:w="1240" w:type="dxa"/>
            <w:vAlign w:val="bottom"/>
          </w:tcPr>
          <w:p>
            <w:pPr>
              <w:jc w:val="right"/>
              <w:spacing w:after="0"/>
              <w:rPr>
                <w:sz w:val="20"/>
                <w:szCs w:val="20"/>
                <w:color w:val="auto"/>
              </w:rPr>
            </w:pPr>
            <w:r>
              <w:rPr>
                <w:rFonts w:ascii="Arial" w:cs="Arial" w:eastAsia="Arial" w:hAnsi="Arial"/>
                <w:sz w:val="11"/>
                <w:szCs w:val="11"/>
                <w:color w:val="auto"/>
              </w:rPr>
              <w:t>314,287</w:t>
            </w:r>
          </w:p>
        </w:tc>
      </w:tr>
      <w:tr>
        <w:trPr>
          <w:trHeight w:val="128"/>
        </w:trPr>
        <w:tc>
          <w:tcPr>
            <w:tcW w:w="2420" w:type="dxa"/>
            <w:vAlign w:val="bottom"/>
          </w:tcPr>
          <w:p>
            <w:pPr>
              <w:ind w:left="120"/>
              <w:spacing w:after="0"/>
              <w:rPr>
                <w:sz w:val="20"/>
                <w:szCs w:val="20"/>
                <w:color w:val="auto"/>
              </w:rPr>
            </w:pPr>
            <w:r>
              <w:rPr>
                <w:rFonts w:ascii="Arial" w:cs="Arial" w:eastAsia="Arial" w:hAnsi="Arial"/>
                <w:sz w:val="11"/>
                <w:szCs w:val="11"/>
                <w:color w:val="auto"/>
              </w:rPr>
              <w:t>F’21-F’23 Performance Shares</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60" w:type="dxa"/>
            <w:vAlign w:val="bottom"/>
          </w:tcPr>
          <w:p>
            <w:pPr>
              <w:jc w:val="right"/>
              <w:ind w:right="127"/>
              <w:spacing w:after="0"/>
              <w:rPr>
                <w:sz w:val="20"/>
                <w:szCs w:val="20"/>
                <w:color w:val="auto"/>
              </w:rPr>
            </w:pPr>
            <w:r>
              <w:rPr>
                <w:rFonts w:ascii="Arial" w:cs="Arial" w:eastAsia="Arial" w:hAnsi="Arial"/>
                <w:sz w:val="11"/>
                <w:szCs w:val="11"/>
                <w:color w:val="auto"/>
              </w:rPr>
              <w:t>9,964</w:t>
            </w:r>
          </w:p>
        </w:tc>
        <w:tc>
          <w:tcPr>
            <w:tcW w:w="1240" w:type="dxa"/>
            <w:vAlign w:val="bottom"/>
          </w:tcPr>
          <w:p>
            <w:pPr>
              <w:jc w:val="right"/>
              <w:spacing w:after="0"/>
              <w:rPr>
                <w:sz w:val="20"/>
                <w:szCs w:val="20"/>
                <w:color w:val="auto"/>
              </w:rPr>
            </w:pPr>
            <w:r>
              <w:rPr>
                <w:rFonts w:ascii="Arial" w:cs="Arial" w:eastAsia="Arial" w:hAnsi="Arial"/>
                <w:sz w:val="11"/>
                <w:szCs w:val="11"/>
                <w:color w:val="auto"/>
              </w:rPr>
              <w:t>951,263</w:t>
            </w:r>
          </w:p>
        </w:tc>
      </w:tr>
      <w:tr>
        <w:trPr>
          <w:trHeight w:val="133"/>
        </w:trPr>
        <w:tc>
          <w:tcPr>
            <w:tcW w:w="2420" w:type="dxa"/>
            <w:vAlign w:val="bottom"/>
            <w:shd w:val="clear" w:color="auto" w:fill="D9D9D9"/>
          </w:tcPr>
          <w:p>
            <w:pPr>
              <w:spacing w:after="0"/>
              <w:rPr>
                <w:sz w:val="20"/>
                <w:szCs w:val="20"/>
                <w:color w:val="auto"/>
              </w:rPr>
            </w:pPr>
            <w:r>
              <w:rPr>
                <w:rFonts w:ascii="Arial" w:cs="Arial" w:eastAsia="Arial" w:hAnsi="Arial"/>
                <w:sz w:val="11"/>
                <w:szCs w:val="11"/>
                <w:color w:val="auto"/>
              </w:rPr>
              <w:t>Amy E. Dahl</w:t>
            </w:r>
          </w:p>
        </w:tc>
        <w:tc>
          <w:tcPr>
            <w:tcW w:w="800" w:type="dxa"/>
            <w:vAlign w:val="bottom"/>
            <w:shd w:val="clear" w:color="auto" w:fill="D9D9D9"/>
          </w:tcPr>
          <w:p>
            <w:pPr>
              <w:spacing w:after="0"/>
              <w:rPr>
                <w:sz w:val="11"/>
                <w:szCs w:val="11"/>
                <w:color w:val="auto"/>
              </w:rPr>
            </w:pPr>
          </w:p>
        </w:tc>
        <w:tc>
          <w:tcPr>
            <w:tcW w:w="240" w:type="dxa"/>
            <w:vAlign w:val="bottom"/>
            <w:shd w:val="clear" w:color="auto" w:fill="D9D9D9"/>
          </w:tcPr>
          <w:p>
            <w:pPr>
              <w:spacing w:after="0"/>
              <w:rPr>
                <w:sz w:val="11"/>
                <w:szCs w:val="11"/>
                <w:color w:val="auto"/>
              </w:rPr>
            </w:pPr>
          </w:p>
        </w:tc>
        <w:tc>
          <w:tcPr>
            <w:tcW w:w="1020" w:type="dxa"/>
            <w:vAlign w:val="bottom"/>
            <w:shd w:val="clear" w:color="auto" w:fill="D9D9D9"/>
          </w:tcPr>
          <w:p>
            <w:pPr>
              <w:spacing w:after="0"/>
              <w:rPr>
                <w:sz w:val="11"/>
                <w:szCs w:val="11"/>
                <w:color w:val="auto"/>
              </w:rPr>
            </w:pPr>
          </w:p>
        </w:tc>
        <w:tc>
          <w:tcPr>
            <w:tcW w:w="1020" w:type="dxa"/>
            <w:vAlign w:val="bottom"/>
            <w:shd w:val="clear" w:color="auto" w:fill="D9D9D9"/>
          </w:tcPr>
          <w:p>
            <w:pPr>
              <w:spacing w:after="0"/>
              <w:rPr>
                <w:sz w:val="11"/>
                <w:szCs w:val="11"/>
                <w:color w:val="auto"/>
              </w:rPr>
            </w:pPr>
          </w:p>
        </w:tc>
        <w:tc>
          <w:tcPr>
            <w:tcW w:w="1020" w:type="dxa"/>
            <w:vAlign w:val="bottom"/>
            <w:shd w:val="clear" w:color="auto" w:fill="D9D9D9"/>
          </w:tcPr>
          <w:p>
            <w:pPr>
              <w:spacing w:after="0"/>
              <w:rPr>
                <w:sz w:val="11"/>
                <w:szCs w:val="11"/>
                <w:color w:val="auto"/>
              </w:rPr>
            </w:pPr>
          </w:p>
        </w:tc>
        <w:tc>
          <w:tcPr>
            <w:tcW w:w="940" w:type="dxa"/>
            <w:vAlign w:val="bottom"/>
            <w:shd w:val="clear" w:color="auto" w:fill="D9D9D9"/>
          </w:tcPr>
          <w:p>
            <w:pPr>
              <w:spacing w:after="0"/>
              <w:rPr>
                <w:sz w:val="11"/>
                <w:szCs w:val="11"/>
                <w:color w:val="auto"/>
              </w:rPr>
            </w:pPr>
          </w:p>
        </w:tc>
        <w:tc>
          <w:tcPr>
            <w:tcW w:w="980" w:type="dxa"/>
            <w:vAlign w:val="bottom"/>
            <w:shd w:val="clear" w:color="auto" w:fill="D9D9D9"/>
          </w:tcPr>
          <w:p>
            <w:pPr>
              <w:spacing w:after="0"/>
              <w:rPr>
                <w:sz w:val="11"/>
                <w:szCs w:val="11"/>
                <w:color w:val="auto"/>
              </w:rPr>
            </w:pPr>
          </w:p>
        </w:tc>
        <w:tc>
          <w:tcPr>
            <w:tcW w:w="1560" w:type="dxa"/>
            <w:vAlign w:val="bottom"/>
            <w:shd w:val="clear" w:color="auto" w:fill="D9D9D9"/>
          </w:tcPr>
          <w:p>
            <w:pPr>
              <w:spacing w:after="0"/>
              <w:rPr>
                <w:sz w:val="11"/>
                <w:szCs w:val="11"/>
                <w:color w:val="auto"/>
              </w:rPr>
            </w:pPr>
          </w:p>
        </w:tc>
        <w:tc>
          <w:tcPr>
            <w:tcW w:w="1240" w:type="dxa"/>
            <w:vAlign w:val="bottom"/>
            <w:shd w:val="clear" w:color="auto" w:fill="D9D9D9"/>
          </w:tcPr>
          <w:p>
            <w:pPr>
              <w:spacing w:after="0"/>
              <w:rPr>
                <w:sz w:val="11"/>
                <w:szCs w:val="11"/>
                <w:color w:val="auto"/>
              </w:rPr>
            </w:pPr>
          </w:p>
        </w:tc>
      </w:tr>
      <w:tr>
        <w:trPr>
          <w:trHeight w:val="133"/>
        </w:trPr>
        <w:tc>
          <w:tcPr>
            <w:tcW w:w="2420" w:type="dxa"/>
            <w:vAlign w:val="bottom"/>
            <w:shd w:val="clear" w:color="auto" w:fill="D9D9D9"/>
          </w:tcPr>
          <w:p>
            <w:pPr>
              <w:ind w:left="120"/>
              <w:spacing w:after="0"/>
              <w:rPr>
                <w:sz w:val="20"/>
                <w:szCs w:val="20"/>
                <w:color w:val="auto"/>
              </w:rPr>
            </w:pPr>
            <w:r>
              <w:rPr>
                <w:rFonts w:ascii="Arial" w:cs="Arial" w:eastAsia="Arial" w:hAnsi="Arial"/>
                <w:sz w:val="11"/>
                <w:szCs w:val="11"/>
                <w:color w:val="auto"/>
              </w:rPr>
              <w:t>Stock Options</w:t>
            </w:r>
          </w:p>
        </w:tc>
        <w:tc>
          <w:tcPr>
            <w:tcW w:w="1040" w:type="dxa"/>
            <w:vAlign w:val="bottom"/>
            <w:gridSpan w:val="2"/>
            <w:shd w:val="clear" w:color="auto" w:fill="D9D9D9"/>
          </w:tcPr>
          <w:p>
            <w:pPr>
              <w:jc w:val="right"/>
              <w:ind w:right="20"/>
              <w:spacing w:after="0"/>
              <w:rPr>
                <w:sz w:val="20"/>
                <w:szCs w:val="20"/>
                <w:color w:val="auto"/>
              </w:rPr>
            </w:pPr>
            <w:r>
              <w:rPr>
                <w:rFonts w:ascii="Arial" w:cs="Arial" w:eastAsia="Arial" w:hAnsi="Arial"/>
                <w:sz w:val="11"/>
                <w:szCs w:val="11"/>
                <w:color w:val="auto"/>
              </w:rPr>
              <w:t>2,600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21.0300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12/11/2022</w:t>
            </w:r>
          </w:p>
        </w:tc>
        <w:tc>
          <w:tcPr>
            <w:tcW w:w="940" w:type="dxa"/>
            <w:vAlign w:val="bottom"/>
            <w:shd w:val="clear" w:color="auto" w:fill="D9D9D9"/>
          </w:tcPr>
          <w:p>
            <w:pPr>
              <w:spacing w:after="0"/>
              <w:rPr>
                <w:sz w:val="11"/>
                <w:szCs w:val="11"/>
                <w:color w:val="auto"/>
              </w:rPr>
            </w:pPr>
          </w:p>
        </w:tc>
        <w:tc>
          <w:tcPr>
            <w:tcW w:w="980" w:type="dxa"/>
            <w:vAlign w:val="bottom"/>
            <w:shd w:val="clear" w:color="auto" w:fill="D9D9D9"/>
          </w:tcPr>
          <w:p>
            <w:pPr>
              <w:spacing w:after="0"/>
              <w:rPr>
                <w:sz w:val="11"/>
                <w:szCs w:val="11"/>
                <w:color w:val="auto"/>
              </w:rPr>
            </w:pPr>
          </w:p>
        </w:tc>
        <w:tc>
          <w:tcPr>
            <w:tcW w:w="1560" w:type="dxa"/>
            <w:vAlign w:val="bottom"/>
            <w:shd w:val="clear" w:color="auto" w:fill="D9D9D9"/>
          </w:tcPr>
          <w:p>
            <w:pPr>
              <w:spacing w:after="0"/>
              <w:rPr>
                <w:sz w:val="11"/>
                <w:szCs w:val="11"/>
                <w:color w:val="auto"/>
              </w:rPr>
            </w:pPr>
          </w:p>
        </w:tc>
        <w:tc>
          <w:tcPr>
            <w:tcW w:w="1240" w:type="dxa"/>
            <w:vAlign w:val="bottom"/>
            <w:shd w:val="clear" w:color="auto" w:fill="D9D9D9"/>
          </w:tcPr>
          <w:p>
            <w:pPr>
              <w:spacing w:after="0"/>
              <w:rPr>
                <w:sz w:val="11"/>
                <w:szCs w:val="11"/>
                <w:color w:val="auto"/>
              </w:rPr>
            </w:pPr>
          </w:p>
        </w:tc>
      </w:tr>
      <w:tr>
        <w:trPr>
          <w:trHeight w:val="133"/>
        </w:trPr>
        <w:tc>
          <w:tcPr>
            <w:tcW w:w="2420" w:type="dxa"/>
            <w:vAlign w:val="bottom"/>
            <w:shd w:val="clear" w:color="auto" w:fill="D9D9D9"/>
          </w:tcPr>
          <w:p>
            <w:pPr>
              <w:spacing w:after="0"/>
              <w:rPr>
                <w:sz w:val="11"/>
                <w:szCs w:val="11"/>
                <w:color w:val="auto"/>
              </w:rPr>
            </w:pPr>
          </w:p>
        </w:tc>
        <w:tc>
          <w:tcPr>
            <w:tcW w:w="1040" w:type="dxa"/>
            <w:vAlign w:val="bottom"/>
            <w:gridSpan w:val="2"/>
            <w:shd w:val="clear" w:color="auto" w:fill="D9D9D9"/>
          </w:tcPr>
          <w:p>
            <w:pPr>
              <w:jc w:val="right"/>
              <w:ind w:right="20"/>
              <w:spacing w:after="0"/>
              <w:rPr>
                <w:sz w:val="20"/>
                <w:szCs w:val="20"/>
                <w:color w:val="auto"/>
              </w:rPr>
            </w:pPr>
            <w:r>
              <w:rPr>
                <w:rFonts w:ascii="Arial" w:cs="Arial" w:eastAsia="Arial" w:hAnsi="Arial"/>
                <w:sz w:val="11"/>
                <w:szCs w:val="11"/>
                <w:color w:val="auto"/>
              </w:rPr>
              <w:t>2,600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21.0300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12/11/2022</w:t>
            </w:r>
          </w:p>
        </w:tc>
        <w:tc>
          <w:tcPr>
            <w:tcW w:w="940" w:type="dxa"/>
            <w:vAlign w:val="bottom"/>
            <w:shd w:val="clear" w:color="auto" w:fill="D9D9D9"/>
          </w:tcPr>
          <w:p>
            <w:pPr>
              <w:spacing w:after="0"/>
              <w:rPr>
                <w:sz w:val="11"/>
                <w:szCs w:val="11"/>
                <w:color w:val="auto"/>
              </w:rPr>
            </w:pPr>
          </w:p>
        </w:tc>
        <w:tc>
          <w:tcPr>
            <w:tcW w:w="980" w:type="dxa"/>
            <w:vAlign w:val="bottom"/>
            <w:shd w:val="clear" w:color="auto" w:fill="D9D9D9"/>
          </w:tcPr>
          <w:p>
            <w:pPr>
              <w:spacing w:after="0"/>
              <w:rPr>
                <w:sz w:val="11"/>
                <w:szCs w:val="11"/>
                <w:color w:val="auto"/>
              </w:rPr>
            </w:pPr>
          </w:p>
        </w:tc>
        <w:tc>
          <w:tcPr>
            <w:tcW w:w="1560" w:type="dxa"/>
            <w:vAlign w:val="bottom"/>
            <w:shd w:val="clear" w:color="auto" w:fill="D9D9D9"/>
          </w:tcPr>
          <w:p>
            <w:pPr>
              <w:spacing w:after="0"/>
              <w:rPr>
                <w:sz w:val="11"/>
                <w:szCs w:val="11"/>
                <w:color w:val="auto"/>
              </w:rPr>
            </w:pPr>
          </w:p>
        </w:tc>
        <w:tc>
          <w:tcPr>
            <w:tcW w:w="1240" w:type="dxa"/>
            <w:vAlign w:val="bottom"/>
            <w:shd w:val="clear" w:color="auto" w:fill="D9D9D9"/>
          </w:tcPr>
          <w:p>
            <w:pPr>
              <w:spacing w:after="0"/>
              <w:rPr>
                <w:sz w:val="11"/>
                <w:szCs w:val="11"/>
                <w:color w:val="auto"/>
              </w:rPr>
            </w:pPr>
          </w:p>
        </w:tc>
      </w:tr>
      <w:tr>
        <w:trPr>
          <w:trHeight w:val="133"/>
        </w:trPr>
        <w:tc>
          <w:tcPr>
            <w:tcW w:w="2420" w:type="dxa"/>
            <w:vAlign w:val="bottom"/>
            <w:shd w:val="clear" w:color="auto" w:fill="D9D9D9"/>
          </w:tcPr>
          <w:p>
            <w:pPr>
              <w:spacing w:after="0"/>
              <w:rPr>
                <w:sz w:val="11"/>
                <w:szCs w:val="11"/>
                <w:color w:val="auto"/>
              </w:rPr>
            </w:pPr>
          </w:p>
        </w:tc>
        <w:tc>
          <w:tcPr>
            <w:tcW w:w="1040" w:type="dxa"/>
            <w:vAlign w:val="bottom"/>
            <w:gridSpan w:val="2"/>
            <w:shd w:val="clear" w:color="auto" w:fill="D9D9D9"/>
          </w:tcPr>
          <w:p>
            <w:pPr>
              <w:jc w:val="right"/>
              <w:ind w:right="20"/>
              <w:spacing w:after="0"/>
              <w:rPr>
                <w:sz w:val="20"/>
                <w:szCs w:val="20"/>
                <w:color w:val="auto"/>
              </w:rPr>
            </w:pPr>
            <w:r>
              <w:rPr>
                <w:rFonts w:ascii="Arial" w:cs="Arial" w:eastAsia="Arial" w:hAnsi="Arial"/>
                <w:sz w:val="11"/>
                <w:szCs w:val="11"/>
                <w:color w:val="auto"/>
              </w:rPr>
              <w:t>2,230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29.7500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12/06/2023</w:t>
            </w:r>
          </w:p>
        </w:tc>
        <w:tc>
          <w:tcPr>
            <w:tcW w:w="940" w:type="dxa"/>
            <w:vAlign w:val="bottom"/>
            <w:shd w:val="clear" w:color="auto" w:fill="D9D9D9"/>
          </w:tcPr>
          <w:p>
            <w:pPr>
              <w:spacing w:after="0"/>
              <w:rPr>
                <w:sz w:val="11"/>
                <w:szCs w:val="11"/>
                <w:color w:val="auto"/>
              </w:rPr>
            </w:pPr>
          </w:p>
        </w:tc>
        <w:tc>
          <w:tcPr>
            <w:tcW w:w="980" w:type="dxa"/>
            <w:vAlign w:val="bottom"/>
            <w:shd w:val="clear" w:color="auto" w:fill="D9D9D9"/>
          </w:tcPr>
          <w:p>
            <w:pPr>
              <w:spacing w:after="0"/>
              <w:rPr>
                <w:sz w:val="11"/>
                <w:szCs w:val="11"/>
                <w:color w:val="auto"/>
              </w:rPr>
            </w:pPr>
          </w:p>
        </w:tc>
        <w:tc>
          <w:tcPr>
            <w:tcW w:w="1560" w:type="dxa"/>
            <w:vAlign w:val="bottom"/>
            <w:shd w:val="clear" w:color="auto" w:fill="D9D9D9"/>
          </w:tcPr>
          <w:p>
            <w:pPr>
              <w:spacing w:after="0"/>
              <w:rPr>
                <w:sz w:val="11"/>
                <w:szCs w:val="11"/>
                <w:color w:val="auto"/>
              </w:rPr>
            </w:pPr>
          </w:p>
        </w:tc>
        <w:tc>
          <w:tcPr>
            <w:tcW w:w="1240" w:type="dxa"/>
            <w:vAlign w:val="bottom"/>
            <w:shd w:val="clear" w:color="auto" w:fill="D9D9D9"/>
          </w:tcPr>
          <w:p>
            <w:pPr>
              <w:spacing w:after="0"/>
              <w:rPr>
                <w:sz w:val="11"/>
                <w:szCs w:val="11"/>
                <w:color w:val="auto"/>
              </w:rPr>
            </w:pPr>
          </w:p>
        </w:tc>
      </w:tr>
      <w:tr>
        <w:trPr>
          <w:trHeight w:val="133"/>
        </w:trPr>
        <w:tc>
          <w:tcPr>
            <w:tcW w:w="2420" w:type="dxa"/>
            <w:vAlign w:val="bottom"/>
            <w:shd w:val="clear" w:color="auto" w:fill="D9D9D9"/>
          </w:tcPr>
          <w:p>
            <w:pPr>
              <w:spacing w:after="0"/>
              <w:rPr>
                <w:sz w:val="11"/>
                <w:szCs w:val="11"/>
                <w:color w:val="auto"/>
              </w:rPr>
            </w:pPr>
          </w:p>
        </w:tc>
        <w:tc>
          <w:tcPr>
            <w:tcW w:w="1040" w:type="dxa"/>
            <w:vAlign w:val="bottom"/>
            <w:gridSpan w:val="2"/>
            <w:shd w:val="clear" w:color="auto" w:fill="D9D9D9"/>
          </w:tcPr>
          <w:p>
            <w:pPr>
              <w:jc w:val="right"/>
              <w:ind w:right="20"/>
              <w:spacing w:after="0"/>
              <w:rPr>
                <w:sz w:val="20"/>
                <w:szCs w:val="20"/>
                <w:color w:val="auto"/>
              </w:rPr>
            </w:pPr>
            <w:r>
              <w:rPr>
                <w:rFonts w:ascii="Arial" w:cs="Arial" w:eastAsia="Arial" w:hAnsi="Arial"/>
                <w:sz w:val="11"/>
                <w:szCs w:val="11"/>
                <w:color w:val="auto"/>
              </w:rPr>
              <w:t>2,230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29.7500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12/06/2023</w:t>
            </w:r>
          </w:p>
        </w:tc>
        <w:tc>
          <w:tcPr>
            <w:tcW w:w="940" w:type="dxa"/>
            <w:vAlign w:val="bottom"/>
            <w:shd w:val="clear" w:color="auto" w:fill="D9D9D9"/>
          </w:tcPr>
          <w:p>
            <w:pPr>
              <w:spacing w:after="0"/>
              <w:rPr>
                <w:sz w:val="11"/>
                <w:szCs w:val="11"/>
                <w:color w:val="auto"/>
              </w:rPr>
            </w:pPr>
          </w:p>
        </w:tc>
        <w:tc>
          <w:tcPr>
            <w:tcW w:w="980" w:type="dxa"/>
            <w:vAlign w:val="bottom"/>
            <w:shd w:val="clear" w:color="auto" w:fill="D9D9D9"/>
          </w:tcPr>
          <w:p>
            <w:pPr>
              <w:spacing w:after="0"/>
              <w:rPr>
                <w:sz w:val="11"/>
                <w:szCs w:val="11"/>
                <w:color w:val="auto"/>
              </w:rPr>
            </w:pPr>
          </w:p>
        </w:tc>
        <w:tc>
          <w:tcPr>
            <w:tcW w:w="1560" w:type="dxa"/>
            <w:vAlign w:val="bottom"/>
            <w:shd w:val="clear" w:color="auto" w:fill="D9D9D9"/>
          </w:tcPr>
          <w:p>
            <w:pPr>
              <w:spacing w:after="0"/>
              <w:rPr>
                <w:sz w:val="11"/>
                <w:szCs w:val="11"/>
                <w:color w:val="auto"/>
              </w:rPr>
            </w:pPr>
          </w:p>
        </w:tc>
        <w:tc>
          <w:tcPr>
            <w:tcW w:w="1240" w:type="dxa"/>
            <w:vAlign w:val="bottom"/>
            <w:shd w:val="clear" w:color="auto" w:fill="D9D9D9"/>
          </w:tcPr>
          <w:p>
            <w:pPr>
              <w:spacing w:after="0"/>
              <w:rPr>
                <w:sz w:val="11"/>
                <w:szCs w:val="11"/>
                <w:color w:val="auto"/>
              </w:rPr>
            </w:pPr>
          </w:p>
        </w:tc>
      </w:tr>
      <w:tr>
        <w:trPr>
          <w:trHeight w:val="133"/>
        </w:trPr>
        <w:tc>
          <w:tcPr>
            <w:tcW w:w="2420" w:type="dxa"/>
            <w:vAlign w:val="bottom"/>
            <w:shd w:val="clear" w:color="auto" w:fill="D9D9D9"/>
          </w:tcPr>
          <w:p>
            <w:pPr>
              <w:spacing w:after="0"/>
              <w:rPr>
                <w:sz w:val="11"/>
                <w:szCs w:val="11"/>
                <w:color w:val="auto"/>
              </w:rPr>
            </w:pPr>
          </w:p>
        </w:tc>
        <w:tc>
          <w:tcPr>
            <w:tcW w:w="1040" w:type="dxa"/>
            <w:vAlign w:val="bottom"/>
            <w:gridSpan w:val="2"/>
            <w:shd w:val="clear" w:color="auto" w:fill="D9D9D9"/>
          </w:tcPr>
          <w:p>
            <w:pPr>
              <w:jc w:val="right"/>
              <w:ind w:right="20"/>
              <w:spacing w:after="0"/>
              <w:rPr>
                <w:sz w:val="20"/>
                <w:szCs w:val="20"/>
                <w:color w:val="auto"/>
              </w:rPr>
            </w:pPr>
            <w:r>
              <w:rPr>
                <w:rFonts w:ascii="Arial" w:cs="Arial" w:eastAsia="Arial" w:hAnsi="Arial"/>
                <w:sz w:val="11"/>
                <w:szCs w:val="11"/>
                <w:color w:val="auto"/>
              </w:rPr>
              <w:t>2,230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31.3750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12/05/2024</w:t>
            </w:r>
          </w:p>
        </w:tc>
        <w:tc>
          <w:tcPr>
            <w:tcW w:w="940" w:type="dxa"/>
            <w:vAlign w:val="bottom"/>
            <w:shd w:val="clear" w:color="auto" w:fill="D9D9D9"/>
          </w:tcPr>
          <w:p>
            <w:pPr>
              <w:spacing w:after="0"/>
              <w:rPr>
                <w:sz w:val="11"/>
                <w:szCs w:val="11"/>
                <w:color w:val="auto"/>
              </w:rPr>
            </w:pPr>
          </w:p>
        </w:tc>
        <w:tc>
          <w:tcPr>
            <w:tcW w:w="980" w:type="dxa"/>
            <w:vAlign w:val="bottom"/>
            <w:shd w:val="clear" w:color="auto" w:fill="D9D9D9"/>
          </w:tcPr>
          <w:p>
            <w:pPr>
              <w:spacing w:after="0"/>
              <w:rPr>
                <w:sz w:val="11"/>
                <w:szCs w:val="11"/>
                <w:color w:val="auto"/>
              </w:rPr>
            </w:pPr>
          </w:p>
        </w:tc>
        <w:tc>
          <w:tcPr>
            <w:tcW w:w="1560" w:type="dxa"/>
            <w:vAlign w:val="bottom"/>
            <w:shd w:val="clear" w:color="auto" w:fill="D9D9D9"/>
          </w:tcPr>
          <w:p>
            <w:pPr>
              <w:spacing w:after="0"/>
              <w:rPr>
                <w:sz w:val="11"/>
                <w:szCs w:val="11"/>
                <w:color w:val="auto"/>
              </w:rPr>
            </w:pPr>
          </w:p>
        </w:tc>
        <w:tc>
          <w:tcPr>
            <w:tcW w:w="1240" w:type="dxa"/>
            <w:vAlign w:val="bottom"/>
            <w:shd w:val="clear" w:color="auto" w:fill="D9D9D9"/>
          </w:tcPr>
          <w:p>
            <w:pPr>
              <w:spacing w:after="0"/>
              <w:rPr>
                <w:sz w:val="11"/>
                <w:szCs w:val="11"/>
                <w:color w:val="auto"/>
              </w:rPr>
            </w:pPr>
          </w:p>
        </w:tc>
      </w:tr>
      <w:tr>
        <w:trPr>
          <w:trHeight w:val="133"/>
        </w:trPr>
        <w:tc>
          <w:tcPr>
            <w:tcW w:w="2420" w:type="dxa"/>
            <w:vAlign w:val="bottom"/>
            <w:shd w:val="clear" w:color="auto" w:fill="D9D9D9"/>
          </w:tcPr>
          <w:p>
            <w:pPr>
              <w:spacing w:after="0"/>
              <w:rPr>
                <w:sz w:val="11"/>
                <w:szCs w:val="11"/>
                <w:color w:val="auto"/>
              </w:rPr>
            </w:pPr>
          </w:p>
        </w:tc>
        <w:tc>
          <w:tcPr>
            <w:tcW w:w="1040" w:type="dxa"/>
            <w:vAlign w:val="bottom"/>
            <w:gridSpan w:val="2"/>
            <w:shd w:val="clear" w:color="auto" w:fill="D9D9D9"/>
          </w:tcPr>
          <w:p>
            <w:pPr>
              <w:jc w:val="right"/>
              <w:ind w:right="20"/>
              <w:spacing w:after="0"/>
              <w:rPr>
                <w:sz w:val="20"/>
                <w:szCs w:val="20"/>
                <w:color w:val="auto"/>
              </w:rPr>
            </w:pPr>
            <w:r>
              <w:rPr>
                <w:rFonts w:ascii="Arial" w:cs="Arial" w:eastAsia="Arial" w:hAnsi="Arial"/>
                <w:sz w:val="11"/>
                <w:szCs w:val="11"/>
                <w:color w:val="auto"/>
              </w:rPr>
              <w:t>2,230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31.3750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12/05/2024</w:t>
            </w:r>
          </w:p>
        </w:tc>
        <w:tc>
          <w:tcPr>
            <w:tcW w:w="940" w:type="dxa"/>
            <w:vAlign w:val="bottom"/>
            <w:shd w:val="clear" w:color="auto" w:fill="D9D9D9"/>
          </w:tcPr>
          <w:p>
            <w:pPr>
              <w:spacing w:after="0"/>
              <w:rPr>
                <w:sz w:val="11"/>
                <w:szCs w:val="11"/>
                <w:color w:val="auto"/>
              </w:rPr>
            </w:pPr>
          </w:p>
        </w:tc>
        <w:tc>
          <w:tcPr>
            <w:tcW w:w="980" w:type="dxa"/>
            <w:vAlign w:val="bottom"/>
            <w:shd w:val="clear" w:color="auto" w:fill="D9D9D9"/>
          </w:tcPr>
          <w:p>
            <w:pPr>
              <w:spacing w:after="0"/>
              <w:rPr>
                <w:sz w:val="11"/>
                <w:szCs w:val="11"/>
                <w:color w:val="auto"/>
              </w:rPr>
            </w:pPr>
          </w:p>
        </w:tc>
        <w:tc>
          <w:tcPr>
            <w:tcW w:w="1560" w:type="dxa"/>
            <w:vAlign w:val="bottom"/>
            <w:shd w:val="clear" w:color="auto" w:fill="D9D9D9"/>
          </w:tcPr>
          <w:p>
            <w:pPr>
              <w:spacing w:after="0"/>
              <w:rPr>
                <w:sz w:val="11"/>
                <w:szCs w:val="11"/>
                <w:color w:val="auto"/>
              </w:rPr>
            </w:pPr>
          </w:p>
        </w:tc>
        <w:tc>
          <w:tcPr>
            <w:tcW w:w="1240" w:type="dxa"/>
            <w:vAlign w:val="bottom"/>
            <w:shd w:val="clear" w:color="auto" w:fill="D9D9D9"/>
          </w:tcPr>
          <w:p>
            <w:pPr>
              <w:spacing w:after="0"/>
              <w:rPr>
                <w:sz w:val="11"/>
                <w:szCs w:val="11"/>
                <w:color w:val="auto"/>
              </w:rPr>
            </w:pPr>
          </w:p>
        </w:tc>
      </w:tr>
      <w:tr>
        <w:trPr>
          <w:trHeight w:val="133"/>
        </w:trPr>
        <w:tc>
          <w:tcPr>
            <w:tcW w:w="2420" w:type="dxa"/>
            <w:vAlign w:val="bottom"/>
            <w:shd w:val="clear" w:color="auto" w:fill="D9D9D9"/>
          </w:tcPr>
          <w:p>
            <w:pPr>
              <w:spacing w:after="0"/>
              <w:rPr>
                <w:sz w:val="11"/>
                <w:szCs w:val="11"/>
                <w:color w:val="auto"/>
              </w:rPr>
            </w:pPr>
          </w:p>
        </w:tc>
        <w:tc>
          <w:tcPr>
            <w:tcW w:w="1040" w:type="dxa"/>
            <w:vAlign w:val="bottom"/>
            <w:gridSpan w:val="2"/>
            <w:shd w:val="clear" w:color="auto" w:fill="D9D9D9"/>
          </w:tcPr>
          <w:p>
            <w:pPr>
              <w:jc w:val="right"/>
              <w:ind w:right="20"/>
              <w:spacing w:after="0"/>
              <w:rPr>
                <w:sz w:val="20"/>
                <w:szCs w:val="20"/>
                <w:color w:val="auto"/>
              </w:rPr>
            </w:pPr>
            <w:r>
              <w:rPr>
                <w:rFonts w:ascii="Arial" w:cs="Arial" w:eastAsia="Arial" w:hAnsi="Arial"/>
                <w:sz w:val="11"/>
                <w:szCs w:val="11"/>
                <w:color w:val="auto"/>
              </w:rPr>
              <w:t>17,200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38.8200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12/04/2025</w:t>
            </w:r>
          </w:p>
        </w:tc>
        <w:tc>
          <w:tcPr>
            <w:tcW w:w="940" w:type="dxa"/>
            <w:vAlign w:val="bottom"/>
            <w:shd w:val="clear" w:color="auto" w:fill="D9D9D9"/>
          </w:tcPr>
          <w:p>
            <w:pPr>
              <w:spacing w:after="0"/>
              <w:rPr>
                <w:sz w:val="11"/>
                <w:szCs w:val="11"/>
                <w:color w:val="auto"/>
              </w:rPr>
            </w:pPr>
          </w:p>
        </w:tc>
        <w:tc>
          <w:tcPr>
            <w:tcW w:w="980" w:type="dxa"/>
            <w:vAlign w:val="bottom"/>
            <w:shd w:val="clear" w:color="auto" w:fill="D9D9D9"/>
          </w:tcPr>
          <w:p>
            <w:pPr>
              <w:spacing w:after="0"/>
              <w:rPr>
                <w:sz w:val="11"/>
                <w:szCs w:val="11"/>
                <w:color w:val="auto"/>
              </w:rPr>
            </w:pPr>
          </w:p>
        </w:tc>
        <w:tc>
          <w:tcPr>
            <w:tcW w:w="1560" w:type="dxa"/>
            <w:vAlign w:val="bottom"/>
            <w:shd w:val="clear" w:color="auto" w:fill="D9D9D9"/>
          </w:tcPr>
          <w:p>
            <w:pPr>
              <w:spacing w:after="0"/>
              <w:rPr>
                <w:sz w:val="11"/>
                <w:szCs w:val="11"/>
                <w:color w:val="auto"/>
              </w:rPr>
            </w:pPr>
          </w:p>
        </w:tc>
        <w:tc>
          <w:tcPr>
            <w:tcW w:w="1240" w:type="dxa"/>
            <w:vAlign w:val="bottom"/>
            <w:shd w:val="clear" w:color="auto" w:fill="D9D9D9"/>
          </w:tcPr>
          <w:p>
            <w:pPr>
              <w:spacing w:after="0"/>
              <w:rPr>
                <w:sz w:val="11"/>
                <w:szCs w:val="11"/>
                <w:color w:val="auto"/>
              </w:rPr>
            </w:pPr>
          </w:p>
        </w:tc>
      </w:tr>
      <w:tr>
        <w:trPr>
          <w:trHeight w:val="133"/>
        </w:trPr>
        <w:tc>
          <w:tcPr>
            <w:tcW w:w="2420" w:type="dxa"/>
            <w:vAlign w:val="bottom"/>
            <w:shd w:val="clear" w:color="auto" w:fill="D9D9D9"/>
          </w:tcPr>
          <w:p>
            <w:pPr>
              <w:spacing w:after="0"/>
              <w:rPr>
                <w:sz w:val="11"/>
                <w:szCs w:val="11"/>
                <w:color w:val="auto"/>
              </w:rPr>
            </w:pPr>
          </w:p>
        </w:tc>
        <w:tc>
          <w:tcPr>
            <w:tcW w:w="1040" w:type="dxa"/>
            <w:vAlign w:val="bottom"/>
            <w:gridSpan w:val="2"/>
            <w:shd w:val="clear" w:color="auto" w:fill="D9D9D9"/>
          </w:tcPr>
          <w:p>
            <w:pPr>
              <w:jc w:val="right"/>
              <w:ind w:right="20"/>
              <w:spacing w:after="0"/>
              <w:rPr>
                <w:sz w:val="20"/>
                <w:szCs w:val="20"/>
                <w:color w:val="auto"/>
              </w:rPr>
            </w:pPr>
            <w:r>
              <w:rPr>
                <w:rFonts w:ascii="Arial" w:cs="Arial" w:eastAsia="Arial" w:hAnsi="Arial"/>
                <w:sz w:val="11"/>
                <w:szCs w:val="11"/>
                <w:color w:val="auto"/>
              </w:rPr>
              <w:t>16,600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56.5400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12/09/2026</w:t>
            </w:r>
          </w:p>
        </w:tc>
        <w:tc>
          <w:tcPr>
            <w:tcW w:w="940" w:type="dxa"/>
            <w:vAlign w:val="bottom"/>
            <w:shd w:val="clear" w:color="auto" w:fill="D9D9D9"/>
          </w:tcPr>
          <w:p>
            <w:pPr>
              <w:spacing w:after="0"/>
              <w:rPr>
                <w:sz w:val="11"/>
                <w:szCs w:val="11"/>
                <w:color w:val="auto"/>
              </w:rPr>
            </w:pPr>
          </w:p>
        </w:tc>
        <w:tc>
          <w:tcPr>
            <w:tcW w:w="980" w:type="dxa"/>
            <w:vAlign w:val="bottom"/>
            <w:shd w:val="clear" w:color="auto" w:fill="D9D9D9"/>
          </w:tcPr>
          <w:p>
            <w:pPr>
              <w:spacing w:after="0"/>
              <w:rPr>
                <w:sz w:val="11"/>
                <w:szCs w:val="11"/>
                <w:color w:val="auto"/>
              </w:rPr>
            </w:pPr>
          </w:p>
        </w:tc>
        <w:tc>
          <w:tcPr>
            <w:tcW w:w="1560" w:type="dxa"/>
            <w:vAlign w:val="bottom"/>
            <w:shd w:val="clear" w:color="auto" w:fill="D9D9D9"/>
          </w:tcPr>
          <w:p>
            <w:pPr>
              <w:spacing w:after="0"/>
              <w:rPr>
                <w:sz w:val="11"/>
                <w:szCs w:val="11"/>
                <w:color w:val="auto"/>
              </w:rPr>
            </w:pPr>
          </w:p>
        </w:tc>
        <w:tc>
          <w:tcPr>
            <w:tcW w:w="1240" w:type="dxa"/>
            <w:vAlign w:val="bottom"/>
            <w:shd w:val="clear" w:color="auto" w:fill="D9D9D9"/>
          </w:tcPr>
          <w:p>
            <w:pPr>
              <w:spacing w:after="0"/>
              <w:rPr>
                <w:sz w:val="11"/>
                <w:szCs w:val="11"/>
                <w:color w:val="auto"/>
              </w:rPr>
            </w:pPr>
          </w:p>
        </w:tc>
      </w:tr>
      <w:tr>
        <w:trPr>
          <w:trHeight w:val="133"/>
        </w:trPr>
        <w:tc>
          <w:tcPr>
            <w:tcW w:w="2420" w:type="dxa"/>
            <w:vAlign w:val="bottom"/>
            <w:shd w:val="clear" w:color="auto" w:fill="D9D9D9"/>
          </w:tcPr>
          <w:p>
            <w:pPr>
              <w:spacing w:after="0"/>
              <w:rPr>
                <w:sz w:val="11"/>
                <w:szCs w:val="11"/>
                <w:color w:val="auto"/>
              </w:rPr>
            </w:pPr>
          </w:p>
        </w:tc>
        <w:tc>
          <w:tcPr>
            <w:tcW w:w="1040" w:type="dxa"/>
            <w:vAlign w:val="bottom"/>
            <w:gridSpan w:val="2"/>
            <w:shd w:val="clear" w:color="auto" w:fill="D9D9D9"/>
          </w:tcPr>
          <w:p>
            <w:pPr>
              <w:jc w:val="right"/>
              <w:ind w:right="20"/>
              <w:spacing w:after="0"/>
              <w:rPr>
                <w:sz w:val="20"/>
                <w:szCs w:val="20"/>
                <w:color w:val="auto"/>
              </w:rPr>
            </w:pPr>
            <w:r>
              <w:rPr>
                <w:rFonts w:ascii="Arial" w:cs="Arial" w:eastAsia="Arial" w:hAnsi="Arial"/>
                <w:sz w:val="11"/>
                <w:szCs w:val="11"/>
                <w:color w:val="auto"/>
              </w:rPr>
              <w:t>13,200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65.9300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12/08/2027</w:t>
            </w:r>
          </w:p>
        </w:tc>
        <w:tc>
          <w:tcPr>
            <w:tcW w:w="940" w:type="dxa"/>
            <w:vAlign w:val="bottom"/>
            <w:shd w:val="clear" w:color="auto" w:fill="D9D9D9"/>
          </w:tcPr>
          <w:p>
            <w:pPr>
              <w:spacing w:after="0"/>
              <w:rPr>
                <w:sz w:val="11"/>
                <w:szCs w:val="11"/>
                <w:color w:val="auto"/>
              </w:rPr>
            </w:pPr>
          </w:p>
        </w:tc>
        <w:tc>
          <w:tcPr>
            <w:tcW w:w="980" w:type="dxa"/>
            <w:vAlign w:val="bottom"/>
            <w:shd w:val="clear" w:color="auto" w:fill="D9D9D9"/>
          </w:tcPr>
          <w:p>
            <w:pPr>
              <w:spacing w:after="0"/>
              <w:rPr>
                <w:sz w:val="11"/>
                <w:szCs w:val="11"/>
                <w:color w:val="auto"/>
              </w:rPr>
            </w:pPr>
          </w:p>
        </w:tc>
        <w:tc>
          <w:tcPr>
            <w:tcW w:w="1560" w:type="dxa"/>
            <w:vAlign w:val="bottom"/>
            <w:shd w:val="clear" w:color="auto" w:fill="D9D9D9"/>
          </w:tcPr>
          <w:p>
            <w:pPr>
              <w:spacing w:after="0"/>
              <w:rPr>
                <w:sz w:val="11"/>
                <w:szCs w:val="11"/>
                <w:color w:val="auto"/>
              </w:rPr>
            </w:pPr>
          </w:p>
        </w:tc>
        <w:tc>
          <w:tcPr>
            <w:tcW w:w="1240" w:type="dxa"/>
            <w:vAlign w:val="bottom"/>
            <w:shd w:val="clear" w:color="auto" w:fill="D9D9D9"/>
          </w:tcPr>
          <w:p>
            <w:pPr>
              <w:spacing w:after="0"/>
              <w:rPr>
                <w:sz w:val="11"/>
                <w:szCs w:val="11"/>
                <w:color w:val="auto"/>
              </w:rPr>
            </w:pPr>
          </w:p>
        </w:tc>
      </w:tr>
      <w:tr>
        <w:trPr>
          <w:trHeight w:val="133"/>
        </w:trPr>
        <w:tc>
          <w:tcPr>
            <w:tcW w:w="2420" w:type="dxa"/>
            <w:vAlign w:val="bottom"/>
            <w:shd w:val="clear" w:color="auto" w:fill="D9D9D9"/>
          </w:tcPr>
          <w:p>
            <w:pPr>
              <w:spacing w:after="0"/>
              <w:rPr>
                <w:sz w:val="11"/>
                <w:szCs w:val="11"/>
                <w:color w:val="auto"/>
              </w:rPr>
            </w:pPr>
          </w:p>
        </w:tc>
        <w:tc>
          <w:tcPr>
            <w:tcW w:w="1040" w:type="dxa"/>
            <w:vAlign w:val="bottom"/>
            <w:gridSpan w:val="2"/>
            <w:shd w:val="clear" w:color="auto" w:fill="D9D9D9"/>
          </w:tcPr>
          <w:p>
            <w:pPr>
              <w:jc w:val="right"/>
              <w:ind w:right="20"/>
              <w:spacing w:after="0"/>
              <w:rPr>
                <w:sz w:val="20"/>
                <w:szCs w:val="20"/>
                <w:color w:val="auto"/>
              </w:rPr>
            </w:pPr>
            <w:r>
              <w:rPr>
                <w:rFonts w:ascii="Arial" w:cs="Arial" w:eastAsia="Arial" w:hAnsi="Arial"/>
                <w:sz w:val="11"/>
                <w:szCs w:val="11"/>
                <w:color w:val="auto"/>
              </w:rPr>
              <w:t>10,800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5,400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58.5300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12/07/2028</w:t>
            </w:r>
          </w:p>
        </w:tc>
        <w:tc>
          <w:tcPr>
            <w:tcW w:w="940" w:type="dxa"/>
            <w:vAlign w:val="bottom"/>
            <w:shd w:val="clear" w:color="auto" w:fill="D9D9D9"/>
          </w:tcPr>
          <w:p>
            <w:pPr>
              <w:spacing w:after="0"/>
              <w:rPr>
                <w:sz w:val="11"/>
                <w:szCs w:val="11"/>
                <w:color w:val="auto"/>
              </w:rPr>
            </w:pPr>
          </w:p>
        </w:tc>
        <w:tc>
          <w:tcPr>
            <w:tcW w:w="980" w:type="dxa"/>
            <w:vAlign w:val="bottom"/>
            <w:shd w:val="clear" w:color="auto" w:fill="D9D9D9"/>
          </w:tcPr>
          <w:p>
            <w:pPr>
              <w:spacing w:after="0"/>
              <w:rPr>
                <w:sz w:val="11"/>
                <w:szCs w:val="11"/>
                <w:color w:val="auto"/>
              </w:rPr>
            </w:pPr>
          </w:p>
        </w:tc>
        <w:tc>
          <w:tcPr>
            <w:tcW w:w="1560" w:type="dxa"/>
            <w:vAlign w:val="bottom"/>
            <w:shd w:val="clear" w:color="auto" w:fill="D9D9D9"/>
          </w:tcPr>
          <w:p>
            <w:pPr>
              <w:spacing w:after="0"/>
              <w:rPr>
                <w:sz w:val="11"/>
                <w:szCs w:val="11"/>
                <w:color w:val="auto"/>
              </w:rPr>
            </w:pPr>
          </w:p>
        </w:tc>
        <w:tc>
          <w:tcPr>
            <w:tcW w:w="1240" w:type="dxa"/>
            <w:vAlign w:val="bottom"/>
            <w:shd w:val="clear" w:color="auto" w:fill="D9D9D9"/>
          </w:tcPr>
          <w:p>
            <w:pPr>
              <w:spacing w:after="0"/>
              <w:rPr>
                <w:sz w:val="11"/>
                <w:szCs w:val="11"/>
                <w:color w:val="auto"/>
              </w:rPr>
            </w:pPr>
          </w:p>
        </w:tc>
      </w:tr>
      <w:tr>
        <w:trPr>
          <w:trHeight w:val="133"/>
        </w:trPr>
        <w:tc>
          <w:tcPr>
            <w:tcW w:w="2420" w:type="dxa"/>
            <w:vAlign w:val="bottom"/>
            <w:shd w:val="clear" w:color="auto" w:fill="D9D9D9"/>
          </w:tcPr>
          <w:p>
            <w:pPr>
              <w:spacing w:after="0"/>
              <w:rPr>
                <w:sz w:val="11"/>
                <w:szCs w:val="11"/>
                <w:color w:val="auto"/>
              </w:rPr>
            </w:pPr>
          </w:p>
        </w:tc>
        <w:tc>
          <w:tcPr>
            <w:tcW w:w="1040" w:type="dxa"/>
            <w:vAlign w:val="bottom"/>
            <w:gridSpan w:val="2"/>
            <w:shd w:val="clear" w:color="auto" w:fill="D9D9D9"/>
          </w:tcPr>
          <w:p>
            <w:pPr>
              <w:jc w:val="right"/>
              <w:ind w:right="20"/>
              <w:spacing w:after="0"/>
              <w:rPr>
                <w:sz w:val="20"/>
                <w:szCs w:val="20"/>
                <w:color w:val="auto"/>
              </w:rPr>
            </w:pPr>
            <w:r>
              <w:rPr>
                <w:rFonts w:ascii="Arial" w:cs="Arial" w:eastAsia="Arial" w:hAnsi="Arial"/>
                <w:sz w:val="11"/>
                <w:szCs w:val="11"/>
                <w:color w:val="auto"/>
              </w:rPr>
              <w:t>6,933</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13,867</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76.5300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12/19/2029</w:t>
            </w:r>
          </w:p>
        </w:tc>
        <w:tc>
          <w:tcPr>
            <w:tcW w:w="940" w:type="dxa"/>
            <w:vAlign w:val="bottom"/>
            <w:shd w:val="clear" w:color="auto" w:fill="D9D9D9"/>
          </w:tcPr>
          <w:p>
            <w:pPr>
              <w:spacing w:after="0"/>
              <w:rPr>
                <w:sz w:val="11"/>
                <w:szCs w:val="11"/>
                <w:color w:val="auto"/>
              </w:rPr>
            </w:pPr>
          </w:p>
        </w:tc>
        <w:tc>
          <w:tcPr>
            <w:tcW w:w="980" w:type="dxa"/>
            <w:vAlign w:val="bottom"/>
            <w:shd w:val="clear" w:color="auto" w:fill="D9D9D9"/>
          </w:tcPr>
          <w:p>
            <w:pPr>
              <w:spacing w:after="0"/>
              <w:rPr>
                <w:sz w:val="11"/>
                <w:szCs w:val="11"/>
                <w:color w:val="auto"/>
              </w:rPr>
            </w:pPr>
          </w:p>
        </w:tc>
        <w:tc>
          <w:tcPr>
            <w:tcW w:w="1560" w:type="dxa"/>
            <w:vAlign w:val="bottom"/>
            <w:shd w:val="clear" w:color="auto" w:fill="D9D9D9"/>
          </w:tcPr>
          <w:p>
            <w:pPr>
              <w:spacing w:after="0"/>
              <w:rPr>
                <w:sz w:val="11"/>
                <w:szCs w:val="11"/>
                <w:color w:val="auto"/>
              </w:rPr>
            </w:pPr>
          </w:p>
        </w:tc>
        <w:tc>
          <w:tcPr>
            <w:tcW w:w="1240" w:type="dxa"/>
            <w:vAlign w:val="bottom"/>
            <w:shd w:val="clear" w:color="auto" w:fill="D9D9D9"/>
          </w:tcPr>
          <w:p>
            <w:pPr>
              <w:spacing w:after="0"/>
              <w:rPr>
                <w:sz w:val="11"/>
                <w:szCs w:val="11"/>
                <w:color w:val="auto"/>
              </w:rPr>
            </w:pPr>
          </w:p>
        </w:tc>
      </w:tr>
      <w:tr>
        <w:trPr>
          <w:trHeight w:val="133"/>
        </w:trPr>
        <w:tc>
          <w:tcPr>
            <w:tcW w:w="2420" w:type="dxa"/>
            <w:vAlign w:val="bottom"/>
            <w:shd w:val="clear" w:color="auto" w:fill="D9D9D9"/>
          </w:tcPr>
          <w:p>
            <w:pPr>
              <w:spacing w:after="0"/>
              <w:rPr>
                <w:sz w:val="11"/>
                <w:szCs w:val="11"/>
                <w:color w:val="auto"/>
              </w:rPr>
            </w:pPr>
          </w:p>
        </w:tc>
        <w:tc>
          <w:tcPr>
            <w:tcW w:w="1040" w:type="dxa"/>
            <w:vAlign w:val="bottom"/>
            <w:gridSpan w:val="2"/>
            <w:shd w:val="clear" w:color="auto" w:fill="D9D9D9"/>
          </w:tcPr>
          <w:p>
            <w:pPr>
              <w:jc w:val="right"/>
              <w:ind w:right="20"/>
              <w:spacing w:after="0"/>
              <w:rPr>
                <w:sz w:val="20"/>
                <w:szCs w:val="20"/>
                <w:color w:val="auto"/>
              </w:rPr>
            </w:pPr>
            <w:r>
              <w:rPr>
                <w:rFonts w:ascii="Arial" w:cs="Arial" w:eastAsia="Arial" w:hAnsi="Arial"/>
                <w:sz w:val="11"/>
                <w:szCs w:val="11"/>
                <w:color w:val="auto"/>
              </w:rPr>
              <w:t>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21,300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93.3300</w:t>
            </w:r>
          </w:p>
        </w:tc>
        <w:tc>
          <w:tcPr>
            <w:tcW w:w="1020" w:type="dxa"/>
            <w:vAlign w:val="bottom"/>
            <w:shd w:val="clear" w:color="auto" w:fill="D9D9D9"/>
          </w:tcPr>
          <w:p>
            <w:pPr>
              <w:jc w:val="right"/>
              <w:spacing w:after="0"/>
              <w:rPr>
                <w:sz w:val="20"/>
                <w:szCs w:val="20"/>
                <w:color w:val="auto"/>
              </w:rPr>
            </w:pPr>
            <w:r>
              <w:rPr>
                <w:rFonts w:ascii="Arial" w:cs="Arial" w:eastAsia="Arial" w:hAnsi="Arial"/>
                <w:sz w:val="11"/>
                <w:szCs w:val="11"/>
                <w:color w:val="auto"/>
              </w:rPr>
              <w:t>12/17/2030</w:t>
            </w:r>
          </w:p>
        </w:tc>
        <w:tc>
          <w:tcPr>
            <w:tcW w:w="940" w:type="dxa"/>
            <w:vAlign w:val="bottom"/>
            <w:shd w:val="clear" w:color="auto" w:fill="D9D9D9"/>
          </w:tcPr>
          <w:p>
            <w:pPr>
              <w:spacing w:after="0"/>
              <w:rPr>
                <w:sz w:val="11"/>
                <w:szCs w:val="11"/>
                <w:color w:val="auto"/>
              </w:rPr>
            </w:pPr>
          </w:p>
        </w:tc>
        <w:tc>
          <w:tcPr>
            <w:tcW w:w="980" w:type="dxa"/>
            <w:vAlign w:val="bottom"/>
            <w:shd w:val="clear" w:color="auto" w:fill="D9D9D9"/>
          </w:tcPr>
          <w:p>
            <w:pPr>
              <w:spacing w:after="0"/>
              <w:rPr>
                <w:sz w:val="11"/>
                <w:szCs w:val="11"/>
                <w:color w:val="auto"/>
              </w:rPr>
            </w:pPr>
          </w:p>
        </w:tc>
        <w:tc>
          <w:tcPr>
            <w:tcW w:w="1560" w:type="dxa"/>
            <w:vAlign w:val="bottom"/>
            <w:shd w:val="clear" w:color="auto" w:fill="D9D9D9"/>
          </w:tcPr>
          <w:p>
            <w:pPr>
              <w:spacing w:after="0"/>
              <w:rPr>
                <w:sz w:val="11"/>
                <w:szCs w:val="11"/>
                <w:color w:val="auto"/>
              </w:rPr>
            </w:pPr>
          </w:p>
        </w:tc>
        <w:tc>
          <w:tcPr>
            <w:tcW w:w="1240" w:type="dxa"/>
            <w:vAlign w:val="bottom"/>
            <w:shd w:val="clear" w:color="auto" w:fill="D9D9D9"/>
          </w:tcPr>
          <w:p>
            <w:pPr>
              <w:spacing w:after="0"/>
              <w:rPr>
                <w:sz w:val="11"/>
                <w:szCs w:val="11"/>
                <w:color w:val="auto"/>
              </w:rPr>
            </w:pPr>
          </w:p>
        </w:tc>
      </w:tr>
      <w:tr>
        <w:trPr>
          <w:trHeight w:val="133"/>
        </w:trPr>
        <w:tc>
          <w:tcPr>
            <w:tcW w:w="2420" w:type="dxa"/>
            <w:vAlign w:val="bottom"/>
            <w:shd w:val="clear" w:color="auto" w:fill="D9D9D9"/>
          </w:tcPr>
          <w:p>
            <w:pPr>
              <w:ind w:left="120"/>
              <w:spacing w:after="0"/>
              <w:rPr>
                <w:sz w:val="20"/>
                <w:szCs w:val="20"/>
                <w:color w:val="auto"/>
              </w:rPr>
            </w:pPr>
            <w:r>
              <w:rPr>
                <w:rFonts w:ascii="Arial" w:cs="Arial" w:eastAsia="Arial" w:hAnsi="Arial"/>
                <w:sz w:val="11"/>
                <w:szCs w:val="11"/>
                <w:color w:val="auto"/>
              </w:rPr>
              <w:t>F’20-F’22 Performance Shares</w:t>
            </w:r>
          </w:p>
        </w:tc>
        <w:tc>
          <w:tcPr>
            <w:tcW w:w="800" w:type="dxa"/>
            <w:vAlign w:val="bottom"/>
            <w:shd w:val="clear" w:color="auto" w:fill="D9D9D9"/>
          </w:tcPr>
          <w:p>
            <w:pPr>
              <w:spacing w:after="0"/>
              <w:rPr>
                <w:sz w:val="11"/>
                <w:szCs w:val="11"/>
                <w:color w:val="auto"/>
              </w:rPr>
            </w:pPr>
          </w:p>
        </w:tc>
        <w:tc>
          <w:tcPr>
            <w:tcW w:w="240" w:type="dxa"/>
            <w:vAlign w:val="bottom"/>
            <w:shd w:val="clear" w:color="auto" w:fill="D9D9D9"/>
          </w:tcPr>
          <w:p>
            <w:pPr>
              <w:spacing w:after="0"/>
              <w:rPr>
                <w:sz w:val="11"/>
                <w:szCs w:val="11"/>
                <w:color w:val="auto"/>
              </w:rPr>
            </w:pPr>
          </w:p>
        </w:tc>
        <w:tc>
          <w:tcPr>
            <w:tcW w:w="1020" w:type="dxa"/>
            <w:vAlign w:val="bottom"/>
            <w:shd w:val="clear" w:color="auto" w:fill="D9D9D9"/>
          </w:tcPr>
          <w:p>
            <w:pPr>
              <w:spacing w:after="0"/>
              <w:rPr>
                <w:sz w:val="11"/>
                <w:szCs w:val="11"/>
                <w:color w:val="auto"/>
              </w:rPr>
            </w:pPr>
          </w:p>
        </w:tc>
        <w:tc>
          <w:tcPr>
            <w:tcW w:w="1020" w:type="dxa"/>
            <w:vAlign w:val="bottom"/>
            <w:shd w:val="clear" w:color="auto" w:fill="D9D9D9"/>
          </w:tcPr>
          <w:p>
            <w:pPr>
              <w:spacing w:after="0"/>
              <w:rPr>
                <w:sz w:val="11"/>
                <w:szCs w:val="11"/>
                <w:color w:val="auto"/>
              </w:rPr>
            </w:pPr>
          </w:p>
        </w:tc>
        <w:tc>
          <w:tcPr>
            <w:tcW w:w="1020" w:type="dxa"/>
            <w:vAlign w:val="bottom"/>
            <w:shd w:val="clear" w:color="auto" w:fill="D9D9D9"/>
          </w:tcPr>
          <w:p>
            <w:pPr>
              <w:spacing w:after="0"/>
              <w:rPr>
                <w:sz w:val="11"/>
                <w:szCs w:val="11"/>
                <w:color w:val="auto"/>
              </w:rPr>
            </w:pPr>
          </w:p>
        </w:tc>
        <w:tc>
          <w:tcPr>
            <w:tcW w:w="940" w:type="dxa"/>
            <w:vAlign w:val="bottom"/>
            <w:shd w:val="clear" w:color="auto" w:fill="D9D9D9"/>
          </w:tcPr>
          <w:p>
            <w:pPr>
              <w:spacing w:after="0"/>
              <w:rPr>
                <w:sz w:val="11"/>
                <w:szCs w:val="11"/>
                <w:color w:val="auto"/>
              </w:rPr>
            </w:pPr>
          </w:p>
        </w:tc>
        <w:tc>
          <w:tcPr>
            <w:tcW w:w="980" w:type="dxa"/>
            <w:vAlign w:val="bottom"/>
            <w:shd w:val="clear" w:color="auto" w:fill="D9D9D9"/>
          </w:tcPr>
          <w:p>
            <w:pPr>
              <w:spacing w:after="0"/>
              <w:rPr>
                <w:sz w:val="11"/>
                <w:szCs w:val="11"/>
                <w:color w:val="auto"/>
              </w:rPr>
            </w:pPr>
          </w:p>
        </w:tc>
        <w:tc>
          <w:tcPr>
            <w:tcW w:w="1560" w:type="dxa"/>
            <w:vAlign w:val="bottom"/>
            <w:shd w:val="clear" w:color="auto" w:fill="D9D9D9"/>
          </w:tcPr>
          <w:p>
            <w:pPr>
              <w:jc w:val="right"/>
              <w:ind w:right="127"/>
              <w:spacing w:after="0"/>
              <w:rPr>
                <w:sz w:val="20"/>
                <w:szCs w:val="20"/>
                <w:color w:val="auto"/>
              </w:rPr>
            </w:pPr>
            <w:r>
              <w:rPr>
                <w:rFonts w:ascii="Arial" w:cs="Arial" w:eastAsia="Arial" w:hAnsi="Arial"/>
                <w:sz w:val="11"/>
                <w:szCs w:val="11"/>
                <w:color w:val="auto"/>
              </w:rPr>
              <w:t>3,749</w:t>
            </w:r>
          </w:p>
        </w:tc>
        <w:tc>
          <w:tcPr>
            <w:tcW w:w="1240" w:type="dxa"/>
            <w:vAlign w:val="bottom"/>
            <w:shd w:val="clear" w:color="auto" w:fill="D9D9D9"/>
          </w:tcPr>
          <w:p>
            <w:pPr>
              <w:jc w:val="right"/>
              <w:spacing w:after="0"/>
              <w:rPr>
                <w:sz w:val="20"/>
                <w:szCs w:val="20"/>
                <w:color w:val="auto"/>
              </w:rPr>
            </w:pPr>
            <w:r>
              <w:rPr>
                <w:rFonts w:ascii="Arial" w:cs="Arial" w:eastAsia="Arial" w:hAnsi="Arial"/>
                <w:sz w:val="11"/>
                <w:szCs w:val="11"/>
                <w:color w:val="auto"/>
              </w:rPr>
              <w:t>357,917</w:t>
            </w:r>
          </w:p>
        </w:tc>
      </w:tr>
      <w:tr>
        <w:trPr>
          <w:trHeight w:val="133"/>
        </w:trPr>
        <w:tc>
          <w:tcPr>
            <w:tcW w:w="2420" w:type="dxa"/>
            <w:vAlign w:val="bottom"/>
            <w:shd w:val="clear" w:color="auto" w:fill="D9D9D9"/>
          </w:tcPr>
          <w:p>
            <w:pPr>
              <w:ind w:left="120"/>
              <w:spacing w:after="0"/>
              <w:rPr>
                <w:sz w:val="20"/>
                <w:szCs w:val="20"/>
                <w:color w:val="auto"/>
              </w:rPr>
            </w:pPr>
            <w:r>
              <w:rPr>
                <w:rFonts w:ascii="Arial" w:cs="Arial" w:eastAsia="Arial" w:hAnsi="Arial"/>
                <w:sz w:val="11"/>
                <w:szCs w:val="11"/>
                <w:color w:val="auto"/>
              </w:rPr>
              <w:t>F’21-F’23 Performance Shares</w:t>
            </w:r>
          </w:p>
        </w:tc>
        <w:tc>
          <w:tcPr>
            <w:tcW w:w="800" w:type="dxa"/>
            <w:vAlign w:val="bottom"/>
            <w:shd w:val="clear" w:color="auto" w:fill="D9D9D9"/>
          </w:tcPr>
          <w:p>
            <w:pPr>
              <w:spacing w:after="0"/>
              <w:rPr>
                <w:sz w:val="11"/>
                <w:szCs w:val="11"/>
                <w:color w:val="auto"/>
              </w:rPr>
            </w:pPr>
          </w:p>
        </w:tc>
        <w:tc>
          <w:tcPr>
            <w:tcW w:w="240" w:type="dxa"/>
            <w:vAlign w:val="bottom"/>
            <w:shd w:val="clear" w:color="auto" w:fill="D9D9D9"/>
          </w:tcPr>
          <w:p>
            <w:pPr>
              <w:spacing w:after="0"/>
              <w:rPr>
                <w:sz w:val="11"/>
                <w:szCs w:val="11"/>
                <w:color w:val="auto"/>
              </w:rPr>
            </w:pPr>
          </w:p>
        </w:tc>
        <w:tc>
          <w:tcPr>
            <w:tcW w:w="1020" w:type="dxa"/>
            <w:vAlign w:val="bottom"/>
            <w:shd w:val="clear" w:color="auto" w:fill="D9D9D9"/>
          </w:tcPr>
          <w:p>
            <w:pPr>
              <w:spacing w:after="0"/>
              <w:rPr>
                <w:sz w:val="11"/>
                <w:szCs w:val="11"/>
                <w:color w:val="auto"/>
              </w:rPr>
            </w:pPr>
          </w:p>
        </w:tc>
        <w:tc>
          <w:tcPr>
            <w:tcW w:w="1020" w:type="dxa"/>
            <w:vAlign w:val="bottom"/>
            <w:shd w:val="clear" w:color="auto" w:fill="D9D9D9"/>
          </w:tcPr>
          <w:p>
            <w:pPr>
              <w:spacing w:after="0"/>
              <w:rPr>
                <w:sz w:val="11"/>
                <w:szCs w:val="11"/>
                <w:color w:val="auto"/>
              </w:rPr>
            </w:pPr>
          </w:p>
        </w:tc>
        <w:tc>
          <w:tcPr>
            <w:tcW w:w="1020" w:type="dxa"/>
            <w:vAlign w:val="bottom"/>
            <w:shd w:val="clear" w:color="auto" w:fill="D9D9D9"/>
          </w:tcPr>
          <w:p>
            <w:pPr>
              <w:spacing w:after="0"/>
              <w:rPr>
                <w:sz w:val="11"/>
                <w:szCs w:val="11"/>
                <w:color w:val="auto"/>
              </w:rPr>
            </w:pPr>
          </w:p>
        </w:tc>
        <w:tc>
          <w:tcPr>
            <w:tcW w:w="940" w:type="dxa"/>
            <w:vAlign w:val="bottom"/>
            <w:shd w:val="clear" w:color="auto" w:fill="D9D9D9"/>
          </w:tcPr>
          <w:p>
            <w:pPr>
              <w:spacing w:after="0"/>
              <w:rPr>
                <w:sz w:val="11"/>
                <w:szCs w:val="11"/>
                <w:color w:val="auto"/>
              </w:rPr>
            </w:pPr>
          </w:p>
        </w:tc>
        <w:tc>
          <w:tcPr>
            <w:tcW w:w="980" w:type="dxa"/>
            <w:vAlign w:val="bottom"/>
            <w:shd w:val="clear" w:color="auto" w:fill="D9D9D9"/>
          </w:tcPr>
          <w:p>
            <w:pPr>
              <w:spacing w:after="0"/>
              <w:rPr>
                <w:sz w:val="11"/>
                <w:szCs w:val="11"/>
                <w:color w:val="auto"/>
              </w:rPr>
            </w:pPr>
          </w:p>
        </w:tc>
        <w:tc>
          <w:tcPr>
            <w:tcW w:w="1560" w:type="dxa"/>
            <w:vAlign w:val="bottom"/>
            <w:shd w:val="clear" w:color="auto" w:fill="D9D9D9"/>
          </w:tcPr>
          <w:p>
            <w:pPr>
              <w:jc w:val="right"/>
              <w:ind w:right="127"/>
              <w:spacing w:after="0"/>
              <w:rPr>
                <w:sz w:val="20"/>
                <w:szCs w:val="20"/>
                <w:color w:val="auto"/>
              </w:rPr>
            </w:pPr>
            <w:r>
              <w:rPr>
                <w:rFonts w:ascii="Arial" w:cs="Arial" w:eastAsia="Arial" w:hAnsi="Arial"/>
                <w:sz w:val="11"/>
                <w:szCs w:val="11"/>
                <w:color w:val="auto"/>
              </w:rPr>
              <w:t>7,071</w:t>
            </w:r>
          </w:p>
        </w:tc>
        <w:tc>
          <w:tcPr>
            <w:tcW w:w="1240" w:type="dxa"/>
            <w:vAlign w:val="bottom"/>
            <w:shd w:val="clear" w:color="auto" w:fill="D9D9D9"/>
          </w:tcPr>
          <w:p>
            <w:pPr>
              <w:jc w:val="right"/>
              <w:spacing w:after="0"/>
              <w:rPr>
                <w:sz w:val="20"/>
                <w:szCs w:val="20"/>
                <w:color w:val="auto"/>
              </w:rPr>
            </w:pPr>
            <w:r>
              <w:rPr>
                <w:rFonts w:ascii="Arial" w:cs="Arial" w:eastAsia="Arial" w:hAnsi="Arial"/>
                <w:sz w:val="11"/>
                <w:szCs w:val="11"/>
                <w:color w:val="auto"/>
              </w:rPr>
              <w:t>675,068</w:t>
            </w:r>
          </w:p>
        </w:tc>
      </w:tr>
      <w:tr>
        <w:trPr>
          <w:trHeight w:val="138"/>
        </w:trPr>
        <w:tc>
          <w:tcPr>
            <w:tcW w:w="2420" w:type="dxa"/>
            <w:vAlign w:val="bottom"/>
          </w:tcPr>
          <w:p>
            <w:pPr>
              <w:spacing w:after="0"/>
              <w:rPr>
                <w:sz w:val="20"/>
                <w:szCs w:val="20"/>
                <w:color w:val="auto"/>
              </w:rPr>
            </w:pPr>
            <w:r>
              <w:rPr>
                <w:rFonts w:ascii="Arial" w:cs="Arial" w:eastAsia="Arial" w:hAnsi="Arial"/>
                <w:sz w:val="11"/>
                <w:szCs w:val="11"/>
                <w:color w:val="auto"/>
              </w:rPr>
              <w:t>Bradley A. Hamilton</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33"/>
        </w:trPr>
        <w:tc>
          <w:tcPr>
            <w:tcW w:w="2420" w:type="dxa"/>
            <w:vAlign w:val="bottom"/>
          </w:tcPr>
          <w:p>
            <w:pPr>
              <w:ind w:left="120"/>
              <w:spacing w:after="0"/>
              <w:rPr>
                <w:sz w:val="20"/>
                <w:szCs w:val="20"/>
                <w:color w:val="auto"/>
              </w:rPr>
            </w:pPr>
            <w:r>
              <w:rPr>
                <w:rFonts w:ascii="Arial" w:cs="Arial" w:eastAsia="Arial" w:hAnsi="Arial"/>
                <w:sz w:val="11"/>
                <w:szCs w:val="11"/>
                <w:color w:val="auto"/>
              </w:rPr>
              <w:t>Stock Options</w:t>
            </w:r>
          </w:p>
        </w:tc>
        <w:tc>
          <w:tcPr>
            <w:tcW w:w="1040" w:type="dxa"/>
            <w:vAlign w:val="bottom"/>
            <w:gridSpan w:val="2"/>
          </w:tcPr>
          <w:p>
            <w:pPr>
              <w:jc w:val="right"/>
              <w:ind w:right="20"/>
              <w:spacing w:after="0"/>
              <w:rPr>
                <w:sz w:val="20"/>
                <w:szCs w:val="20"/>
                <w:color w:val="auto"/>
              </w:rPr>
            </w:pPr>
            <w:r>
              <w:rPr>
                <w:rFonts w:ascii="Arial" w:cs="Arial" w:eastAsia="Arial" w:hAnsi="Arial"/>
                <w:sz w:val="11"/>
                <w:szCs w:val="11"/>
                <w:color w:val="auto"/>
              </w:rPr>
              <w:t>1,940</w:t>
            </w:r>
          </w:p>
        </w:tc>
        <w:tc>
          <w:tcPr>
            <w:tcW w:w="1020" w:type="dxa"/>
            <w:vAlign w:val="bottom"/>
          </w:tcPr>
          <w:p>
            <w:pPr>
              <w:jc w:val="right"/>
              <w:spacing w:after="0"/>
              <w:rPr>
                <w:sz w:val="20"/>
                <w:szCs w:val="20"/>
                <w:color w:val="auto"/>
              </w:rPr>
            </w:pPr>
            <w:r>
              <w:rPr>
                <w:rFonts w:ascii="Arial" w:cs="Arial" w:eastAsia="Arial" w:hAnsi="Arial"/>
                <w:sz w:val="11"/>
                <w:szCs w:val="11"/>
                <w:color w:val="auto"/>
              </w:rPr>
              <w:t>0</w:t>
            </w:r>
          </w:p>
        </w:tc>
        <w:tc>
          <w:tcPr>
            <w:tcW w:w="1020" w:type="dxa"/>
            <w:vAlign w:val="bottom"/>
          </w:tcPr>
          <w:p>
            <w:pPr>
              <w:jc w:val="right"/>
              <w:spacing w:after="0"/>
              <w:rPr>
                <w:sz w:val="20"/>
                <w:szCs w:val="20"/>
                <w:color w:val="auto"/>
              </w:rPr>
            </w:pPr>
            <w:r>
              <w:rPr>
                <w:rFonts w:ascii="Arial" w:cs="Arial" w:eastAsia="Arial" w:hAnsi="Arial"/>
                <w:sz w:val="11"/>
                <w:szCs w:val="11"/>
                <w:color w:val="auto"/>
              </w:rPr>
              <w:t>29.7500</w:t>
            </w:r>
          </w:p>
        </w:tc>
        <w:tc>
          <w:tcPr>
            <w:tcW w:w="1020" w:type="dxa"/>
            <w:vAlign w:val="bottom"/>
          </w:tcPr>
          <w:p>
            <w:pPr>
              <w:jc w:val="right"/>
              <w:spacing w:after="0"/>
              <w:rPr>
                <w:sz w:val="20"/>
                <w:szCs w:val="20"/>
                <w:color w:val="auto"/>
              </w:rPr>
            </w:pPr>
            <w:r>
              <w:rPr>
                <w:rFonts w:ascii="Arial" w:cs="Arial" w:eastAsia="Arial" w:hAnsi="Arial"/>
                <w:sz w:val="11"/>
                <w:szCs w:val="11"/>
                <w:color w:val="auto"/>
              </w:rPr>
              <w:t>12/06/2023</w:t>
            </w: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3"/>
        </w:trPr>
        <w:tc>
          <w:tcPr>
            <w:tcW w:w="2420" w:type="dxa"/>
            <w:vAlign w:val="bottom"/>
          </w:tcPr>
          <w:p>
            <w:pPr>
              <w:spacing w:after="0"/>
              <w:rPr>
                <w:sz w:val="11"/>
                <w:szCs w:val="1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1"/>
                <w:szCs w:val="11"/>
                <w:color w:val="auto"/>
              </w:rPr>
              <w:t>1,940</w:t>
            </w:r>
          </w:p>
        </w:tc>
        <w:tc>
          <w:tcPr>
            <w:tcW w:w="1020" w:type="dxa"/>
            <w:vAlign w:val="bottom"/>
          </w:tcPr>
          <w:p>
            <w:pPr>
              <w:jc w:val="right"/>
              <w:spacing w:after="0"/>
              <w:rPr>
                <w:sz w:val="20"/>
                <w:szCs w:val="20"/>
                <w:color w:val="auto"/>
              </w:rPr>
            </w:pPr>
            <w:r>
              <w:rPr>
                <w:rFonts w:ascii="Arial" w:cs="Arial" w:eastAsia="Arial" w:hAnsi="Arial"/>
                <w:sz w:val="11"/>
                <w:szCs w:val="11"/>
                <w:color w:val="auto"/>
              </w:rPr>
              <w:t>0</w:t>
            </w:r>
          </w:p>
        </w:tc>
        <w:tc>
          <w:tcPr>
            <w:tcW w:w="1020" w:type="dxa"/>
            <w:vAlign w:val="bottom"/>
          </w:tcPr>
          <w:p>
            <w:pPr>
              <w:jc w:val="right"/>
              <w:spacing w:after="0"/>
              <w:rPr>
                <w:sz w:val="20"/>
                <w:szCs w:val="20"/>
                <w:color w:val="auto"/>
              </w:rPr>
            </w:pPr>
            <w:r>
              <w:rPr>
                <w:rFonts w:ascii="Arial" w:cs="Arial" w:eastAsia="Arial" w:hAnsi="Arial"/>
                <w:sz w:val="11"/>
                <w:szCs w:val="11"/>
                <w:color w:val="auto"/>
              </w:rPr>
              <w:t>29.7500</w:t>
            </w:r>
          </w:p>
        </w:tc>
        <w:tc>
          <w:tcPr>
            <w:tcW w:w="1020" w:type="dxa"/>
            <w:vAlign w:val="bottom"/>
          </w:tcPr>
          <w:p>
            <w:pPr>
              <w:jc w:val="right"/>
              <w:spacing w:after="0"/>
              <w:rPr>
                <w:sz w:val="20"/>
                <w:szCs w:val="20"/>
                <w:color w:val="auto"/>
              </w:rPr>
            </w:pPr>
            <w:r>
              <w:rPr>
                <w:rFonts w:ascii="Arial" w:cs="Arial" w:eastAsia="Arial" w:hAnsi="Arial"/>
                <w:sz w:val="11"/>
                <w:szCs w:val="11"/>
                <w:color w:val="auto"/>
              </w:rPr>
              <w:t>12/06/2023</w:t>
            </w: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3"/>
        </w:trPr>
        <w:tc>
          <w:tcPr>
            <w:tcW w:w="2420" w:type="dxa"/>
            <w:vAlign w:val="bottom"/>
          </w:tcPr>
          <w:p>
            <w:pPr>
              <w:spacing w:after="0"/>
              <w:rPr>
                <w:sz w:val="11"/>
                <w:szCs w:val="1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1"/>
                <w:szCs w:val="11"/>
                <w:color w:val="auto"/>
              </w:rPr>
              <w:t>2,230</w:t>
            </w:r>
          </w:p>
        </w:tc>
        <w:tc>
          <w:tcPr>
            <w:tcW w:w="1020" w:type="dxa"/>
            <w:vAlign w:val="bottom"/>
          </w:tcPr>
          <w:p>
            <w:pPr>
              <w:jc w:val="right"/>
              <w:spacing w:after="0"/>
              <w:rPr>
                <w:sz w:val="20"/>
                <w:szCs w:val="20"/>
                <w:color w:val="auto"/>
              </w:rPr>
            </w:pPr>
            <w:r>
              <w:rPr>
                <w:rFonts w:ascii="Arial" w:cs="Arial" w:eastAsia="Arial" w:hAnsi="Arial"/>
                <w:sz w:val="11"/>
                <w:szCs w:val="11"/>
                <w:color w:val="auto"/>
              </w:rPr>
              <w:t>0</w:t>
            </w:r>
          </w:p>
        </w:tc>
        <w:tc>
          <w:tcPr>
            <w:tcW w:w="1020" w:type="dxa"/>
            <w:vAlign w:val="bottom"/>
          </w:tcPr>
          <w:p>
            <w:pPr>
              <w:jc w:val="right"/>
              <w:spacing w:after="0"/>
              <w:rPr>
                <w:sz w:val="20"/>
                <w:szCs w:val="20"/>
                <w:color w:val="auto"/>
              </w:rPr>
            </w:pPr>
            <w:r>
              <w:rPr>
                <w:rFonts w:ascii="Arial" w:cs="Arial" w:eastAsia="Arial" w:hAnsi="Arial"/>
                <w:sz w:val="11"/>
                <w:szCs w:val="11"/>
                <w:color w:val="auto"/>
              </w:rPr>
              <w:t>31.3750</w:t>
            </w:r>
          </w:p>
        </w:tc>
        <w:tc>
          <w:tcPr>
            <w:tcW w:w="1020" w:type="dxa"/>
            <w:vAlign w:val="bottom"/>
          </w:tcPr>
          <w:p>
            <w:pPr>
              <w:jc w:val="right"/>
              <w:spacing w:after="0"/>
              <w:rPr>
                <w:sz w:val="20"/>
                <w:szCs w:val="20"/>
                <w:color w:val="auto"/>
              </w:rPr>
            </w:pPr>
            <w:r>
              <w:rPr>
                <w:rFonts w:ascii="Arial" w:cs="Arial" w:eastAsia="Arial" w:hAnsi="Arial"/>
                <w:sz w:val="11"/>
                <w:szCs w:val="11"/>
                <w:color w:val="auto"/>
              </w:rPr>
              <w:t>12/05/2024</w:t>
            </w: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3"/>
        </w:trPr>
        <w:tc>
          <w:tcPr>
            <w:tcW w:w="2420" w:type="dxa"/>
            <w:vAlign w:val="bottom"/>
          </w:tcPr>
          <w:p>
            <w:pPr>
              <w:spacing w:after="0"/>
              <w:rPr>
                <w:sz w:val="11"/>
                <w:szCs w:val="1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1"/>
                <w:szCs w:val="11"/>
                <w:color w:val="auto"/>
              </w:rPr>
              <w:t>10,800</w:t>
            </w:r>
          </w:p>
        </w:tc>
        <w:tc>
          <w:tcPr>
            <w:tcW w:w="1020" w:type="dxa"/>
            <w:vAlign w:val="bottom"/>
          </w:tcPr>
          <w:p>
            <w:pPr>
              <w:jc w:val="right"/>
              <w:spacing w:after="0"/>
              <w:rPr>
                <w:sz w:val="20"/>
                <w:szCs w:val="20"/>
                <w:color w:val="auto"/>
              </w:rPr>
            </w:pPr>
            <w:r>
              <w:rPr>
                <w:rFonts w:ascii="Arial" w:cs="Arial" w:eastAsia="Arial" w:hAnsi="Arial"/>
                <w:sz w:val="11"/>
                <w:szCs w:val="11"/>
                <w:color w:val="auto"/>
              </w:rPr>
              <w:t>0</w:t>
            </w:r>
          </w:p>
        </w:tc>
        <w:tc>
          <w:tcPr>
            <w:tcW w:w="1020" w:type="dxa"/>
            <w:vAlign w:val="bottom"/>
          </w:tcPr>
          <w:p>
            <w:pPr>
              <w:jc w:val="right"/>
              <w:spacing w:after="0"/>
              <w:rPr>
                <w:sz w:val="20"/>
                <w:szCs w:val="20"/>
                <w:color w:val="auto"/>
              </w:rPr>
            </w:pPr>
            <w:r>
              <w:rPr>
                <w:rFonts w:ascii="Arial" w:cs="Arial" w:eastAsia="Arial" w:hAnsi="Arial"/>
                <w:sz w:val="11"/>
                <w:szCs w:val="11"/>
                <w:color w:val="auto"/>
              </w:rPr>
              <w:t>38.8200</w:t>
            </w:r>
          </w:p>
        </w:tc>
        <w:tc>
          <w:tcPr>
            <w:tcW w:w="1020" w:type="dxa"/>
            <w:vAlign w:val="bottom"/>
          </w:tcPr>
          <w:p>
            <w:pPr>
              <w:jc w:val="right"/>
              <w:spacing w:after="0"/>
              <w:rPr>
                <w:sz w:val="20"/>
                <w:szCs w:val="20"/>
                <w:color w:val="auto"/>
              </w:rPr>
            </w:pPr>
            <w:r>
              <w:rPr>
                <w:rFonts w:ascii="Arial" w:cs="Arial" w:eastAsia="Arial" w:hAnsi="Arial"/>
                <w:sz w:val="11"/>
                <w:szCs w:val="11"/>
                <w:color w:val="auto"/>
              </w:rPr>
              <w:t>12/04/2025</w:t>
            </w: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3"/>
        </w:trPr>
        <w:tc>
          <w:tcPr>
            <w:tcW w:w="2420" w:type="dxa"/>
            <w:vAlign w:val="bottom"/>
          </w:tcPr>
          <w:p>
            <w:pPr>
              <w:spacing w:after="0"/>
              <w:rPr>
                <w:sz w:val="11"/>
                <w:szCs w:val="1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1"/>
                <w:szCs w:val="11"/>
                <w:color w:val="auto"/>
              </w:rPr>
              <w:t>10,200</w:t>
            </w:r>
          </w:p>
        </w:tc>
        <w:tc>
          <w:tcPr>
            <w:tcW w:w="1020" w:type="dxa"/>
            <w:vAlign w:val="bottom"/>
          </w:tcPr>
          <w:p>
            <w:pPr>
              <w:jc w:val="right"/>
              <w:spacing w:after="0"/>
              <w:rPr>
                <w:sz w:val="20"/>
                <w:szCs w:val="20"/>
                <w:color w:val="auto"/>
              </w:rPr>
            </w:pPr>
            <w:r>
              <w:rPr>
                <w:rFonts w:ascii="Arial" w:cs="Arial" w:eastAsia="Arial" w:hAnsi="Arial"/>
                <w:sz w:val="11"/>
                <w:szCs w:val="11"/>
                <w:color w:val="auto"/>
              </w:rPr>
              <w:t>0</w:t>
            </w:r>
          </w:p>
        </w:tc>
        <w:tc>
          <w:tcPr>
            <w:tcW w:w="1020" w:type="dxa"/>
            <w:vAlign w:val="bottom"/>
          </w:tcPr>
          <w:p>
            <w:pPr>
              <w:jc w:val="right"/>
              <w:spacing w:after="0"/>
              <w:rPr>
                <w:sz w:val="20"/>
                <w:szCs w:val="20"/>
                <w:color w:val="auto"/>
              </w:rPr>
            </w:pPr>
            <w:r>
              <w:rPr>
                <w:rFonts w:ascii="Arial" w:cs="Arial" w:eastAsia="Arial" w:hAnsi="Arial"/>
                <w:sz w:val="11"/>
                <w:szCs w:val="11"/>
                <w:color w:val="auto"/>
              </w:rPr>
              <w:t>56.5400</w:t>
            </w:r>
          </w:p>
        </w:tc>
        <w:tc>
          <w:tcPr>
            <w:tcW w:w="1020" w:type="dxa"/>
            <w:vAlign w:val="bottom"/>
          </w:tcPr>
          <w:p>
            <w:pPr>
              <w:jc w:val="right"/>
              <w:spacing w:after="0"/>
              <w:rPr>
                <w:sz w:val="20"/>
                <w:szCs w:val="20"/>
                <w:color w:val="auto"/>
              </w:rPr>
            </w:pPr>
            <w:r>
              <w:rPr>
                <w:rFonts w:ascii="Arial" w:cs="Arial" w:eastAsia="Arial" w:hAnsi="Arial"/>
                <w:sz w:val="11"/>
                <w:szCs w:val="11"/>
                <w:color w:val="auto"/>
              </w:rPr>
              <w:t>12/09/2026</w:t>
            </w: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3"/>
        </w:trPr>
        <w:tc>
          <w:tcPr>
            <w:tcW w:w="2420" w:type="dxa"/>
            <w:vAlign w:val="bottom"/>
          </w:tcPr>
          <w:p>
            <w:pPr>
              <w:spacing w:after="0"/>
              <w:rPr>
                <w:sz w:val="11"/>
                <w:szCs w:val="1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1"/>
                <w:szCs w:val="11"/>
                <w:color w:val="auto"/>
              </w:rPr>
              <w:t>14,200</w:t>
            </w:r>
          </w:p>
        </w:tc>
        <w:tc>
          <w:tcPr>
            <w:tcW w:w="1020" w:type="dxa"/>
            <w:vAlign w:val="bottom"/>
          </w:tcPr>
          <w:p>
            <w:pPr>
              <w:jc w:val="right"/>
              <w:spacing w:after="0"/>
              <w:rPr>
                <w:sz w:val="20"/>
                <w:szCs w:val="20"/>
                <w:color w:val="auto"/>
              </w:rPr>
            </w:pPr>
            <w:r>
              <w:rPr>
                <w:rFonts w:ascii="Arial" w:cs="Arial" w:eastAsia="Arial" w:hAnsi="Arial"/>
                <w:sz w:val="11"/>
                <w:szCs w:val="11"/>
                <w:color w:val="auto"/>
              </w:rPr>
              <w:t>0</w:t>
            </w:r>
          </w:p>
        </w:tc>
        <w:tc>
          <w:tcPr>
            <w:tcW w:w="1020" w:type="dxa"/>
            <w:vAlign w:val="bottom"/>
          </w:tcPr>
          <w:p>
            <w:pPr>
              <w:jc w:val="right"/>
              <w:spacing w:after="0"/>
              <w:rPr>
                <w:sz w:val="20"/>
                <w:szCs w:val="20"/>
                <w:color w:val="auto"/>
              </w:rPr>
            </w:pPr>
            <w:r>
              <w:rPr>
                <w:rFonts w:ascii="Arial" w:cs="Arial" w:eastAsia="Arial" w:hAnsi="Arial"/>
                <w:sz w:val="11"/>
                <w:szCs w:val="11"/>
                <w:color w:val="auto"/>
              </w:rPr>
              <w:t>65.9300</w:t>
            </w:r>
          </w:p>
        </w:tc>
        <w:tc>
          <w:tcPr>
            <w:tcW w:w="1020" w:type="dxa"/>
            <w:vAlign w:val="bottom"/>
          </w:tcPr>
          <w:p>
            <w:pPr>
              <w:jc w:val="right"/>
              <w:spacing w:after="0"/>
              <w:rPr>
                <w:sz w:val="20"/>
                <w:szCs w:val="20"/>
                <w:color w:val="auto"/>
              </w:rPr>
            </w:pPr>
            <w:r>
              <w:rPr>
                <w:rFonts w:ascii="Arial" w:cs="Arial" w:eastAsia="Arial" w:hAnsi="Arial"/>
                <w:sz w:val="11"/>
                <w:szCs w:val="11"/>
                <w:color w:val="auto"/>
              </w:rPr>
              <w:t>12/08/2027</w:t>
            </w: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3"/>
        </w:trPr>
        <w:tc>
          <w:tcPr>
            <w:tcW w:w="2420" w:type="dxa"/>
            <w:vAlign w:val="bottom"/>
          </w:tcPr>
          <w:p>
            <w:pPr>
              <w:spacing w:after="0"/>
              <w:rPr>
                <w:sz w:val="11"/>
                <w:szCs w:val="1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1"/>
                <w:szCs w:val="11"/>
                <w:color w:val="auto"/>
              </w:rPr>
              <w:t>14,400</w:t>
            </w:r>
          </w:p>
        </w:tc>
        <w:tc>
          <w:tcPr>
            <w:tcW w:w="1020" w:type="dxa"/>
            <w:vAlign w:val="bottom"/>
          </w:tcPr>
          <w:p>
            <w:pPr>
              <w:jc w:val="right"/>
              <w:spacing w:after="0"/>
              <w:rPr>
                <w:sz w:val="20"/>
                <w:szCs w:val="20"/>
                <w:color w:val="auto"/>
              </w:rPr>
            </w:pPr>
            <w:r>
              <w:rPr>
                <w:rFonts w:ascii="Arial" w:cs="Arial" w:eastAsia="Arial" w:hAnsi="Arial"/>
                <w:sz w:val="11"/>
                <w:szCs w:val="11"/>
                <w:color w:val="auto"/>
              </w:rPr>
              <w:t>7,200</w:t>
            </w:r>
          </w:p>
        </w:tc>
        <w:tc>
          <w:tcPr>
            <w:tcW w:w="1020" w:type="dxa"/>
            <w:vAlign w:val="bottom"/>
          </w:tcPr>
          <w:p>
            <w:pPr>
              <w:jc w:val="right"/>
              <w:spacing w:after="0"/>
              <w:rPr>
                <w:sz w:val="20"/>
                <w:szCs w:val="20"/>
                <w:color w:val="auto"/>
              </w:rPr>
            </w:pPr>
            <w:r>
              <w:rPr>
                <w:rFonts w:ascii="Arial" w:cs="Arial" w:eastAsia="Arial" w:hAnsi="Arial"/>
                <w:sz w:val="11"/>
                <w:szCs w:val="11"/>
                <w:color w:val="auto"/>
              </w:rPr>
              <w:t>58.5300</w:t>
            </w:r>
          </w:p>
        </w:tc>
        <w:tc>
          <w:tcPr>
            <w:tcW w:w="1020" w:type="dxa"/>
            <w:vAlign w:val="bottom"/>
          </w:tcPr>
          <w:p>
            <w:pPr>
              <w:jc w:val="right"/>
              <w:spacing w:after="0"/>
              <w:rPr>
                <w:sz w:val="20"/>
                <w:szCs w:val="20"/>
                <w:color w:val="auto"/>
              </w:rPr>
            </w:pPr>
            <w:r>
              <w:rPr>
                <w:rFonts w:ascii="Arial" w:cs="Arial" w:eastAsia="Arial" w:hAnsi="Arial"/>
                <w:sz w:val="11"/>
                <w:szCs w:val="11"/>
                <w:color w:val="auto"/>
              </w:rPr>
              <w:t>12/07/2028</w:t>
            </w: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3"/>
        </w:trPr>
        <w:tc>
          <w:tcPr>
            <w:tcW w:w="2420" w:type="dxa"/>
            <w:vAlign w:val="bottom"/>
          </w:tcPr>
          <w:p>
            <w:pPr>
              <w:spacing w:after="0"/>
              <w:rPr>
                <w:sz w:val="11"/>
                <w:szCs w:val="1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1"/>
                <w:szCs w:val="11"/>
                <w:color w:val="auto"/>
              </w:rPr>
              <w:t>7,533</w:t>
            </w:r>
          </w:p>
        </w:tc>
        <w:tc>
          <w:tcPr>
            <w:tcW w:w="1020" w:type="dxa"/>
            <w:vAlign w:val="bottom"/>
          </w:tcPr>
          <w:p>
            <w:pPr>
              <w:jc w:val="right"/>
              <w:spacing w:after="0"/>
              <w:rPr>
                <w:sz w:val="20"/>
                <w:szCs w:val="20"/>
                <w:color w:val="auto"/>
              </w:rPr>
            </w:pPr>
            <w:r>
              <w:rPr>
                <w:rFonts w:ascii="Arial" w:cs="Arial" w:eastAsia="Arial" w:hAnsi="Arial"/>
                <w:sz w:val="11"/>
                <w:szCs w:val="11"/>
                <w:color w:val="auto"/>
              </w:rPr>
              <w:t>15,067</w:t>
            </w:r>
          </w:p>
        </w:tc>
        <w:tc>
          <w:tcPr>
            <w:tcW w:w="1020" w:type="dxa"/>
            <w:vAlign w:val="bottom"/>
          </w:tcPr>
          <w:p>
            <w:pPr>
              <w:jc w:val="right"/>
              <w:spacing w:after="0"/>
              <w:rPr>
                <w:sz w:val="20"/>
                <w:szCs w:val="20"/>
                <w:color w:val="auto"/>
              </w:rPr>
            </w:pPr>
            <w:r>
              <w:rPr>
                <w:rFonts w:ascii="Arial" w:cs="Arial" w:eastAsia="Arial" w:hAnsi="Arial"/>
                <w:sz w:val="11"/>
                <w:szCs w:val="11"/>
                <w:color w:val="auto"/>
              </w:rPr>
              <w:t>76.5300</w:t>
            </w:r>
          </w:p>
        </w:tc>
        <w:tc>
          <w:tcPr>
            <w:tcW w:w="1020" w:type="dxa"/>
            <w:vAlign w:val="bottom"/>
          </w:tcPr>
          <w:p>
            <w:pPr>
              <w:jc w:val="right"/>
              <w:spacing w:after="0"/>
              <w:rPr>
                <w:sz w:val="20"/>
                <w:szCs w:val="20"/>
                <w:color w:val="auto"/>
              </w:rPr>
            </w:pPr>
            <w:r>
              <w:rPr>
                <w:rFonts w:ascii="Arial" w:cs="Arial" w:eastAsia="Arial" w:hAnsi="Arial"/>
                <w:sz w:val="11"/>
                <w:szCs w:val="11"/>
                <w:color w:val="auto"/>
              </w:rPr>
              <w:t>12/19/2029</w:t>
            </w: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3"/>
        </w:trPr>
        <w:tc>
          <w:tcPr>
            <w:tcW w:w="2420" w:type="dxa"/>
            <w:vAlign w:val="bottom"/>
          </w:tcPr>
          <w:p>
            <w:pPr>
              <w:spacing w:after="0"/>
              <w:rPr>
                <w:sz w:val="11"/>
                <w:szCs w:val="1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1"/>
                <w:szCs w:val="11"/>
                <w:color w:val="auto"/>
              </w:rPr>
              <w:t>0</w:t>
            </w:r>
          </w:p>
        </w:tc>
        <w:tc>
          <w:tcPr>
            <w:tcW w:w="1020" w:type="dxa"/>
            <w:vAlign w:val="bottom"/>
          </w:tcPr>
          <w:p>
            <w:pPr>
              <w:jc w:val="right"/>
              <w:spacing w:after="0"/>
              <w:rPr>
                <w:sz w:val="20"/>
                <w:szCs w:val="20"/>
                <w:color w:val="auto"/>
              </w:rPr>
            </w:pPr>
            <w:r>
              <w:rPr>
                <w:rFonts w:ascii="Arial" w:cs="Arial" w:eastAsia="Arial" w:hAnsi="Arial"/>
                <w:sz w:val="11"/>
                <w:szCs w:val="11"/>
                <w:color w:val="auto"/>
              </w:rPr>
              <w:t>21,300</w:t>
            </w:r>
          </w:p>
        </w:tc>
        <w:tc>
          <w:tcPr>
            <w:tcW w:w="1020" w:type="dxa"/>
            <w:vAlign w:val="bottom"/>
          </w:tcPr>
          <w:p>
            <w:pPr>
              <w:jc w:val="right"/>
              <w:spacing w:after="0"/>
              <w:rPr>
                <w:sz w:val="20"/>
                <w:szCs w:val="20"/>
                <w:color w:val="auto"/>
              </w:rPr>
            </w:pPr>
            <w:r>
              <w:rPr>
                <w:rFonts w:ascii="Arial" w:cs="Arial" w:eastAsia="Arial" w:hAnsi="Arial"/>
                <w:sz w:val="11"/>
                <w:szCs w:val="11"/>
                <w:color w:val="auto"/>
              </w:rPr>
              <w:t>93.3300</w:t>
            </w:r>
          </w:p>
        </w:tc>
        <w:tc>
          <w:tcPr>
            <w:tcW w:w="1020" w:type="dxa"/>
            <w:vAlign w:val="bottom"/>
          </w:tcPr>
          <w:p>
            <w:pPr>
              <w:jc w:val="right"/>
              <w:spacing w:after="0"/>
              <w:rPr>
                <w:sz w:val="20"/>
                <w:szCs w:val="20"/>
                <w:color w:val="auto"/>
              </w:rPr>
            </w:pPr>
            <w:r>
              <w:rPr>
                <w:rFonts w:ascii="Arial" w:cs="Arial" w:eastAsia="Arial" w:hAnsi="Arial"/>
                <w:sz w:val="11"/>
                <w:szCs w:val="11"/>
                <w:color w:val="auto"/>
              </w:rPr>
              <w:t>12/17/2030</w:t>
            </w: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3"/>
        </w:trPr>
        <w:tc>
          <w:tcPr>
            <w:tcW w:w="2420" w:type="dxa"/>
            <w:vAlign w:val="bottom"/>
          </w:tcPr>
          <w:p>
            <w:pPr>
              <w:ind w:left="120"/>
              <w:spacing w:after="0"/>
              <w:rPr>
                <w:sz w:val="20"/>
                <w:szCs w:val="20"/>
                <w:color w:val="auto"/>
              </w:rPr>
            </w:pPr>
            <w:r>
              <w:rPr>
                <w:rFonts w:ascii="Arial" w:cs="Arial" w:eastAsia="Arial" w:hAnsi="Arial"/>
                <w:sz w:val="11"/>
                <w:szCs w:val="11"/>
                <w:color w:val="auto"/>
              </w:rPr>
              <w:t>F’20-F’22 Performance Shares</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60" w:type="dxa"/>
            <w:vAlign w:val="bottom"/>
          </w:tcPr>
          <w:p>
            <w:pPr>
              <w:jc w:val="right"/>
              <w:ind w:right="127"/>
              <w:spacing w:after="0"/>
              <w:rPr>
                <w:sz w:val="20"/>
                <w:szCs w:val="20"/>
                <w:color w:val="auto"/>
              </w:rPr>
            </w:pPr>
            <w:r>
              <w:rPr>
                <w:rFonts w:ascii="Arial" w:cs="Arial" w:eastAsia="Arial" w:hAnsi="Arial"/>
                <w:sz w:val="11"/>
                <w:szCs w:val="11"/>
                <w:color w:val="auto"/>
              </w:rPr>
              <w:t>4,115</w:t>
            </w:r>
          </w:p>
        </w:tc>
        <w:tc>
          <w:tcPr>
            <w:tcW w:w="1240" w:type="dxa"/>
            <w:vAlign w:val="bottom"/>
          </w:tcPr>
          <w:p>
            <w:pPr>
              <w:jc w:val="right"/>
              <w:spacing w:after="0"/>
              <w:rPr>
                <w:sz w:val="20"/>
                <w:szCs w:val="20"/>
                <w:color w:val="auto"/>
              </w:rPr>
            </w:pPr>
            <w:r>
              <w:rPr>
                <w:rFonts w:ascii="Arial" w:cs="Arial" w:eastAsia="Arial" w:hAnsi="Arial"/>
                <w:sz w:val="11"/>
                <w:szCs w:val="11"/>
                <w:color w:val="auto"/>
              </w:rPr>
              <w:t>392,859</w:t>
            </w:r>
          </w:p>
        </w:tc>
      </w:tr>
      <w:tr>
        <w:trPr>
          <w:trHeight w:val="133"/>
        </w:trPr>
        <w:tc>
          <w:tcPr>
            <w:tcW w:w="2420" w:type="dxa"/>
            <w:vAlign w:val="bottom"/>
          </w:tcPr>
          <w:p>
            <w:pPr>
              <w:ind w:left="120"/>
              <w:spacing w:after="0"/>
              <w:rPr>
                <w:sz w:val="20"/>
                <w:szCs w:val="20"/>
                <w:color w:val="auto"/>
              </w:rPr>
            </w:pPr>
            <w:r>
              <w:rPr>
                <w:rFonts w:ascii="Arial" w:cs="Arial" w:eastAsia="Arial" w:hAnsi="Arial"/>
                <w:sz w:val="11"/>
                <w:szCs w:val="11"/>
                <w:color w:val="auto"/>
              </w:rPr>
              <w:t>F’21-F’23 Performance Shares</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60" w:type="dxa"/>
            <w:vAlign w:val="bottom"/>
          </w:tcPr>
          <w:p>
            <w:pPr>
              <w:jc w:val="right"/>
              <w:ind w:right="127"/>
              <w:spacing w:after="0"/>
              <w:rPr>
                <w:sz w:val="20"/>
                <w:szCs w:val="20"/>
                <w:color w:val="auto"/>
              </w:rPr>
            </w:pPr>
            <w:r>
              <w:rPr>
                <w:rFonts w:ascii="Arial" w:cs="Arial" w:eastAsia="Arial" w:hAnsi="Arial"/>
                <w:sz w:val="11"/>
                <w:szCs w:val="11"/>
                <w:color w:val="auto"/>
              </w:rPr>
              <w:t>7,071</w:t>
            </w:r>
          </w:p>
        </w:tc>
        <w:tc>
          <w:tcPr>
            <w:tcW w:w="1240" w:type="dxa"/>
            <w:vAlign w:val="bottom"/>
          </w:tcPr>
          <w:p>
            <w:pPr>
              <w:jc w:val="right"/>
              <w:spacing w:after="0"/>
              <w:rPr>
                <w:sz w:val="20"/>
                <w:szCs w:val="20"/>
                <w:color w:val="auto"/>
              </w:rPr>
            </w:pPr>
            <w:r>
              <w:rPr>
                <w:rFonts w:ascii="Arial" w:cs="Arial" w:eastAsia="Arial" w:hAnsi="Arial"/>
                <w:sz w:val="11"/>
                <w:szCs w:val="11"/>
                <w:color w:val="auto"/>
              </w:rPr>
              <w:t>675,068</w:t>
            </w:r>
          </w:p>
        </w:tc>
      </w:tr>
      <w:tr>
        <w:trPr>
          <w:trHeight w:val="101"/>
        </w:trPr>
        <w:tc>
          <w:tcPr>
            <w:tcW w:w="2420" w:type="dxa"/>
            <w:vAlign w:val="bottom"/>
            <w:tcBorders>
              <w:bottom w:val="single" w:sz="8" w:color="C00000"/>
            </w:tcBorders>
          </w:tcPr>
          <w:p>
            <w:pPr>
              <w:spacing w:after="0"/>
              <w:rPr>
                <w:sz w:val="8"/>
                <w:szCs w:val="8"/>
                <w:color w:val="auto"/>
              </w:rPr>
            </w:pPr>
          </w:p>
        </w:tc>
        <w:tc>
          <w:tcPr>
            <w:tcW w:w="800" w:type="dxa"/>
            <w:vAlign w:val="bottom"/>
            <w:tcBorders>
              <w:bottom w:val="single" w:sz="8" w:color="C0000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1608455</wp:posOffset>
            </wp:positionH>
            <wp:positionV relativeFrom="paragraph">
              <wp:posOffset>-6247130</wp:posOffset>
            </wp:positionV>
            <wp:extent cx="553021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530215" cy="8255"/>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47" w:lineRule="exact"/>
        <w:rPr>
          <w:sz w:val="20"/>
          <w:szCs w:val="20"/>
          <w:color w:val="auto"/>
        </w:rPr>
      </w:pPr>
    </w:p>
    <w:p>
      <w:pPr>
        <w:ind w:left="400" w:right="60" w:hanging="394"/>
        <w:spacing w:after="0" w:line="253" w:lineRule="auto"/>
        <w:tabs>
          <w:tab w:leader="none" w:pos="4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Stock options have a ten-year term and vest ratably in three equal installments on each of the first, second and third year anniversaries of the grant date. The vesting schedule for options unexercisable as of October 31, 2021 is as follows:</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40" w:type="dxa"/>
            <w:vAlign w:val="bottom"/>
            <w:shd w:val="clear" w:color="auto" w:fill="C00000"/>
          </w:tcPr>
          <w:p>
            <w:pPr>
              <w:spacing w:after="0"/>
              <w:rPr>
                <w:sz w:val="14"/>
                <w:szCs w:val="14"/>
                <w:color w:val="auto"/>
              </w:rPr>
            </w:pPr>
          </w:p>
        </w:tc>
        <w:tc>
          <w:tcPr>
            <w:tcW w:w="1100" w:type="dxa"/>
            <w:vAlign w:val="bottom"/>
            <w:shd w:val="clear" w:color="auto" w:fill="C00000"/>
          </w:tcPr>
          <w:p>
            <w:pPr>
              <w:spacing w:after="0"/>
              <w:rPr>
                <w:sz w:val="14"/>
                <w:szCs w:val="14"/>
                <w:color w:val="auto"/>
              </w:rPr>
            </w:pPr>
          </w:p>
        </w:tc>
        <w:tc>
          <w:tcPr>
            <w:tcW w:w="980" w:type="dxa"/>
            <w:vAlign w:val="bottom"/>
            <w:shd w:val="clear" w:color="auto" w:fill="C00000"/>
          </w:tcPr>
          <w:p>
            <w:pPr>
              <w:spacing w:after="0"/>
              <w:rPr>
                <w:sz w:val="14"/>
                <w:szCs w:val="14"/>
                <w:color w:val="auto"/>
              </w:rPr>
            </w:pPr>
          </w:p>
        </w:tc>
        <w:tc>
          <w:tcPr>
            <w:tcW w:w="1000" w:type="dxa"/>
            <w:vAlign w:val="bottom"/>
            <w:shd w:val="clear" w:color="auto" w:fill="C00000"/>
          </w:tcPr>
          <w:p>
            <w:pPr>
              <w:spacing w:after="0"/>
              <w:rPr>
                <w:sz w:val="14"/>
                <w:szCs w:val="14"/>
                <w:color w:val="auto"/>
              </w:rPr>
            </w:pPr>
          </w:p>
        </w:tc>
        <w:tc>
          <w:tcPr>
            <w:tcW w:w="980" w:type="dxa"/>
            <w:vAlign w:val="bottom"/>
            <w:shd w:val="clear" w:color="auto" w:fill="C00000"/>
          </w:tcPr>
          <w:p>
            <w:pPr>
              <w:spacing w:after="0"/>
              <w:rPr>
                <w:sz w:val="14"/>
                <w:szCs w:val="14"/>
                <w:color w:val="auto"/>
              </w:rPr>
            </w:pPr>
          </w:p>
        </w:tc>
        <w:tc>
          <w:tcPr>
            <w:tcW w:w="980" w:type="dxa"/>
            <w:vAlign w:val="bottom"/>
            <w:shd w:val="clear" w:color="auto" w:fill="C00000"/>
          </w:tcPr>
          <w:p>
            <w:pPr>
              <w:spacing w:after="0"/>
              <w:rPr>
                <w:sz w:val="14"/>
                <w:szCs w:val="14"/>
                <w:color w:val="auto"/>
              </w:rPr>
            </w:pPr>
          </w:p>
        </w:tc>
        <w:tc>
          <w:tcPr>
            <w:tcW w:w="960" w:type="dxa"/>
            <w:vAlign w:val="bottom"/>
            <w:shd w:val="clear" w:color="auto" w:fill="C00000"/>
          </w:tcPr>
          <w:p>
            <w:pPr>
              <w:spacing w:after="0"/>
              <w:rPr>
                <w:sz w:val="14"/>
                <w:szCs w:val="14"/>
                <w:color w:val="auto"/>
              </w:rPr>
            </w:pPr>
          </w:p>
        </w:tc>
        <w:tc>
          <w:tcPr>
            <w:tcW w:w="960" w:type="dxa"/>
            <w:vAlign w:val="bottom"/>
            <w:shd w:val="clear" w:color="auto" w:fill="C00000"/>
          </w:tcPr>
          <w:p>
            <w:pPr>
              <w:spacing w:after="0"/>
              <w:rPr>
                <w:sz w:val="14"/>
                <w:szCs w:val="14"/>
                <w:color w:val="auto"/>
              </w:rPr>
            </w:pPr>
          </w:p>
        </w:tc>
        <w:tc>
          <w:tcPr>
            <w:tcW w:w="960" w:type="dxa"/>
            <w:vAlign w:val="bottom"/>
            <w:shd w:val="clear" w:color="auto" w:fill="C00000"/>
          </w:tcPr>
          <w:p>
            <w:pPr>
              <w:spacing w:after="0"/>
              <w:rPr>
                <w:sz w:val="14"/>
                <w:szCs w:val="14"/>
                <w:color w:val="auto"/>
              </w:rPr>
            </w:pPr>
          </w:p>
        </w:tc>
        <w:tc>
          <w:tcPr>
            <w:tcW w:w="920" w:type="dxa"/>
            <w:vAlign w:val="bottom"/>
            <w:shd w:val="clear" w:color="auto" w:fill="C00000"/>
          </w:tcPr>
          <w:p>
            <w:pPr>
              <w:spacing w:after="0"/>
              <w:rPr>
                <w:sz w:val="14"/>
                <w:szCs w:val="14"/>
                <w:color w:val="auto"/>
              </w:rPr>
            </w:pPr>
          </w:p>
        </w:tc>
        <w:tc>
          <w:tcPr>
            <w:tcW w:w="90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Option</w:t>
            </w:r>
          </w:p>
        </w:tc>
      </w:tr>
      <w:tr>
        <w:trPr>
          <w:trHeight w:val="160"/>
        </w:trPr>
        <w:tc>
          <w:tcPr>
            <w:tcW w:w="1040" w:type="dxa"/>
            <w:vAlign w:val="bottom"/>
            <w:shd w:val="clear" w:color="auto" w:fill="C00000"/>
          </w:tcPr>
          <w:p>
            <w:pPr>
              <w:spacing w:after="0"/>
              <w:rPr>
                <w:sz w:val="13"/>
                <w:szCs w:val="13"/>
                <w:color w:val="auto"/>
              </w:rPr>
            </w:pPr>
          </w:p>
        </w:tc>
        <w:tc>
          <w:tcPr>
            <w:tcW w:w="1100" w:type="dxa"/>
            <w:vAlign w:val="bottom"/>
            <w:shd w:val="clear" w:color="auto" w:fill="C00000"/>
          </w:tcPr>
          <w:p>
            <w:pPr>
              <w:spacing w:after="0"/>
              <w:rPr>
                <w:sz w:val="13"/>
                <w:szCs w:val="13"/>
                <w:color w:val="auto"/>
              </w:rPr>
            </w:pPr>
          </w:p>
        </w:tc>
        <w:tc>
          <w:tcPr>
            <w:tcW w:w="980" w:type="dxa"/>
            <w:vAlign w:val="bottom"/>
            <w:shd w:val="clear" w:color="auto" w:fill="C00000"/>
          </w:tcPr>
          <w:p>
            <w:pPr>
              <w:spacing w:after="0"/>
              <w:rPr>
                <w:sz w:val="13"/>
                <w:szCs w:val="13"/>
                <w:color w:val="auto"/>
              </w:rPr>
            </w:pPr>
          </w:p>
        </w:tc>
        <w:tc>
          <w:tcPr>
            <w:tcW w:w="1000" w:type="dxa"/>
            <w:vAlign w:val="bottom"/>
            <w:shd w:val="clear" w:color="auto" w:fill="C00000"/>
          </w:tcPr>
          <w:p>
            <w:pPr>
              <w:spacing w:after="0"/>
              <w:rPr>
                <w:sz w:val="13"/>
                <w:szCs w:val="13"/>
                <w:color w:val="auto"/>
              </w:rPr>
            </w:pPr>
          </w:p>
        </w:tc>
        <w:tc>
          <w:tcPr>
            <w:tcW w:w="980" w:type="dxa"/>
            <w:vAlign w:val="bottom"/>
            <w:shd w:val="clear" w:color="auto" w:fill="C00000"/>
          </w:tcPr>
          <w:p>
            <w:pPr>
              <w:spacing w:after="0"/>
              <w:rPr>
                <w:sz w:val="13"/>
                <w:szCs w:val="13"/>
                <w:color w:val="auto"/>
              </w:rPr>
            </w:pPr>
          </w:p>
        </w:tc>
        <w:tc>
          <w:tcPr>
            <w:tcW w:w="980" w:type="dxa"/>
            <w:vAlign w:val="bottom"/>
            <w:shd w:val="clear" w:color="auto" w:fill="C00000"/>
          </w:tcPr>
          <w:p>
            <w:pPr>
              <w:spacing w:after="0"/>
              <w:rPr>
                <w:sz w:val="13"/>
                <w:szCs w:val="13"/>
                <w:color w:val="auto"/>
              </w:rPr>
            </w:pPr>
          </w:p>
        </w:tc>
        <w:tc>
          <w:tcPr>
            <w:tcW w:w="960" w:type="dxa"/>
            <w:vAlign w:val="bottom"/>
            <w:shd w:val="clear" w:color="auto" w:fill="C00000"/>
          </w:tcPr>
          <w:p>
            <w:pPr>
              <w:spacing w:after="0"/>
              <w:rPr>
                <w:sz w:val="13"/>
                <w:szCs w:val="13"/>
                <w:color w:val="auto"/>
              </w:rPr>
            </w:pPr>
          </w:p>
        </w:tc>
        <w:tc>
          <w:tcPr>
            <w:tcW w:w="960" w:type="dxa"/>
            <w:vAlign w:val="bottom"/>
            <w:shd w:val="clear" w:color="auto" w:fill="C00000"/>
          </w:tcPr>
          <w:p>
            <w:pPr>
              <w:spacing w:after="0"/>
              <w:rPr>
                <w:sz w:val="13"/>
                <w:szCs w:val="13"/>
                <w:color w:val="auto"/>
              </w:rPr>
            </w:pPr>
          </w:p>
        </w:tc>
        <w:tc>
          <w:tcPr>
            <w:tcW w:w="960" w:type="dxa"/>
            <w:vAlign w:val="bottom"/>
            <w:shd w:val="clear" w:color="auto" w:fill="C00000"/>
          </w:tcPr>
          <w:p>
            <w:pPr>
              <w:spacing w:after="0"/>
              <w:rPr>
                <w:sz w:val="13"/>
                <w:szCs w:val="13"/>
                <w:color w:val="auto"/>
              </w:rPr>
            </w:pPr>
          </w:p>
        </w:tc>
        <w:tc>
          <w:tcPr>
            <w:tcW w:w="920" w:type="dxa"/>
            <w:vAlign w:val="bottom"/>
            <w:shd w:val="clear" w:color="auto" w:fill="C00000"/>
          </w:tcPr>
          <w:p>
            <w:pPr>
              <w:spacing w:after="0"/>
              <w:rPr>
                <w:sz w:val="13"/>
                <w:szCs w:val="13"/>
                <w:color w:val="auto"/>
              </w:rPr>
            </w:pPr>
          </w:p>
        </w:tc>
        <w:tc>
          <w:tcPr>
            <w:tcW w:w="900" w:type="dxa"/>
            <w:vAlign w:val="bottom"/>
            <w:shd w:val="clear" w:color="auto" w:fill="C00000"/>
          </w:tcPr>
          <w:p>
            <w:pPr>
              <w:jc w:val="center"/>
              <w:spacing w:after="0" w:line="159" w:lineRule="exact"/>
              <w:rPr>
                <w:sz w:val="20"/>
                <w:szCs w:val="20"/>
                <w:color w:val="auto"/>
              </w:rPr>
            </w:pPr>
            <w:r>
              <w:rPr>
                <w:rFonts w:ascii="Arial" w:cs="Arial" w:eastAsia="Arial" w:hAnsi="Arial"/>
                <w:sz w:val="14"/>
                <w:szCs w:val="14"/>
                <w:b w:val="1"/>
                <w:bCs w:val="1"/>
                <w:color w:val="FFFFFF"/>
              </w:rPr>
              <w:t>Expiration</w:t>
            </w:r>
          </w:p>
        </w:tc>
      </w:tr>
      <w:tr>
        <w:trPr>
          <w:trHeight w:val="173"/>
        </w:trPr>
        <w:tc>
          <w:tcPr>
            <w:tcW w:w="104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Name</w:t>
            </w:r>
          </w:p>
        </w:tc>
        <w:tc>
          <w:tcPr>
            <w:tcW w:w="1100" w:type="dxa"/>
            <w:vAlign w:val="bottom"/>
            <w:shd w:val="clear" w:color="auto" w:fill="C00000"/>
          </w:tcPr>
          <w:p>
            <w:pPr>
              <w:jc w:val="right"/>
              <w:ind w:right="129"/>
              <w:spacing w:after="0"/>
              <w:rPr>
                <w:sz w:val="20"/>
                <w:szCs w:val="20"/>
                <w:color w:val="auto"/>
              </w:rPr>
            </w:pPr>
            <w:r>
              <w:rPr>
                <w:rFonts w:ascii="Arial" w:cs="Arial" w:eastAsia="Arial" w:hAnsi="Arial"/>
                <w:sz w:val="14"/>
                <w:szCs w:val="14"/>
                <w:b w:val="1"/>
                <w:bCs w:val="1"/>
                <w:color w:val="FFFFFF"/>
              </w:rPr>
              <w:t>Grant Date</w:t>
            </w:r>
          </w:p>
        </w:tc>
        <w:tc>
          <w:tcPr>
            <w:tcW w:w="980" w:type="dxa"/>
            <w:vAlign w:val="bottom"/>
            <w:shd w:val="clear" w:color="auto" w:fill="C00000"/>
          </w:tcPr>
          <w:p>
            <w:pPr>
              <w:jc w:val="right"/>
              <w:ind w:right="209"/>
              <w:spacing w:after="0"/>
              <w:rPr>
                <w:sz w:val="20"/>
                <w:szCs w:val="20"/>
                <w:color w:val="auto"/>
              </w:rPr>
            </w:pPr>
            <w:r>
              <w:rPr>
                <w:rFonts w:ascii="Arial" w:cs="Arial" w:eastAsia="Arial" w:hAnsi="Arial"/>
                <w:sz w:val="14"/>
                <w:szCs w:val="14"/>
                <w:b w:val="1"/>
                <w:bCs w:val="1"/>
                <w:color w:val="FFFFFF"/>
              </w:rPr>
              <w:t>12/07/21</w:t>
            </w:r>
          </w:p>
        </w:tc>
        <w:tc>
          <w:tcPr>
            <w:tcW w:w="1000" w:type="dxa"/>
            <w:vAlign w:val="bottom"/>
            <w:shd w:val="clear" w:color="auto" w:fill="C00000"/>
          </w:tcPr>
          <w:p>
            <w:pPr>
              <w:jc w:val="right"/>
              <w:ind w:right="229"/>
              <w:spacing w:after="0"/>
              <w:rPr>
                <w:sz w:val="20"/>
                <w:szCs w:val="20"/>
                <w:color w:val="auto"/>
              </w:rPr>
            </w:pPr>
            <w:r>
              <w:rPr>
                <w:rFonts w:ascii="Arial" w:cs="Arial" w:eastAsia="Arial" w:hAnsi="Arial"/>
                <w:sz w:val="14"/>
                <w:szCs w:val="14"/>
                <w:b w:val="1"/>
                <w:bCs w:val="1"/>
                <w:color w:val="FFFFFF"/>
              </w:rPr>
              <w:t>12/17/21</w:t>
            </w:r>
          </w:p>
        </w:tc>
        <w:tc>
          <w:tcPr>
            <w:tcW w:w="980" w:type="dxa"/>
            <w:vAlign w:val="bottom"/>
            <w:shd w:val="clear" w:color="auto" w:fill="C00000"/>
          </w:tcPr>
          <w:p>
            <w:pPr>
              <w:jc w:val="right"/>
              <w:ind w:right="229"/>
              <w:spacing w:after="0"/>
              <w:rPr>
                <w:sz w:val="20"/>
                <w:szCs w:val="20"/>
                <w:color w:val="auto"/>
              </w:rPr>
            </w:pPr>
            <w:r>
              <w:rPr>
                <w:rFonts w:ascii="Arial" w:cs="Arial" w:eastAsia="Arial" w:hAnsi="Arial"/>
                <w:sz w:val="14"/>
                <w:szCs w:val="14"/>
                <w:b w:val="1"/>
                <w:bCs w:val="1"/>
                <w:color w:val="FFFFFF"/>
              </w:rPr>
              <w:t>12/19/21</w:t>
            </w:r>
          </w:p>
        </w:tc>
        <w:tc>
          <w:tcPr>
            <w:tcW w:w="980" w:type="dxa"/>
            <w:vAlign w:val="bottom"/>
            <w:shd w:val="clear" w:color="auto" w:fill="C00000"/>
          </w:tcPr>
          <w:p>
            <w:pPr>
              <w:jc w:val="right"/>
              <w:ind w:right="229"/>
              <w:spacing w:after="0"/>
              <w:rPr>
                <w:sz w:val="20"/>
                <w:szCs w:val="20"/>
                <w:color w:val="auto"/>
              </w:rPr>
            </w:pPr>
            <w:r>
              <w:rPr>
                <w:rFonts w:ascii="Arial" w:cs="Arial" w:eastAsia="Arial" w:hAnsi="Arial"/>
                <w:sz w:val="14"/>
                <w:szCs w:val="14"/>
                <w:b w:val="1"/>
                <w:bCs w:val="1"/>
                <w:color w:val="FFFFFF"/>
              </w:rPr>
              <w:t>05/19/22</w:t>
            </w:r>
          </w:p>
        </w:tc>
        <w:tc>
          <w:tcPr>
            <w:tcW w:w="960" w:type="dxa"/>
            <w:vAlign w:val="bottom"/>
            <w:shd w:val="clear" w:color="auto" w:fill="C00000"/>
          </w:tcPr>
          <w:p>
            <w:pPr>
              <w:jc w:val="right"/>
              <w:ind w:right="209"/>
              <w:spacing w:after="0"/>
              <w:rPr>
                <w:sz w:val="20"/>
                <w:szCs w:val="20"/>
                <w:color w:val="auto"/>
              </w:rPr>
            </w:pPr>
            <w:r>
              <w:rPr>
                <w:rFonts w:ascii="Arial" w:cs="Arial" w:eastAsia="Arial" w:hAnsi="Arial"/>
                <w:sz w:val="14"/>
                <w:szCs w:val="14"/>
                <w:b w:val="1"/>
                <w:bCs w:val="1"/>
                <w:color w:val="FFFFFF"/>
              </w:rPr>
              <w:t>12/17/22</w:t>
            </w:r>
          </w:p>
        </w:tc>
        <w:tc>
          <w:tcPr>
            <w:tcW w:w="960" w:type="dxa"/>
            <w:vAlign w:val="bottom"/>
            <w:shd w:val="clear" w:color="auto" w:fill="C00000"/>
          </w:tcPr>
          <w:p>
            <w:pPr>
              <w:jc w:val="right"/>
              <w:ind w:right="209"/>
              <w:spacing w:after="0"/>
              <w:rPr>
                <w:sz w:val="20"/>
                <w:szCs w:val="20"/>
                <w:color w:val="auto"/>
              </w:rPr>
            </w:pPr>
            <w:r>
              <w:rPr>
                <w:rFonts w:ascii="Arial" w:cs="Arial" w:eastAsia="Arial" w:hAnsi="Arial"/>
                <w:sz w:val="14"/>
                <w:szCs w:val="14"/>
                <w:b w:val="1"/>
                <w:bCs w:val="1"/>
                <w:color w:val="FFFFFF"/>
              </w:rPr>
              <w:t>12/19/22</w:t>
            </w:r>
          </w:p>
        </w:tc>
        <w:tc>
          <w:tcPr>
            <w:tcW w:w="960" w:type="dxa"/>
            <w:vAlign w:val="bottom"/>
            <w:shd w:val="clear" w:color="auto" w:fill="C00000"/>
          </w:tcPr>
          <w:p>
            <w:pPr>
              <w:jc w:val="right"/>
              <w:ind w:right="209"/>
              <w:spacing w:after="0"/>
              <w:rPr>
                <w:sz w:val="20"/>
                <w:szCs w:val="20"/>
                <w:color w:val="auto"/>
              </w:rPr>
            </w:pPr>
            <w:r>
              <w:rPr>
                <w:rFonts w:ascii="Arial" w:cs="Arial" w:eastAsia="Arial" w:hAnsi="Arial"/>
                <w:sz w:val="14"/>
                <w:szCs w:val="14"/>
                <w:b w:val="1"/>
                <w:bCs w:val="1"/>
                <w:color w:val="FFFFFF"/>
              </w:rPr>
              <w:t>05/19/23</w:t>
            </w:r>
          </w:p>
        </w:tc>
        <w:tc>
          <w:tcPr>
            <w:tcW w:w="920" w:type="dxa"/>
            <w:vAlign w:val="bottom"/>
            <w:shd w:val="clear" w:color="auto" w:fill="C00000"/>
          </w:tcPr>
          <w:p>
            <w:pPr>
              <w:jc w:val="right"/>
              <w:ind w:right="169"/>
              <w:spacing w:after="0"/>
              <w:rPr>
                <w:sz w:val="20"/>
                <w:szCs w:val="20"/>
                <w:color w:val="auto"/>
              </w:rPr>
            </w:pPr>
            <w:r>
              <w:rPr>
                <w:rFonts w:ascii="Arial" w:cs="Arial" w:eastAsia="Arial" w:hAnsi="Arial"/>
                <w:sz w:val="14"/>
                <w:szCs w:val="14"/>
                <w:b w:val="1"/>
                <w:bCs w:val="1"/>
                <w:color w:val="FFFFFF"/>
              </w:rPr>
              <w:t>12/17/23</w:t>
            </w:r>
          </w:p>
        </w:tc>
        <w:tc>
          <w:tcPr>
            <w:tcW w:w="90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w w:val="98"/>
              </w:rPr>
              <w:t>Date</w:t>
            </w:r>
          </w:p>
        </w:tc>
      </w:tr>
      <w:tr>
        <w:trPr>
          <w:trHeight w:val="202"/>
        </w:trPr>
        <w:tc>
          <w:tcPr>
            <w:tcW w:w="1040" w:type="dxa"/>
            <w:vAlign w:val="bottom"/>
          </w:tcPr>
          <w:p>
            <w:pPr>
              <w:spacing w:after="0"/>
              <w:rPr>
                <w:sz w:val="20"/>
                <w:szCs w:val="20"/>
                <w:color w:val="auto"/>
              </w:rPr>
            </w:pPr>
            <w:r>
              <w:rPr>
                <w:rFonts w:ascii="Arial" w:cs="Arial" w:eastAsia="Arial" w:hAnsi="Arial"/>
                <w:sz w:val="14"/>
                <w:szCs w:val="14"/>
                <w:color w:val="auto"/>
              </w:rPr>
              <w:t>Mr. Olson</w:t>
            </w: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12/07/18</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45,700</w:t>
            </w: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12/07/28</w:t>
            </w:r>
          </w:p>
        </w:tc>
      </w:tr>
      <w:tr>
        <w:trPr>
          <w:trHeight w:val="213"/>
        </w:trPr>
        <w:tc>
          <w:tcPr>
            <w:tcW w:w="1040" w:type="dxa"/>
            <w:vAlign w:val="bottom"/>
          </w:tcPr>
          <w:p>
            <w:pPr>
              <w:spacing w:after="0"/>
              <w:rPr>
                <w:sz w:val="18"/>
                <w:szCs w:val="18"/>
                <w:color w:val="auto"/>
              </w:rPr>
            </w:pP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12/19/19</w:t>
            </w: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50,967</w:t>
            </w: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50,967</w:t>
            </w: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12/19/29</w:t>
            </w:r>
          </w:p>
        </w:tc>
      </w:tr>
      <w:tr>
        <w:trPr>
          <w:trHeight w:val="218"/>
        </w:trPr>
        <w:tc>
          <w:tcPr>
            <w:tcW w:w="1040" w:type="dxa"/>
            <w:vAlign w:val="bottom"/>
          </w:tcPr>
          <w:p>
            <w:pPr>
              <w:spacing w:after="0"/>
              <w:rPr>
                <w:sz w:val="18"/>
                <w:szCs w:val="18"/>
                <w:color w:val="auto"/>
              </w:rPr>
            </w:pP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12/17/20</w:t>
            </w:r>
          </w:p>
        </w:tc>
        <w:tc>
          <w:tcPr>
            <w:tcW w:w="980" w:type="dxa"/>
            <w:vAlign w:val="bottom"/>
          </w:tcPr>
          <w:p>
            <w:pPr>
              <w:spacing w:after="0"/>
              <w:rPr>
                <w:sz w:val="18"/>
                <w:szCs w:val="18"/>
                <w:color w:val="auto"/>
              </w:rPr>
            </w:pP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44,766</w:t>
            </w: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44,767</w:t>
            </w: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44,767</w:t>
            </w:r>
          </w:p>
        </w:tc>
        <w:tc>
          <w:tcPr>
            <w:tcW w:w="900" w:type="dxa"/>
            <w:vAlign w:val="bottom"/>
          </w:tcPr>
          <w:p>
            <w:pPr>
              <w:jc w:val="right"/>
              <w:spacing w:after="0"/>
              <w:rPr>
                <w:sz w:val="20"/>
                <w:szCs w:val="20"/>
                <w:color w:val="auto"/>
              </w:rPr>
            </w:pPr>
            <w:r>
              <w:rPr>
                <w:rFonts w:ascii="Arial" w:cs="Arial" w:eastAsia="Arial" w:hAnsi="Arial"/>
                <w:sz w:val="14"/>
                <w:szCs w:val="14"/>
                <w:color w:val="auto"/>
              </w:rPr>
              <w:t>12/17/30</w:t>
            </w:r>
          </w:p>
        </w:tc>
      </w:tr>
      <w:tr>
        <w:trPr>
          <w:trHeight w:val="207"/>
        </w:trPr>
        <w:tc>
          <w:tcPr>
            <w:tcW w:w="1040" w:type="dxa"/>
            <w:vAlign w:val="bottom"/>
            <w:shd w:val="clear" w:color="auto" w:fill="D9D9D9"/>
          </w:tcPr>
          <w:p>
            <w:pPr>
              <w:spacing w:after="0"/>
              <w:rPr>
                <w:sz w:val="20"/>
                <w:szCs w:val="20"/>
                <w:color w:val="auto"/>
              </w:rPr>
            </w:pPr>
            <w:r>
              <w:rPr>
                <w:rFonts w:ascii="Arial" w:cs="Arial" w:eastAsia="Arial" w:hAnsi="Arial"/>
                <w:sz w:val="14"/>
                <w:szCs w:val="14"/>
                <w:color w:val="auto"/>
              </w:rPr>
              <w:t>Ms. Peterson</w:t>
            </w:r>
          </w:p>
        </w:tc>
        <w:tc>
          <w:tcPr>
            <w:tcW w:w="1100" w:type="dxa"/>
            <w:vAlign w:val="bottom"/>
            <w:shd w:val="clear" w:color="auto" w:fill="D9D9D9"/>
          </w:tcPr>
          <w:p>
            <w:pPr>
              <w:jc w:val="right"/>
              <w:ind w:right="69"/>
              <w:spacing w:after="0"/>
              <w:rPr>
                <w:sz w:val="20"/>
                <w:szCs w:val="20"/>
                <w:color w:val="auto"/>
              </w:rPr>
            </w:pPr>
            <w:r>
              <w:rPr>
                <w:rFonts w:ascii="Arial" w:cs="Arial" w:eastAsia="Arial" w:hAnsi="Arial"/>
                <w:sz w:val="14"/>
                <w:szCs w:val="14"/>
                <w:color w:val="auto"/>
              </w:rPr>
              <w:t>12/07/18</w:t>
            </w:r>
          </w:p>
        </w:tc>
        <w:tc>
          <w:tcPr>
            <w:tcW w:w="980" w:type="dxa"/>
            <w:vAlign w:val="bottom"/>
            <w:shd w:val="clear" w:color="auto" w:fill="D9D9D9"/>
          </w:tcPr>
          <w:p>
            <w:pPr>
              <w:jc w:val="right"/>
              <w:ind w:right="49"/>
              <w:spacing w:after="0"/>
              <w:rPr>
                <w:sz w:val="20"/>
                <w:szCs w:val="20"/>
                <w:color w:val="auto"/>
              </w:rPr>
            </w:pPr>
            <w:r>
              <w:rPr>
                <w:rFonts w:ascii="Arial" w:cs="Arial" w:eastAsia="Arial" w:hAnsi="Arial"/>
                <w:sz w:val="14"/>
                <w:szCs w:val="14"/>
                <w:color w:val="auto"/>
              </w:rPr>
              <w:t>11,134</w:t>
            </w:r>
          </w:p>
        </w:tc>
        <w:tc>
          <w:tcPr>
            <w:tcW w:w="1000" w:type="dxa"/>
            <w:vAlign w:val="bottom"/>
            <w:shd w:val="clear" w:color="auto" w:fill="D9D9D9"/>
          </w:tcPr>
          <w:p>
            <w:pPr>
              <w:spacing w:after="0"/>
              <w:rPr>
                <w:sz w:val="18"/>
                <w:szCs w:val="18"/>
                <w:color w:val="auto"/>
              </w:rPr>
            </w:pPr>
          </w:p>
        </w:tc>
        <w:tc>
          <w:tcPr>
            <w:tcW w:w="980" w:type="dxa"/>
            <w:vAlign w:val="bottom"/>
            <w:shd w:val="clear" w:color="auto" w:fill="D9D9D9"/>
          </w:tcPr>
          <w:p>
            <w:pPr>
              <w:spacing w:after="0"/>
              <w:rPr>
                <w:sz w:val="18"/>
                <w:szCs w:val="18"/>
                <w:color w:val="auto"/>
              </w:rPr>
            </w:pPr>
          </w:p>
        </w:tc>
        <w:tc>
          <w:tcPr>
            <w:tcW w:w="980" w:type="dxa"/>
            <w:vAlign w:val="bottom"/>
            <w:shd w:val="clear" w:color="auto" w:fill="D9D9D9"/>
          </w:tcPr>
          <w:p>
            <w:pPr>
              <w:spacing w:after="0"/>
              <w:rPr>
                <w:sz w:val="18"/>
                <w:szCs w:val="18"/>
                <w:color w:val="auto"/>
              </w:rPr>
            </w:pPr>
          </w:p>
        </w:tc>
        <w:tc>
          <w:tcPr>
            <w:tcW w:w="960" w:type="dxa"/>
            <w:vAlign w:val="bottom"/>
            <w:shd w:val="clear" w:color="auto" w:fill="D9D9D9"/>
          </w:tcPr>
          <w:p>
            <w:pPr>
              <w:spacing w:after="0"/>
              <w:rPr>
                <w:sz w:val="18"/>
                <w:szCs w:val="18"/>
                <w:color w:val="auto"/>
              </w:rPr>
            </w:pPr>
          </w:p>
        </w:tc>
        <w:tc>
          <w:tcPr>
            <w:tcW w:w="960" w:type="dxa"/>
            <w:vAlign w:val="bottom"/>
            <w:shd w:val="clear" w:color="auto" w:fill="D9D9D9"/>
          </w:tcPr>
          <w:p>
            <w:pPr>
              <w:spacing w:after="0"/>
              <w:rPr>
                <w:sz w:val="18"/>
                <w:szCs w:val="18"/>
                <w:color w:val="auto"/>
              </w:rPr>
            </w:pPr>
          </w:p>
        </w:tc>
        <w:tc>
          <w:tcPr>
            <w:tcW w:w="960" w:type="dxa"/>
            <w:vAlign w:val="bottom"/>
            <w:shd w:val="clear" w:color="auto" w:fill="D9D9D9"/>
          </w:tcPr>
          <w:p>
            <w:pPr>
              <w:spacing w:after="0"/>
              <w:rPr>
                <w:sz w:val="18"/>
                <w:szCs w:val="18"/>
                <w:color w:val="auto"/>
              </w:rPr>
            </w:pPr>
          </w:p>
        </w:tc>
        <w:tc>
          <w:tcPr>
            <w:tcW w:w="920" w:type="dxa"/>
            <w:vAlign w:val="bottom"/>
            <w:shd w:val="clear" w:color="auto" w:fill="D9D9D9"/>
          </w:tcPr>
          <w:p>
            <w:pPr>
              <w:spacing w:after="0"/>
              <w:rPr>
                <w:sz w:val="18"/>
                <w:szCs w:val="18"/>
                <w:color w:val="auto"/>
              </w:rPr>
            </w:pPr>
          </w:p>
        </w:tc>
        <w:tc>
          <w:tcPr>
            <w:tcW w:w="9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12/07/28</w:t>
            </w:r>
          </w:p>
        </w:tc>
      </w:tr>
      <w:tr>
        <w:trPr>
          <w:trHeight w:val="213"/>
        </w:trPr>
        <w:tc>
          <w:tcPr>
            <w:tcW w:w="1040" w:type="dxa"/>
            <w:vAlign w:val="bottom"/>
            <w:shd w:val="clear" w:color="auto" w:fill="D9D9D9"/>
          </w:tcPr>
          <w:p>
            <w:pPr>
              <w:spacing w:after="0"/>
              <w:rPr>
                <w:sz w:val="18"/>
                <w:szCs w:val="18"/>
                <w:color w:val="auto"/>
              </w:rPr>
            </w:pPr>
          </w:p>
        </w:tc>
        <w:tc>
          <w:tcPr>
            <w:tcW w:w="1100" w:type="dxa"/>
            <w:vAlign w:val="bottom"/>
            <w:shd w:val="clear" w:color="auto" w:fill="D9D9D9"/>
          </w:tcPr>
          <w:p>
            <w:pPr>
              <w:jc w:val="right"/>
              <w:ind w:right="69"/>
              <w:spacing w:after="0"/>
              <w:rPr>
                <w:sz w:val="20"/>
                <w:szCs w:val="20"/>
                <w:color w:val="auto"/>
              </w:rPr>
            </w:pPr>
            <w:r>
              <w:rPr>
                <w:rFonts w:ascii="Arial" w:cs="Arial" w:eastAsia="Arial" w:hAnsi="Arial"/>
                <w:sz w:val="14"/>
                <w:szCs w:val="14"/>
                <w:color w:val="auto"/>
              </w:rPr>
              <w:t>12/19/19</w:t>
            </w:r>
          </w:p>
        </w:tc>
        <w:tc>
          <w:tcPr>
            <w:tcW w:w="980" w:type="dxa"/>
            <w:vAlign w:val="bottom"/>
            <w:shd w:val="clear" w:color="auto" w:fill="D9D9D9"/>
          </w:tcPr>
          <w:p>
            <w:pPr>
              <w:spacing w:after="0"/>
              <w:rPr>
                <w:sz w:val="18"/>
                <w:szCs w:val="18"/>
                <w:color w:val="auto"/>
              </w:rPr>
            </w:pPr>
          </w:p>
        </w:tc>
        <w:tc>
          <w:tcPr>
            <w:tcW w:w="1000" w:type="dxa"/>
            <w:vAlign w:val="bottom"/>
            <w:shd w:val="clear" w:color="auto" w:fill="D9D9D9"/>
          </w:tcPr>
          <w:p>
            <w:pPr>
              <w:spacing w:after="0"/>
              <w:rPr>
                <w:sz w:val="18"/>
                <w:szCs w:val="18"/>
                <w:color w:val="auto"/>
              </w:rPr>
            </w:pPr>
          </w:p>
        </w:tc>
        <w:tc>
          <w:tcPr>
            <w:tcW w:w="980" w:type="dxa"/>
            <w:vAlign w:val="bottom"/>
            <w:shd w:val="clear" w:color="auto" w:fill="D9D9D9"/>
          </w:tcPr>
          <w:p>
            <w:pPr>
              <w:jc w:val="right"/>
              <w:ind w:right="69"/>
              <w:spacing w:after="0"/>
              <w:rPr>
                <w:sz w:val="20"/>
                <w:szCs w:val="20"/>
                <w:color w:val="auto"/>
              </w:rPr>
            </w:pPr>
            <w:r>
              <w:rPr>
                <w:rFonts w:ascii="Arial" w:cs="Arial" w:eastAsia="Arial" w:hAnsi="Arial"/>
                <w:sz w:val="14"/>
                <w:szCs w:val="14"/>
                <w:color w:val="auto"/>
              </w:rPr>
              <w:t>11,300</w:t>
            </w:r>
          </w:p>
        </w:tc>
        <w:tc>
          <w:tcPr>
            <w:tcW w:w="980" w:type="dxa"/>
            <w:vAlign w:val="bottom"/>
            <w:shd w:val="clear" w:color="auto" w:fill="D9D9D9"/>
          </w:tcPr>
          <w:p>
            <w:pPr>
              <w:spacing w:after="0"/>
              <w:rPr>
                <w:sz w:val="18"/>
                <w:szCs w:val="18"/>
                <w:color w:val="auto"/>
              </w:rPr>
            </w:pPr>
          </w:p>
        </w:tc>
        <w:tc>
          <w:tcPr>
            <w:tcW w:w="960" w:type="dxa"/>
            <w:vAlign w:val="bottom"/>
            <w:shd w:val="clear" w:color="auto" w:fill="D9D9D9"/>
          </w:tcPr>
          <w:p>
            <w:pPr>
              <w:spacing w:after="0"/>
              <w:rPr>
                <w:sz w:val="18"/>
                <w:szCs w:val="18"/>
                <w:color w:val="auto"/>
              </w:rPr>
            </w:pPr>
          </w:p>
        </w:tc>
        <w:tc>
          <w:tcPr>
            <w:tcW w:w="960" w:type="dxa"/>
            <w:vAlign w:val="bottom"/>
            <w:shd w:val="clear" w:color="auto" w:fill="D9D9D9"/>
          </w:tcPr>
          <w:p>
            <w:pPr>
              <w:jc w:val="right"/>
              <w:ind w:right="49"/>
              <w:spacing w:after="0"/>
              <w:rPr>
                <w:sz w:val="20"/>
                <w:szCs w:val="20"/>
                <w:color w:val="auto"/>
              </w:rPr>
            </w:pPr>
            <w:r>
              <w:rPr>
                <w:rFonts w:ascii="Arial" w:cs="Arial" w:eastAsia="Arial" w:hAnsi="Arial"/>
                <w:sz w:val="14"/>
                <w:szCs w:val="14"/>
                <w:color w:val="auto"/>
              </w:rPr>
              <w:t>11,300</w:t>
            </w:r>
          </w:p>
        </w:tc>
        <w:tc>
          <w:tcPr>
            <w:tcW w:w="960" w:type="dxa"/>
            <w:vAlign w:val="bottom"/>
            <w:shd w:val="clear" w:color="auto" w:fill="D9D9D9"/>
          </w:tcPr>
          <w:p>
            <w:pPr>
              <w:spacing w:after="0"/>
              <w:rPr>
                <w:sz w:val="18"/>
                <w:szCs w:val="18"/>
                <w:color w:val="auto"/>
              </w:rPr>
            </w:pPr>
          </w:p>
        </w:tc>
        <w:tc>
          <w:tcPr>
            <w:tcW w:w="920" w:type="dxa"/>
            <w:vAlign w:val="bottom"/>
            <w:shd w:val="clear" w:color="auto" w:fill="D9D9D9"/>
          </w:tcPr>
          <w:p>
            <w:pPr>
              <w:spacing w:after="0"/>
              <w:rPr>
                <w:sz w:val="18"/>
                <w:szCs w:val="18"/>
                <w:color w:val="auto"/>
              </w:rPr>
            </w:pPr>
          </w:p>
        </w:tc>
        <w:tc>
          <w:tcPr>
            <w:tcW w:w="9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12/19/29</w:t>
            </w:r>
          </w:p>
        </w:tc>
      </w:tr>
      <w:tr>
        <w:trPr>
          <w:trHeight w:val="224"/>
        </w:trPr>
        <w:tc>
          <w:tcPr>
            <w:tcW w:w="1040" w:type="dxa"/>
            <w:vAlign w:val="bottom"/>
            <w:shd w:val="clear" w:color="auto" w:fill="D9D9D9"/>
          </w:tcPr>
          <w:p>
            <w:pPr>
              <w:spacing w:after="0"/>
              <w:rPr>
                <w:sz w:val="19"/>
                <w:szCs w:val="19"/>
                <w:color w:val="auto"/>
              </w:rPr>
            </w:pPr>
          </w:p>
        </w:tc>
        <w:tc>
          <w:tcPr>
            <w:tcW w:w="1100" w:type="dxa"/>
            <w:vAlign w:val="bottom"/>
            <w:shd w:val="clear" w:color="auto" w:fill="D9D9D9"/>
          </w:tcPr>
          <w:p>
            <w:pPr>
              <w:jc w:val="right"/>
              <w:ind w:right="69"/>
              <w:spacing w:after="0"/>
              <w:rPr>
                <w:sz w:val="20"/>
                <w:szCs w:val="20"/>
                <w:color w:val="auto"/>
              </w:rPr>
            </w:pPr>
            <w:r>
              <w:rPr>
                <w:rFonts w:ascii="Arial" w:cs="Arial" w:eastAsia="Arial" w:hAnsi="Arial"/>
                <w:sz w:val="14"/>
                <w:szCs w:val="14"/>
                <w:color w:val="auto"/>
              </w:rPr>
              <w:t>12/17/20</w:t>
            </w:r>
          </w:p>
        </w:tc>
        <w:tc>
          <w:tcPr>
            <w:tcW w:w="980" w:type="dxa"/>
            <w:vAlign w:val="bottom"/>
            <w:shd w:val="clear" w:color="auto" w:fill="D9D9D9"/>
          </w:tcPr>
          <w:p>
            <w:pPr>
              <w:spacing w:after="0"/>
              <w:rPr>
                <w:sz w:val="19"/>
                <w:szCs w:val="19"/>
                <w:color w:val="auto"/>
              </w:rPr>
            </w:pPr>
          </w:p>
        </w:tc>
        <w:tc>
          <w:tcPr>
            <w:tcW w:w="1000" w:type="dxa"/>
            <w:vAlign w:val="bottom"/>
            <w:shd w:val="clear" w:color="auto" w:fill="D9D9D9"/>
          </w:tcPr>
          <w:p>
            <w:pPr>
              <w:jc w:val="right"/>
              <w:ind w:right="69"/>
              <w:spacing w:after="0"/>
              <w:rPr>
                <w:sz w:val="20"/>
                <w:szCs w:val="20"/>
                <w:color w:val="auto"/>
              </w:rPr>
            </w:pPr>
            <w:r>
              <w:rPr>
                <w:rFonts w:ascii="Arial" w:cs="Arial" w:eastAsia="Arial" w:hAnsi="Arial"/>
                <w:sz w:val="14"/>
                <w:szCs w:val="14"/>
                <w:color w:val="auto"/>
              </w:rPr>
              <w:t>11,200</w:t>
            </w:r>
          </w:p>
        </w:tc>
        <w:tc>
          <w:tcPr>
            <w:tcW w:w="980" w:type="dxa"/>
            <w:vAlign w:val="bottom"/>
            <w:shd w:val="clear" w:color="auto" w:fill="D9D9D9"/>
          </w:tcPr>
          <w:p>
            <w:pPr>
              <w:spacing w:after="0"/>
              <w:rPr>
                <w:sz w:val="19"/>
                <w:szCs w:val="19"/>
                <w:color w:val="auto"/>
              </w:rPr>
            </w:pPr>
          </w:p>
        </w:tc>
        <w:tc>
          <w:tcPr>
            <w:tcW w:w="980" w:type="dxa"/>
            <w:vAlign w:val="bottom"/>
            <w:shd w:val="clear" w:color="auto" w:fill="D9D9D9"/>
          </w:tcPr>
          <w:p>
            <w:pPr>
              <w:spacing w:after="0"/>
              <w:rPr>
                <w:sz w:val="19"/>
                <w:szCs w:val="19"/>
                <w:color w:val="auto"/>
              </w:rPr>
            </w:pPr>
          </w:p>
        </w:tc>
        <w:tc>
          <w:tcPr>
            <w:tcW w:w="960" w:type="dxa"/>
            <w:vAlign w:val="bottom"/>
            <w:shd w:val="clear" w:color="auto" w:fill="D9D9D9"/>
          </w:tcPr>
          <w:p>
            <w:pPr>
              <w:jc w:val="right"/>
              <w:ind w:right="49"/>
              <w:spacing w:after="0"/>
              <w:rPr>
                <w:sz w:val="20"/>
                <w:szCs w:val="20"/>
                <w:color w:val="auto"/>
              </w:rPr>
            </w:pPr>
            <w:r>
              <w:rPr>
                <w:rFonts w:ascii="Arial" w:cs="Arial" w:eastAsia="Arial" w:hAnsi="Arial"/>
                <w:sz w:val="14"/>
                <w:szCs w:val="14"/>
                <w:color w:val="auto"/>
              </w:rPr>
              <w:t>11,200</w:t>
            </w:r>
          </w:p>
        </w:tc>
        <w:tc>
          <w:tcPr>
            <w:tcW w:w="960" w:type="dxa"/>
            <w:vAlign w:val="bottom"/>
            <w:shd w:val="clear" w:color="auto" w:fill="D9D9D9"/>
          </w:tcPr>
          <w:p>
            <w:pPr>
              <w:spacing w:after="0"/>
              <w:rPr>
                <w:sz w:val="19"/>
                <w:szCs w:val="19"/>
                <w:color w:val="auto"/>
              </w:rPr>
            </w:pPr>
          </w:p>
        </w:tc>
        <w:tc>
          <w:tcPr>
            <w:tcW w:w="960" w:type="dxa"/>
            <w:vAlign w:val="bottom"/>
            <w:shd w:val="clear" w:color="auto" w:fill="D9D9D9"/>
          </w:tcPr>
          <w:p>
            <w:pPr>
              <w:spacing w:after="0"/>
              <w:rPr>
                <w:sz w:val="19"/>
                <w:szCs w:val="19"/>
                <w:color w:val="auto"/>
              </w:rPr>
            </w:pPr>
          </w:p>
        </w:tc>
        <w:tc>
          <w:tcPr>
            <w:tcW w:w="920" w:type="dxa"/>
            <w:vAlign w:val="bottom"/>
            <w:shd w:val="clear" w:color="auto" w:fill="D9D9D9"/>
          </w:tcPr>
          <w:p>
            <w:pPr>
              <w:jc w:val="right"/>
              <w:ind w:right="29"/>
              <w:spacing w:after="0"/>
              <w:rPr>
                <w:sz w:val="20"/>
                <w:szCs w:val="20"/>
                <w:color w:val="auto"/>
              </w:rPr>
            </w:pPr>
            <w:r>
              <w:rPr>
                <w:rFonts w:ascii="Arial" w:cs="Arial" w:eastAsia="Arial" w:hAnsi="Arial"/>
                <w:sz w:val="14"/>
                <w:szCs w:val="14"/>
                <w:color w:val="auto"/>
              </w:rPr>
              <w:t>11,200</w:t>
            </w:r>
          </w:p>
        </w:tc>
        <w:tc>
          <w:tcPr>
            <w:tcW w:w="9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12/17/30</w:t>
            </w:r>
          </w:p>
        </w:tc>
      </w:tr>
      <w:tr>
        <w:trPr>
          <w:trHeight w:val="202"/>
        </w:trPr>
        <w:tc>
          <w:tcPr>
            <w:tcW w:w="1040" w:type="dxa"/>
            <w:vAlign w:val="bottom"/>
          </w:tcPr>
          <w:p>
            <w:pPr>
              <w:spacing w:after="0"/>
              <w:rPr>
                <w:sz w:val="20"/>
                <w:szCs w:val="20"/>
                <w:color w:val="auto"/>
              </w:rPr>
            </w:pPr>
            <w:r>
              <w:rPr>
                <w:rFonts w:ascii="Arial" w:cs="Arial" w:eastAsia="Arial" w:hAnsi="Arial"/>
                <w:sz w:val="14"/>
                <w:szCs w:val="14"/>
                <w:color w:val="auto"/>
              </w:rPr>
              <w:t>Mr. Rodier</w:t>
            </w: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12/07/18</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3,000</w:t>
            </w: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12/08/27</w:t>
            </w:r>
          </w:p>
        </w:tc>
      </w:tr>
      <w:tr>
        <w:trPr>
          <w:trHeight w:val="213"/>
        </w:trPr>
        <w:tc>
          <w:tcPr>
            <w:tcW w:w="1040" w:type="dxa"/>
            <w:vAlign w:val="bottom"/>
          </w:tcPr>
          <w:p>
            <w:pPr>
              <w:spacing w:after="0"/>
              <w:rPr>
                <w:sz w:val="18"/>
                <w:szCs w:val="18"/>
                <w:color w:val="auto"/>
              </w:rPr>
            </w:pP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12/19/19</w:t>
            </w: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6,067</w:t>
            </w: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6,067</w:t>
            </w: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12/07/28</w:t>
            </w:r>
          </w:p>
        </w:tc>
      </w:tr>
      <w:tr>
        <w:trPr>
          <w:trHeight w:val="213"/>
        </w:trPr>
        <w:tc>
          <w:tcPr>
            <w:tcW w:w="1040" w:type="dxa"/>
            <w:vAlign w:val="bottom"/>
          </w:tcPr>
          <w:p>
            <w:pPr>
              <w:spacing w:after="0"/>
              <w:rPr>
                <w:sz w:val="18"/>
                <w:szCs w:val="18"/>
                <w:color w:val="auto"/>
              </w:rPr>
            </w:pP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05/19/20</w:t>
            </w: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8,433</w:t>
            </w: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8,434</w:t>
            </w:r>
          </w:p>
        </w:tc>
        <w:tc>
          <w:tcPr>
            <w:tcW w:w="9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05/19/30</w:t>
            </w:r>
          </w:p>
        </w:tc>
      </w:tr>
      <w:tr>
        <w:trPr>
          <w:trHeight w:val="218"/>
        </w:trPr>
        <w:tc>
          <w:tcPr>
            <w:tcW w:w="1040" w:type="dxa"/>
            <w:vAlign w:val="bottom"/>
          </w:tcPr>
          <w:p>
            <w:pPr>
              <w:spacing w:after="0"/>
              <w:rPr>
                <w:sz w:val="18"/>
                <w:szCs w:val="18"/>
                <w:color w:val="auto"/>
              </w:rPr>
            </w:pP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12/17/20</w:t>
            </w:r>
          </w:p>
        </w:tc>
        <w:tc>
          <w:tcPr>
            <w:tcW w:w="980" w:type="dxa"/>
            <w:vAlign w:val="bottom"/>
          </w:tcPr>
          <w:p>
            <w:pPr>
              <w:spacing w:after="0"/>
              <w:rPr>
                <w:sz w:val="18"/>
                <w:szCs w:val="18"/>
                <w:color w:val="auto"/>
              </w:rPr>
            </w:pP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9,866</w:t>
            </w: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9,867</w:t>
            </w: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9,867</w:t>
            </w:r>
          </w:p>
        </w:tc>
        <w:tc>
          <w:tcPr>
            <w:tcW w:w="900" w:type="dxa"/>
            <w:vAlign w:val="bottom"/>
          </w:tcPr>
          <w:p>
            <w:pPr>
              <w:jc w:val="right"/>
              <w:spacing w:after="0"/>
              <w:rPr>
                <w:sz w:val="20"/>
                <w:szCs w:val="20"/>
                <w:color w:val="auto"/>
              </w:rPr>
            </w:pPr>
            <w:r>
              <w:rPr>
                <w:rFonts w:ascii="Arial" w:cs="Arial" w:eastAsia="Arial" w:hAnsi="Arial"/>
                <w:sz w:val="14"/>
                <w:szCs w:val="14"/>
                <w:color w:val="auto"/>
              </w:rPr>
              <w:t>12/17/30</w:t>
            </w:r>
          </w:p>
        </w:tc>
      </w:tr>
      <w:tr>
        <w:trPr>
          <w:trHeight w:val="207"/>
        </w:trPr>
        <w:tc>
          <w:tcPr>
            <w:tcW w:w="1040" w:type="dxa"/>
            <w:vAlign w:val="bottom"/>
            <w:shd w:val="clear" w:color="auto" w:fill="D9D9D9"/>
          </w:tcPr>
          <w:p>
            <w:pPr>
              <w:spacing w:after="0"/>
              <w:rPr>
                <w:sz w:val="20"/>
                <w:szCs w:val="20"/>
                <w:color w:val="auto"/>
              </w:rPr>
            </w:pPr>
            <w:r>
              <w:rPr>
                <w:rFonts w:ascii="Arial" w:cs="Arial" w:eastAsia="Arial" w:hAnsi="Arial"/>
                <w:sz w:val="14"/>
                <w:szCs w:val="14"/>
                <w:color w:val="auto"/>
              </w:rPr>
              <w:t>Ms. Dahl</w:t>
            </w:r>
          </w:p>
        </w:tc>
        <w:tc>
          <w:tcPr>
            <w:tcW w:w="1100" w:type="dxa"/>
            <w:vAlign w:val="bottom"/>
            <w:shd w:val="clear" w:color="auto" w:fill="D9D9D9"/>
          </w:tcPr>
          <w:p>
            <w:pPr>
              <w:jc w:val="right"/>
              <w:ind w:right="69"/>
              <w:spacing w:after="0"/>
              <w:rPr>
                <w:sz w:val="20"/>
                <w:szCs w:val="20"/>
                <w:color w:val="auto"/>
              </w:rPr>
            </w:pPr>
            <w:r>
              <w:rPr>
                <w:rFonts w:ascii="Arial" w:cs="Arial" w:eastAsia="Arial" w:hAnsi="Arial"/>
                <w:sz w:val="14"/>
                <w:szCs w:val="14"/>
                <w:color w:val="auto"/>
              </w:rPr>
              <w:t>12/07/18</w:t>
            </w:r>
          </w:p>
        </w:tc>
        <w:tc>
          <w:tcPr>
            <w:tcW w:w="980" w:type="dxa"/>
            <w:vAlign w:val="bottom"/>
            <w:shd w:val="clear" w:color="auto" w:fill="D9D9D9"/>
          </w:tcPr>
          <w:p>
            <w:pPr>
              <w:jc w:val="right"/>
              <w:ind w:right="49"/>
              <w:spacing w:after="0"/>
              <w:rPr>
                <w:sz w:val="20"/>
                <w:szCs w:val="20"/>
                <w:color w:val="auto"/>
              </w:rPr>
            </w:pPr>
            <w:r>
              <w:rPr>
                <w:rFonts w:ascii="Arial" w:cs="Arial" w:eastAsia="Arial" w:hAnsi="Arial"/>
                <w:sz w:val="14"/>
                <w:szCs w:val="14"/>
                <w:color w:val="auto"/>
              </w:rPr>
              <w:t>5,400</w:t>
            </w:r>
          </w:p>
        </w:tc>
        <w:tc>
          <w:tcPr>
            <w:tcW w:w="1000" w:type="dxa"/>
            <w:vAlign w:val="bottom"/>
            <w:shd w:val="clear" w:color="auto" w:fill="D9D9D9"/>
          </w:tcPr>
          <w:p>
            <w:pPr>
              <w:spacing w:after="0"/>
              <w:rPr>
                <w:sz w:val="18"/>
                <w:szCs w:val="18"/>
                <w:color w:val="auto"/>
              </w:rPr>
            </w:pPr>
          </w:p>
        </w:tc>
        <w:tc>
          <w:tcPr>
            <w:tcW w:w="980" w:type="dxa"/>
            <w:vAlign w:val="bottom"/>
            <w:shd w:val="clear" w:color="auto" w:fill="D9D9D9"/>
          </w:tcPr>
          <w:p>
            <w:pPr>
              <w:spacing w:after="0"/>
              <w:rPr>
                <w:sz w:val="18"/>
                <w:szCs w:val="18"/>
                <w:color w:val="auto"/>
              </w:rPr>
            </w:pPr>
          </w:p>
        </w:tc>
        <w:tc>
          <w:tcPr>
            <w:tcW w:w="980" w:type="dxa"/>
            <w:vAlign w:val="bottom"/>
            <w:shd w:val="clear" w:color="auto" w:fill="D9D9D9"/>
          </w:tcPr>
          <w:p>
            <w:pPr>
              <w:spacing w:after="0"/>
              <w:rPr>
                <w:sz w:val="18"/>
                <w:szCs w:val="18"/>
                <w:color w:val="auto"/>
              </w:rPr>
            </w:pPr>
          </w:p>
        </w:tc>
        <w:tc>
          <w:tcPr>
            <w:tcW w:w="960" w:type="dxa"/>
            <w:vAlign w:val="bottom"/>
            <w:shd w:val="clear" w:color="auto" w:fill="D9D9D9"/>
          </w:tcPr>
          <w:p>
            <w:pPr>
              <w:spacing w:after="0"/>
              <w:rPr>
                <w:sz w:val="18"/>
                <w:szCs w:val="18"/>
                <w:color w:val="auto"/>
              </w:rPr>
            </w:pPr>
          </w:p>
        </w:tc>
        <w:tc>
          <w:tcPr>
            <w:tcW w:w="960" w:type="dxa"/>
            <w:vAlign w:val="bottom"/>
            <w:shd w:val="clear" w:color="auto" w:fill="D9D9D9"/>
          </w:tcPr>
          <w:p>
            <w:pPr>
              <w:spacing w:after="0"/>
              <w:rPr>
                <w:sz w:val="18"/>
                <w:szCs w:val="18"/>
                <w:color w:val="auto"/>
              </w:rPr>
            </w:pPr>
          </w:p>
        </w:tc>
        <w:tc>
          <w:tcPr>
            <w:tcW w:w="960" w:type="dxa"/>
            <w:vAlign w:val="bottom"/>
            <w:shd w:val="clear" w:color="auto" w:fill="D9D9D9"/>
          </w:tcPr>
          <w:p>
            <w:pPr>
              <w:spacing w:after="0"/>
              <w:rPr>
                <w:sz w:val="18"/>
                <w:szCs w:val="18"/>
                <w:color w:val="auto"/>
              </w:rPr>
            </w:pPr>
          </w:p>
        </w:tc>
        <w:tc>
          <w:tcPr>
            <w:tcW w:w="920" w:type="dxa"/>
            <w:vAlign w:val="bottom"/>
            <w:shd w:val="clear" w:color="auto" w:fill="D9D9D9"/>
          </w:tcPr>
          <w:p>
            <w:pPr>
              <w:spacing w:after="0"/>
              <w:rPr>
                <w:sz w:val="18"/>
                <w:szCs w:val="18"/>
                <w:color w:val="auto"/>
              </w:rPr>
            </w:pPr>
          </w:p>
        </w:tc>
        <w:tc>
          <w:tcPr>
            <w:tcW w:w="9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12/07/28</w:t>
            </w:r>
          </w:p>
        </w:tc>
      </w:tr>
      <w:tr>
        <w:trPr>
          <w:trHeight w:val="213"/>
        </w:trPr>
        <w:tc>
          <w:tcPr>
            <w:tcW w:w="1040" w:type="dxa"/>
            <w:vAlign w:val="bottom"/>
            <w:shd w:val="clear" w:color="auto" w:fill="D9D9D9"/>
          </w:tcPr>
          <w:p>
            <w:pPr>
              <w:spacing w:after="0"/>
              <w:rPr>
                <w:sz w:val="18"/>
                <w:szCs w:val="18"/>
                <w:color w:val="auto"/>
              </w:rPr>
            </w:pPr>
          </w:p>
        </w:tc>
        <w:tc>
          <w:tcPr>
            <w:tcW w:w="1100" w:type="dxa"/>
            <w:vAlign w:val="bottom"/>
            <w:shd w:val="clear" w:color="auto" w:fill="D9D9D9"/>
          </w:tcPr>
          <w:p>
            <w:pPr>
              <w:jc w:val="right"/>
              <w:ind w:right="69"/>
              <w:spacing w:after="0"/>
              <w:rPr>
                <w:sz w:val="20"/>
                <w:szCs w:val="20"/>
                <w:color w:val="auto"/>
              </w:rPr>
            </w:pPr>
            <w:r>
              <w:rPr>
                <w:rFonts w:ascii="Arial" w:cs="Arial" w:eastAsia="Arial" w:hAnsi="Arial"/>
                <w:sz w:val="14"/>
                <w:szCs w:val="14"/>
                <w:color w:val="auto"/>
              </w:rPr>
              <w:t>12/19/19</w:t>
            </w:r>
          </w:p>
        </w:tc>
        <w:tc>
          <w:tcPr>
            <w:tcW w:w="980" w:type="dxa"/>
            <w:vAlign w:val="bottom"/>
            <w:shd w:val="clear" w:color="auto" w:fill="D9D9D9"/>
          </w:tcPr>
          <w:p>
            <w:pPr>
              <w:spacing w:after="0"/>
              <w:rPr>
                <w:sz w:val="18"/>
                <w:szCs w:val="18"/>
                <w:color w:val="auto"/>
              </w:rPr>
            </w:pPr>
          </w:p>
        </w:tc>
        <w:tc>
          <w:tcPr>
            <w:tcW w:w="1000" w:type="dxa"/>
            <w:vAlign w:val="bottom"/>
            <w:shd w:val="clear" w:color="auto" w:fill="D9D9D9"/>
          </w:tcPr>
          <w:p>
            <w:pPr>
              <w:spacing w:after="0"/>
              <w:rPr>
                <w:sz w:val="18"/>
                <w:szCs w:val="18"/>
                <w:color w:val="auto"/>
              </w:rPr>
            </w:pPr>
          </w:p>
        </w:tc>
        <w:tc>
          <w:tcPr>
            <w:tcW w:w="980" w:type="dxa"/>
            <w:vAlign w:val="bottom"/>
            <w:shd w:val="clear" w:color="auto" w:fill="D9D9D9"/>
          </w:tcPr>
          <w:p>
            <w:pPr>
              <w:jc w:val="right"/>
              <w:ind w:right="69"/>
              <w:spacing w:after="0"/>
              <w:rPr>
                <w:sz w:val="20"/>
                <w:szCs w:val="20"/>
                <w:color w:val="auto"/>
              </w:rPr>
            </w:pPr>
            <w:r>
              <w:rPr>
                <w:rFonts w:ascii="Arial" w:cs="Arial" w:eastAsia="Arial" w:hAnsi="Arial"/>
                <w:sz w:val="14"/>
                <w:szCs w:val="14"/>
                <w:color w:val="auto"/>
              </w:rPr>
              <w:t>6,933</w:t>
            </w:r>
          </w:p>
        </w:tc>
        <w:tc>
          <w:tcPr>
            <w:tcW w:w="980" w:type="dxa"/>
            <w:vAlign w:val="bottom"/>
            <w:shd w:val="clear" w:color="auto" w:fill="D9D9D9"/>
          </w:tcPr>
          <w:p>
            <w:pPr>
              <w:spacing w:after="0"/>
              <w:rPr>
                <w:sz w:val="18"/>
                <w:szCs w:val="18"/>
                <w:color w:val="auto"/>
              </w:rPr>
            </w:pPr>
          </w:p>
        </w:tc>
        <w:tc>
          <w:tcPr>
            <w:tcW w:w="960" w:type="dxa"/>
            <w:vAlign w:val="bottom"/>
            <w:shd w:val="clear" w:color="auto" w:fill="D9D9D9"/>
          </w:tcPr>
          <w:p>
            <w:pPr>
              <w:spacing w:after="0"/>
              <w:rPr>
                <w:sz w:val="18"/>
                <w:szCs w:val="18"/>
                <w:color w:val="auto"/>
              </w:rPr>
            </w:pPr>
          </w:p>
        </w:tc>
        <w:tc>
          <w:tcPr>
            <w:tcW w:w="960" w:type="dxa"/>
            <w:vAlign w:val="bottom"/>
            <w:shd w:val="clear" w:color="auto" w:fill="D9D9D9"/>
          </w:tcPr>
          <w:p>
            <w:pPr>
              <w:jc w:val="right"/>
              <w:ind w:right="49"/>
              <w:spacing w:after="0"/>
              <w:rPr>
                <w:sz w:val="20"/>
                <w:szCs w:val="20"/>
                <w:color w:val="auto"/>
              </w:rPr>
            </w:pPr>
            <w:r>
              <w:rPr>
                <w:rFonts w:ascii="Arial" w:cs="Arial" w:eastAsia="Arial" w:hAnsi="Arial"/>
                <w:sz w:val="14"/>
                <w:szCs w:val="14"/>
                <w:color w:val="auto"/>
              </w:rPr>
              <w:t>6,934</w:t>
            </w:r>
          </w:p>
        </w:tc>
        <w:tc>
          <w:tcPr>
            <w:tcW w:w="960" w:type="dxa"/>
            <w:vAlign w:val="bottom"/>
            <w:shd w:val="clear" w:color="auto" w:fill="D9D9D9"/>
          </w:tcPr>
          <w:p>
            <w:pPr>
              <w:spacing w:after="0"/>
              <w:rPr>
                <w:sz w:val="18"/>
                <w:szCs w:val="18"/>
                <w:color w:val="auto"/>
              </w:rPr>
            </w:pPr>
          </w:p>
        </w:tc>
        <w:tc>
          <w:tcPr>
            <w:tcW w:w="920" w:type="dxa"/>
            <w:vAlign w:val="bottom"/>
            <w:shd w:val="clear" w:color="auto" w:fill="D9D9D9"/>
          </w:tcPr>
          <w:p>
            <w:pPr>
              <w:spacing w:after="0"/>
              <w:rPr>
                <w:sz w:val="18"/>
                <w:szCs w:val="18"/>
                <w:color w:val="auto"/>
              </w:rPr>
            </w:pPr>
          </w:p>
        </w:tc>
        <w:tc>
          <w:tcPr>
            <w:tcW w:w="9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12/19/29</w:t>
            </w:r>
          </w:p>
        </w:tc>
      </w:tr>
      <w:tr>
        <w:trPr>
          <w:trHeight w:val="224"/>
        </w:trPr>
        <w:tc>
          <w:tcPr>
            <w:tcW w:w="1040" w:type="dxa"/>
            <w:vAlign w:val="bottom"/>
            <w:shd w:val="clear" w:color="auto" w:fill="D9D9D9"/>
          </w:tcPr>
          <w:p>
            <w:pPr>
              <w:spacing w:after="0"/>
              <w:rPr>
                <w:sz w:val="19"/>
                <w:szCs w:val="19"/>
                <w:color w:val="auto"/>
              </w:rPr>
            </w:pPr>
          </w:p>
        </w:tc>
        <w:tc>
          <w:tcPr>
            <w:tcW w:w="1100" w:type="dxa"/>
            <w:vAlign w:val="bottom"/>
            <w:shd w:val="clear" w:color="auto" w:fill="D9D9D9"/>
          </w:tcPr>
          <w:p>
            <w:pPr>
              <w:jc w:val="right"/>
              <w:ind w:right="69"/>
              <w:spacing w:after="0"/>
              <w:rPr>
                <w:sz w:val="20"/>
                <w:szCs w:val="20"/>
                <w:color w:val="auto"/>
              </w:rPr>
            </w:pPr>
            <w:r>
              <w:rPr>
                <w:rFonts w:ascii="Arial" w:cs="Arial" w:eastAsia="Arial" w:hAnsi="Arial"/>
                <w:sz w:val="14"/>
                <w:szCs w:val="14"/>
                <w:color w:val="auto"/>
              </w:rPr>
              <w:t>12/17/20</w:t>
            </w:r>
          </w:p>
        </w:tc>
        <w:tc>
          <w:tcPr>
            <w:tcW w:w="980" w:type="dxa"/>
            <w:vAlign w:val="bottom"/>
            <w:shd w:val="clear" w:color="auto" w:fill="D9D9D9"/>
          </w:tcPr>
          <w:p>
            <w:pPr>
              <w:spacing w:after="0"/>
              <w:rPr>
                <w:sz w:val="19"/>
                <w:szCs w:val="19"/>
                <w:color w:val="auto"/>
              </w:rPr>
            </w:pPr>
          </w:p>
        </w:tc>
        <w:tc>
          <w:tcPr>
            <w:tcW w:w="1000" w:type="dxa"/>
            <w:vAlign w:val="bottom"/>
            <w:shd w:val="clear" w:color="auto" w:fill="D9D9D9"/>
          </w:tcPr>
          <w:p>
            <w:pPr>
              <w:jc w:val="right"/>
              <w:ind w:right="69"/>
              <w:spacing w:after="0"/>
              <w:rPr>
                <w:sz w:val="20"/>
                <w:szCs w:val="20"/>
                <w:color w:val="auto"/>
              </w:rPr>
            </w:pPr>
            <w:r>
              <w:rPr>
                <w:rFonts w:ascii="Arial" w:cs="Arial" w:eastAsia="Arial" w:hAnsi="Arial"/>
                <w:sz w:val="14"/>
                <w:szCs w:val="14"/>
                <w:color w:val="auto"/>
              </w:rPr>
              <w:t>7,100</w:t>
            </w:r>
          </w:p>
        </w:tc>
        <w:tc>
          <w:tcPr>
            <w:tcW w:w="980" w:type="dxa"/>
            <w:vAlign w:val="bottom"/>
            <w:shd w:val="clear" w:color="auto" w:fill="D9D9D9"/>
          </w:tcPr>
          <w:p>
            <w:pPr>
              <w:spacing w:after="0"/>
              <w:rPr>
                <w:sz w:val="19"/>
                <w:szCs w:val="19"/>
                <w:color w:val="auto"/>
              </w:rPr>
            </w:pPr>
          </w:p>
        </w:tc>
        <w:tc>
          <w:tcPr>
            <w:tcW w:w="980" w:type="dxa"/>
            <w:vAlign w:val="bottom"/>
            <w:shd w:val="clear" w:color="auto" w:fill="D9D9D9"/>
          </w:tcPr>
          <w:p>
            <w:pPr>
              <w:spacing w:after="0"/>
              <w:rPr>
                <w:sz w:val="19"/>
                <w:szCs w:val="19"/>
                <w:color w:val="auto"/>
              </w:rPr>
            </w:pPr>
          </w:p>
        </w:tc>
        <w:tc>
          <w:tcPr>
            <w:tcW w:w="960" w:type="dxa"/>
            <w:vAlign w:val="bottom"/>
            <w:shd w:val="clear" w:color="auto" w:fill="D9D9D9"/>
          </w:tcPr>
          <w:p>
            <w:pPr>
              <w:jc w:val="right"/>
              <w:ind w:right="49"/>
              <w:spacing w:after="0"/>
              <w:rPr>
                <w:sz w:val="20"/>
                <w:szCs w:val="20"/>
                <w:color w:val="auto"/>
              </w:rPr>
            </w:pPr>
            <w:r>
              <w:rPr>
                <w:rFonts w:ascii="Arial" w:cs="Arial" w:eastAsia="Arial" w:hAnsi="Arial"/>
                <w:sz w:val="14"/>
                <w:szCs w:val="14"/>
                <w:color w:val="auto"/>
              </w:rPr>
              <w:t>7,100</w:t>
            </w:r>
          </w:p>
        </w:tc>
        <w:tc>
          <w:tcPr>
            <w:tcW w:w="960" w:type="dxa"/>
            <w:vAlign w:val="bottom"/>
            <w:shd w:val="clear" w:color="auto" w:fill="D9D9D9"/>
          </w:tcPr>
          <w:p>
            <w:pPr>
              <w:spacing w:after="0"/>
              <w:rPr>
                <w:sz w:val="19"/>
                <w:szCs w:val="19"/>
                <w:color w:val="auto"/>
              </w:rPr>
            </w:pPr>
          </w:p>
        </w:tc>
        <w:tc>
          <w:tcPr>
            <w:tcW w:w="960" w:type="dxa"/>
            <w:vAlign w:val="bottom"/>
            <w:shd w:val="clear" w:color="auto" w:fill="D9D9D9"/>
          </w:tcPr>
          <w:p>
            <w:pPr>
              <w:spacing w:after="0"/>
              <w:rPr>
                <w:sz w:val="19"/>
                <w:szCs w:val="19"/>
                <w:color w:val="auto"/>
              </w:rPr>
            </w:pPr>
          </w:p>
        </w:tc>
        <w:tc>
          <w:tcPr>
            <w:tcW w:w="920" w:type="dxa"/>
            <w:vAlign w:val="bottom"/>
            <w:shd w:val="clear" w:color="auto" w:fill="D9D9D9"/>
          </w:tcPr>
          <w:p>
            <w:pPr>
              <w:jc w:val="right"/>
              <w:ind w:right="29"/>
              <w:spacing w:after="0"/>
              <w:rPr>
                <w:sz w:val="20"/>
                <w:szCs w:val="20"/>
                <w:color w:val="auto"/>
              </w:rPr>
            </w:pPr>
            <w:r>
              <w:rPr>
                <w:rFonts w:ascii="Arial" w:cs="Arial" w:eastAsia="Arial" w:hAnsi="Arial"/>
                <w:sz w:val="14"/>
                <w:szCs w:val="14"/>
                <w:color w:val="auto"/>
              </w:rPr>
              <w:t>7,100</w:t>
            </w:r>
          </w:p>
        </w:tc>
        <w:tc>
          <w:tcPr>
            <w:tcW w:w="9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12/17/30</w:t>
            </w:r>
          </w:p>
        </w:tc>
      </w:tr>
      <w:tr>
        <w:trPr>
          <w:trHeight w:val="202"/>
        </w:trPr>
        <w:tc>
          <w:tcPr>
            <w:tcW w:w="1040" w:type="dxa"/>
            <w:vAlign w:val="bottom"/>
          </w:tcPr>
          <w:p>
            <w:pPr>
              <w:spacing w:after="0"/>
              <w:rPr>
                <w:sz w:val="20"/>
                <w:szCs w:val="20"/>
                <w:color w:val="auto"/>
              </w:rPr>
            </w:pPr>
            <w:r>
              <w:rPr>
                <w:rFonts w:ascii="Arial" w:cs="Arial" w:eastAsia="Arial" w:hAnsi="Arial"/>
                <w:sz w:val="14"/>
                <w:szCs w:val="14"/>
                <w:color w:val="auto"/>
              </w:rPr>
              <w:t>Mr. Hamilton</w:t>
            </w: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12/07/18</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7,200</w:t>
            </w: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12/07/28</w:t>
            </w:r>
          </w:p>
        </w:tc>
      </w:tr>
      <w:tr>
        <w:trPr>
          <w:trHeight w:val="213"/>
        </w:trPr>
        <w:tc>
          <w:tcPr>
            <w:tcW w:w="1040" w:type="dxa"/>
            <w:vAlign w:val="bottom"/>
          </w:tcPr>
          <w:p>
            <w:pPr>
              <w:spacing w:after="0"/>
              <w:rPr>
                <w:sz w:val="18"/>
                <w:szCs w:val="18"/>
                <w:color w:val="auto"/>
              </w:rPr>
            </w:pP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12/19/19</w:t>
            </w: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7,533</w:t>
            </w: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7,534</w:t>
            </w: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12/19/29</w:t>
            </w:r>
          </w:p>
        </w:tc>
      </w:tr>
      <w:tr>
        <w:trPr>
          <w:trHeight w:val="213"/>
        </w:trPr>
        <w:tc>
          <w:tcPr>
            <w:tcW w:w="1040" w:type="dxa"/>
            <w:vAlign w:val="bottom"/>
          </w:tcPr>
          <w:p>
            <w:pPr>
              <w:spacing w:after="0"/>
              <w:rPr>
                <w:sz w:val="18"/>
                <w:szCs w:val="18"/>
                <w:color w:val="auto"/>
              </w:rPr>
            </w:pP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12/17/20</w:t>
            </w:r>
          </w:p>
        </w:tc>
        <w:tc>
          <w:tcPr>
            <w:tcW w:w="980" w:type="dxa"/>
            <w:vAlign w:val="bottom"/>
          </w:tcPr>
          <w:p>
            <w:pPr>
              <w:spacing w:after="0"/>
              <w:rPr>
                <w:sz w:val="18"/>
                <w:szCs w:val="18"/>
                <w:color w:val="auto"/>
              </w:rPr>
            </w:pP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7,100</w:t>
            </w: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7,100</w:t>
            </w: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7,100</w:t>
            </w:r>
          </w:p>
        </w:tc>
        <w:tc>
          <w:tcPr>
            <w:tcW w:w="900" w:type="dxa"/>
            <w:vAlign w:val="bottom"/>
          </w:tcPr>
          <w:p>
            <w:pPr>
              <w:jc w:val="right"/>
              <w:spacing w:after="0"/>
              <w:rPr>
                <w:sz w:val="20"/>
                <w:szCs w:val="20"/>
                <w:color w:val="auto"/>
              </w:rPr>
            </w:pPr>
            <w:r>
              <w:rPr>
                <w:rFonts w:ascii="Arial" w:cs="Arial" w:eastAsia="Arial" w:hAnsi="Arial"/>
                <w:sz w:val="14"/>
                <w:szCs w:val="14"/>
                <w:color w:val="auto"/>
              </w:rPr>
              <w:t>12/17/30</w:t>
            </w:r>
          </w:p>
        </w:tc>
      </w:tr>
    </w:tbl>
    <w:p>
      <w:pPr>
        <w:spacing w:after="0" w:line="64" w:lineRule="exact"/>
        <w:rPr>
          <w:sz w:val="20"/>
          <w:szCs w:val="20"/>
          <w:color w:val="auto"/>
        </w:rPr>
      </w:pPr>
    </w:p>
    <w:p>
      <w:pPr>
        <w:ind w:left="400" w:right="20" w:hanging="394"/>
        <w:spacing w:after="0" w:line="235" w:lineRule="auto"/>
        <w:tabs>
          <w:tab w:leader="none" w:pos="4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Amounts reported represent the number of unvested restricted stock units held by Mr. Rodier, including dividend equivalents earned on those restricted stock units. These unvested restricted stock units granted on April 1, 2019, vest in full on the three-year anniversary of the grant date. These unvested restricted stock units granted on May 19, 2020, vest in three equal installments on each anniversary of the grant date.</w:t>
      </w:r>
    </w:p>
    <w:p>
      <w:pPr>
        <w:spacing w:after="0" w:line="40" w:lineRule="exact"/>
        <w:rPr>
          <w:rFonts w:ascii="Arial" w:cs="Arial" w:eastAsia="Arial" w:hAnsi="Arial"/>
          <w:sz w:val="18"/>
          <w:szCs w:val="18"/>
          <w:color w:val="auto"/>
        </w:rPr>
      </w:pPr>
    </w:p>
    <w:p>
      <w:pPr>
        <w:ind w:left="400" w:right="200" w:hanging="394"/>
        <w:spacing w:after="0" w:line="238" w:lineRule="auto"/>
        <w:tabs>
          <w:tab w:leader="none" w:pos="4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Amounts reported represent the value of unvested restricted stock units based on the closing price of our common stock on October 29, 2021, the last trading day preceding October 31, 2021, of $95.47 per share.</w:t>
      </w:r>
    </w:p>
    <w:p>
      <w:pPr>
        <w:spacing w:after="0" w:line="41" w:lineRule="exact"/>
        <w:rPr>
          <w:rFonts w:ascii="Arial" w:cs="Arial" w:eastAsia="Arial" w:hAnsi="Arial"/>
          <w:sz w:val="18"/>
          <w:szCs w:val="18"/>
          <w:color w:val="auto"/>
        </w:rPr>
      </w:pPr>
    </w:p>
    <w:p>
      <w:pPr>
        <w:ind w:left="400" w:right="160" w:hanging="394"/>
        <w:spacing w:after="0" w:line="250" w:lineRule="auto"/>
        <w:tabs>
          <w:tab w:leader="none" w:pos="4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Amounts reported represent the number of performance share awards that were in progress based on actual levels of performance for fiscal 2020 and fiscal 2021 and financial plan levels of performance for fiscal 2022 and fiscal 2023. The fiscal 2020 to fiscal 2022 performance share awards will vest solely based on the accomplishment of the performance goals established for the three-year performance period, which will end on October 31, 2022. The fiscal 2021 to fiscal 2023 performance share awards will vest solely based on the accomplishment of the performance goals established for the three-year performance period, which will end on October 31, 2023.</w:t>
      </w:r>
    </w:p>
    <w:p>
      <w:pPr>
        <w:spacing w:after="0" w:line="32" w:lineRule="exact"/>
        <w:rPr>
          <w:rFonts w:ascii="Arial" w:cs="Arial" w:eastAsia="Arial" w:hAnsi="Arial"/>
          <w:sz w:val="17"/>
          <w:szCs w:val="17"/>
          <w:color w:val="auto"/>
        </w:rPr>
      </w:pPr>
    </w:p>
    <w:p>
      <w:pPr>
        <w:ind w:left="400" w:hanging="394"/>
        <w:spacing w:after="0" w:line="238" w:lineRule="auto"/>
        <w:tabs>
          <w:tab w:leader="none" w:pos="4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Amounts reported represent the value of performance share awards that were in progress based on the closing price of our common stock on October 29, 2021, the last trading day preceding October 31, 2021, of $95.47 per share.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Option Exercises and Stock Vested for Fiscal 2021</w:t>
      </w:r>
    </w:p>
    <w:p>
      <w:pPr>
        <w:spacing w:after="0" w:line="127" w:lineRule="exact"/>
        <w:rPr>
          <w:sz w:val="20"/>
          <w:szCs w:val="20"/>
          <w:color w:val="auto"/>
        </w:rPr>
      </w:pPr>
    </w:p>
    <w:p>
      <w:pPr>
        <w:ind w:right="20" w:firstLine="401"/>
        <w:spacing w:after="0" w:line="265" w:lineRule="auto"/>
        <w:rPr>
          <w:sz w:val="20"/>
          <w:szCs w:val="20"/>
          <w:color w:val="auto"/>
        </w:rPr>
      </w:pPr>
      <w:r>
        <w:rPr>
          <w:rFonts w:ascii="Arial" w:cs="Arial" w:eastAsia="Arial" w:hAnsi="Arial"/>
          <w:sz w:val="17"/>
          <w:szCs w:val="17"/>
          <w:color w:val="auto"/>
        </w:rPr>
        <w:t>The following table summarizes all of the stock options exercised during fiscal 2021, restricted stock units vested during fiscal 2021 and performance share awards that were paid out or deferred by our named executive officers for the fiscal 2019 to fiscal 2021 performance period.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5660" w:type="dxa"/>
            <w:vAlign w:val="bottom"/>
            <w:shd w:val="clear" w:color="auto" w:fill="C00000"/>
          </w:tcPr>
          <w:p>
            <w:pPr>
              <w:spacing w:after="0"/>
              <w:rPr>
                <w:sz w:val="23"/>
                <w:szCs w:val="23"/>
                <w:color w:val="auto"/>
              </w:rPr>
            </w:pPr>
          </w:p>
        </w:tc>
        <w:tc>
          <w:tcPr>
            <w:tcW w:w="2960" w:type="dxa"/>
            <w:vAlign w:val="bottom"/>
            <w:gridSpan w:val="2"/>
            <w:shd w:val="clear" w:color="auto" w:fill="C00000"/>
          </w:tcPr>
          <w:p>
            <w:pPr>
              <w:jc w:val="right"/>
              <w:ind w:right="869"/>
              <w:spacing w:after="0"/>
              <w:rPr>
                <w:sz w:val="20"/>
                <w:szCs w:val="20"/>
                <w:color w:val="auto"/>
              </w:rPr>
            </w:pPr>
            <w:r>
              <w:rPr>
                <w:rFonts w:ascii="Arial" w:cs="Arial" w:eastAsia="Arial" w:hAnsi="Arial"/>
                <w:sz w:val="14"/>
                <w:szCs w:val="14"/>
                <w:b w:val="1"/>
                <w:bCs w:val="1"/>
                <w:color w:val="FFFFFF"/>
              </w:rPr>
              <w:t>Option Awards</w:t>
            </w:r>
            <w:r>
              <w:rPr>
                <w:rFonts w:ascii="Arial" w:cs="Arial" w:eastAsia="Arial" w:hAnsi="Arial"/>
                <w:sz w:val="24"/>
                <w:szCs w:val="24"/>
                <w:b w:val="1"/>
                <w:bCs w:val="1"/>
                <w:color w:val="FFFFFF"/>
                <w:vertAlign w:val="superscript"/>
              </w:rPr>
              <w:t>(1)</w:t>
            </w:r>
          </w:p>
        </w:tc>
        <w:tc>
          <w:tcPr>
            <w:tcW w:w="2620" w:type="dxa"/>
            <w:vAlign w:val="bottom"/>
            <w:gridSpan w:val="2"/>
            <w:shd w:val="clear" w:color="auto" w:fill="C00000"/>
          </w:tcPr>
          <w:p>
            <w:pPr>
              <w:jc w:val="right"/>
              <w:ind w:right="729"/>
              <w:spacing w:after="0"/>
              <w:rPr>
                <w:sz w:val="20"/>
                <w:szCs w:val="20"/>
                <w:color w:val="auto"/>
              </w:rPr>
            </w:pPr>
            <w:r>
              <w:rPr>
                <w:rFonts w:ascii="Arial" w:cs="Arial" w:eastAsia="Arial" w:hAnsi="Arial"/>
                <w:sz w:val="14"/>
                <w:szCs w:val="14"/>
                <w:b w:val="1"/>
                <w:bCs w:val="1"/>
                <w:color w:val="FFFFFF"/>
              </w:rPr>
              <w:t>Stock Awards</w:t>
            </w:r>
            <w:r>
              <w:rPr>
                <w:rFonts w:ascii="Arial" w:cs="Arial" w:eastAsia="Arial" w:hAnsi="Arial"/>
                <w:sz w:val="24"/>
                <w:szCs w:val="24"/>
                <w:b w:val="1"/>
                <w:bCs w:val="1"/>
                <w:color w:val="FFFFFF"/>
                <w:vertAlign w:val="superscript"/>
              </w:rPr>
              <w:t>(2)</w:t>
            </w:r>
          </w:p>
        </w:tc>
      </w:tr>
      <w:tr>
        <w:trPr>
          <w:trHeight w:val="173"/>
        </w:trPr>
        <w:tc>
          <w:tcPr>
            <w:tcW w:w="5660" w:type="dxa"/>
            <w:vAlign w:val="bottom"/>
            <w:shd w:val="clear" w:color="auto" w:fill="C00000"/>
          </w:tcPr>
          <w:p>
            <w:pPr>
              <w:spacing w:after="0"/>
              <w:rPr>
                <w:sz w:val="15"/>
                <w:szCs w:val="15"/>
                <w:color w:val="auto"/>
              </w:rPr>
            </w:pPr>
          </w:p>
        </w:tc>
        <w:tc>
          <w:tcPr>
            <w:tcW w:w="15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w w:val="99"/>
              </w:rPr>
              <w:t>Number of</w:t>
            </w:r>
          </w:p>
        </w:tc>
        <w:tc>
          <w:tcPr>
            <w:tcW w:w="1420" w:type="dxa"/>
            <w:vAlign w:val="bottom"/>
            <w:shd w:val="clear" w:color="auto" w:fill="C00000"/>
          </w:tcPr>
          <w:p>
            <w:pPr>
              <w:spacing w:after="0"/>
              <w:rPr>
                <w:sz w:val="15"/>
                <w:szCs w:val="15"/>
                <w:color w:val="auto"/>
              </w:rPr>
            </w:pPr>
          </w:p>
        </w:tc>
        <w:tc>
          <w:tcPr>
            <w:tcW w:w="1400" w:type="dxa"/>
            <w:vAlign w:val="bottom"/>
            <w:shd w:val="clear" w:color="auto" w:fill="C00000"/>
          </w:tcPr>
          <w:p>
            <w:pPr>
              <w:jc w:val="center"/>
              <w:ind w:right="189"/>
              <w:spacing w:after="0"/>
              <w:rPr>
                <w:sz w:val="20"/>
                <w:szCs w:val="20"/>
                <w:color w:val="auto"/>
              </w:rPr>
            </w:pPr>
            <w:r>
              <w:rPr>
                <w:rFonts w:ascii="Arial" w:cs="Arial" w:eastAsia="Arial" w:hAnsi="Arial"/>
                <w:sz w:val="14"/>
                <w:szCs w:val="14"/>
                <w:b w:val="1"/>
                <w:bCs w:val="1"/>
                <w:color w:val="FFFFFF"/>
                <w:w w:val="99"/>
              </w:rPr>
              <w:t>Number of</w:t>
            </w:r>
          </w:p>
        </w:tc>
        <w:tc>
          <w:tcPr>
            <w:tcW w:w="1220" w:type="dxa"/>
            <w:vAlign w:val="bottom"/>
            <w:shd w:val="clear" w:color="auto" w:fill="C00000"/>
          </w:tcPr>
          <w:p>
            <w:pPr>
              <w:spacing w:after="0"/>
              <w:rPr>
                <w:sz w:val="15"/>
                <w:szCs w:val="15"/>
                <w:color w:val="auto"/>
              </w:rPr>
            </w:pPr>
          </w:p>
        </w:tc>
      </w:tr>
      <w:tr>
        <w:trPr>
          <w:trHeight w:val="160"/>
        </w:trPr>
        <w:tc>
          <w:tcPr>
            <w:tcW w:w="5660" w:type="dxa"/>
            <w:vAlign w:val="bottom"/>
            <w:shd w:val="clear" w:color="auto" w:fill="C00000"/>
          </w:tcPr>
          <w:p>
            <w:pPr>
              <w:spacing w:after="0"/>
              <w:rPr>
                <w:sz w:val="13"/>
                <w:szCs w:val="13"/>
                <w:color w:val="auto"/>
              </w:rPr>
            </w:pPr>
          </w:p>
        </w:tc>
        <w:tc>
          <w:tcPr>
            <w:tcW w:w="1540" w:type="dxa"/>
            <w:vAlign w:val="bottom"/>
            <w:shd w:val="clear" w:color="auto" w:fill="C00000"/>
          </w:tcPr>
          <w:p>
            <w:pPr>
              <w:jc w:val="center"/>
              <w:spacing w:after="0" w:line="159" w:lineRule="exact"/>
              <w:rPr>
                <w:sz w:val="20"/>
                <w:szCs w:val="20"/>
                <w:color w:val="auto"/>
              </w:rPr>
            </w:pPr>
            <w:r>
              <w:rPr>
                <w:rFonts w:ascii="Arial" w:cs="Arial" w:eastAsia="Arial" w:hAnsi="Arial"/>
                <w:sz w:val="14"/>
                <w:szCs w:val="14"/>
                <w:b w:val="1"/>
                <w:bCs w:val="1"/>
                <w:color w:val="FFFFFF"/>
                <w:w w:val="98"/>
              </w:rPr>
              <w:t>Shares</w:t>
            </w:r>
          </w:p>
        </w:tc>
        <w:tc>
          <w:tcPr>
            <w:tcW w:w="1420" w:type="dxa"/>
            <w:vAlign w:val="bottom"/>
            <w:shd w:val="clear" w:color="auto" w:fill="C00000"/>
          </w:tcPr>
          <w:p>
            <w:pPr>
              <w:jc w:val="center"/>
              <w:ind w:right="149"/>
              <w:spacing w:after="0" w:line="159" w:lineRule="exact"/>
              <w:rPr>
                <w:sz w:val="20"/>
                <w:szCs w:val="20"/>
                <w:color w:val="auto"/>
              </w:rPr>
            </w:pPr>
            <w:r>
              <w:rPr>
                <w:rFonts w:ascii="Arial" w:cs="Arial" w:eastAsia="Arial" w:hAnsi="Arial"/>
                <w:sz w:val="14"/>
                <w:szCs w:val="14"/>
                <w:b w:val="1"/>
                <w:bCs w:val="1"/>
                <w:color w:val="FFFFFF"/>
                <w:w w:val="96"/>
              </w:rPr>
              <w:t>Value</w:t>
            </w:r>
          </w:p>
        </w:tc>
        <w:tc>
          <w:tcPr>
            <w:tcW w:w="1400" w:type="dxa"/>
            <w:vAlign w:val="bottom"/>
            <w:shd w:val="clear" w:color="auto" w:fill="C00000"/>
          </w:tcPr>
          <w:p>
            <w:pPr>
              <w:jc w:val="center"/>
              <w:ind w:right="169"/>
              <w:spacing w:after="0" w:line="159" w:lineRule="exact"/>
              <w:rPr>
                <w:sz w:val="20"/>
                <w:szCs w:val="20"/>
                <w:color w:val="auto"/>
              </w:rPr>
            </w:pPr>
            <w:r>
              <w:rPr>
                <w:rFonts w:ascii="Arial" w:cs="Arial" w:eastAsia="Arial" w:hAnsi="Arial"/>
                <w:sz w:val="14"/>
                <w:szCs w:val="14"/>
                <w:b w:val="1"/>
                <w:bCs w:val="1"/>
                <w:color w:val="FFFFFF"/>
              </w:rPr>
              <w:t>Shares</w:t>
            </w:r>
          </w:p>
        </w:tc>
        <w:tc>
          <w:tcPr>
            <w:tcW w:w="1220" w:type="dxa"/>
            <w:vAlign w:val="bottom"/>
            <w:shd w:val="clear" w:color="auto" w:fill="C00000"/>
          </w:tcPr>
          <w:p>
            <w:pPr>
              <w:jc w:val="center"/>
              <w:spacing w:after="0" w:line="159" w:lineRule="exact"/>
              <w:rPr>
                <w:sz w:val="20"/>
                <w:szCs w:val="20"/>
                <w:color w:val="auto"/>
              </w:rPr>
            </w:pPr>
            <w:r>
              <w:rPr>
                <w:rFonts w:ascii="Arial" w:cs="Arial" w:eastAsia="Arial" w:hAnsi="Arial"/>
                <w:sz w:val="14"/>
                <w:szCs w:val="14"/>
                <w:b w:val="1"/>
                <w:bCs w:val="1"/>
                <w:color w:val="FFFFFF"/>
                <w:w w:val="96"/>
              </w:rPr>
              <w:t>Value</w:t>
            </w:r>
          </w:p>
        </w:tc>
      </w:tr>
      <w:tr>
        <w:trPr>
          <w:trHeight w:val="160"/>
        </w:trPr>
        <w:tc>
          <w:tcPr>
            <w:tcW w:w="5660" w:type="dxa"/>
            <w:vAlign w:val="bottom"/>
            <w:shd w:val="clear" w:color="auto" w:fill="C00000"/>
          </w:tcPr>
          <w:p>
            <w:pPr>
              <w:spacing w:after="0"/>
              <w:rPr>
                <w:sz w:val="13"/>
                <w:szCs w:val="13"/>
                <w:color w:val="auto"/>
              </w:rPr>
            </w:pPr>
          </w:p>
        </w:tc>
        <w:tc>
          <w:tcPr>
            <w:tcW w:w="1540" w:type="dxa"/>
            <w:vAlign w:val="bottom"/>
            <w:shd w:val="clear" w:color="auto" w:fill="C00000"/>
          </w:tcPr>
          <w:p>
            <w:pPr>
              <w:jc w:val="center"/>
              <w:spacing w:after="0" w:line="159" w:lineRule="exact"/>
              <w:rPr>
                <w:sz w:val="20"/>
                <w:szCs w:val="20"/>
                <w:color w:val="auto"/>
              </w:rPr>
            </w:pPr>
            <w:r>
              <w:rPr>
                <w:rFonts w:ascii="Arial" w:cs="Arial" w:eastAsia="Arial" w:hAnsi="Arial"/>
                <w:sz w:val="14"/>
                <w:szCs w:val="14"/>
                <w:b w:val="1"/>
                <w:bCs w:val="1"/>
                <w:color w:val="FFFFFF"/>
              </w:rPr>
              <w:t>Acquired</w:t>
            </w:r>
          </w:p>
        </w:tc>
        <w:tc>
          <w:tcPr>
            <w:tcW w:w="1420" w:type="dxa"/>
            <w:vAlign w:val="bottom"/>
            <w:shd w:val="clear" w:color="auto" w:fill="C00000"/>
          </w:tcPr>
          <w:p>
            <w:pPr>
              <w:jc w:val="center"/>
              <w:ind w:right="149"/>
              <w:spacing w:after="0" w:line="159" w:lineRule="exact"/>
              <w:rPr>
                <w:sz w:val="20"/>
                <w:szCs w:val="20"/>
                <w:color w:val="auto"/>
              </w:rPr>
            </w:pPr>
            <w:r>
              <w:rPr>
                <w:rFonts w:ascii="Arial" w:cs="Arial" w:eastAsia="Arial" w:hAnsi="Arial"/>
                <w:sz w:val="14"/>
                <w:szCs w:val="14"/>
                <w:b w:val="1"/>
                <w:bCs w:val="1"/>
                <w:color w:val="FFFFFF"/>
                <w:w w:val="98"/>
              </w:rPr>
              <w:t>Realized</w:t>
            </w:r>
          </w:p>
        </w:tc>
        <w:tc>
          <w:tcPr>
            <w:tcW w:w="1400" w:type="dxa"/>
            <w:vAlign w:val="bottom"/>
            <w:shd w:val="clear" w:color="auto" w:fill="C00000"/>
          </w:tcPr>
          <w:p>
            <w:pPr>
              <w:jc w:val="center"/>
              <w:ind w:right="189"/>
              <w:spacing w:after="0" w:line="159" w:lineRule="exact"/>
              <w:rPr>
                <w:sz w:val="20"/>
                <w:szCs w:val="20"/>
                <w:color w:val="auto"/>
              </w:rPr>
            </w:pPr>
            <w:r>
              <w:rPr>
                <w:rFonts w:ascii="Arial" w:cs="Arial" w:eastAsia="Arial" w:hAnsi="Arial"/>
                <w:sz w:val="14"/>
                <w:szCs w:val="14"/>
                <w:b w:val="1"/>
                <w:bCs w:val="1"/>
                <w:color w:val="FFFFFF"/>
              </w:rPr>
              <w:t>Acquired</w:t>
            </w:r>
          </w:p>
        </w:tc>
        <w:tc>
          <w:tcPr>
            <w:tcW w:w="1220" w:type="dxa"/>
            <w:vAlign w:val="bottom"/>
            <w:shd w:val="clear" w:color="auto" w:fill="C00000"/>
          </w:tcPr>
          <w:p>
            <w:pPr>
              <w:jc w:val="center"/>
              <w:spacing w:after="0" w:line="159" w:lineRule="exact"/>
              <w:rPr>
                <w:sz w:val="20"/>
                <w:szCs w:val="20"/>
                <w:color w:val="auto"/>
              </w:rPr>
            </w:pPr>
            <w:r>
              <w:rPr>
                <w:rFonts w:ascii="Arial" w:cs="Arial" w:eastAsia="Arial" w:hAnsi="Arial"/>
                <w:sz w:val="14"/>
                <w:szCs w:val="14"/>
                <w:b w:val="1"/>
                <w:bCs w:val="1"/>
                <w:color w:val="FFFFFF"/>
              </w:rPr>
              <w:t>Realized on</w:t>
            </w:r>
          </w:p>
        </w:tc>
      </w:tr>
      <w:tr>
        <w:trPr>
          <w:trHeight w:val="160"/>
        </w:trPr>
        <w:tc>
          <w:tcPr>
            <w:tcW w:w="5660" w:type="dxa"/>
            <w:vAlign w:val="bottom"/>
            <w:shd w:val="clear" w:color="auto" w:fill="C00000"/>
          </w:tcPr>
          <w:p>
            <w:pPr>
              <w:spacing w:after="0"/>
              <w:rPr>
                <w:sz w:val="13"/>
                <w:szCs w:val="13"/>
                <w:color w:val="auto"/>
              </w:rPr>
            </w:pPr>
          </w:p>
        </w:tc>
        <w:tc>
          <w:tcPr>
            <w:tcW w:w="1540" w:type="dxa"/>
            <w:vAlign w:val="bottom"/>
            <w:shd w:val="clear" w:color="auto" w:fill="C00000"/>
          </w:tcPr>
          <w:p>
            <w:pPr>
              <w:jc w:val="center"/>
              <w:spacing w:after="0" w:line="159" w:lineRule="exact"/>
              <w:rPr>
                <w:sz w:val="20"/>
                <w:szCs w:val="20"/>
                <w:color w:val="auto"/>
              </w:rPr>
            </w:pPr>
            <w:r>
              <w:rPr>
                <w:rFonts w:ascii="Arial" w:cs="Arial" w:eastAsia="Arial" w:hAnsi="Arial"/>
                <w:sz w:val="14"/>
                <w:szCs w:val="14"/>
                <w:b w:val="1"/>
                <w:bCs w:val="1"/>
                <w:color w:val="FFFFFF"/>
              </w:rPr>
              <w:t>On Exercise</w:t>
            </w:r>
          </w:p>
        </w:tc>
        <w:tc>
          <w:tcPr>
            <w:tcW w:w="1420" w:type="dxa"/>
            <w:vAlign w:val="bottom"/>
            <w:shd w:val="clear" w:color="auto" w:fill="C00000"/>
          </w:tcPr>
          <w:p>
            <w:pPr>
              <w:jc w:val="center"/>
              <w:ind w:right="169"/>
              <w:spacing w:after="0" w:line="159" w:lineRule="exact"/>
              <w:rPr>
                <w:sz w:val="20"/>
                <w:szCs w:val="20"/>
                <w:color w:val="auto"/>
              </w:rPr>
            </w:pPr>
            <w:r>
              <w:rPr>
                <w:rFonts w:ascii="Arial" w:cs="Arial" w:eastAsia="Arial" w:hAnsi="Arial"/>
                <w:sz w:val="14"/>
                <w:szCs w:val="14"/>
                <w:b w:val="1"/>
                <w:bCs w:val="1"/>
                <w:color w:val="FFFFFF"/>
              </w:rPr>
              <w:t>On Exercise</w:t>
            </w:r>
          </w:p>
        </w:tc>
        <w:tc>
          <w:tcPr>
            <w:tcW w:w="1400" w:type="dxa"/>
            <w:vAlign w:val="bottom"/>
            <w:shd w:val="clear" w:color="auto" w:fill="C00000"/>
          </w:tcPr>
          <w:p>
            <w:pPr>
              <w:jc w:val="center"/>
              <w:ind w:right="169"/>
              <w:spacing w:after="0" w:line="159" w:lineRule="exact"/>
              <w:rPr>
                <w:sz w:val="20"/>
                <w:szCs w:val="20"/>
                <w:color w:val="auto"/>
              </w:rPr>
            </w:pPr>
            <w:r>
              <w:rPr>
                <w:rFonts w:ascii="Arial" w:cs="Arial" w:eastAsia="Arial" w:hAnsi="Arial"/>
                <w:sz w:val="14"/>
                <w:szCs w:val="14"/>
                <w:b w:val="1"/>
                <w:bCs w:val="1"/>
                <w:color w:val="FFFFFF"/>
              </w:rPr>
              <w:t>on Vesting</w:t>
            </w:r>
          </w:p>
        </w:tc>
        <w:tc>
          <w:tcPr>
            <w:tcW w:w="1220" w:type="dxa"/>
            <w:vAlign w:val="bottom"/>
            <w:shd w:val="clear" w:color="auto" w:fill="C00000"/>
          </w:tcPr>
          <w:p>
            <w:pPr>
              <w:jc w:val="center"/>
              <w:ind w:right="9"/>
              <w:spacing w:after="0" w:line="159" w:lineRule="exact"/>
              <w:rPr>
                <w:sz w:val="20"/>
                <w:szCs w:val="20"/>
                <w:color w:val="auto"/>
              </w:rPr>
            </w:pPr>
            <w:r>
              <w:rPr>
                <w:rFonts w:ascii="Arial" w:cs="Arial" w:eastAsia="Arial" w:hAnsi="Arial"/>
                <w:sz w:val="14"/>
                <w:szCs w:val="14"/>
                <w:b w:val="1"/>
                <w:bCs w:val="1"/>
                <w:color w:val="FFFFFF"/>
                <w:w w:val="98"/>
              </w:rPr>
              <w:t>Vesting</w:t>
            </w:r>
          </w:p>
        </w:tc>
      </w:tr>
      <w:tr>
        <w:trPr>
          <w:trHeight w:val="173"/>
        </w:trPr>
        <w:tc>
          <w:tcPr>
            <w:tcW w:w="566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Name</w:t>
            </w:r>
          </w:p>
        </w:tc>
        <w:tc>
          <w:tcPr>
            <w:tcW w:w="15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w:t>
            </w:r>
          </w:p>
        </w:tc>
        <w:tc>
          <w:tcPr>
            <w:tcW w:w="1420" w:type="dxa"/>
            <w:vAlign w:val="bottom"/>
            <w:shd w:val="clear" w:color="auto" w:fill="C00000"/>
          </w:tcPr>
          <w:p>
            <w:pPr>
              <w:jc w:val="center"/>
              <w:ind w:right="149"/>
              <w:spacing w:after="0"/>
              <w:rPr>
                <w:sz w:val="20"/>
                <w:szCs w:val="20"/>
                <w:color w:val="auto"/>
              </w:rPr>
            </w:pPr>
            <w:r>
              <w:rPr>
                <w:rFonts w:ascii="Arial" w:cs="Arial" w:eastAsia="Arial" w:hAnsi="Arial"/>
                <w:sz w:val="14"/>
                <w:szCs w:val="14"/>
                <w:b w:val="1"/>
                <w:bCs w:val="1"/>
                <w:color w:val="FFFFFF"/>
                <w:w w:val="93"/>
              </w:rPr>
              <w:t>($)</w:t>
            </w:r>
          </w:p>
        </w:tc>
        <w:tc>
          <w:tcPr>
            <w:tcW w:w="1400" w:type="dxa"/>
            <w:vAlign w:val="bottom"/>
            <w:shd w:val="clear" w:color="auto" w:fill="C00000"/>
          </w:tcPr>
          <w:p>
            <w:pPr>
              <w:jc w:val="center"/>
              <w:ind w:right="189"/>
              <w:spacing w:after="0"/>
              <w:rPr>
                <w:sz w:val="20"/>
                <w:szCs w:val="20"/>
                <w:color w:val="auto"/>
              </w:rPr>
            </w:pPr>
            <w:r>
              <w:rPr>
                <w:rFonts w:ascii="Arial" w:cs="Arial" w:eastAsia="Arial" w:hAnsi="Arial"/>
                <w:sz w:val="14"/>
                <w:szCs w:val="14"/>
                <w:b w:val="1"/>
                <w:bCs w:val="1"/>
                <w:color w:val="FFFFFF"/>
              </w:rPr>
              <w:t>(#)</w:t>
            </w:r>
          </w:p>
        </w:tc>
        <w:tc>
          <w:tcPr>
            <w:tcW w:w="12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w w:val="93"/>
              </w:rPr>
              <w:t>($)</w:t>
            </w:r>
          </w:p>
        </w:tc>
      </w:tr>
      <w:tr>
        <w:trPr>
          <w:trHeight w:val="202"/>
        </w:trPr>
        <w:tc>
          <w:tcPr>
            <w:tcW w:w="5660" w:type="dxa"/>
            <w:vAlign w:val="bottom"/>
          </w:tcPr>
          <w:p>
            <w:pPr>
              <w:spacing w:after="0"/>
              <w:rPr>
                <w:sz w:val="20"/>
                <w:szCs w:val="20"/>
                <w:color w:val="auto"/>
              </w:rPr>
            </w:pPr>
            <w:r>
              <w:rPr>
                <w:rFonts w:ascii="Arial" w:cs="Arial" w:eastAsia="Arial" w:hAnsi="Arial"/>
                <w:sz w:val="14"/>
                <w:szCs w:val="14"/>
                <w:color w:val="auto"/>
              </w:rPr>
              <w:t>Richard M. Olson</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3"/>
        </w:trPr>
        <w:tc>
          <w:tcPr>
            <w:tcW w:w="5660" w:type="dxa"/>
            <w:vAlign w:val="bottom"/>
          </w:tcPr>
          <w:p>
            <w:pPr>
              <w:ind w:left="240"/>
              <w:spacing w:after="0"/>
              <w:rPr>
                <w:sz w:val="20"/>
                <w:szCs w:val="20"/>
                <w:color w:val="auto"/>
              </w:rPr>
            </w:pPr>
            <w:r>
              <w:rPr>
                <w:rFonts w:ascii="Arial" w:cs="Arial" w:eastAsia="Arial" w:hAnsi="Arial"/>
                <w:sz w:val="14"/>
                <w:szCs w:val="14"/>
                <w:color w:val="auto"/>
              </w:rPr>
              <w:t>Stock Option Exercises</w:t>
            </w:r>
          </w:p>
        </w:tc>
        <w:tc>
          <w:tcPr>
            <w:tcW w:w="1540" w:type="dxa"/>
            <w:vAlign w:val="bottom"/>
          </w:tcPr>
          <w:p>
            <w:pPr>
              <w:jc w:val="right"/>
              <w:ind w:right="109"/>
              <w:spacing w:after="0"/>
              <w:rPr>
                <w:sz w:val="20"/>
                <w:szCs w:val="20"/>
                <w:color w:val="auto"/>
              </w:rPr>
            </w:pPr>
            <w:r>
              <w:rPr>
                <w:rFonts w:ascii="Arial" w:cs="Arial" w:eastAsia="Arial" w:hAnsi="Arial"/>
                <w:sz w:val="14"/>
                <w:szCs w:val="14"/>
                <w:color w:val="auto"/>
              </w:rPr>
              <w:t>14,000</w:t>
            </w:r>
          </w:p>
        </w:tc>
        <w:tc>
          <w:tcPr>
            <w:tcW w:w="1420" w:type="dxa"/>
            <w:vAlign w:val="bottom"/>
          </w:tcPr>
          <w:p>
            <w:pPr>
              <w:jc w:val="right"/>
              <w:ind w:right="129"/>
              <w:spacing w:after="0"/>
              <w:rPr>
                <w:sz w:val="20"/>
                <w:szCs w:val="20"/>
                <w:color w:val="auto"/>
              </w:rPr>
            </w:pPr>
            <w:r>
              <w:rPr>
                <w:rFonts w:ascii="Arial" w:cs="Arial" w:eastAsia="Arial" w:hAnsi="Arial"/>
                <w:sz w:val="14"/>
                <w:szCs w:val="14"/>
                <w:color w:val="auto"/>
              </w:rPr>
              <w:t>1,234,985</w:t>
            </w:r>
          </w:p>
        </w:tc>
        <w:tc>
          <w:tcPr>
            <w:tcW w:w="14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8"/>
        </w:trPr>
        <w:tc>
          <w:tcPr>
            <w:tcW w:w="5660" w:type="dxa"/>
            <w:vAlign w:val="bottom"/>
          </w:tcPr>
          <w:p>
            <w:pPr>
              <w:ind w:left="240"/>
              <w:spacing w:after="0"/>
              <w:rPr>
                <w:sz w:val="20"/>
                <w:szCs w:val="20"/>
                <w:color w:val="auto"/>
              </w:rPr>
            </w:pPr>
            <w:r>
              <w:rPr>
                <w:rFonts w:ascii="Arial" w:cs="Arial" w:eastAsia="Arial" w:hAnsi="Arial"/>
                <w:sz w:val="14"/>
                <w:szCs w:val="14"/>
                <w:color w:val="auto"/>
              </w:rPr>
              <w:t>F’19-F’21 Performance Share Award Payout</w:t>
            </w:r>
          </w:p>
        </w:tc>
        <w:tc>
          <w:tcPr>
            <w:tcW w:w="1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0" w:type="dxa"/>
            <w:vAlign w:val="bottom"/>
          </w:tcPr>
          <w:p>
            <w:pPr>
              <w:jc w:val="right"/>
              <w:ind w:right="129"/>
              <w:spacing w:after="0"/>
              <w:rPr>
                <w:sz w:val="20"/>
                <w:szCs w:val="20"/>
                <w:color w:val="auto"/>
              </w:rPr>
            </w:pPr>
            <w:r>
              <w:rPr>
                <w:rFonts w:ascii="Arial" w:cs="Arial" w:eastAsia="Arial" w:hAnsi="Arial"/>
                <w:sz w:val="14"/>
                <w:szCs w:val="14"/>
                <w:color w:val="auto"/>
              </w:rPr>
              <w:t>23,685</w:t>
            </w:r>
          </w:p>
        </w:tc>
        <w:tc>
          <w:tcPr>
            <w:tcW w:w="1220" w:type="dxa"/>
            <w:vAlign w:val="bottom"/>
          </w:tcPr>
          <w:p>
            <w:pPr>
              <w:jc w:val="right"/>
              <w:spacing w:after="0"/>
              <w:rPr>
                <w:sz w:val="20"/>
                <w:szCs w:val="20"/>
                <w:color w:val="auto"/>
              </w:rPr>
            </w:pPr>
            <w:r>
              <w:rPr>
                <w:rFonts w:ascii="Arial" w:cs="Arial" w:eastAsia="Arial" w:hAnsi="Arial"/>
                <w:sz w:val="14"/>
                <w:szCs w:val="14"/>
                <w:color w:val="auto"/>
              </w:rPr>
              <w:t>2,321,841</w:t>
            </w:r>
          </w:p>
        </w:tc>
      </w:tr>
      <w:tr>
        <w:trPr>
          <w:trHeight w:val="207"/>
        </w:trPr>
        <w:tc>
          <w:tcPr>
            <w:tcW w:w="5660" w:type="dxa"/>
            <w:vAlign w:val="bottom"/>
            <w:shd w:val="clear" w:color="auto" w:fill="D9D9D9"/>
          </w:tcPr>
          <w:p>
            <w:pPr>
              <w:spacing w:after="0"/>
              <w:rPr>
                <w:sz w:val="20"/>
                <w:szCs w:val="20"/>
                <w:color w:val="auto"/>
              </w:rPr>
            </w:pPr>
            <w:r>
              <w:rPr>
                <w:rFonts w:ascii="Arial" w:cs="Arial" w:eastAsia="Arial" w:hAnsi="Arial"/>
                <w:sz w:val="14"/>
                <w:szCs w:val="14"/>
                <w:color w:val="auto"/>
              </w:rPr>
              <w:t>Renee J. Peterson</w:t>
            </w:r>
          </w:p>
        </w:tc>
        <w:tc>
          <w:tcPr>
            <w:tcW w:w="1540" w:type="dxa"/>
            <w:vAlign w:val="bottom"/>
            <w:shd w:val="clear" w:color="auto" w:fill="D9D9D9"/>
          </w:tcPr>
          <w:p>
            <w:pPr>
              <w:spacing w:after="0"/>
              <w:rPr>
                <w:sz w:val="18"/>
                <w:szCs w:val="18"/>
                <w:color w:val="auto"/>
              </w:rPr>
            </w:pPr>
          </w:p>
        </w:tc>
        <w:tc>
          <w:tcPr>
            <w:tcW w:w="1420" w:type="dxa"/>
            <w:vAlign w:val="bottom"/>
            <w:shd w:val="clear" w:color="auto" w:fill="D9D9D9"/>
          </w:tcPr>
          <w:p>
            <w:pPr>
              <w:spacing w:after="0"/>
              <w:rPr>
                <w:sz w:val="18"/>
                <w:szCs w:val="18"/>
                <w:color w:val="auto"/>
              </w:rPr>
            </w:pPr>
          </w:p>
        </w:tc>
        <w:tc>
          <w:tcPr>
            <w:tcW w:w="1400" w:type="dxa"/>
            <w:vAlign w:val="bottom"/>
            <w:shd w:val="clear" w:color="auto" w:fill="D9D9D9"/>
          </w:tcPr>
          <w:p>
            <w:pPr>
              <w:spacing w:after="0"/>
              <w:rPr>
                <w:sz w:val="18"/>
                <w:szCs w:val="18"/>
                <w:color w:val="auto"/>
              </w:rPr>
            </w:pPr>
          </w:p>
        </w:tc>
        <w:tc>
          <w:tcPr>
            <w:tcW w:w="1220" w:type="dxa"/>
            <w:vAlign w:val="bottom"/>
            <w:shd w:val="clear" w:color="auto" w:fill="D9D9D9"/>
          </w:tcPr>
          <w:p>
            <w:pPr>
              <w:spacing w:after="0"/>
              <w:rPr>
                <w:sz w:val="18"/>
                <w:szCs w:val="18"/>
                <w:color w:val="auto"/>
              </w:rPr>
            </w:pPr>
          </w:p>
        </w:tc>
      </w:tr>
      <w:tr>
        <w:trPr>
          <w:trHeight w:val="213"/>
        </w:trPr>
        <w:tc>
          <w:tcPr>
            <w:tcW w:w="5660" w:type="dxa"/>
            <w:vAlign w:val="bottom"/>
            <w:shd w:val="clear" w:color="auto" w:fill="D9D9D9"/>
          </w:tcPr>
          <w:p>
            <w:pPr>
              <w:ind w:left="240"/>
              <w:spacing w:after="0"/>
              <w:rPr>
                <w:sz w:val="20"/>
                <w:szCs w:val="20"/>
                <w:color w:val="auto"/>
              </w:rPr>
            </w:pPr>
            <w:r>
              <w:rPr>
                <w:rFonts w:ascii="Arial" w:cs="Arial" w:eastAsia="Arial" w:hAnsi="Arial"/>
                <w:sz w:val="14"/>
                <w:szCs w:val="14"/>
                <w:color w:val="auto"/>
              </w:rPr>
              <w:t>Stock Option Exercises</w:t>
            </w:r>
          </w:p>
        </w:tc>
        <w:tc>
          <w:tcPr>
            <w:tcW w:w="1540" w:type="dxa"/>
            <w:vAlign w:val="bottom"/>
            <w:shd w:val="clear" w:color="auto" w:fill="D9D9D9"/>
          </w:tcPr>
          <w:p>
            <w:pPr>
              <w:spacing w:after="0"/>
              <w:rPr>
                <w:sz w:val="18"/>
                <w:szCs w:val="18"/>
                <w:color w:val="auto"/>
              </w:rPr>
            </w:pPr>
          </w:p>
        </w:tc>
        <w:tc>
          <w:tcPr>
            <w:tcW w:w="1420" w:type="dxa"/>
            <w:vAlign w:val="bottom"/>
            <w:shd w:val="clear" w:color="auto" w:fill="D9D9D9"/>
          </w:tcPr>
          <w:p>
            <w:pPr>
              <w:spacing w:after="0"/>
              <w:rPr>
                <w:sz w:val="18"/>
                <w:szCs w:val="18"/>
                <w:color w:val="auto"/>
              </w:rPr>
            </w:pPr>
          </w:p>
        </w:tc>
        <w:tc>
          <w:tcPr>
            <w:tcW w:w="1400" w:type="dxa"/>
            <w:vAlign w:val="bottom"/>
            <w:shd w:val="clear" w:color="auto" w:fill="D9D9D9"/>
          </w:tcPr>
          <w:p>
            <w:pPr>
              <w:spacing w:after="0"/>
              <w:rPr>
                <w:sz w:val="18"/>
                <w:szCs w:val="18"/>
                <w:color w:val="auto"/>
              </w:rPr>
            </w:pPr>
          </w:p>
        </w:tc>
        <w:tc>
          <w:tcPr>
            <w:tcW w:w="1220" w:type="dxa"/>
            <w:vAlign w:val="bottom"/>
            <w:shd w:val="clear" w:color="auto" w:fill="D9D9D9"/>
          </w:tcPr>
          <w:p>
            <w:pPr>
              <w:spacing w:after="0"/>
              <w:rPr>
                <w:sz w:val="18"/>
                <w:szCs w:val="18"/>
                <w:color w:val="auto"/>
              </w:rPr>
            </w:pPr>
          </w:p>
        </w:tc>
      </w:tr>
      <w:tr>
        <w:trPr>
          <w:trHeight w:val="224"/>
        </w:trPr>
        <w:tc>
          <w:tcPr>
            <w:tcW w:w="5660" w:type="dxa"/>
            <w:vAlign w:val="bottom"/>
            <w:shd w:val="clear" w:color="auto" w:fill="D9D9D9"/>
          </w:tcPr>
          <w:p>
            <w:pPr>
              <w:ind w:left="240"/>
              <w:spacing w:after="0"/>
              <w:rPr>
                <w:sz w:val="20"/>
                <w:szCs w:val="20"/>
                <w:color w:val="auto"/>
              </w:rPr>
            </w:pPr>
            <w:r>
              <w:rPr>
                <w:rFonts w:ascii="Arial" w:cs="Arial" w:eastAsia="Arial" w:hAnsi="Arial"/>
                <w:sz w:val="14"/>
                <w:szCs w:val="14"/>
                <w:color w:val="auto"/>
              </w:rPr>
              <w:t>F’19-F’21 Performance Share Award Payout</w:t>
            </w:r>
          </w:p>
        </w:tc>
        <w:tc>
          <w:tcPr>
            <w:tcW w:w="1540" w:type="dxa"/>
            <w:vAlign w:val="bottom"/>
            <w:shd w:val="clear" w:color="auto" w:fill="D9D9D9"/>
          </w:tcPr>
          <w:p>
            <w:pPr>
              <w:spacing w:after="0"/>
              <w:rPr>
                <w:sz w:val="19"/>
                <w:szCs w:val="19"/>
                <w:color w:val="auto"/>
              </w:rPr>
            </w:pPr>
          </w:p>
        </w:tc>
        <w:tc>
          <w:tcPr>
            <w:tcW w:w="1420" w:type="dxa"/>
            <w:vAlign w:val="bottom"/>
            <w:shd w:val="clear" w:color="auto" w:fill="D9D9D9"/>
          </w:tcPr>
          <w:p>
            <w:pPr>
              <w:spacing w:after="0"/>
              <w:rPr>
                <w:sz w:val="19"/>
                <w:szCs w:val="19"/>
                <w:color w:val="auto"/>
              </w:rPr>
            </w:pPr>
          </w:p>
        </w:tc>
        <w:tc>
          <w:tcPr>
            <w:tcW w:w="1400" w:type="dxa"/>
            <w:vAlign w:val="bottom"/>
            <w:shd w:val="clear" w:color="auto" w:fill="D9D9D9"/>
          </w:tcPr>
          <w:p>
            <w:pPr>
              <w:jc w:val="right"/>
              <w:ind w:right="129"/>
              <w:spacing w:after="0"/>
              <w:rPr>
                <w:sz w:val="20"/>
                <w:szCs w:val="20"/>
                <w:color w:val="auto"/>
              </w:rPr>
            </w:pPr>
            <w:r>
              <w:rPr>
                <w:rFonts w:ascii="Arial" w:cs="Arial" w:eastAsia="Arial" w:hAnsi="Arial"/>
                <w:sz w:val="14"/>
                <w:szCs w:val="14"/>
                <w:color w:val="auto"/>
              </w:rPr>
              <w:t>5,773</w:t>
            </w: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565,927</w:t>
            </w:r>
          </w:p>
        </w:tc>
      </w:tr>
      <w:tr>
        <w:trPr>
          <w:trHeight w:val="202"/>
        </w:trPr>
        <w:tc>
          <w:tcPr>
            <w:tcW w:w="5660" w:type="dxa"/>
            <w:vAlign w:val="bottom"/>
          </w:tcPr>
          <w:p>
            <w:pPr>
              <w:spacing w:after="0"/>
              <w:rPr>
                <w:sz w:val="20"/>
                <w:szCs w:val="20"/>
                <w:color w:val="auto"/>
              </w:rPr>
            </w:pPr>
            <w:r>
              <w:rPr>
                <w:rFonts w:ascii="Arial" w:cs="Arial" w:eastAsia="Arial" w:hAnsi="Arial"/>
                <w:sz w:val="14"/>
                <w:szCs w:val="14"/>
                <w:color w:val="auto"/>
              </w:rPr>
              <w:t>Richard W. Rodier</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3"/>
        </w:trPr>
        <w:tc>
          <w:tcPr>
            <w:tcW w:w="5660" w:type="dxa"/>
            <w:vAlign w:val="bottom"/>
          </w:tcPr>
          <w:p>
            <w:pPr>
              <w:ind w:left="240"/>
              <w:spacing w:after="0"/>
              <w:rPr>
                <w:sz w:val="20"/>
                <w:szCs w:val="20"/>
                <w:color w:val="auto"/>
              </w:rPr>
            </w:pPr>
            <w:r>
              <w:rPr>
                <w:rFonts w:ascii="Arial" w:cs="Arial" w:eastAsia="Arial" w:hAnsi="Arial"/>
                <w:sz w:val="14"/>
                <w:szCs w:val="14"/>
                <w:color w:val="auto"/>
              </w:rPr>
              <w:t>Stock Option Exercises</w:t>
            </w:r>
          </w:p>
        </w:tc>
        <w:tc>
          <w:tcPr>
            <w:tcW w:w="1540" w:type="dxa"/>
            <w:vAlign w:val="bottom"/>
          </w:tcPr>
          <w:p>
            <w:pPr>
              <w:jc w:val="right"/>
              <w:ind w:right="109"/>
              <w:spacing w:after="0"/>
              <w:rPr>
                <w:sz w:val="20"/>
                <w:szCs w:val="20"/>
                <w:color w:val="auto"/>
              </w:rPr>
            </w:pPr>
            <w:r>
              <w:rPr>
                <w:rFonts w:ascii="Arial" w:cs="Arial" w:eastAsia="Arial" w:hAnsi="Arial"/>
                <w:sz w:val="14"/>
                <w:szCs w:val="14"/>
                <w:color w:val="auto"/>
              </w:rPr>
              <w:t>7,000</w:t>
            </w:r>
          </w:p>
        </w:tc>
        <w:tc>
          <w:tcPr>
            <w:tcW w:w="1420" w:type="dxa"/>
            <w:vAlign w:val="bottom"/>
          </w:tcPr>
          <w:p>
            <w:pPr>
              <w:jc w:val="right"/>
              <w:ind w:right="129"/>
              <w:spacing w:after="0"/>
              <w:rPr>
                <w:sz w:val="20"/>
                <w:szCs w:val="20"/>
                <w:color w:val="auto"/>
              </w:rPr>
            </w:pPr>
            <w:r>
              <w:rPr>
                <w:rFonts w:ascii="Arial" w:cs="Arial" w:eastAsia="Arial" w:hAnsi="Arial"/>
                <w:sz w:val="14"/>
                <w:szCs w:val="14"/>
                <w:color w:val="auto"/>
              </w:rPr>
              <w:t>593,146</w:t>
            </w:r>
          </w:p>
        </w:tc>
        <w:tc>
          <w:tcPr>
            <w:tcW w:w="14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3"/>
        </w:trPr>
        <w:tc>
          <w:tcPr>
            <w:tcW w:w="5660" w:type="dxa"/>
            <w:vAlign w:val="bottom"/>
          </w:tcPr>
          <w:p>
            <w:pPr>
              <w:ind w:left="240"/>
              <w:spacing w:after="0"/>
              <w:rPr>
                <w:sz w:val="20"/>
                <w:szCs w:val="20"/>
                <w:color w:val="auto"/>
              </w:rPr>
            </w:pPr>
            <w:r>
              <w:rPr>
                <w:rFonts w:ascii="Arial" w:cs="Arial" w:eastAsia="Arial" w:hAnsi="Arial"/>
                <w:sz w:val="14"/>
                <w:szCs w:val="14"/>
                <w:color w:val="auto"/>
              </w:rPr>
              <w:t>F’19-F’21 Performance Share Award Payout</w:t>
            </w:r>
          </w:p>
        </w:tc>
        <w:tc>
          <w:tcPr>
            <w:tcW w:w="1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0" w:type="dxa"/>
            <w:vAlign w:val="bottom"/>
          </w:tcPr>
          <w:p>
            <w:pPr>
              <w:jc w:val="right"/>
              <w:ind w:right="129"/>
              <w:spacing w:after="0"/>
              <w:rPr>
                <w:sz w:val="20"/>
                <w:szCs w:val="20"/>
                <w:color w:val="auto"/>
              </w:rPr>
            </w:pPr>
            <w:r>
              <w:rPr>
                <w:rFonts w:ascii="Arial" w:cs="Arial" w:eastAsia="Arial" w:hAnsi="Arial"/>
                <w:sz w:val="14"/>
                <w:szCs w:val="14"/>
                <w:color w:val="auto"/>
              </w:rPr>
              <w:t>1,554</w:t>
            </w:r>
          </w:p>
        </w:tc>
        <w:tc>
          <w:tcPr>
            <w:tcW w:w="1220" w:type="dxa"/>
            <w:vAlign w:val="bottom"/>
          </w:tcPr>
          <w:p>
            <w:pPr>
              <w:jc w:val="right"/>
              <w:spacing w:after="0"/>
              <w:rPr>
                <w:sz w:val="20"/>
                <w:szCs w:val="20"/>
                <w:color w:val="auto"/>
              </w:rPr>
            </w:pPr>
            <w:r>
              <w:rPr>
                <w:rFonts w:ascii="Arial" w:cs="Arial" w:eastAsia="Arial" w:hAnsi="Arial"/>
                <w:sz w:val="14"/>
                <w:szCs w:val="14"/>
                <w:color w:val="auto"/>
              </w:rPr>
              <w:t>152,339</w:t>
            </w:r>
          </w:p>
        </w:tc>
      </w:tr>
      <w:tr>
        <w:trPr>
          <w:trHeight w:val="218"/>
        </w:trPr>
        <w:tc>
          <w:tcPr>
            <w:tcW w:w="5660" w:type="dxa"/>
            <w:vAlign w:val="bottom"/>
          </w:tcPr>
          <w:p>
            <w:pPr>
              <w:ind w:left="240"/>
              <w:spacing w:after="0"/>
              <w:rPr>
                <w:sz w:val="20"/>
                <w:szCs w:val="20"/>
                <w:color w:val="auto"/>
              </w:rPr>
            </w:pPr>
            <w:r>
              <w:rPr>
                <w:rFonts w:ascii="Arial" w:cs="Arial" w:eastAsia="Arial" w:hAnsi="Arial"/>
                <w:sz w:val="14"/>
                <w:szCs w:val="14"/>
                <w:color w:val="auto"/>
              </w:rPr>
              <w:t>Restricted Stock Units</w:t>
            </w:r>
          </w:p>
        </w:tc>
        <w:tc>
          <w:tcPr>
            <w:tcW w:w="1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0" w:type="dxa"/>
            <w:vAlign w:val="bottom"/>
          </w:tcPr>
          <w:p>
            <w:pPr>
              <w:jc w:val="right"/>
              <w:ind w:right="129"/>
              <w:spacing w:after="0"/>
              <w:rPr>
                <w:sz w:val="20"/>
                <w:szCs w:val="20"/>
                <w:color w:val="auto"/>
              </w:rPr>
            </w:pPr>
            <w:r>
              <w:rPr>
                <w:rFonts w:ascii="Arial" w:cs="Arial" w:eastAsia="Arial" w:hAnsi="Arial"/>
                <w:sz w:val="14"/>
                <w:szCs w:val="14"/>
                <w:color w:val="auto"/>
              </w:rPr>
              <w:t>539</w:t>
            </w:r>
          </w:p>
        </w:tc>
        <w:tc>
          <w:tcPr>
            <w:tcW w:w="1220" w:type="dxa"/>
            <w:vAlign w:val="bottom"/>
          </w:tcPr>
          <w:p>
            <w:pPr>
              <w:jc w:val="right"/>
              <w:spacing w:after="0"/>
              <w:rPr>
                <w:sz w:val="20"/>
                <w:szCs w:val="20"/>
                <w:color w:val="auto"/>
              </w:rPr>
            </w:pPr>
            <w:r>
              <w:rPr>
                <w:rFonts w:ascii="Arial" w:cs="Arial" w:eastAsia="Arial" w:hAnsi="Arial"/>
                <w:sz w:val="14"/>
                <w:szCs w:val="14"/>
                <w:color w:val="auto"/>
              </w:rPr>
              <w:t>59,274</w:t>
            </w:r>
          </w:p>
        </w:tc>
      </w:tr>
      <w:tr>
        <w:trPr>
          <w:trHeight w:val="207"/>
        </w:trPr>
        <w:tc>
          <w:tcPr>
            <w:tcW w:w="5660" w:type="dxa"/>
            <w:vAlign w:val="bottom"/>
            <w:shd w:val="clear" w:color="auto" w:fill="D9D9D9"/>
          </w:tcPr>
          <w:p>
            <w:pPr>
              <w:spacing w:after="0"/>
              <w:rPr>
                <w:sz w:val="20"/>
                <w:szCs w:val="20"/>
                <w:color w:val="auto"/>
              </w:rPr>
            </w:pPr>
            <w:r>
              <w:rPr>
                <w:rFonts w:ascii="Arial" w:cs="Arial" w:eastAsia="Arial" w:hAnsi="Arial"/>
                <w:sz w:val="14"/>
                <w:szCs w:val="14"/>
                <w:color w:val="auto"/>
              </w:rPr>
              <w:t>Amy E. Dahl</w:t>
            </w:r>
          </w:p>
        </w:tc>
        <w:tc>
          <w:tcPr>
            <w:tcW w:w="1540" w:type="dxa"/>
            <w:vAlign w:val="bottom"/>
            <w:shd w:val="clear" w:color="auto" w:fill="D9D9D9"/>
          </w:tcPr>
          <w:p>
            <w:pPr>
              <w:spacing w:after="0"/>
              <w:rPr>
                <w:sz w:val="18"/>
                <w:szCs w:val="18"/>
                <w:color w:val="auto"/>
              </w:rPr>
            </w:pPr>
          </w:p>
        </w:tc>
        <w:tc>
          <w:tcPr>
            <w:tcW w:w="1420" w:type="dxa"/>
            <w:vAlign w:val="bottom"/>
            <w:shd w:val="clear" w:color="auto" w:fill="D9D9D9"/>
          </w:tcPr>
          <w:p>
            <w:pPr>
              <w:spacing w:after="0"/>
              <w:rPr>
                <w:sz w:val="18"/>
                <w:szCs w:val="18"/>
                <w:color w:val="auto"/>
              </w:rPr>
            </w:pPr>
          </w:p>
        </w:tc>
        <w:tc>
          <w:tcPr>
            <w:tcW w:w="1400" w:type="dxa"/>
            <w:vAlign w:val="bottom"/>
            <w:shd w:val="clear" w:color="auto" w:fill="D9D9D9"/>
          </w:tcPr>
          <w:p>
            <w:pPr>
              <w:spacing w:after="0"/>
              <w:rPr>
                <w:sz w:val="18"/>
                <w:szCs w:val="18"/>
                <w:color w:val="auto"/>
              </w:rPr>
            </w:pPr>
          </w:p>
        </w:tc>
        <w:tc>
          <w:tcPr>
            <w:tcW w:w="1220" w:type="dxa"/>
            <w:vAlign w:val="bottom"/>
            <w:shd w:val="clear" w:color="auto" w:fill="D9D9D9"/>
          </w:tcPr>
          <w:p>
            <w:pPr>
              <w:spacing w:after="0"/>
              <w:rPr>
                <w:sz w:val="18"/>
                <w:szCs w:val="18"/>
                <w:color w:val="auto"/>
              </w:rPr>
            </w:pPr>
          </w:p>
        </w:tc>
      </w:tr>
      <w:tr>
        <w:trPr>
          <w:trHeight w:val="213"/>
        </w:trPr>
        <w:tc>
          <w:tcPr>
            <w:tcW w:w="5660" w:type="dxa"/>
            <w:vAlign w:val="bottom"/>
            <w:shd w:val="clear" w:color="auto" w:fill="D9D9D9"/>
          </w:tcPr>
          <w:p>
            <w:pPr>
              <w:ind w:left="240"/>
              <w:spacing w:after="0"/>
              <w:rPr>
                <w:sz w:val="20"/>
                <w:szCs w:val="20"/>
                <w:color w:val="auto"/>
              </w:rPr>
            </w:pPr>
            <w:r>
              <w:rPr>
                <w:rFonts w:ascii="Arial" w:cs="Arial" w:eastAsia="Arial" w:hAnsi="Arial"/>
                <w:sz w:val="14"/>
                <w:szCs w:val="14"/>
                <w:color w:val="auto"/>
              </w:rPr>
              <w:t>Stock Option Exercises</w:t>
            </w:r>
          </w:p>
        </w:tc>
        <w:tc>
          <w:tcPr>
            <w:tcW w:w="1540" w:type="dxa"/>
            <w:vAlign w:val="bottom"/>
            <w:shd w:val="clear" w:color="auto" w:fill="D9D9D9"/>
          </w:tcPr>
          <w:p>
            <w:pPr>
              <w:spacing w:after="0"/>
              <w:rPr>
                <w:sz w:val="18"/>
                <w:szCs w:val="18"/>
                <w:color w:val="auto"/>
              </w:rPr>
            </w:pPr>
          </w:p>
        </w:tc>
        <w:tc>
          <w:tcPr>
            <w:tcW w:w="1420" w:type="dxa"/>
            <w:vAlign w:val="bottom"/>
            <w:shd w:val="clear" w:color="auto" w:fill="D9D9D9"/>
          </w:tcPr>
          <w:p>
            <w:pPr>
              <w:spacing w:after="0"/>
              <w:rPr>
                <w:sz w:val="18"/>
                <w:szCs w:val="18"/>
                <w:color w:val="auto"/>
              </w:rPr>
            </w:pPr>
          </w:p>
        </w:tc>
        <w:tc>
          <w:tcPr>
            <w:tcW w:w="1400" w:type="dxa"/>
            <w:vAlign w:val="bottom"/>
            <w:shd w:val="clear" w:color="auto" w:fill="D9D9D9"/>
          </w:tcPr>
          <w:p>
            <w:pPr>
              <w:spacing w:after="0"/>
              <w:rPr>
                <w:sz w:val="18"/>
                <w:szCs w:val="18"/>
                <w:color w:val="auto"/>
              </w:rPr>
            </w:pPr>
          </w:p>
        </w:tc>
        <w:tc>
          <w:tcPr>
            <w:tcW w:w="1220" w:type="dxa"/>
            <w:vAlign w:val="bottom"/>
            <w:shd w:val="clear" w:color="auto" w:fill="D9D9D9"/>
          </w:tcPr>
          <w:p>
            <w:pPr>
              <w:spacing w:after="0"/>
              <w:rPr>
                <w:sz w:val="18"/>
                <w:szCs w:val="18"/>
                <w:color w:val="auto"/>
              </w:rPr>
            </w:pPr>
          </w:p>
        </w:tc>
      </w:tr>
      <w:tr>
        <w:trPr>
          <w:trHeight w:val="224"/>
        </w:trPr>
        <w:tc>
          <w:tcPr>
            <w:tcW w:w="5660" w:type="dxa"/>
            <w:vAlign w:val="bottom"/>
            <w:shd w:val="clear" w:color="auto" w:fill="D9D9D9"/>
          </w:tcPr>
          <w:p>
            <w:pPr>
              <w:ind w:left="240"/>
              <w:spacing w:after="0"/>
              <w:rPr>
                <w:sz w:val="20"/>
                <w:szCs w:val="20"/>
                <w:color w:val="auto"/>
              </w:rPr>
            </w:pPr>
            <w:r>
              <w:rPr>
                <w:rFonts w:ascii="Arial" w:cs="Arial" w:eastAsia="Arial" w:hAnsi="Arial"/>
                <w:sz w:val="14"/>
                <w:szCs w:val="14"/>
                <w:color w:val="auto"/>
              </w:rPr>
              <w:t>F’19-F’21 Performance Share Award Payout</w:t>
            </w:r>
          </w:p>
        </w:tc>
        <w:tc>
          <w:tcPr>
            <w:tcW w:w="1540" w:type="dxa"/>
            <w:vAlign w:val="bottom"/>
            <w:shd w:val="clear" w:color="auto" w:fill="D9D9D9"/>
          </w:tcPr>
          <w:p>
            <w:pPr>
              <w:spacing w:after="0"/>
              <w:rPr>
                <w:sz w:val="19"/>
                <w:szCs w:val="19"/>
                <w:color w:val="auto"/>
              </w:rPr>
            </w:pPr>
          </w:p>
        </w:tc>
        <w:tc>
          <w:tcPr>
            <w:tcW w:w="1420" w:type="dxa"/>
            <w:vAlign w:val="bottom"/>
            <w:shd w:val="clear" w:color="auto" w:fill="D9D9D9"/>
          </w:tcPr>
          <w:p>
            <w:pPr>
              <w:spacing w:after="0"/>
              <w:rPr>
                <w:sz w:val="19"/>
                <w:szCs w:val="19"/>
                <w:color w:val="auto"/>
              </w:rPr>
            </w:pPr>
          </w:p>
        </w:tc>
        <w:tc>
          <w:tcPr>
            <w:tcW w:w="1400" w:type="dxa"/>
            <w:vAlign w:val="bottom"/>
            <w:shd w:val="clear" w:color="auto" w:fill="D9D9D9"/>
          </w:tcPr>
          <w:p>
            <w:pPr>
              <w:jc w:val="right"/>
              <w:ind w:right="129"/>
              <w:spacing w:after="0"/>
              <w:rPr>
                <w:sz w:val="20"/>
                <w:szCs w:val="20"/>
                <w:color w:val="auto"/>
              </w:rPr>
            </w:pPr>
            <w:r>
              <w:rPr>
                <w:rFonts w:ascii="Arial" w:cs="Arial" w:eastAsia="Arial" w:hAnsi="Arial"/>
                <w:sz w:val="14"/>
                <w:szCs w:val="14"/>
                <w:color w:val="auto"/>
              </w:rPr>
              <w:t>2,812</w:t>
            </w:r>
          </w:p>
        </w:tc>
        <w:tc>
          <w:tcPr>
            <w:tcW w:w="1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275,660</w:t>
            </w:r>
          </w:p>
        </w:tc>
      </w:tr>
      <w:tr>
        <w:trPr>
          <w:trHeight w:val="202"/>
        </w:trPr>
        <w:tc>
          <w:tcPr>
            <w:tcW w:w="5660" w:type="dxa"/>
            <w:vAlign w:val="bottom"/>
          </w:tcPr>
          <w:p>
            <w:pPr>
              <w:spacing w:after="0"/>
              <w:rPr>
                <w:sz w:val="20"/>
                <w:szCs w:val="20"/>
                <w:color w:val="auto"/>
              </w:rPr>
            </w:pPr>
            <w:r>
              <w:rPr>
                <w:rFonts w:ascii="Arial" w:cs="Arial" w:eastAsia="Arial" w:hAnsi="Arial"/>
                <w:sz w:val="14"/>
                <w:szCs w:val="14"/>
                <w:color w:val="auto"/>
              </w:rPr>
              <w:t>Bradley A. Hamilton</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3"/>
        </w:trPr>
        <w:tc>
          <w:tcPr>
            <w:tcW w:w="5660" w:type="dxa"/>
            <w:vAlign w:val="bottom"/>
          </w:tcPr>
          <w:p>
            <w:pPr>
              <w:ind w:left="240"/>
              <w:spacing w:after="0"/>
              <w:rPr>
                <w:sz w:val="20"/>
                <w:szCs w:val="20"/>
                <w:color w:val="auto"/>
              </w:rPr>
            </w:pPr>
            <w:r>
              <w:rPr>
                <w:rFonts w:ascii="Arial" w:cs="Arial" w:eastAsia="Arial" w:hAnsi="Arial"/>
                <w:sz w:val="14"/>
                <w:szCs w:val="14"/>
                <w:color w:val="auto"/>
              </w:rPr>
              <w:t>Stock Option Exercises</w:t>
            </w:r>
          </w:p>
        </w:tc>
        <w:tc>
          <w:tcPr>
            <w:tcW w:w="1540" w:type="dxa"/>
            <w:vAlign w:val="bottom"/>
          </w:tcPr>
          <w:p>
            <w:pPr>
              <w:jc w:val="right"/>
              <w:ind w:right="109"/>
              <w:spacing w:after="0"/>
              <w:rPr>
                <w:sz w:val="20"/>
                <w:szCs w:val="20"/>
                <w:color w:val="auto"/>
              </w:rPr>
            </w:pPr>
            <w:r>
              <w:rPr>
                <w:rFonts w:ascii="Arial" w:cs="Arial" w:eastAsia="Arial" w:hAnsi="Arial"/>
                <w:sz w:val="14"/>
                <w:szCs w:val="14"/>
                <w:color w:val="auto"/>
              </w:rPr>
              <w:t>3,880</w:t>
            </w:r>
          </w:p>
        </w:tc>
        <w:tc>
          <w:tcPr>
            <w:tcW w:w="1420" w:type="dxa"/>
            <w:vAlign w:val="bottom"/>
          </w:tcPr>
          <w:p>
            <w:pPr>
              <w:jc w:val="right"/>
              <w:ind w:right="129"/>
              <w:spacing w:after="0"/>
              <w:rPr>
                <w:sz w:val="20"/>
                <w:szCs w:val="20"/>
                <w:color w:val="auto"/>
              </w:rPr>
            </w:pPr>
            <w:r>
              <w:rPr>
                <w:rFonts w:ascii="Arial" w:cs="Arial" w:eastAsia="Arial" w:hAnsi="Arial"/>
                <w:sz w:val="14"/>
                <w:szCs w:val="14"/>
                <w:color w:val="auto"/>
              </w:rPr>
              <w:t>247,354</w:t>
            </w:r>
          </w:p>
        </w:tc>
        <w:tc>
          <w:tcPr>
            <w:tcW w:w="14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3"/>
        </w:trPr>
        <w:tc>
          <w:tcPr>
            <w:tcW w:w="5660" w:type="dxa"/>
            <w:vAlign w:val="bottom"/>
          </w:tcPr>
          <w:p>
            <w:pPr>
              <w:ind w:left="240"/>
              <w:spacing w:after="0"/>
              <w:rPr>
                <w:sz w:val="20"/>
                <w:szCs w:val="20"/>
                <w:color w:val="auto"/>
              </w:rPr>
            </w:pPr>
            <w:r>
              <w:rPr>
                <w:rFonts w:ascii="Arial" w:cs="Arial" w:eastAsia="Arial" w:hAnsi="Arial"/>
                <w:sz w:val="14"/>
                <w:szCs w:val="14"/>
                <w:color w:val="auto"/>
              </w:rPr>
              <w:t>F’19-F’21 Performance Share Award Payout</w:t>
            </w:r>
          </w:p>
        </w:tc>
        <w:tc>
          <w:tcPr>
            <w:tcW w:w="1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0" w:type="dxa"/>
            <w:vAlign w:val="bottom"/>
          </w:tcPr>
          <w:p>
            <w:pPr>
              <w:jc w:val="right"/>
              <w:ind w:right="129"/>
              <w:spacing w:after="0"/>
              <w:rPr>
                <w:sz w:val="20"/>
                <w:szCs w:val="20"/>
                <w:color w:val="auto"/>
              </w:rPr>
            </w:pPr>
            <w:r>
              <w:rPr>
                <w:rFonts w:ascii="Arial" w:cs="Arial" w:eastAsia="Arial" w:hAnsi="Arial"/>
                <w:sz w:val="14"/>
                <w:szCs w:val="14"/>
                <w:color w:val="auto"/>
              </w:rPr>
              <w:t>3,700</w:t>
            </w:r>
          </w:p>
        </w:tc>
        <w:tc>
          <w:tcPr>
            <w:tcW w:w="1220" w:type="dxa"/>
            <w:vAlign w:val="bottom"/>
          </w:tcPr>
          <w:p>
            <w:pPr>
              <w:jc w:val="right"/>
              <w:spacing w:after="0"/>
              <w:rPr>
                <w:sz w:val="20"/>
                <w:szCs w:val="20"/>
                <w:color w:val="auto"/>
              </w:rPr>
            </w:pPr>
            <w:r>
              <w:rPr>
                <w:rFonts w:ascii="Arial" w:cs="Arial" w:eastAsia="Arial" w:hAnsi="Arial"/>
                <w:sz w:val="14"/>
                <w:szCs w:val="14"/>
                <w:color w:val="auto"/>
              </w:rPr>
              <w:t>362,711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3676650</wp:posOffset>
            </wp:positionH>
            <wp:positionV relativeFrom="paragraph">
              <wp:posOffset>-2677160</wp:posOffset>
            </wp:positionV>
            <wp:extent cx="346138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6138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74930</wp:posOffset>
            </wp:positionV>
            <wp:extent cx="203454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034540" cy="8255"/>
                    </a:xfrm>
                    <a:prstGeom prst="rect">
                      <a:avLst/>
                    </a:prstGeom>
                    <a:noFill/>
                  </pic:spPr>
                </pic:pic>
              </a:graphicData>
            </a:graphic>
          </wp:anchor>
        </w:drawing>
      </w:r>
    </w:p>
    <w:p>
      <w:pPr>
        <w:spacing w:after="0" w:line="163" w:lineRule="exact"/>
        <w:rPr>
          <w:sz w:val="20"/>
          <w:szCs w:val="20"/>
          <w:color w:val="auto"/>
        </w:rPr>
      </w:pPr>
    </w:p>
    <w:p>
      <w:pPr>
        <w:jc w:val="both"/>
        <w:ind w:left="400" w:right="120" w:hanging="394"/>
        <w:spacing w:after="0" w:line="255" w:lineRule="auto"/>
        <w:tabs>
          <w:tab w:leader="none" w:pos="4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number of shares acquired upon exercise reflects the gross number of shares acquired absent any netting for shares surrendered to pay the option exercise price and/or satisfy tax withholding requirements. The value realized on exercise represents the gross number of shares acquired on exercise multiplied by the market price of our common stock on the exercise date, less the per share exercise price.</w:t>
      </w:r>
    </w:p>
    <w:p>
      <w:pPr>
        <w:spacing w:after="0" w:line="28" w:lineRule="exact"/>
        <w:rPr>
          <w:rFonts w:ascii="Arial" w:cs="Arial" w:eastAsia="Arial" w:hAnsi="Arial"/>
          <w:sz w:val="17"/>
          <w:szCs w:val="17"/>
          <w:color w:val="auto"/>
        </w:rPr>
      </w:pPr>
    </w:p>
    <w:p>
      <w:pPr>
        <w:ind w:left="400" w:hanging="394"/>
        <w:spacing w:after="0" w:line="247" w:lineRule="auto"/>
        <w:tabs>
          <w:tab w:leader="none" w:pos="4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number of shares acquired upon vesting reflects the gross number of shares acquired absent any netting of shares surrendered to satisfy tax withholding requirements. The value realized on vesting for performance share awards represents the gross number of shares acquired multiplied by the closing price of our common stock on December 15, 2021 (the payout date for the fiscal 2019 to fiscal 2021 performance share awards) of $98.03. The value realized on vesting for restricted stock units represents the gross number of shares acquired multiplied by the closing price of our common stock on May 19, 2021 (the vesting date) of $109.92. Amounts are not reduced to reflect any elections by our named executive officers to defer receipt of performance share award payouts. Under the Deferred Plan for Officers, Messrs. Olson, and Hamilton deferred receipt of 100% of their fiscal 2019 to fiscal 2021 performance share award payout. The material terms of the Deferred Plan for Officers are described under “Nonqualified Deferred Compensation for Fiscal 2021” set forth below.</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Nonqualified Deferred Compensation for Fiscal 2021</w:t>
      </w:r>
    </w:p>
    <w:p>
      <w:pPr>
        <w:spacing w:after="0" w:line="12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maintain three nonqualified deferred compensation plans in which our named executive officers are eligible to participate.</w:t>
      </w:r>
    </w:p>
    <w:p>
      <w:pPr>
        <w:spacing w:after="0" w:line="77" w:lineRule="exact"/>
        <w:rPr>
          <w:sz w:val="20"/>
          <w:szCs w:val="20"/>
          <w:color w:val="auto"/>
        </w:rPr>
      </w:pPr>
    </w:p>
    <w:p>
      <w:pPr>
        <w:ind w:firstLine="401"/>
        <w:spacing w:after="0" w:line="236" w:lineRule="auto"/>
        <w:rPr>
          <w:sz w:val="20"/>
          <w:szCs w:val="20"/>
          <w:color w:val="auto"/>
        </w:rPr>
      </w:pPr>
      <w:r>
        <w:rPr>
          <w:rFonts w:ascii="Arial" w:cs="Arial" w:eastAsia="Arial" w:hAnsi="Arial"/>
          <w:sz w:val="18"/>
          <w:szCs w:val="18"/>
          <w:b w:val="1"/>
          <w:bCs w:val="1"/>
          <w:color w:val="auto"/>
        </w:rPr>
        <w:t xml:space="preserve">The Toro Company Deferred Compensation Plan. </w:t>
      </w:r>
      <w:r>
        <w:rPr>
          <w:rFonts w:ascii="Arial" w:cs="Arial" w:eastAsia="Arial" w:hAnsi="Arial"/>
          <w:sz w:val="18"/>
          <w:szCs w:val="18"/>
          <w:color w:val="auto"/>
        </w:rPr>
        <w:t>This plan allows a select group of management or highly compensated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our executive officers, to defer on a pre-tax basis his or her calendar year base salary and/or fiscal year annual cash incentive payout to a date in the future. Participants can defer up to 50% of calendar year base salary and up to 100% of the fiscal year annual cash incentive award payout. Deferred amounts are placed into a participant’s account and the participant may invest such deferred amounts in an array of funds that are consistent with or comparable to funds provided in the Retirement Plan. Deferral elections are made on an annual basis, before the beginning of the new fiscal year. Participants must elect a distribution date that is at least two years later than the date the compensation otherwise would have been received. Participants elect the frequency of payments and the number of payments to receive at the time of distribution. Participants are always 100% vested in their accounts.</w:t>
      </w:r>
    </w:p>
    <w:p>
      <w:pPr>
        <w:spacing w:after="0" w:line="74" w:lineRule="exact"/>
        <w:rPr>
          <w:sz w:val="20"/>
          <w:szCs w:val="20"/>
          <w:color w:val="auto"/>
        </w:rPr>
      </w:pPr>
    </w:p>
    <w:p>
      <w:pPr>
        <w:ind w:right="20" w:firstLine="401"/>
        <w:spacing w:after="0" w:line="254" w:lineRule="auto"/>
        <w:rPr>
          <w:sz w:val="20"/>
          <w:szCs w:val="20"/>
          <w:color w:val="auto"/>
        </w:rPr>
      </w:pPr>
      <w:r>
        <w:rPr>
          <w:rFonts w:ascii="Arial" w:cs="Arial" w:eastAsia="Arial" w:hAnsi="Arial"/>
          <w:sz w:val="17"/>
          <w:szCs w:val="17"/>
          <w:b w:val="1"/>
          <w:bCs w:val="1"/>
          <w:color w:val="auto"/>
        </w:rPr>
        <w:t xml:space="preserve">The Toro Company Deferred Compensation Plan for Officers. </w:t>
      </w:r>
      <w:r>
        <w:rPr>
          <w:rFonts w:ascii="Arial" w:cs="Arial" w:eastAsia="Arial" w:hAnsi="Arial"/>
          <w:sz w:val="17"/>
          <w:szCs w:val="17"/>
          <w:color w:val="auto"/>
        </w:rPr>
        <w:t>This plan allows key employees that receive performance share</w:t>
      </w:r>
      <w:r>
        <w:rPr>
          <w:rFonts w:ascii="Arial" w:cs="Arial" w:eastAsia="Arial" w:hAnsi="Arial"/>
          <w:sz w:val="17"/>
          <w:szCs w:val="17"/>
          <w:b w:val="1"/>
          <w:bCs w:val="1"/>
          <w:color w:val="auto"/>
        </w:rPr>
        <w:t xml:space="preserve"> </w:t>
      </w:r>
      <w:r>
        <w:rPr>
          <w:rFonts w:ascii="Arial" w:cs="Arial" w:eastAsia="Arial" w:hAnsi="Arial"/>
          <w:sz w:val="17"/>
          <w:szCs w:val="17"/>
          <w:color w:val="auto"/>
        </w:rPr>
        <w:t>awards, including our executive officers, an opportunity to defer receipt of shares of our common stock paid out under such awards to a date in the future. Participants can defer up to 100% of the common stock payout. Each year, before the third fiscal year of the three-year performance period begins, participants are given the opportunity to defer the receipt of those shares to some point in the future. Participants must elect a distribution date that is at least two years later than the date the shares would have been received. Participants elect the frequency of payment and the number of payments to receive at the time of distribution. Participants are always 100% vested in their accounts.</w:t>
      </w:r>
    </w:p>
    <w:p>
      <w:pPr>
        <w:spacing w:after="0" w:line="62" w:lineRule="exact"/>
        <w:rPr>
          <w:sz w:val="20"/>
          <w:szCs w:val="20"/>
          <w:color w:val="auto"/>
        </w:rPr>
      </w:pPr>
    </w:p>
    <w:p>
      <w:pPr>
        <w:ind w:right="20" w:firstLine="401"/>
        <w:spacing w:after="0" w:line="234" w:lineRule="auto"/>
        <w:rPr>
          <w:sz w:val="20"/>
          <w:szCs w:val="20"/>
          <w:color w:val="auto"/>
        </w:rPr>
      </w:pPr>
      <w:r>
        <w:rPr>
          <w:rFonts w:ascii="Arial" w:cs="Arial" w:eastAsia="Arial" w:hAnsi="Arial"/>
          <w:sz w:val="18"/>
          <w:szCs w:val="18"/>
          <w:b w:val="1"/>
          <w:bCs w:val="1"/>
          <w:color w:val="auto"/>
        </w:rPr>
        <w:t xml:space="preserve">The Toro Company Supplemental Benefit Plan. </w:t>
      </w:r>
      <w:r>
        <w:rPr>
          <w:rFonts w:ascii="Arial" w:cs="Arial" w:eastAsia="Arial" w:hAnsi="Arial"/>
          <w:sz w:val="18"/>
          <w:szCs w:val="18"/>
          <w:color w:val="auto"/>
        </w:rPr>
        <w:t>This plan is maintained for the purpose of providing to a select group of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or highly compensated employees, including our executive officers, benefits in excess of the limitations on benefits and contributions imposed by Code Sections 401(a)(17) and 415. Our credits under this plan are made on a calendar year basis, usually in the first calendar quarter following the end of the prior calendar year. Amounts are credited to the Supplemental Benefit Plan for earnings above the compensation limit for all forms of employer contributions, which may include Company matching, investment savings and ESOP contribution amounts. For calendar year 2020, employer matching contributions were made for the Retirement Plan, but neither an investment savings contribution or ESOP contribution were made. For calendar year 2021, employer matching contributions and an investment savings contribution were made. Amounts credited are placed into a participant’s account and the participant may select the deemed investment of such deferred amounts in an array of funds that are consistent with or comparable to funds provided in the Retirement Plan. Participants elect the funds into which these contributions are allocated, as well as the frequency of payments and the number of payments to receive. Participants are always 100% vested in their accounts.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76" w:lineRule="exact"/>
        <w:rPr>
          <w:sz w:val="20"/>
          <w:szCs w:val="20"/>
          <w:color w:val="auto"/>
        </w:rPr>
      </w:pPr>
    </w:p>
    <w:p>
      <w:pPr>
        <w:ind w:right="280" w:firstLine="401"/>
        <w:spacing w:after="0" w:line="263" w:lineRule="auto"/>
        <w:rPr>
          <w:sz w:val="20"/>
          <w:szCs w:val="20"/>
          <w:color w:val="auto"/>
        </w:rPr>
      </w:pPr>
      <w:r>
        <w:rPr>
          <w:rFonts w:ascii="Arial" w:cs="Arial" w:eastAsia="Arial" w:hAnsi="Arial"/>
          <w:sz w:val="18"/>
          <w:szCs w:val="18"/>
          <w:b w:val="1"/>
          <w:bCs w:val="1"/>
          <w:color w:val="auto"/>
        </w:rPr>
        <w:t xml:space="preserve">Nonqualified Deferred Compensation for Fiscal 2021 Table. </w:t>
      </w:r>
      <w:r>
        <w:rPr>
          <w:rFonts w:ascii="Arial" w:cs="Arial" w:eastAsia="Arial" w:hAnsi="Arial"/>
          <w:sz w:val="18"/>
          <w:szCs w:val="18"/>
          <w:color w:val="auto"/>
        </w:rPr>
        <w:t>The following table reflects any named executive officer contributions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Company contributions for fiscal 2021 to our nonqualified deferred compensation plans.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shd w:val="clear" w:color="auto" w:fill="C00000"/>
          </w:tcPr>
          <w:p>
            <w:pPr>
              <w:spacing w:after="0"/>
              <w:rPr>
                <w:sz w:val="14"/>
                <w:szCs w:val="14"/>
                <w:color w:val="auto"/>
              </w:rPr>
            </w:pPr>
          </w:p>
        </w:tc>
        <w:tc>
          <w:tcPr>
            <w:tcW w:w="1780" w:type="dxa"/>
            <w:vAlign w:val="bottom"/>
            <w:shd w:val="clear" w:color="auto" w:fill="C00000"/>
          </w:tcPr>
          <w:p>
            <w:pPr>
              <w:jc w:val="center"/>
              <w:ind w:left="90"/>
              <w:spacing w:after="0"/>
              <w:rPr>
                <w:sz w:val="20"/>
                <w:szCs w:val="20"/>
                <w:color w:val="auto"/>
              </w:rPr>
            </w:pPr>
            <w:r>
              <w:rPr>
                <w:rFonts w:ascii="Arial" w:cs="Arial" w:eastAsia="Arial" w:hAnsi="Arial"/>
                <w:sz w:val="14"/>
                <w:szCs w:val="14"/>
                <w:b w:val="1"/>
                <w:bCs w:val="1"/>
                <w:color w:val="FFFFFF"/>
              </w:rPr>
              <w:t>Executive</w:t>
            </w:r>
          </w:p>
        </w:tc>
        <w:tc>
          <w:tcPr>
            <w:tcW w:w="21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Registrant</w:t>
            </w:r>
          </w:p>
        </w:tc>
        <w:tc>
          <w:tcPr>
            <w:tcW w:w="1480" w:type="dxa"/>
            <w:vAlign w:val="bottom"/>
            <w:shd w:val="clear" w:color="auto" w:fill="C00000"/>
          </w:tcPr>
          <w:p>
            <w:pPr>
              <w:jc w:val="center"/>
              <w:ind w:right="190"/>
              <w:spacing w:after="0"/>
              <w:rPr>
                <w:sz w:val="20"/>
                <w:szCs w:val="20"/>
                <w:color w:val="auto"/>
              </w:rPr>
            </w:pPr>
            <w:r>
              <w:rPr>
                <w:rFonts w:ascii="Arial" w:cs="Arial" w:eastAsia="Arial" w:hAnsi="Arial"/>
                <w:sz w:val="14"/>
                <w:szCs w:val="14"/>
                <w:b w:val="1"/>
                <w:bCs w:val="1"/>
                <w:color w:val="FFFFFF"/>
              </w:rPr>
              <w:t>Aggregate</w:t>
            </w:r>
          </w:p>
        </w:tc>
        <w:tc>
          <w:tcPr>
            <w:tcW w:w="1700" w:type="dxa"/>
            <w:vAlign w:val="bottom"/>
            <w:shd w:val="clear" w:color="auto" w:fill="C00000"/>
          </w:tcPr>
          <w:p>
            <w:pPr>
              <w:jc w:val="center"/>
              <w:ind w:right="289"/>
              <w:spacing w:after="0"/>
              <w:rPr>
                <w:sz w:val="20"/>
                <w:szCs w:val="20"/>
                <w:color w:val="auto"/>
              </w:rPr>
            </w:pPr>
            <w:r>
              <w:rPr>
                <w:rFonts w:ascii="Arial" w:cs="Arial" w:eastAsia="Arial" w:hAnsi="Arial"/>
                <w:sz w:val="14"/>
                <w:szCs w:val="14"/>
                <w:b w:val="1"/>
                <w:bCs w:val="1"/>
                <w:color w:val="FFFFFF"/>
              </w:rPr>
              <w:t>Aggregate</w:t>
            </w:r>
          </w:p>
        </w:tc>
        <w:tc>
          <w:tcPr>
            <w:tcW w:w="1440" w:type="dxa"/>
            <w:vAlign w:val="bottom"/>
            <w:shd w:val="clear" w:color="auto" w:fill="C00000"/>
          </w:tcPr>
          <w:p>
            <w:pPr>
              <w:jc w:val="center"/>
              <w:ind w:right="30"/>
              <w:spacing w:after="0"/>
              <w:rPr>
                <w:sz w:val="20"/>
                <w:szCs w:val="20"/>
                <w:color w:val="auto"/>
              </w:rPr>
            </w:pPr>
            <w:r>
              <w:rPr>
                <w:rFonts w:ascii="Arial" w:cs="Arial" w:eastAsia="Arial" w:hAnsi="Arial"/>
                <w:sz w:val="14"/>
                <w:szCs w:val="14"/>
                <w:b w:val="1"/>
                <w:bCs w:val="1"/>
                <w:color w:val="FFFFFF"/>
              </w:rPr>
              <w:t>Aggregate</w:t>
            </w:r>
          </w:p>
        </w:tc>
      </w:tr>
      <w:tr>
        <w:trPr>
          <w:trHeight w:val="156"/>
        </w:trPr>
        <w:tc>
          <w:tcPr>
            <w:tcW w:w="2700" w:type="dxa"/>
            <w:vAlign w:val="bottom"/>
            <w:shd w:val="clear" w:color="auto" w:fill="C00000"/>
          </w:tcPr>
          <w:p>
            <w:pPr>
              <w:spacing w:after="0"/>
              <w:rPr>
                <w:sz w:val="13"/>
                <w:szCs w:val="13"/>
                <w:color w:val="auto"/>
              </w:rPr>
            </w:pPr>
          </w:p>
        </w:tc>
        <w:tc>
          <w:tcPr>
            <w:tcW w:w="1780" w:type="dxa"/>
            <w:vAlign w:val="bottom"/>
            <w:shd w:val="clear" w:color="auto" w:fill="C00000"/>
          </w:tcPr>
          <w:p>
            <w:pPr>
              <w:jc w:val="center"/>
              <w:ind w:left="110"/>
              <w:spacing w:after="0" w:line="156" w:lineRule="exact"/>
              <w:rPr>
                <w:sz w:val="20"/>
                <w:szCs w:val="20"/>
                <w:color w:val="auto"/>
              </w:rPr>
            </w:pPr>
            <w:r>
              <w:rPr>
                <w:rFonts w:ascii="Arial" w:cs="Arial" w:eastAsia="Arial" w:hAnsi="Arial"/>
                <w:sz w:val="14"/>
                <w:szCs w:val="14"/>
                <w:b w:val="1"/>
                <w:bCs w:val="1"/>
                <w:color w:val="FFFFFF"/>
              </w:rPr>
              <w:t>Contributions</w:t>
            </w:r>
          </w:p>
        </w:tc>
        <w:tc>
          <w:tcPr>
            <w:tcW w:w="2140" w:type="dxa"/>
            <w:vAlign w:val="bottom"/>
            <w:shd w:val="clear" w:color="auto" w:fill="C00000"/>
          </w:tcPr>
          <w:p>
            <w:pPr>
              <w:jc w:val="center"/>
              <w:spacing w:after="0" w:line="156" w:lineRule="exact"/>
              <w:rPr>
                <w:sz w:val="20"/>
                <w:szCs w:val="20"/>
                <w:color w:val="auto"/>
              </w:rPr>
            </w:pPr>
            <w:r>
              <w:rPr>
                <w:rFonts w:ascii="Arial" w:cs="Arial" w:eastAsia="Arial" w:hAnsi="Arial"/>
                <w:sz w:val="14"/>
                <w:szCs w:val="14"/>
                <w:b w:val="1"/>
                <w:bCs w:val="1"/>
                <w:color w:val="FFFFFF"/>
              </w:rPr>
              <w:t>Contributions</w:t>
            </w:r>
          </w:p>
        </w:tc>
        <w:tc>
          <w:tcPr>
            <w:tcW w:w="1480" w:type="dxa"/>
            <w:vAlign w:val="bottom"/>
            <w:shd w:val="clear" w:color="auto" w:fill="C00000"/>
          </w:tcPr>
          <w:p>
            <w:pPr>
              <w:jc w:val="center"/>
              <w:ind w:right="190"/>
              <w:spacing w:after="0" w:line="156" w:lineRule="exact"/>
              <w:rPr>
                <w:sz w:val="20"/>
                <w:szCs w:val="20"/>
                <w:color w:val="auto"/>
              </w:rPr>
            </w:pPr>
            <w:r>
              <w:rPr>
                <w:rFonts w:ascii="Arial" w:cs="Arial" w:eastAsia="Arial" w:hAnsi="Arial"/>
                <w:sz w:val="14"/>
                <w:szCs w:val="14"/>
                <w:b w:val="1"/>
                <w:bCs w:val="1"/>
                <w:color w:val="FFFFFF"/>
              </w:rPr>
              <w:t>Earnings in</w:t>
            </w:r>
          </w:p>
        </w:tc>
        <w:tc>
          <w:tcPr>
            <w:tcW w:w="1700" w:type="dxa"/>
            <w:vAlign w:val="bottom"/>
            <w:shd w:val="clear" w:color="auto" w:fill="C00000"/>
          </w:tcPr>
          <w:p>
            <w:pPr>
              <w:jc w:val="center"/>
              <w:ind w:right="269"/>
              <w:spacing w:after="0" w:line="156" w:lineRule="exact"/>
              <w:rPr>
                <w:sz w:val="20"/>
                <w:szCs w:val="20"/>
                <w:color w:val="auto"/>
              </w:rPr>
            </w:pPr>
            <w:r>
              <w:rPr>
                <w:rFonts w:ascii="Arial" w:cs="Arial" w:eastAsia="Arial" w:hAnsi="Arial"/>
                <w:sz w:val="14"/>
                <w:szCs w:val="14"/>
                <w:b w:val="1"/>
                <w:bCs w:val="1"/>
                <w:color w:val="FFFFFF"/>
              </w:rPr>
              <w:t>Withdrawals/</w:t>
            </w:r>
          </w:p>
        </w:tc>
        <w:tc>
          <w:tcPr>
            <w:tcW w:w="1440" w:type="dxa"/>
            <w:vAlign w:val="bottom"/>
            <w:shd w:val="clear" w:color="auto" w:fill="C00000"/>
          </w:tcPr>
          <w:p>
            <w:pPr>
              <w:jc w:val="center"/>
              <w:ind w:right="50"/>
              <w:spacing w:after="0" w:line="156" w:lineRule="exact"/>
              <w:rPr>
                <w:sz w:val="20"/>
                <w:szCs w:val="20"/>
                <w:color w:val="auto"/>
              </w:rPr>
            </w:pPr>
            <w:r>
              <w:rPr>
                <w:rFonts w:ascii="Arial" w:cs="Arial" w:eastAsia="Arial" w:hAnsi="Arial"/>
                <w:sz w:val="14"/>
                <w:szCs w:val="14"/>
                <w:b w:val="1"/>
                <w:bCs w:val="1"/>
                <w:color w:val="FFFFFF"/>
              </w:rPr>
              <w:t>Balance at</w:t>
            </w:r>
          </w:p>
        </w:tc>
      </w:tr>
      <w:tr>
        <w:trPr>
          <w:trHeight w:val="163"/>
        </w:trPr>
        <w:tc>
          <w:tcPr>
            <w:tcW w:w="2700" w:type="dxa"/>
            <w:vAlign w:val="bottom"/>
            <w:shd w:val="clear" w:color="auto" w:fill="C00000"/>
          </w:tcPr>
          <w:p>
            <w:pPr>
              <w:spacing w:after="0"/>
              <w:rPr>
                <w:sz w:val="14"/>
                <w:szCs w:val="14"/>
                <w:color w:val="auto"/>
              </w:rPr>
            </w:pPr>
          </w:p>
        </w:tc>
        <w:tc>
          <w:tcPr>
            <w:tcW w:w="1780" w:type="dxa"/>
            <w:vAlign w:val="bottom"/>
            <w:shd w:val="clear" w:color="auto" w:fill="C00000"/>
          </w:tcPr>
          <w:p>
            <w:pPr>
              <w:jc w:val="center"/>
              <w:ind w:left="90"/>
              <w:spacing w:after="0" w:line="163" w:lineRule="exact"/>
              <w:rPr>
                <w:sz w:val="20"/>
                <w:szCs w:val="20"/>
                <w:color w:val="auto"/>
              </w:rPr>
            </w:pPr>
            <w:r>
              <w:rPr>
                <w:rFonts w:ascii="Arial" w:cs="Arial" w:eastAsia="Arial" w:hAnsi="Arial"/>
                <w:sz w:val="11"/>
                <w:szCs w:val="11"/>
                <w:b w:val="1"/>
                <w:bCs w:val="1"/>
                <w:color w:val="FFFFFF"/>
              </w:rPr>
              <w:t>in Last FY</w:t>
            </w:r>
            <w:r>
              <w:rPr>
                <w:rFonts w:ascii="Arial" w:cs="Arial" w:eastAsia="Arial" w:hAnsi="Arial"/>
                <w:sz w:val="18"/>
                <w:szCs w:val="18"/>
                <w:b w:val="1"/>
                <w:bCs w:val="1"/>
                <w:color w:val="FFFFFF"/>
                <w:vertAlign w:val="superscript"/>
              </w:rPr>
              <w:t>(1)</w:t>
            </w:r>
          </w:p>
        </w:tc>
        <w:tc>
          <w:tcPr>
            <w:tcW w:w="2140" w:type="dxa"/>
            <w:vAlign w:val="bottom"/>
            <w:shd w:val="clear" w:color="auto" w:fill="C00000"/>
          </w:tcPr>
          <w:p>
            <w:pPr>
              <w:jc w:val="center"/>
              <w:spacing w:after="0" w:line="163" w:lineRule="exact"/>
              <w:rPr>
                <w:sz w:val="20"/>
                <w:szCs w:val="20"/>
                <w:color w:val="auto"/>
              </w:rPr>
            </w:pPr>
            <w:r>
              <w:rPr>
                <w:rFonts w:ascii="Arial" w:cs="Arial" w:eastAsia="Arial" w:hAnsi="Arial"/>
                <w:sz w:val="11"/>
                <w:szCs w:val="11"/>
                <w:b w:val="1"/>
                <w:bCs w:val="1"/>
                <w:color w:val="FFFFFF"/>
              </w:rPr>
              <w:t>in Last FY</w:t>
            </w:r>
            <w:r>
              <w:rPr>
                <w:rFonts w:ascii="Arial" w:cs="Arial" w:eastAsia="Arial" w:hAnsi="Arial"/>
                <w:sz w:val="18"/>
                <w:szCs w:val="18"/>
                <w:b w:val="1"/>
                <w:bCs w:val="1"/>
                <w:color w:val="FFFFFF"/>
                <w:vertAlign w:val="superscript"/>
              </w:rPr>
              <w:t>(2)</w:t>
            </w:r>
          </w:p>
        </w:tc>
        <w:tc>
          <w:tcPr>
            <w:tcW w:w="1480" w:type="dxa"/>
            <w:vAlign w:val="bottom"/>
            <w:shd w:val="clear" w:color="auto" w:fill="C00000"/>
          </w:tcPr>
          <w:p>
            <w:pPr>
              <w:jc w:val="center"/>
              <w:ind w:right="190"/>
              <w:spacing w:after="0" w:line="163" w:lineRule="exact"/>
              <w:rPr>
                <w:sz w:val="20"/>
                <w:szCs w:val="20"/>
                <w:color w:val="auto"/>
              </w:rPr>
            </w:pPr>
            <w:r>
              <w:rPr>
                <w:rFonts w:ascii="Arial" w:cs="Arial" w:eastAsia="Arial" w:hAnsi="Arial"/>
                <w:sz w:val="11"/>
                <w:szCs w:val="11"/>
                <w:b w:val="1"/>
                <w:bCs w:val="1"/>
                <w:color w:val="FFFFFF"/>
              </w:rPr>
              <w:t>Last FY</w:t>
            </w:r>
            <w:r>
              <w:rPr>
                <w:rFonts w:ascii="Arial" w:cs="Arial" w:eastAsia="Arial" w:hAnsi="Arial"/>
                <w:sz w:val="18"/>
                <w:szCs w:val="18"/>
                <w:b w:val="1"/>
                <w:bCs w:val="1"/>
                <w:color w:val="FFFFFF"/>
                <w:vertAlign w:val="superscript"/>
              </w:rPr>
              <w:t>(3)</w:t>
            </w:r>
          </w:p>
        </w:tc>
        <w:tc>
          <w:tcPr>
            <w:tcW w:w="1700" w:type="dxa"/>
            <w:vAlign w:val="bottom"/>
            <w:shd w:val="clear" w:color="auto" w:fill="C00000"/>
          </w:tcPr>
          <w:p>
            <w:pPr>
              <w:jc w:val="center"/>
              <w:ind w:right="269"/>
              <w:spacing w:after="0"/>
              <w:rPr>
                <w:sz w:val="20"/>
                <w:szCs w:val="20"/>
                <w:color w:val="auto"/>
              </w:rPr>
            </w:pPr>
            <w:r>
              <w:rPr>
                <w:rFonts w:ascii="Arial" w:cs="Arial" w:eastAsia="Arial" w:hAnsi="Arial"/>
                <w:sz w:val="14"/>
                <w:szCs w:val="14"/>
                <w:b w:val="1"/>
                <w:bCs w:val="1"/>
                <w:color w:val="FFFFFF"/>
              </w:rPr>
              <w:t>Distributions</w:t>
            </w:r>
          </w:p>
        </w:tc>
        <w:tc>
          <w:tcPr>
            <w:tcW w:w="1440" w:type="dxa"/>
            <w:vAlign w:val="bottom"/>
            <w:shd w:val="clear" w:color="auto" w:fill="C00000"/>
          </w:tcPr>
          <w:p>
            <w:pPr>
              <w:jc w:val="center"/>
              <w:ind w:right="50"/>
              <w:spacing w:after="0" w:line="163" w:lineRule="exact"/>
              <w:rPr>
                <w:sz w:val="20"/>
                <w:szCs w:val="20"/>
                <w:color w:val="auto"/>
              </w:rPr>
            </w:pPr>
            <w:r>
              <w:rPr>
                <w:rFonts w:ascii="Arial" w:cs="Arial" w:eastAsia="Arial" w:hAnsi="Arial"/>
                <w:sz w:val="11"/>
                <w:szCs w:val="11"/>
                <w:b w:val="1"/>
                <w:bCs w:val="1"/>
                <w:color w:val="FFFFFF"/>
              </w:rPr>
              <w:t>Last FYE</w:t>
            </w:r>
            <w:r>
              <w:rPr>
                <w:rFonts w:ascii="Arial" w:cs="Arial" w:eastAsia="Arial" w:hAnsi="Arial"/>
                <w:sz w:val="18"/>
                <w:szCs w:val="18"/>
                <w:b w:val="1"/>
                <w:bCs w:val="1"/>
                <w:color w:val="FFFFFF"/>
                <w:vertAlign w:val="superscript"/>
              </w:rPr>
              <w:t>(4)</w:t>
            </w:r>
          </w:p>
        </w:tc>
      </w:tr>
      <w:tr>
        <w:trPr>
          <w:trHeight w:val="173"/>
        </w:trPr>
        <w:tc>
          <w:tcPr>
            <w:tcW w:w="270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Name</w:t>
            </w:r>
          </w:p>
        </w:tc>
        <w:tc>
          <w:tcPr>
            <w:tcW w:w="1780" w:type="dxa"/>
            <w:vAlign w:val="bottom"/>
            <w:shd w:val="clear" w:color="auto" w:fill="C00000"/>
          </w:tcPr>
          <w:p>
            <w:pPr>
              <w:jc w:val="center"/>
              <w:ind w:left="90"/>
              <w:spacing w:after="0"/>
              <w:rPr>
                <w:sz w:val="20"/>
                <w:szCs w:val="20"/>
                <w:color w:val="auto"/>
              </w:rPr>
            </w:pPr>
            <w:r>
              <w:rPr>
                <w:rFonts w:ascii="Arial" w:cs="Arial" w:eastAsia="Arial" w:hAnsi="Arial"/>
                <w:sz w:val="14"/>
                <w:szCs w:val="14"/>
                <w:b w:val="1"/>
                <w:bCs w:val="1"/>
                <w:color w:val="FFFFFF"/>
              </w:rPr>
              <w:t>($)</w:t>
            </w:r>
          </w:p>
        </w:tc>
        <w:tc>
          <w:tcPr>
            <w:tcW w:w="21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w w:val="93"/>
              </w:rPr>
              <w:t>($)</w:t>
            </w:r>
          </w:p>
        </w:tc>
        <w:tc>
          <w:tcPr>
            <w:tcW w:w="1480" w:type="dxa"/>
            <w:vAlign w:val="bottom"/>
            <w:shd w:val="clear" w:color="auto" w:fill="C00000"/>
          </w:tcPr>
          <w:p>
            <w:pPr>
              <w:jc w:val="center"/>
              <w:ind w:right="190"/>
              <w:spacing w:after="0"/>
              <w:rPr>
                <w:sz w:val="20"/>
                <w:szCs w:val="20"/>
                <w:color w:val="auto"/>
              </w:rPr>
            </w:pPr>
            <w:r>
              <w:rPr>
                <w:rFonts w:ascii="Arial" w:cs="Arial" w:eastAsia="Arial" w:hAnsi="Arial"/>
                <w:sz w:val="14"/>
                <w:szCs w:val="14"/>
                <w:b w:val="1"/>
                <w:bCs w:val="1"/>
                <w:color w:val="FFFFFF"/>
              </w:rPr>
              <w:t>($)</w:t>
            </w:r>
          </w:p>
        </w:tc>
        <w:tc>
          <w:tcPr>
            <w:tcW w:w="1700" w:type="dxa"/>
            <w:vAlign w:val="bottom"/>
            <w:shd w:val="clear" w:color="auto" w:fill="C00000"/>
          </w:tcPr>
          <w:p>
            <w:pPr>
              <w:jc w:val="center"/>
              <w:ind w:right="289"/>
              <w:spacing w:after="0"/>
              <w:rPr>
                <w:sz w:val="20"/>
                <w:szCs w:val="20"/>
                <w:color w:val="auto"/>
              </w:rPr>
            </w:pPr>
            <w:r>
              <w:rPr>
                <w:rFonts w:ascii="Arial" w:cs="Arial" w:eastAsia="Arial" w:hAnsi="Arial"/>
                <w:sz w:val="14"/>
                <w:szCs w:val="14"/>
                <w:b w:val="1"/>
                <w:bCs w:val="1"/>
                <w:color w:val="FFFFFF"/>
              </w:rPr>
              <w:t>($)</w:t>
            </w:r>
          </w:p>
        </w:tc>
        <w:tc>
          <w:tcPr>
            <w:tcW w:w="1440" w:type="dxa"/>
            <w:vAlign w:val="bottom"/>
            <w:shd w:val="clear" w:color="auto" w:fill="C00000"/>
          </w:tcPr>
          <w:p>
            <w:pPr>
              <w:jc w:val="center"/>
              <w:ind w:right="30"/>
              <w:spacing w:after="0"/>
              <w:rPr>
                <w:sz w:val="20"/>
                <w:szCs w:val="20"/>
                <w:color w:val="auto"/>
              </w:rPr>
            </w:pPr>
            <w:r>
              <w:rPr>
                <w:rFonts w:ascii="Arial" w:cs="Arial" w:eastAsia="Arial" w:hAnsi="Arial"/>
                <w:sz w:val="14"/>
                <w:szCs w:val="14"/>
                <w:b w:val="1"/>
                <w:bCs w:val="1"/>
                <w:color w:val="FFFFFF"/>
              </w:rPr>
              <w:t>($)</w:t>
            </w:r>
          </w:p>
        </w:tc>
      </w:tr>
      <w:tr>
        <w:trPr>
          <w:trHeight w:val="202"/>
        </w:trPr>
        <w:tc>
          <w:tcPr>
            <w:tcW w:w="2700" w:type="dxa"/>
            <w:vAlign w:val="bottom"/>
          </w:tcPr>
          <w:p>
            <w:pPr>
              <w:spacing w:after="0"/>
              <w:rPr>
                <w:sz w:val="20"/>
                <w:szCs w:val="20"/>
                <w:color w:val="auto"/>
              </w:rPr>
            </w:pPr>
            <w:r>
              <w:rPr>
                <w:rFonts w:ascii="Arial" w:cs="Arial" w:eastAsia="Arial" w:hAnsi="Arial"/>
                <w:sz w:val="14"/>
                <w:szCs w:val="14"/>
                <w:color w:val="auto"/>
              </w:rPr>
              <w:t>Richard M. Olson</w:t>
            </w:r>
          </w:p>
        </w:tc>
        <w:tc>
          <w:tcPr>
            <w:tcW w:w="17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3"/>
        </w:trPr>
        <w:tc>
          <w:tcPr>
            <w:tcW w:w="2700" w:type="dxa"/>
            <w:vAlign w:val="bottom"/>
          </w:tcPr>
          <w:p>
            <w:pPr>
              <w:ind w:left="240"/>
              <w:spacing w:after="0"/>
              <w:rPr>
                <w:sz w:val="20"/>
                <w:szCs w:val="20"/>
                <w:color w:val="auto"/>
              </w:rPr>
            </w:pPr>
            <w:r>
              <w:rPr>
                <w:rFonts w:ascii="Arial" w:cs="Arial" w:eastAsia="Arial" w:hAnsi="Arial"/>
                <w:sz w:val="14"/>
                <w:szCs w:val="14"/>
                <w:color w:val="auto"/>
              </w:rPr>
              <w:t>Deferred Plan</w:t>
            </w:r>
          </w:p>
        </w:tc>
        <w:tc>
          <w:tcPr>
            <w:tcW w:w="1780" w:type="dxa"/>
            <w:vAlign w:val="bottom"/>
          </w:tcPr>
          <w:p>
            <w:pPr>
              <w:jc w:val="right"/>
              <w:spacing w:after="0"/>
              <w:rPr>
                <w:sz w:val="20"/>
                <w:szCs w:val="20"/>
                <w:color w:val="auto"/>
              </w:rPr>
            </w:pPr>
            <w:r>
              <w:rPr>
                <w:rFonts w:ascii="Arial" w:cs="Arial" w:eastAsia="Arial" w:hAnsi="Arial"/>
                <w:sz w:val="14"/>
                <w:szCs w:val="14"/>
                <w:color w:val="auto"/>
              </w:rPr>
              <w:t>733,439</w:t>
            </w:r>
          </w:p>
        </w:tc>
        <w:tc>
          <w:tcPr>
            <w:tcW w:w="2140" w:type="dxa"/>
            <w:vAlign w:val="bottom"/>
          </w:tcPr>
          <w:p>
            <w:pPr>
              <w:jc w:val="right"/>
              <w:ind w:right="130"/>
              <w:spacing w:after="0"/>
              <w:rPr>
                <w:sz w:val="20"/>
                <w:szCs w:val="20"/>
                <w:color w:val="auto"/>
              </w:rPr>
            </w:pPr>
            <w:r>
              <w:rPr>
                <w:rFonts w:ascii="Arial" w:cs="Arial" w:eastAsia="Arial" w:hAnsi="Arial"/>
                <w:sz w:val="14"/>
                <w:szCs w:val="14"/>
                <w:color w:val="auto"/>
              </w:rPr>
              <w:t>0</w:t>
            </w:r>
          </w:p>
        </w:tc>
        <w:tc>
          <w:tcPr>
            <w:tcW w:w="1480" w:type="dxa"/>
            <w:vAlign w:val="bottom"/>
          </w:tcPr>
          <w:p>
            <w:pPr>
              <w:jc w:val="right"/>
              <w:ind w:right="170"/>
              <w:spacing w:after="0"/>
              <w:rPr>
                <w:sz w:val="20"/>
                <w:szCs w:val="20"/>
                <w:color w:val="auto"/>
              </w:rPr>
            </w:pPr>
            <w:r>
              <w:rPr>
                <w:rFonts w:ascii="Arial" w:cs="Arial" w:eastAsia="Arial" w:hAnsi="Arial"/>
                <w:sz w:val="14"/>
                <w:szCs w:val="14"/>
                <w:color w:val="auto"/>
              </w:rPr>
              <w:t>259,297</w:t>
            </w:r>
          </w:p>
        </w:tc>
        <w:tc>
          <w:tcPr>
            <w:tcW w:w="1700" w:type="dxa"/>
            <w:vAlign w:val="bottom"/>
          </w:tcPr>
          <w:p>
            <w:pPr>
              <w:jc w:val="right"/>
              <w:ind w:right="209"/>
              <w:spacing w:after="0"/>
              <w:rPr>
                <w:sz w:val="20"/>
                <w:szCs w:val="20"/>
                <w:color w:val="auto"/>
              </w:rPr>
            </w:pPr>
            <w:r>
              <w:rPr>
                <w:rFonts w:ascii="Arial" w:cs="Arial" w:eastAsia="Arial" w:hAnsi="Arial"/>
                <w:sz w:val="14"/>
                <w:szCs w:val="14"/>
                <w:color w:val="auto"/>
              </w:rPr>
              <w:t>0</w:t>
            </w:r>
          </w:p>
        </w:tc>
        <w:tc>
          <w:tcPr>
            <w:tcW w:w="1440" w:type="dxa"/>
            <w:vAlign w:val="bottom"/>
          </w:tcPr>
          <w:p>
            <w:pPr>
              <w:jc w:val="right"/>
              <w:spacing w:after="0"/>
              <w:rPr>
                <w:sz w:val="20"/>
                <w:szCs w:val="20"/>
                <w:color w:val="auto"/>
              </w:rPr>
            </w:pPr>
            <w:r>
              <w:rPr>
                <w:rFonts w:ascii="Arial" w:cs="Arial" w:eastAsia="Arial" w:hAnsi="Arial"/>
                <w:sz w:val="14"/>
                <w:szCs w:val="14"/>
                <w:color w:val="auto"/>
              </w:rPr>
              <w:t>1,953,148</w:t>
            </w:r>
          </w:p>
        </w:tc>
      </w:tr>
      <w:tr>
        <w:trPr>
          <w:trHeight w:val="213"/>
        </w:trPr>
        <w:tc>
          <w:tcPr>
            <w:tcW w:w="2700" w:type="dxa"/>
            <w:vAlign w:val="bottom"/>
          </w:tcPr>
          <w:p>
            <w:pPr>
              <w:ind w:left="240"/>
              <w:spacing w:after="0"/>
              <w:rPr>
                <w:sz w:val="20"/>
                <w:szCs w:val="20"/>
                <w:color w:val="auto"/>
              </w:rPr>
            </w:pPr>
            <w:r>
              <w:rPr>
                <w:rFonts w:ascii="Arial" w:cs="Arial" w:eastAsia="Arial" w:hAnsi="Arial"/>
                <w:sz w:val="14"/>
                <w:szCs w:val="14"/>
                <w:color w:val="auto"/>
              </w:rPr>
              <w:t>Deferred Plan for Officers</w:t>
            </w:r>
          </w:p>
        </w:tc>
        <w:tc>
          <w:tcPr>
            <w:tcW w:w="1780" w:type="dxa"/>
            <w:vAlign w:val="bottom"/>
          </w:tcPr>
          <w:p>
            <w:pPr>
              <w:jc w:val="right"/>
              <w:spacing w:after="0"/>
              <w:rPr>
                <w:sz w:val="20"/>
                <w:szCs w:val="20"/>
                <w:color w:val="auto"/>
              </w:rPr>
            </w:pPr>
            <w:r>
              <w:rPr>
                <w:rFonts w:ascii="Arial" w:cs="Arial" w:eastAsia="Arial" w:hAnsi="Arial"/>
                <w:sz w:val="14"/>
                <w:szCs w:val="14"/>
                <w:color w:val="auto"/>
              </w:rPr>
              <w:t>2,321,841</w:t>
            </w:r>
          </w:p>
        </w:tc>
        <w:tc>
          <w:tcPr>
            <w:tcW w:w="2140" w:type="dxa"/>
            <w:vAlign w:val="bottom"/>
          </w:tcPr>
          <w:p>
            <w:pPr>
              <w:jc w:val="right"/>
              <w:ind w:right="130"/>
              <w:spacing w:after="0"/>
              <w:rPr>
                <w:sz w:val="20"/>
                <w:szCs w:val="20"/>
                <w:color w:val="auto"/>
              </w:rPr>
            </w:pPr>
            <w:r>
              <w:rPr>
                <w:rFonts w:ascii="Arial" w:cs="Arial" w:eastAsia="Arial" w:hAnsi="Arial"/>
                <w:sz w:val="14"/>
                <w:szCs w:val="14"/>
                <w:color w:val="auto"/>
              </w:rPr>
              <w:t>0</w:t>
            </w:r>
          </w:p>
        </w:tc>
        <w:tc>
          <w:tcPr>
            <w:tcW w:w="1480" w:type="dxa"/>
            <w:vAlign w:val="bottom"/>
          </w:tcPr>
          <w:p>
            <w:pPr>
              <w:jc w:val="right"/>
              <w:ind w:right="170"/>
              <w:spacing w:after="0"/>
              <w:rPr>
                <w:sz w:val="20"/>
                <w:szCs w:val="20"/>
                <w:color w:val="auto"/>
              </w:rPr>
            </w:pPr>
            <w:r>
              <w:rPr>
                <w:rFonts w:ascii="Arial" w:cs="Arial" w:eastAsia="Arial" w:hAnsi="Arial"/>
                <w:sz w:val="14"/>
                <w:szCs w:val="14"/>
                <w:color w:val="auto"/>
              </w:rPr>
              <w:t>1,251,684</w:t>
            </w:r>
          </w:p>
        </w:tc>
        <w:tc>
          <w:tcPr>
            <w:tcW w:w="1700" w:type="dxa"/>
            <w:vAlign w:val="bottom"/>
          </w:tcPr>
          <w:p>
            <w:pPr>
              <w:jc w:val="right"/>
              <w:ind w:right="209"/>
              <w:spacing w:after="0"/>
              <w:rPr>
                <w:sz w:val="20"/>
                <w:szCs w:val="20"/>
                <w:color w:val="auto"/>
              </w:rPr>
            </w:pPr>
            <w:r>
              <w:rPr>
                <w:rFonts w:ascii="Arial" w:cs="Arial" w:eastAsia="Arial" w:hAnsi="Arial"/>
                <w:sz w:val="14"/>
                <w:szCs w:val="14"/>
                <w:color w:val="auto"/>
              </w:rPr>
              <w:t>0</w:t>
            </w:r>
          </w:p>
        </w:tc>
        <w:tc>
          <w:tcPr>
            <w:tcW w:w="1440" w:type="dxa"/>
            <w:vAlign w:val="bottom"/>
          </w:tcPr>
          <w:p>
            <w:pPr>
              <w:jc w:val="right"/>
              <w:spacing w:after="0"/>
              <w:rPr>
                <w:sz w:val="20"/>
                <w:szCs w:val="20"/>
                <w:color w:val="auto"/>
              </w:rPr>
            </w:pPr>
            <w:r>
              <w:rPr>
                <w:rFonts w:ascii="Arial" w:cs="Arial" w:eastAsia="Arial" w:hAnsi="Arial"/>
                <w:sz w:val="14"/>
                <w:szCs w:val="14"/>
                <w:color w:val="auto"/>
              </w:rPr>
              <w:t>11,902,386</w:t>
            </w:r>
          </w:p>
        </w:tc>
      </w:tr>
      <w:tr>
        <w:trPr>
          <w:trHeight w:val="218"/>
        </w:trPr>
        <w:tc>
          <w:tcPr>
            <w:tcW w:w="2700" w:type="dxa"/>
            <w:vAlign w:val="bottom"/>
          </w:tcPr>
          <w:p>
            <w:pPr>
              <w:ind w:left="240"/>
              <w:spacing w:after="0"/>
              <w:rPr>
                <w:sz w:val="20"/>
                <w:szCs w:val="20"/>
                <w:color w:val="auto"/>
              </w:rPr>
            </w:pPr>
            <w:r>
              <w:rPr>
                <w:rFonts w:ascii="Arial" w:cs="Arial" w:eastAsia="Arial" w:hAnsi="Arial"/>
                <w:sz w:val="14"/>
                <w:szCs w:val="14"/>
                <w:color w:val="auto"/>
              </w:rPr>
              <w:t>Supplemental Benefit Plan</w:t>
            </w:r>
          </w:p>
        </w:tc>
        <w:tc>
          <w:tcPr>
            <w:tcW w:w="1780" w:type="dxa"/>
            <w:vAlign w:val="bottom"/>
          </w:tcPr>
          <w:p>
            <w:pPr>
              <w:jc w:val="right"/>
              <w:spacing w:after="0"/>
              <w:rPr>
                <w:sz w:val="20"/>
                <w:szCs w:val="20"/>
                <w:color w:val="auto"/>
              </w:rPr>
            </w:pPr>
            <w:r>
              <w:rPr>
                <w:rFonts w:ascii="Arial" w:cs="Arial" w:eastAsia="Arial" w:hAnsi="Arial"/>
                <w:sz w:val="14"/>
                <w:szCs w:val="14"/>
                <w:color w:val="auto"/>
              </w:rPr>
              <w:t>0</w:t>
            </w:r>
          </w:p>
        </w:tc>
        <w:tc>
          <w:tcPr>
            <w:tcW w:w="2140" w:type="dxa"/>
            <w:vAlign w:val="bottom"/>
          </w:tcPr>
          <w:p>
            <w:pPr>
              <w:jc w:val="right"/>
              <w:ind w:right="130"/>
              <w:spacing w:after="0"/>
              <w:rPr>
                <w:sz w:val="20"/>
                <w:szCs w:val="20"/>
                <w:color w:val="auto"/>
              </w:rPr>
            </w:pPr>
            <w:r>
              <w:rPr>
                <w:rFonts w:ascii="Arial" w:cs="Arial" w:eastAsia="Arial" w:hAnsi="Arial"/>
                <w:sz w:val="14"/>
                <w:szCs w:val="14"/>
                <w:color w:val="auto"/>
              </w:rPr>
              <w:t>242,932</w:t>
            </w:r>
          </w:p>
        </w:tc>
        <w:tc>
          <w:tcPr>
            <w:tcW w:w="1480" w:type="dxa"/>
            <w:vAlign w:val="bottom"/>
          </w:tcPr>
          <w:p>
            <w:pPr>
              <w:jc w:val="right"/>
              <w:ind w:right="170"/>
              <w:spacing w:after="0"/>
              <w:rPr>
                <w:sz w:val="20"/>
                <w:szCs w:val="20"/>
                <w:color w:val="auto"/>
              </w:rPr>
            </w:pPr>
            <w:r>
              <w:rPr>
                <w:rFonts w:ascii="Arial" w:cs="Arial" w:eastAsia="Arial" w:hAnsi="Arial"/>
                <w:sz w:val="14"/>
                <w:szCs w:val="14"/>
                <w:color w:val="auto"/>
              </w:rPr>
              <w:t>200,004</w:t>
            </w:r>
          </w:p>
        </w:tc>
        <w:tc>
          <w:tcPr>
            <w:tcW w:w="1700" w:type="dxa"/>
            <w:vAlign w:val="bottom"/>
          </w:tcPr>
          <w:p>
            <w:pPr>
              <w:jc w:val="right"/>
              <w:ind w:right="209"/>
              <w:spacing w:after="0"/>
              <w:rPr>
                <w:sz w:val="20"/>
                <w:szCs w:val="20"/>
                <w:color w:val="auto"/>
              </w:rPr>
            </w:pPr>
            <w:r>
              <w:rPr>
                <w:rFonts w:ascii="Arial" w:cs="Arial" w:eastAsia="Arial" w:hAnsi="Arial"/>
                <w:sz w:val="14"/>
                <w:szCs w:val="14"/>
                <w:color w:val="auto"/>
              </w:rPr>
              <w:t>0</w:t>
            </w:r>
          </w:p>
        </w:tc>
        <w:tc>
          <w:tcPr>
            <w:tcW w:w="1440" w:type="dxa"/>
            <w:vAlign w:val="bottom"/>
          </w:tcPr>
          <w:p>
            <w:pPr>
              <w:jc w:val="right"/>
              <w:spacing w:after="0"/>
              <w:rPr>
                <w:sz w:val="20"/>
                <w:szCs w:val="20"/>
                <w:color w:val="auto"/>
              </w:rPr>
            </w:pPr>
            <w:r>
              <w:rPr>
                <w:rFonts w:ascii="Arial" w:cs="Arial" w:eastAsia="Arial" w:hAnsi="Arial"/>
                <w:sz w:val="14"/>
                <w:szCs w:val="14"/>
                <w:color w:val="auto"/>
              </w:rPr>
              <w:t>1,200,361</w:t>
            </w:r>
          </w:p>
        </w:tc>
      </w:tr>
      <w:tr>
        <w:trPr>
          <w:trHeight w:val="207"/>
        </w:trPr>
        <w:tc>
          <w:tcPr>
            <w:tcW w:w="2700" w:type="dxa"/>
            <w:vAlign w:val="bottom"/>
            <w:shd w:val="clear" w:color="auto" w:fill="D9D9D9"/>
          </w:tcPr>
          <w:p>
            <w:pPr>
              <w:spacing w:after="0"/>
              <w:rPr>
                <w:sz w:val="20"/>
                <w:szCs w:val="20"/>
                <w:color w:val="auto"/>
              </w:rPr>
            </w:pPr>
            <w:r>
              <w:rPr>
                <w:rFonts w:ascii="Arial" w:cs="Arial" w:eastAsia="Arial" w:hAnsi="Arial"/>
                <w:sz w:val="14"/>
                <w:szCs w:val="14"/>
                <w:color w:val="auto"/>
              </w:rPr>
              <w:t>Renee J. Peterson</w:t>
            </w:r>
          </w:p>
        </w:tc>
        <w:tc>
          <w:tcPr>
            <w:tcW w:w="1780" w:type="dxa"/>
            <w:vAlign w:val="bottom"/>
            <w:shd w:val="clear" w:color="auto" w:fill="D9D9D9"/>
          </w:tcPr>
          <w:p>
            <w:pPr>
              <w:spacing w:after="0"/>
              <w:rPr>
                <w:sz w:val="18"/>
                <w:szCs w:val="18"/>
                <w:color w:val="auto"/>
              </w:rPr>
            </w:pPr>
          </w:p>
        </w:tc>
        <w:tc>
          <w:tcPr>
            <w:tcW w:w="2140" w:type="dxa"/>
            <w:vAlign w:val="bottom"/>
            <w:shd w:val="clear" w:color="auto" w:fill="D9D9D9"/>
          </w:tcPr>
          <w:p>
            <w:pPr>
              <w:spacing w:after="0"/>
              <w:rPr>
                <w:sz w:val="18"/>
                <w:szCs w:val="18"/>
                <w:color w:val="auto"/>
              </w:rPr>
            </w:pPr>
          </w:p>
        </w:tc>
        <w:tc>
          <w:tcPr>
            <w:tcW w:w="1480" w:type="dxa"/>
            <w:vAlign w:val="bottom"/>
            <w:shd w:val="clear" w:color="auto" w:fill="D9D9D9"/>
          </w:tcPr>
          <w:p>
            <w:pPr>
              <w:spacing w:after="0"/>
              <w:rPr>
                <w:sz w:val="18"/>
                <w:szCs w:val="18"/>
                <w:color w:val="auto"/>
              </w:rPr>
            </w:pPr>
          </w:p>
        </w:tc>
        <w:tc>
          <w:tcPr>
            <w:tcW w:w="1700" w:type="dxa"/>
            <w:vAlign w:val="bottom"/>
            <w:shd w:val="clear" w:color="auto" w:fill="D9D9D9"/>
          </w:tcPr>
          <w:p>
            <w:pPr>
              <w:spacing w:after="0"/>
              <w:rPr>
                <w:sz w:val="18"/>
                <w:szCs w:val="18"/>
                <w:color w:val="auto"/>
              </w:rPr>
            </w:pPr>
          </w:p>
        </w:tc>
        <w:tc>
          <w:tcPr>
            <w:tcW w:w="1440" w:type="dxa"/>
            <w:vAlign w:val="bottom"/>
            <w:shd w:val="clear" w:color="auto" w:fill="D9D9D9"/>
          </w:tcPr>
          <w:p>
            <w:pPr>
              <w:spacing w:after="0"/>
              <w:rPr>
                <w:sz w:val="18"/>
                <w:szCs w:val="18"/>
                <w:color w:val="auto"/>
              </w:rPr>
            </w:pPr>
          </w:p>
        </w:tc>
      </w:tr>
      <w:tr>
        <w:trPr>
          <w:trHeight w:val="213"/>
        </w:trPr>
        <w:tc>
          <w:tcPr>
            <w:tcW w:w="2700" w:type="dxa"/>
            <w:vAlign w:val="bottom"/>
            <w:shd w:val="clear" w:color="auto" w:fill="D9D9D9"/>
          </w:tcPr>
          <w:p>
            <w:pPr>
              <w:ind w:left="240"/>
              <w:spacing w:after="0"/>
              <w:rPr>
                <w:sz w:val="20"/>
                <w:szCs w:val="20"/>
                <w:color w:val="auto"/>
              </w:rPr>
            </w:pPr>
            <w:r>
              <w:rPr>
                <w:rFonts w:ascii="Arial" w:cs="Arial" w:eastAsia="Arial" w:hAnsi="Arial"/>
                <w:sz w:val="14"/>
                <w:szCs w:val="14"/>
                <w:color w:val="auto"/>
              </w:rPr>
              <w:t>Deferred Plan</w:t>
            </w:r>
          </w:p>
        </w:tc>
        <w:tc>
          <w:tcPr>
            <w:tcW w:w="17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545,101</w:t>
            </w:r>
          </w:p>
        </w:tc>
        <w:tc>
          <w:tcPr>
            <w:tcW w:w="2140" w:type="dxa"/>
            <w:vAlign w:val="bottom"/>
            <w:shd w:val="clear" w:color="auto" w:fill="D9D9D9"/>
          </w:tcPr>
          <w:p>
            <w:pPr>
              <w:jc w:val="right"/>
              <w:ind w:right="130"/>
              <w:spacing w:after="0"/>
              <w:rPr>
                <w:sz w:val="20"/>
                <w:szCs w:val="20"/>
                <w:color w:val="auto"/>
              </w:rPr>
            </w:pPr>
            <w:r>
              <w:rPr>
                <w:rFonts w:ascii="Arial" w:cs="Arial" w:eastAsia="Arial" w:hAnsi="Arial"/>
                <w:sz w:val="14"/>
                <w:szCs w:val="14"/>
                <w:color w:val="auto"/>
              </w:rPr>
              <w:t>0</w:t>
            </w:r>
          </w:p>
        </w:tc>
        <w:tc>
          <w:tcPr>
            <w:tcW w:w="1480" w:type="dxa"/>
            <w:vAlign w:val="bottom"/>
            <w:shd w:val="clear" w:color="auto" w:fill="D9D9D9"/>
          </w:tcPr>
          <w:p>
            <w:pPr>
              <w:jc w:val="right"/>
              <w:ind w:right="170"/>
              <w:spacing w:after="0"/>
              <w:rPr>
                <w:sz w:val="20"/>
                <w:szCs w:val="20"/>
                <w:color w:val="auto"/>
              </w:rPr>
            </w:pPr>
            <w:r>
              <w:rPr>
                <w:rFonts w:ascii="Arial" w:cs="Arial" w:eastAsia="Arial" w:hAnsi="Arial"/>
                <w:sz w:val="14"/>
                <w:szCs w:val="14"/>
                <w:color w:val="auto"/>
              </w:rPr>
              <w:t>741,877</w:t>
            </w:r>
          </w:p>
        </w:tc>
        <w:tc>
          <w:tcPr>
            <w:tcW w:w="1700" w:type="dxa"/>
            <w:vAlign w:val="bottom"/>
            <w:shd w:val="clear" w:color="auto" w:fill="D9D9D9"/>
          </w:tcPr>
          <w:p>
            <w:pPr>
              <w:jc w:val="right"/>
              <w:ind w:right="209"/>
              <w:spacing w:after="0"/>
              <w:rPr>
                <w:sz w:val="20"/>
                <w:szCs w:val="20"/>
                <w:color w:val="auto"/>
              </w:rPr>
            </w:pPr>
            <w:r>
              <w:rPr>
                <w:rFonts w:ascii="Arial" w:cs="Arial" w:eastAsia="Arial" w:hAnsi="Arial"/>
                <w:sz w:val="14"/>
                <w:szCs w:val="14"/>
                <w:color w:val="auto"/>
              </w:rPr>
              <w:t>0</w:t>
            </w:r>
          </w:p>
        </w:tc>
        <w:tc>
          <w:tcPr>
            <w:tcW w:w="14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4,231,392</w:t>
            </w:r>
          </w:p>
        </w:tc>
      </w:tr>
      <w:tr>
        <w:trPr>
          <w:trHeight w:val="213"/>
        </w:trPr>
        <w:tc>
          <w:tcPr>
            <w:tcW w:w="2700" w:type="dxa"/>
            <w:vAlign w:val="bottom"/>
            <w:shd w:val="clear" w:color="auto" w:fill="D9D9D9"/>
          </w:tcPr>
          <w:p>
            <w:pPr>
              <w:ind w:left="240"/>
              <w:spacing w:after="0"/>
              <w:rPr>
                <w:sz w:val="20"/>
                <w:szCs w:val="20"/>
                <w:color w:val="auto"/>
              </w:rPr>
            </w:pPr>
            <w:r>
              <w:rPr>
                <w:rFonts w:ascii="Arial" w:cs="Arial" w:eastAsia="Arial" w:hAnsi="Arial"/>
                <w:sz w:val="14"/>
                <w:szCs w:val="14"/>
                <w:color w:val="auto"/>
              </w:rPr>
              <w:t>Deferred Plan for Officers</w:t>
            </w:r>
          </w:p>
        </w:tc>
        <w:tc>
          <w:tcPr>
            <w:tcW w:w="17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2140" w:type="dxa"/>
            <w:vAlign w:val="bottom"/>
            <w:shd w:val="clear" w:color="auto" w:fill="D9D9D9"/>
          </w:tcPr>
          <w:p>
            <w:pPr>
              <w:jc w:val="right"/>
              <w:ind w:right="130"/>
              <w:spacing w:after="0"/>
              <w:rPr>
                <w:sz w:val="20"/>
                <w:szCs w:val="20"/>
                <w:color w:val="auto"/>
              </w:rPr>
            </w:pPr>
            <w:r>
              <w:rPr>
                <w:rFonts w:ascii="Arial" w:cs="Arial" w:eastAsia="Arial" w:hAnsi="Arial"/>
                <w:sz w:val="14"/>
                <w:szCs w:val="14"/>
                <w:color w:val="auto"/>
              </w:rPr>
              <w:t>0</w:t>
            </w:r>
          </w:p>
        </w:tc>
        <w:tc>
          <w:tcPr>
            <w:tcW w:w="1480" w:type="dxa"/>
            <w:vAlign w:val="bottom"/>
            <w:shd w:val="clear" w:color="auto" w:fill="D9D9D9"/>
          </w:tcPr>
          <w:p>
            <w:pPr>
              <w:jc w:val="right"/>
              <w:ind w:right="170"/>
              <w:spacing w:after="0"/>
              <w:rPr>
                <w:sz w:val="20"/>
                <w:szCs w:val="20"/>
                <w:color w:val="auto"/>
              </w:rPr>
            </w:pPr>
            <w:r>
              <w:rPr>
                <w:rFonts w:ascii="Arial" w:cs="Arial" w:eastAsia="Arial" w:hAnsi="Arial"/>
                <w:sz w:val="14"/>
                <w:szCs w:val="14"/>
                <w:color w:val="auto"/>
              </w:rPr>
              <w:t>1,217,344</w:t>
            </w:r>
          </w:p>
        </w:tc>
        <w:tc>
          <w:tcPr>
            <w:tcW w:w="1700" w:type="dxa"/>
            <w:vAlign w:val="bottom"/>
            <w:shd w:val="clear" w:color="auto" w:fill="D9D9D9"/>
          </w:tcPr>
          <w:p>
            <w:pPr>
              <w:jc w:val="right"/>
              <w:ind w:right="209"/>
              <w:spacing w:after="0"/>
              <w:rPr>
                <w:sz w:val="20"/>
                <w:szCs w:val="20"/>
                <w:color w:val="auto"/>
              </w:rPr>
            </w:pPr>
            <w:r>
              <w:rPr>
                <w:rFonts w:ascii="Arial" w:cs="Arial" w:eastAsia="Arial" w:hAnsi="Arial"/>
                <w:sz w:val="14"/>
                <w:szCs w:val="14"/>
                <w:color w:val="auto"/>
              </w:rPr>
              <w:t>0</w:t>
            </w:r>
          </w:p>
        </w:tc>
        <w:tc>
          <w:tcPr>
            <w:tcW w:w="14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8,194,990</w:t>
            </w:r>
          </w:p>
        </w:tc>
      </w:tr>
      <w:tr>
        <w:trPr>
          <w:trHeight w:val="224"/>
        </w:trPr>
        <w:tc>
          <w:tcPr>
            <w:tcW w:w="2700" w:type="dxa"/>
            <w:vAlign w:val="bottom"/>
            <w:shd w:val="clear" w:color="auto" w:fill="D9D9D9"/>
          </w:tcPr>
          <w:p>
            <w:pPr>
              <w:ind w:left="240"/>
              <w:spacing w:after="0"/>
              <w:rPr>
                <w:sz w:val="20"/>
                <w:szCs w:val="20"/>
                <w:color w:val="auto"/>
              </w:rPr>
            </w:pPr>
            <w:r>
              <w:rPr>
                <w:rFonts w:ascii="Arial" w:cs="Arial" w:eastAsia="Arial" w:hAnsi="Arial"/>
                <w:sz w:val="14"/>
                <w:szCs w:val="14"/>
                <w:color w:val="auto"/>
              </w:rPr>
              <w:t>Supplemental Benefit Plan</w:t>
            </w:r>
          </w:p>
        </w:tc>
        <w:tc>
          <w:tcPr>
            <w:tcW w:w="17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2140" w:type="dxa"/>
            <w:vAlign w:val="bottom"/>
            <w:shd w:val="clear" w:color="auto" w:fill="D9D9D9"/>
          </w:tcPr>
          <w:p>
            <w:pPr>
              <w:jc w:val="right"/>
              <w:ind w:right="130"/>
              <w:spacing w:after="0"/>
              <w:rPr>
                <w:sz w:val="20"/>
                <w:szCs w:val="20"/>
                <w:color w:val="auto"/>
              </w:rPr>
            </w:pPr>
            <w:r>
              <w:rPr>
                <w:rFonts w:ascii="Arial" w:cs="Arial" w:eastAsia="Arial" w:hAnsi="Arial"/>
                <w:sz w:val="14"/>
                <w:szCs w:val="14"/>
                <w:color w:val="auto"/>
              </w:rPr>
              <w:t>87,891</w:t>
            </w:r>
          </w:p>
        </w:tc>
        <w:tc>
          <w:tcPr>
            <w:tcW w:w="1480" w:type="dxa"/>
            <w:vAlign w:val="bottom"/>
            <w:shd w:val="clear" w:color="auto" w:fill="D9D9D9"/>
          </w:tcPr>
          <w:p>
            <w:pPr>
              <w:jc w:val="right"/>
              <w:ind w:right="170"/>
              <w:spacing w:after="0"/>
              <w:rPr>
                <w:sz w:val="20"/>
                <w:szCs w:val="20"/>
                <w:color w:val="auto"/>
              </w:rPr>
            </w:pPr>
            <w:r>
              <w:rPr>
                <w:rFonts w:ascii="Arial" w:cs="Arial" w:eastAsia="Arial" w:hAnsi="Arial"/>
                <w:sz w:val="14"/>
                <w:szCs w:val="14"/>
                <w:color w:val="auto"/>
              </w:rPr>
              <w:t>142,242</w:t>
            </w:r>
          </w:p>
        </w:tc>
        <w:tc>
          <w:tcPr>
            <w:tcW w:w="1700" w:type="dxa"/>
            <w:vAlign w:val="bottom"/>
            <w:shd w:val="clear" w:color="auto" w:fill="D9D9D9"/>
          </w:tcPr>
          <w:p>
            <w:pPr>
              <w:jc w:val="right"/>
              <w:ind w:right="209"/>
              <w:spacing w:after="0"/>
              <w:rPr>
                <w:sz w:val="20"/>
                <w:szCs w:val="20"/>
                <w:color w:val="auto"/>
              </w:rPr>
            </w:pPr>
            <w:r>
              <w:rPr>
                <w:rFonts w:ascii="Arial" w:cs="Arial" w:eastAsia="Arial" w:hAnsi="Arial"/>
                <w:sz w:val="14"/>
                <w:szCs w:val="14"/>
                <w:color w:val="auto"/>
              </w:rPr>
              <w:t>0</w:t>
            </w:r>
          </w:p>
        </w:tc>
        <w:tc>
          <w:tcPr>
            <w:tcW w:w="14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773,008</w:t>
            </w:r>
          </w:p>
        </w:tc>
      </w:tr>
      <w:tr>
        <w:trPr>
          <w:trHeight w:val="202"/>
        </w:trPr>
        <w:tc>
          <w:tcPr>
            <w:tcW w:w="2700" w:type="dxa"/>
            <w:vAlign w:val="bottom"/>
          </w:tcPr>
          <w:p>
            <w:pPr>
              <w:spacing w:after="0"/>
              <w:rPr>
                <w:sz w:val="20"/>
                <w:szCs w:val="20"/>
                <w:color w:val="auto"/>
              </w:rPr>
            </w:pPr>
            <w:r>
              <w:rPr>
                <w:rFonts w:ascii="Arial" w:cs="Arial" w:eastAsia="Arial" w:hAnsi="Arial"/>
                <w:sz w:val="14"/>
                <w:szCs w:val="14"/>
                <w:color w:val="auto"/>
              </w:rPr>
              <w:t>Richard W. Rodier</w:t>
            </w:r>
          </w:p>
        </w:tc>
        <w:tc>
          <w:tcPr>
            <w:tcW w:w="17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3"/>
        </w:trPr>
        <w:tc>
          <w:tcPr>
            <w:tcW w:w="2700" w:type="dxa"/>
            <w:vAlign w:val="bottom"/>
          </w:tcPr>
          <w:p>
            <w:pPr>
              <w:ind w:left="240"/>
              <w:spacing w:after="0"/>
              <w:rPr>
                <w:sz w:val="20"/>
                <w:szCs w:val="20"/>
                <w:color w:val="auto"/>
              </w:rPr>
            </w:pPr>
            <w:r>
              <w:rPr>
                <w:rFonts w:ascii="Arial" w:cs="Arial" w:eastAsia="Arial" w:hAnsi="Arial"/>
                <w:sz w:val="14"/>
                <w:szCs w:val="14"/>
                <w:color w:val="auto"/>
              </w:rPr>
              <w:t>Deferred Plan</w:t>
            </w:r>
          </w:p>
        </w:tc>
        <w:tc>
          <w:tcPr>
            <w:tcW w:w="1780" w:type="dxa"/>
            <w:vAlign w:val="bottom"/>
          </w:tcPr>
          <w:p>
            <w:pPr>
              <w:jc w:val="right"/>
              <w:spacing w:after="0"/>
              <w:rPr>
                <w:sz w:val="20"/>
                <w:szCs w:val="20"/>
                <w:color w:val="auto"/>
              </w:rPr>
            </w:pPr>
            <w:r>
              <w:rPr>
                <w:rFonts w:ascii="Arial" w:cs="Arial" w:eastAsia="Arial" w:hAnsi="Arial"/>
                <w:sz w:val="14"/>
                <w:szCs w:val="14"/>
                <w:color w:val="auto"/>
              </w:rPr>
              <w:t>847,800</w:t>
            </w:r>
          </w:p>
        </w:tc>
        <w:tc>
          <w:tcPr>
            <w:tcW w:w="2140" w:type="dxa"/>
            <w:vAlign w:val="bottom"/>
          </w:tcPr>
          <w:p>
            <w:pPr>
              <w:jc w:val="right"/>
              <w:ind w:right="130"/>
              <w:spacing w:after="0"/>
              <w:rPr>
                <w:sz w:val="20"/>
                <w:szCs w:val="20"/>
                <w:color w:val="auto"/>
              </w:rPr>
            </w:pPr>
            <w:r>
              <w:rPr>
                <w:rFonts w:ascii="Arial" w:cs="Arial" w:eastAsia="Arial" w:hAnsi="Arial"/>
                <w:sz w:val="14"/>
                <w:szCs w:val="14"/>
                <w:color w:val="auto"/>
              </w:rPr>
              <w:t>3,351</w:t>
            </w:r>
          </w:p>
        </w:tc>
        <w:tc>
          <w:tcPr>
            <w:tcW w:w="1480" w:type="dxa"/>
            <w:vAlign w:val="bottom"/>
          </w:tcPr>
          <w:p>
            <w:pPr>
              <w:jc w:val="right"/>
              <w:ind w:right="170"/>
              <w:spacing w:after="0"/>
              <w:rPr>
                <w:sz w:val="20"/>
                <w:szCs w:val="20"/>
                <w:color w:val="auto"/>
              </w:rPr>
            </w:pPr>
            <w:r>
              <w:rPr>
                <w:rFonts w:ascii="Arial" w:cs="Arial" w:eastAsia="Arial" w:hAnsi="Arial"/>
                <w:sz w:val="14"/>
                <w:szCs w:val="14"/>
                <w:color w:val="auto"/>
              </w:rPr>
              <w:t>336,264</w:t>
            </w:r>
          </w:p>
        </w:tc>
        <w:tc>
          <w:tcPr>
            <w:tcW w:w="1700" w:type="dxa"/>
            <w:vAlign w:val="bottom"/>
          </w:tcPr>
          <w:p>
            <w:pPr>
              <w:jc w:val="right"/>
              <w:ind w:right="209"/>
              <w:spacing w:after="0"/>
              <w:rPr>
                <w:sz w:val="20"/>
                <w:szCs w:val="20"/>
                <w:color w:val="auto"/>
              </w:rPr>
            </w:pPr>
            <w:r>
              <w:rPr>
                <w:rFonts w:ascii="Arial" w:cs="Arial" w:eastAsia="Arial" w:hAnsi="Arial"/>
                <w:sz w:val="14"/>
                <w:szCs w:val="14"/>
                <w:color w:val="auto"/>
              </w:rPr>
              <w:t>267,527</w:t>
            </w:r>
          </w:p>
        </w:tc>
        <w:tc>
          <w:tcPr>
            <w:tcW w:w="1440" w:type="dxa"/>
            <w:vAlign w:val="bottom"/>
          </w:tcPr>
          <w:p>
            <w:pPr>
              <w:jc w:val="right"/>
              <w:spacing w:after="0"/>
              <w:rPr>
                <w:sz w:val="20"/>
                <w:szCs w:val="20"/>
                <w:color w:val="auto"/>
              </w:rPr>
            </w:pPr>
            <w:r>
              <w:rPr>
                <w:rFonts w:ascii="Arial" w:cs="Arial" w:eastAsia="Arial" w:hAnsi="Arial"/>
                <w:sz w:val="14"/>
                <w:szCs w:val="14"/>
                <w:color w:val="auto"/>
              </w:rPr>
              <w:t>2,211,932</w:t>
            </w:r>
          </w:p>
        </w:tc>
      </w:tr>
      <w:tr>
        <w:trPr>
          <w:trHeight w:val="213"/>
        </w:trPr>
        <w:tc>
          <w:tcPr>
            <w:tcW w:w="2700" w:type="dxa"/>
            <w:vAlign w:val="bottom"/>
          </w:tcPr>
          <w:p>
            <w:pPr>
              <w:ind w:left="240"/>
              <w:spacing w:after="0"/>
              <w:rPr>
                <w:sz w:val="20"/>
                <w:szCs w:val="20"/>
                <w:color w:val="auto"/>
              </w:rPr>
            </w:pPr>
            <w:r>
              <w:rPr>
                <w:rFonts w:ascii="Arial" w:cs="Arial" w:eastAsia="Arial" w:hAnsi="Arial"/>
                <w:sz w:val="14"/>
                <w:szCs w:val="14"/>
                <w:color w:val="auto"/>
              </w:rPr>
              <w:t>Deferred Plan for Officers</w:t>
            </w:r>
          </w:p>
        </w:tc>
        <w:tc>
          <w:tcPr>
            <w:tcW w:w="1780" w:type="dxa"/>
            <w:vAlign w:val="bottom"/>
          </w:tcPr>
          <w:p>
            <w:pPr>
              <w:jc w:val="right"/>
              <w:spacing w:after="0"/>
              <w:rPr>
                <w:sz w:val="20"/>
                <w:szCs w:val="20"/>
                <w:color w:val="auto"/>
              </w:rPr>
            </w:pPr>
            <w:r>
              <w:rPr>
                <w:rFonts w:ascii="Arial" w:cs="Arial" w:eastAsia="Arial" w:hAnsi="Arial"/>
                <w:sz w:val="14"/>
                <w:szCs w:val="14"/>
                <w:color w:val="auto"/>
              </w:rPr>
              <w:t>0</w:t>
            </w:r>
          </w:p>
        </w:tc>
        <w:tc>
          <w:tcPr>
            <w:tcW w:w="2140" w:type="dxa"/>
            <w:vAlign w:val="bottom"/>
          </w:tcPr>
          <w:p>
            <w:pPr>
              <w:jc w:val="right"/>
              <w:ind w:right="130"/>
              <w:spacing w:after="0"/>
              <w:rPr>
                <w:sz w:val="20"/>
                <w:szCs w:val="20"/>
                <w:color w:val="auto"/>
              </w:rPr>
            </w:pPr>
            <w:r>
              <w:rPr>
                <w:rFonts w:ascii="Arial" w:cs="Arial" w:eastAsia="Arial" w:hAnsi="Arial"/>
                <w:sz w:val="14"/>
                <w:szCs w:val="14"/>
                <w:color w:val="auto"/>
              </w:rPr>
              <w:t>0</w:t>
            </w:r>
          </w:p>
        </w:tc>
        <w:tc>
          <w:tcPr>
            <w:tcW w:w="1480" w:type="dxa"/>
            <w:vAlign w:val="bottom"/>
          </w:tcPr>
          <w:p>
            <w:pPr>
              <w:jc w:val="right"/>
              <w:ind w:right="170"/>
              <w:spacing w:after="0"/>
              <w:rPr>
                <w:sz w:val="20"/>
                <w:szCs w:val="20"/>
                <w:color w:val="auto"/>
              </w:rPr>
            </w:pPr>
            <w:r>
              <w:rPr>
                <w:rFonts w:ascii="Arial" w:cs="Arial" w:eastAsia="Arial" w:hAnsi="Arial"/>
                <w:sz w:val="14"/>
                <w:szCs w:val="14"/>
                <w:color w:val="auto"/>
              </w:rPr>
              <w:t>74,531</w:t>
            </w:r>
          </w:p>
        </w:tc>
        <w:tc>
          <w:tcPr>
            <w:tcW w:w="1700" w:type="dxa"/>
            <w:vAlign w:val="bottom"/>
          </w:tcPr>
          <w:p>
            <w:pPr>
              <w:jc w:val="right"/>
              <w:ind w:right="209"/>
              <w:spacing w:after="0"/>
              <w:rPr>
                <w:sz w:val="20"/>
                <w:szCs w:val="20"/>
                <w:color w:val="auto"/>
              </w:rPr>
            </w:pPr>
            <w:r>
              <w:rPr>
                <w:rFonts w:ascii="Arial" w:cs="Arial" w:eastAsia="Arial" w:hAnsi="Arial"/>
                <w:sz w:val="14"/>
                <w:szCs w:val="14"/>
                <w:color w:val="auto"/>
              </w:rPr>
              <w:t>0</w:t>
            </w:r>
          </w:p>
        </w:tc>
        <w:tc>
          <w:tcPr>
            <w:tcW w:w="1440" w:type="dxa"/>
            <w:vAlign w:val="bottom"/>
          </w:tcPr>
          <w:p>
            <w:pPr>
              <w:jc w:val="right"/>
              <w:spacing w:after="0"/>
              <w:rPr>
                <w:sz w:val="20"/>
                <w:szCs w:val="20"/>
                <w:color w:val="auto"/>
              </w:rPr>
            </w:pPr>
            <w:r>
              <w:rPr>
                <w:rFonts w:ascii="Arial" w:cs="Arial" w:eastAsia="Arial" w:hAnsi="Arial"/>
                <w:sz w:val="14"/>
                <w:szCs w:val="14"/>
                <w:color w:val="auto"/>
              </w:rPr>
              <w:t>578,344</w:t>
            </w:r>
          </w:p>
        </w:tc>
      </w:tr>
      <w:tr>
        <w:trPr>
          <w:trHeight w:val="218"/>
        </w:trPr>
        <w:tc>
          <w:tcPr>
            <w:tcW w:w="2700" w:type="dxa"/>
            <w:vAlign w:val="bottom"/>
          </w:tcPr>
          <w:p>
            <w:pPr>
              <w:ind w:left="240"/>
              <w:spacing w:after="0"/>
              <w:rPr>
                <w:sz w:val="20"/>
                <w:szCs w:val="20"/>
                <w:color w:val="auto"/>
              </w:rPr>
            </w:pPr>
            <w:r>
              <w:rPr>
                <w:rFonts w:ascii="Arial" w:cs="Arial" w:eastAsia="Arial" w:hAnsi="Arial"/>
                <w:sz w:val="14"/>
                <w:szCs w:val="14"/>
                <w:color w:val="auto"/>
              </w:rPr>
              <w:t>Supplemental Benefit Plan</w:t>
            </w:r>
          </w:p>
        </w:tc>
        <w:tc>
          <w:tcPr>
            <w:tcW w:w="1780" w:type="dxa"/>
            <w:vAlign w:val="bottom"/>
          </w:tcPr>
          <w:p>
            <w:pPr>
              <w:jc w:val="right"/>
              <w:spacing w:after="0"/>
              <w:rPr>
                <w:sz w:val="20"/>
                <w:szCs w:val="20"/>
                <w:color w:val="auto"/>
              </w:rPr>
            </w:pPr>
            <w:r>
              <w:rPr>
                <w:rFonts w:ascii="Arial" w:cs="Arial" w:eastAsia="Arial" w:hAnsi="Arial"/>
                <w:sz w:val="14"/>
                <w:szCs w:val="14"/>
                <w:color w:val="auto"/>
              </w:rPr>
              <w:t>0</w:t>
            </w:r>
          </w:p>
        </w:tc>
        <w:tc>
          <w:tcPr>
            <w:tcW w:w="2140" w:type="dxa"/>
            <w:vAlign w:val="bottom"/>
          </w:tcPr>
          <w:p>
            <w:pPr>
              <w:jc w:val="right"/>
              <w:ind w:right="130"/>
              <w:spacing w:after="0"/>
              <w:rPr>
                <w:sz w:val="20"/>
                <w:szCs w:val="20"/>
                <w:color w:val="auto"/>
              </w:rPr>
            </w:pPr>
            <w:r>
              <w:rPr>
                <w:rFonts w:ascii="Arial" w:cs="Arial" w:eastAsia="Arial" w:hAnsi="Arial"/>
                <w:sz w:val="14"/>
                <w:szCs w:val="14"/>
                <w:color w:val="auto"/>
              </w:rPr>
              <w:t>70,187</w:t>
            </w:r>
          </w:p>
        </w:tc>
        <w:tc>
          <w:tcPr>
            <w:tcW w:w="1480" w:type="dxa"/>
            <w:vAlign w:val="bottom"/>
          </w:tcPr>
          <w:p>
            <w:pPr>
              <w:jc w:val="right"/>
              <w:ind w:right="170"/>
              <w:spacing w:after="0"/>
              <w:rPr>
                <w:sz w:val="20"/>
                <w:szCs w:val="20"/>
                <w:color w:val="auto"/>
              </w:rPr>
            </w:pPr>
            <w:r>
              <w:rPr>
                <w:rFonts w:ascii="Arial" w:cs="Arial" w:eastAsia="Arial" w:hAnsi="Arial"/>
                <w:sz w:val="14"/>
                <w:szCs w:val="14"/>
                <w:color w:val="auto"/>
              </w:rPr>
              <w:t>64,346</w:t>
            </w:r>
          </w:p>
        </w:tc>
        <w:tc>
          <w:tcPr>
            <w:tcW w:w="1700" w:type="dxa"/>
            <w:vAlign w:val="bottom"/>
          </w:tcPr>
          <w:p>
            <w:pPr>
              <w:jc w:val="right"/>
              <w:ind w:right="209"/>
              <w:spacing w:after="0"/>
              <w:rPr>
                <w:sz w:val="20"/>
                <w:szCs w:val="20"/>
                <w:color w:val="auto"/>
              </w:rPr>
            </w:pPr>
            <w:r>
              <w:rPr>
                <w:rFonts w:ascii="Arial" w:cs="Arial" w:eastAsia="Arial" w:hAnsi="Arial"/>
                <w:sz w:val="14"/>
                <w:szCs w:val="14"/>
                <w:color w:val="auto"/>
              </w:rPr>
              <w:t>0</w:t>
            </w:r>
          </w:p>
        </w:tc>
        <w:tc>
          <w:tcPr>
            <w:tcW w:w="1440" w:type="dxa"/>
            <w:vAlign w:val="bottom"/>
          </w:tcPr>
          <w:p>
            <w:pPr>
              <w:jc w:val="right"/>
              <w:spacing w:after="0"/>
              <w:rPr>
                <w:sz w:val="20"/>
                <w:szCs w:val="20"/>
                <w:color w:val="auto"/>
              </w:rPr>
            </w:pPr>
            <w:r>
              <w:rPr>
                <w:rFonts w:ascii="Arial" w:cs="Arial" w:eastAsia="Arial" w:hAnsi="Arial"/>
                <w:sz w:val="14"/>
                <w:szCs w:val="14"/>
                <w:color w:val="auto"/>
              </w:rPr>
              <w:t>305,795</w:t>
            </w:r>
          </w:p>
        </w:tc>
      </w:tr>
      <w:tr>
        <w:trPr>
          <w:trHeight w:val="207"/>
        </w:trPr>
        <w:tc>
          <w:tcPr>
            <w:tcW w:w="2700" w:type="dxa"/>
            <w:vAlign w:val="bottom"/>
            <w:shd w:val="clear" w:color="auto" w:fill="D9D9D9"/>
          </w:tcPr>
          <w:p>
            <w:pPr>
              <w:spacing w:after="0"/>
              <w:rPr>
                <w:sz w:val="20"/>
                <w:szCs w:val="20"/>
                <w:color w:val="auto"/>
              </w:rPr>
            </w:pPr>
            <w:r>
              <w:rPr>
                <w:rFonts w:ascii="Arial" w:cs="Arial" w:eastAsia="Arial" w:hAnsi="Arial"/>
                <w:sz w:val="14"/>
                <w:szCs w:val="14"/>
                <w:color w:val="auto"/>
              </w:rPr>
              <w:t>Amy E. Dahl</w:t>
            </w:r>
          </w:p>
        </w:tc>
        <w:tc>
          <w:tcPr>
            <w:tcW w:w="1780" w:type="dxa"/>
            <w:vAlign w:val="bottom"/>
            <w:shd w:val="clear" w:color="auto" w:fill="D9D9D9"/>
          </w:tcPr>
          <w:p>
            <w:pPr>
              <w:spacing w:after="0"/>
              <w:rPr>
                <w:sz w:val="18"/>
                <w:szCs w:val="18"/>
                <w:color w:val="auto"/>
              </w:rPr>
            </w:pPr>
          </w:p>
        </w:tc>
        <w:tc>
          <w:tcPr>
            <w:tcW w:w="2140" w:type="dxa"/>
            <w:vAlign w:val="bottom"/>
            <w:shd w:val="clear" w:color="auto" w:fill="D9D9D9"/>
          </w:tcPr>
          <w:p>
            <w:pPr>
              <w:spacing w:after="0"/>
              <w:rPr>
                <w:sz w:val="18"/>
                <w:szCs w:val="18"/>
                <w:color w:val="auto"/>
              </w:rPr>
            </w:pPr>
          </w:p>
        </w:tc>
        <w:tc>
          <w:tcPr>
            <w:tcW w:w="1480" w:type="dxa"/>
            <w:vAlign w:val="bottom"/>
            <w:shd w:val="clear" w:color="auto" w:fill="D9D9D9"/>
          </w:tcPr>
          <w:p>
            <w:pPr>
              <w:spacing w:after="0"/>
              <w:rPr>
                <w:sz w:val="18"/>
                <w:szCs w:val="18"/>
                <w:color w:val="auto"/>
              </w:rPr>
            </w:pPr>
          </w:p>
        </w:tc>
        <w:tc>
          <w:tcPr>
            <w:tcW w:w="1700" w:type="dxa"/>
            <w:vAlign w:val="bottom"/>
            <w:shd w:val="clear" w:color="auto" w:fill="D9D9D9"/>
          </w:tcPr>
          <w:p>
            <w:pPr>
              <w:spacing w:after="0"/>
              <w:rPr>
                <w:sz w:val="18"/>
                <w:szCs w:val="18"/>
                <w:color w:val="auto"/>
              </w:rPr>
            </w:pPr>
          </w:p>
        </w:tc>
        <w:tc>
          <w:tcPr>
            <w:tcW w:w="1440" w:type="dxa"/>
            <w:vAlign w:val="bottom"/>
            <w:shd w:val="clear" w:color="auto" w:fill="D9D9D9"/>
          </w:tcPr>
          <w:p>
            <w:pPr>
              <w:spacing w:after="0"/>
              <w:rPr>
                <w:sz w:val="18"/>
                <w:szCs w:val="18"/>
                <w:color w:val="auto"/>
              </w:rPr>
            </w:pPr>
          </w:p>
        </w:tc>
      </w:tr>
      <w:tr>
        <w:trPr>
          <w:trHeight w:val="213"/>
        </w:trPr>
        <w:tc>
          <w:tcPr>
            <w:tcW w:w="2700" w:type="dxa"/>
            <w:vAlign w:val="bottom"/>
            <w:shd w:val="clear" w:color="auto" w:fill="D9D9D9"/>
          </w:tcPr>
          <w:p>
            <w:pPr>
              <w:ind w:left="240"/>
              <w:spacing w:after="0"/>
              <w:rPr>
                <w:sz w:val="20"/>
                <w:szCs w:val="20"/>
                <w:color w:val="auto"/>
              </w:rPr>
            </w:pPr>
            <w:r>
              <w:rPr>
                <w:rFonts w:ascii="Arial" w:cs="Arial" w:eastAsia="Arial" w:hAnsi="Arial"/>
                <w:sz w:val="14"/>
                <w:szCs w:val="14"/>
                <w:color w:val="auto"/>
              </w:rPr>
              <w:t>Deferred Plan</w:t>
            </w:r>
          </w:p>
        </w:tc>
        <w:tc>
          <w:tcPr>
            <w:tcW w:w="17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602,231</w:t>
            </w:r>
          </w:p>
        </w:tc>
        <w:tc>
          <w:tcPr>
            <w:tcW w:w="2140" w:type="dxa"/>
            <w:vAlign w:val="bottom"/>
            <w:shd w:val="clear" w:color="auto" w:fill="D9D9D9"/>
          </w:tcPr>
          <w:p>
            <w:pPr>
              <w:jc w:val="right"/>
              <w:ind w:right="130"/>
              <w:spacing w:after="0"/>
              <w:rPr>
                <w:sz w:val="20"/>
                <w:szCs w:val="20"/>
                <w:color w:val="auto"/>
              </w:rPr>
            </w:pPr>
            <w:r>
              <w:rPr>
                <w:rFonts w:ascii="Arial" w:cs="Arial" w:eastAsia="Arial" w:hAnsi="Arial"/>
                <w:sz w:val="14"/>
                <w:szCs w:val="14"/>
                <w:color w:val="auto"/>
              </w:rPr>
              <w:t>0</w:t>
            </w:r>
          </w:p>
        </w:tc>
        <w:tc>
          <w:tcPr>
            <w:tcW w:w="1480" w:type="dxa"/>
            <w:vAlign w:val="bottom"/>
            <w:shd w:val="clear" w:color="auto" w:fill="D9D9D9"/>
          </w:tcPr>
          <w:p>
            <w:pPr>
              <w:jc w:val="right"/>
              <w:ind w:right="170"/>
              <w:spacing w:after="0"/>
              <w:rPr>
                <w:sz w:val="20"/>
                <w:szCs w:val="20"/>
                <w:color w:val="auto"/>
              </w:rPr>
            </w:pPr>
            <w:r>
              <w:rPr>
                <w:rFonts w:ascii="Arial" w:cs="Arial" w:eastAsia="Arial" w:hAnsi="Arial"/>
                <w:sz w:val="14"/>
                <w:szCs w:val="14"/>
                <w:color w:val="auto"/>
              </w:rPr>
              <w:t>34,242</w:t>
            </w:r>
          </w:p>
        </w:tc>
        <w:tc>
          <w:tcPr>
            <w:tcW w:w="1700" w:type="dxa"/>
            <w:vAlign w:val="bottom"/>
            <w:shd w:val="clear" w:color="auto" w:fill="D9D9D9"/>
          </w:tcPr>
          <w:p>
            <w:pPr>
              <w:jc w:val="right"/>
              <w:ind w:right="209"/>
              <w:spacing w:after="0"/>
              <w:rPr>
                <w:sz w:val="20"/>
                <w:szCs w:val="20"/>
                <w:color w:val="auto"/>
              </w:rPr>
            </w:pPr>
            <w:r>
              <w:rPr>
                <w:rFonts w:ascii="Arial" w:cs="Arial" w:eastAsia="Arial" w:hAnsi="Arial"/>
                <w:sz w:val="14"/>
                <w:szCs w:val="14"/>
                <w:color w:val="auto"/>
              </w:rPr>
              <w:t>0</w:t>
            </w:r>
          </w:p>
        </w:tc>
        <w:tc>
          <w:tcPr>
            <w:tcW w:w="14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856,261</w:t>
            </w:r>
          </w:p>
        </w:tc>
      </w:tr>
      <w:tr>
        <w:trPr>
          <w:trHeight w:val="213"/>
        </w:trPr>
        <w:tc>
          <w:tcPr>
            <w:tcW w:w="2700" w:type="dxa"/>
            <w:vAlign w:val="bottom"/>
            <w:shd w:val="clear" w:color="auto" w:fill="D9D9D9"/>
          </w:tcPr>
          <w:p>
            <w:pPr>
              <w:ind w:left="240"/>
              <w:spacing w:after="0"/>
              <w:rPr>
                <w:sz w:val="20"/>
                <w:szCs w:val="20"/>
                <w:color w:val="auto"/>
              </w:rPr>
            </w:pPr>
            <w:r>
              <w:rPr>
                <w:rFonts w:ascii="Arial" w:cs="Arial" w:eastAsia="Arial" w:hAnsi="Arial"/>
                <w:sz w:val="14"/>
                <w:szCs w:val="14"/>
                <w:color w:val="auto"/>
              </w:rPr>
              <w:t>Deferred Plan for Officers</w:t>
            </w:r>
          </w:p>
        </w:tc>
        <w:tc>
          <w:tcPr>
            <w:tcW w:w="17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2140" w:type="dxa"/>
            <w:vAlign w:val="bottom"/>
            <w:shd w:val="clear" w:color="auto" w:fill="D9D9D9"/>
          </w:tcPr>
          <w:p>
            <w:pPr>
              <w:jc w:val="right"/>
              <w:ind w:right="130"/>
              <w:spacing w:after="0"/>
              <w:rPr>
                <w:sz w:val="20"/>
                <w:szCs w:val="20"/>
                <w:color w:val="auto"/>
              </w:rPr>
            </w:pPr>
            <w:r>
              <w:rPr>
                <w:rFonts w:ascii="Arial" w:cs="Arial" w:eastAsia="Arial" w:hAnsi="Arial"/>
                <w:sz w:val="14"/>
                <w:szCs w:val="14"/>
                <w:color w:val="auto"/>
              </w:rPr>
              <w:t>0</w:t>
            </w:r>
          </w:p>
        </w:tc>
        <w:tc>
          <w:tcPr>
            <w:tcW w:w="1480" w:type="dxa"/>
            <w:vAlign w:val="bottom"/>
            <w:shd w:val="clear" w:color="auto" w:fill="D9D9D9"/>
          </w:tcPr>
          <w:p>
            <w:pPr>
              <w:jc w:val="right"/>
              <w:ind w:right="170"/>
              <w:spacing w:after="0"/>
              <w:rPr>
                <w:sz w:val="20"/>
                <w:szCs w:val="20"/>
                <w:color w:val="auto"/>
              </w:rPr>
            </w:pPr>
            <w:r>
              <w:rPr>
                <w:rFonts w:ascii="Arial" w:cs="Arial" w:eastAsia="Arial" w:hAnsi="Arial"/>
                <w:sz w:val="14"/>
                <w:szCs w:val="14"/>
                <w:color w:val="auto"/>
              </w:rPr>
              <w:t>79,201</w:t>
            </w:r>
          </w:p>
        </w:tc>
        <w:tc>
          <w:tcPr>
            <w:tcW w:w="1700" w:type="dxa"/>
            <w:vAlign w:val="bottom"/>
            <w:shd w:val="clear" w:color="auto" w:fill="D9D9D9"/>
          </w:tcPr>
          <w:p>
            <w:pPr>
              <w:jc w:val="right"/>
              <w:ind w:right="209"/>
              <w:spacing w:after="0"/>
              <w:rPr>
                <w:sz w:val="20"/>
                <w:szCs w:val="20"/>
                <w:color w:val="auto"/>
              </w:rPr>
            </w:pPr>
            <w:r>
              <w:rPr>
                <w:rFonts w:ascii="Arial" w:cs="Arial" w:eastAsia="Arial" w:hAnsi="Arial"/>
                <w:sz w:val="14"/>
                <w:szCs w:val="14"/>
                <w:color w:val="auto"/>
              </w:rPr>
              <w:t>0</w:t>
            </w:r>
          </w:p>
        </w:tc>
        <w:tc>
          <w:tcPr>
            <w:tcW w:w="14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681,646</w:t>
            </w:r>
          </w:p>
        </w:tc>
      </w:tr>
      <w:tr>
        <w:trPr>
          <w:trHeight w:val="224"/>
        </w:trPr>
        <w:tc>
          <w:tcPr>
            <w:tcW w:w="2700" w:type="dxa"/>
            <w:vAlign w:val="bottom"/>
            <w:shd w:val="clear" w:color="auto" w:fill="D9D9D9"/>
          </w:tcPr>
          <w:p>
            <w:pPr>
              <w:ind w:left="240"/>
              <w:spacing w:after="0"/>
              <w:rPr>
                <w:sz w:val="20"/>
                <w:szCs w:val="20"/>
                <w:color w:val="auto"/>
              </w:rPr>
            </w:pPr>
            <w:r>
              <w:rPr>
                <w:rFonts w:ascii="Arial" w:cs="Arial" w:eastAsia="Arial" w:hAnsi="Arial"/>
                <w:sz w:val="14"/>
                <w:szCs w:val="14"/>
                <w:color w:val="auto"/>
              </w:rPr>
              <w:t>Supplemental Benefit Plan</w:t>
            </w:r>
          </w:p>
        </w:tc>
        <w:tc>
          <w:tcPr>
            <w:tcW w:w="17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2140" w:type="dxa"/>
            <w:vAlign w:val="bottom"/>
            <w:shd w:val="clear" w:color="auto" w:fill="D9D9D9"/>
          </w:tcPr>
          <w:p>
            <w:pPr>
              <w:jc w:val="right"/>
              <w:ind w:right="130"/>
              <w:spacing w:after="0"/>
              <w:rPr>
                <w:sz w:val="20"/>
                <w:szCs w:val="20"/>
                <w:color w:val="auto"/>
              </w:rPr>
            </w:pPr>
            <w:r>
              <w:rPr>
                <w:rFonts w:ascii="Arial" w:cs="Arial" w:eastAsia="Arial" w:hAnsi="Arial"/>
                <w:sz w:val="14"/>
                <w:szCs w:val="14"/>
                <w:color w:val="auto"/>
              </w:rPr>
              <w:t>70,187</w:t>
            </w:r>
          </w:p>
        </w:tc>
        <w:tc>
          <w:tcPr>
            <w:tcW w:w="1480" w:type="dxa"/>
            <w:vAlign w:val="bottom"/>
            <w:shd w:val="clear" w:color="auto" w:fill="D9D9D9"/>
          </w:tcPr>
          <w:p>
            <w:pPr>
              <w:jc w:val="right"/>
              <w:ind w:right="170"/>
              <w:spacing w:after="0"/>
              <w:rPr>
                <w:sz w:val="20"/>
                <w:szCs w:val="20"/>
                <w:color w:val="auto"/>
              </w:rPr>
            </w:pPr>
            <w:r>
              <w:rPr>
                <w:rFonts w:ascii="Arial" w:cs="Arial" w:eastAsia="Arial" w:hAnsi="Arial"/>
                <w:sz w:val="14"/>
                <w:szCs w:val="14"/>
                <w:color w:val="auto"/>
              </w:rPr>
              <w:t>54,438</w:t>
            </w:r>
          </w:p>
        </w:tc>
        <w:tc>
          <w:tcPr>
            <w:tcW w:w="1700" w:type="dxa"/>
            <w:vAlign w:val="bottom"/>
            <w:shd w:val="clear" w:color="auto" w:fill="D9D9D9"/>
          </w:tcPr>
          <w:p>
            <w:pPr>
              <w:jc w:val="right"/>
              <w:ind w:right="209"/>
              <w:spacing w:after="0"/>
              <w:rPr>
                <w:sz w:val="20"/>
                <w:szCs w:val="20"/>
                <w:color w:val="auto"/>
              </w:rPr>
            </w:pPr>
            <w:r>
              <w:rPr>
                <w:rFonts w:ascii="Arial" w:cs="Arial" w:eastAsia="Arial" w:hAnsi="Arial"/>
                <w:sz w:val="14"/>
                <w:szCs w:val="14"/>
                <w:color w:val="auto"/>
              </w:rPr>
              <w:t>0</w:t>
            </w:r>
          </w:p>
        </w:tc>
        <w:tc>
          <w:tcPr>
            <w:tcW w:w="14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267,666</w:t>
            </w:r>
          </w:p>
        </w:tc>
      </w:tr>
      <w:tr>
        <w:trPr>
          <w:trHeight w:val="202"/>
        </w:trPr>
        <w:tc>
          <w:tcPr>
            <w:tcW w:w="2700" w:type="dxa"/>
            <w:vAlign w:val="bottom"/>
          </w:tcPr>
          <w:p>
            <w:pPr>
              <w:spacing w:after="0"/>
              <w:rPr>
                <w:sz w:val="20"/>
                <w:szCs w:val="20"/>
                <w:color w:val="auto"/>
              </w:rPr>
            </w:pPr>
            <w:r>
              <w:rPr>
                <w:rFonts w:ascii="Arial" w:cs="Arial" w:eastAsia="Arial" w:hAnsi="Arial"/>
                <w:sz w:val="14"/>
                <w:szCs w:val="14"/>
                <w:color w:val="auto"/>
              </w:rPr>
              <w:t>Bradley A. Hamilton</w:t>
            </w:r>
          </w:p>
        </w:tc>
        <w:tc>
          <w:tcPr>
            <w:tcW w:w="17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3"/>
        </w:trPr>
        <w:tc>
          <w:tcPr>
            <w:tcW w:w="2700" w:type="dxa"/>
            <w:vAlign w:val="bottom"/>
          </w:tcPr>
          <w:p>
            <w:pPr>
              <w:ind w:left="240"/>
              <w:spacing w:after="0"/>
              <w:rPr>
                <w:sz w:val="20"/>
                <w:szCs w:val="20"/>
                <w:color w:val="auto"/>
              </w:rPr>
            </w:pPr>
            <w:r>
              <w:rPr>
                <w:rFonts w:ascii="Arial" w:cs="Arial" w:eastAsia="Arial" w:hAnsi="Arial"/>
                <w:sz w:val="14"/>
                <w:szCs w:val="14"/>
                <w:color w:val="auto"/>
              </w:rPr>
              <w:t>Deferred Plan</w:t>
            </w:r>
          </w:p>
        </w:tc>
        <w:tc>
          <w:tcPr>
            <w:tcW w:w="1780" w:type="dxa"/>
            <w:vAlign w:val="bottom"/>
          </w:tcPr>
          <w:p>
            <w:pPr>
              <w:jc w:val="right"/>
              <w:spacing w:after="0"/>
              <w:rPr>
                <w:sz w:val="20"/>
                <w:szCs w:val="20"/>
                <w:color w:val="auto"/>
              </w:rPr>
            </w:pPr>
            <w:r>
              <w:rPr>
                <w:rFonts w:ascii="Arial" w:cs="Arial" w:eastAsia="Arial" w:hAnsi="Arial"/>
                <w:sz w:val="14"/>
                <w:szCs w:val="14"/>
                <w:color w:val="auto"/>
              </w:rPr>
              <w:t>502,489</w:t>
            </w:r>
          </w:p>
        </w:tc>
        <w:tc>
          <w:tcPr>
            <w:tcW w:w="2140" w:type="dxa"/>
            <w:vAlign w:val="bottom"/>
          </w:tcPr>
          <w:p>
            <w:pPr>
              <w:jc w:val="right"/>
              <w:ind w:right="130"/>
              <w:spacing w:after="0"/>
              <w:rPr>
                <w:sz w:val="20"/>
                <w:szCs w:val="20"/>
                <w:color w:val="auto"/>
              </w:rPr>
            </w:pPr>
            <w:r>
              <w:rPr>
                <w:rFonts w:ascii="Arial" w:cs="Arial" w:eastAsia="Arial" w:hAnsi="Arial"/>
                <w:sz w:val="14"/>
                <w:szCs w:val="14"/>
                <w:color w:val="auto"/>
              </w:rPr>
              <w:t>0</w:t>
            </w:r>
          </w:p>
        </w:tc>
        <w:tc>
          <w:tcPr>
            <w:tcW w:w="1480" w:type="dxa"/>
            <w:vAlign w:val="bottom"/>
          </w:tcPr>
          <w:p>
            <w:pPr>
              <w:jc w:val="right"/>
              <w:ind w:right="170"/>
              <w:spacing w:after="0"/>
              <w:rPr>
                <w:sz w:val="20"/>
                <w:szCs w:val="20"/>
                <w:color w:val="auto"/>
              </w:rPr>
            </w:pPr>
            <w:r>
              <w:rPr>
                <w:rFonts w:ascii="Arial" w:cs="Arial" w:eastAsia="Arial" w:hAnsi="Arial"/>
                <w:sz w:val="14"/>
                <w:szCs w:val="14"/>
                <w:color w:val="auto"/>
              </w:rPr>
              <w:t>143,049</w:t>
            </w:r>
          </w:p>
        </w:tc>
        <w:tc>
          <w:tcPr>
            <w:tcW w:w="1700" w:type="dxa"/>
            <w:vAlign w:val="bottom"/>
          </w:tcPr>
          <w:p>
            <w:pPr>
              <w:jc w:val="right"/>
              <w:ind w:right="209"/>
              <w:spacing w:after="0"/>
              <w:rPr>
                <w:sz w:val="20"/>
                <w:szCs w:val="20"/>
                <w:color w:val="auto"/>
              </w:rPr>
            </w:pPr>
            <w:r>
              <w:rPr>
                <w:rFonts w:ascii="Arial" w:cs="Arial" w:eastAsia="Arial" w:hAnsi="Arial"/>
                <w:sz w:val="14"/>
                <w:szCs w:val="14"/>
                <w:color w:val="auto"/>
              </w:rPr>
              <w:t>0</w:t>
            </w:r>
          </w:p>
        </w:tc>
        <w:tc>
          <w:tcPr>
            <w:tcW w:w="1440" w:type="dxa"/>
            <w:vAlign w:val="bottom"/>
          </w:tcPr>
          <w:p>
            <w:pPr>
              <w:jc w:val="right"/>
              <w:spacing w:after="0"/>
              <w:rPr>
                <w:sz w:val="20"/>
                <w:szCs w:val="20"/>
                <w:color w:val="auto"/>
              </w:rPr>
            </w:pPr>
            <w:r>
              <w:rPr>
                <w:rFonts w:ascii="Arial" w:cs="Arial" w:eastAsia="Arial" w:hAnsi="Arial"/>
                <w:sz w:val="14"/>
                <w:szCs w:val="14"/>
                <w:color w:val="auto"/>
              </w:rPr>
              <w:t>1,349,483</w:t>
            </w:r>
          </w:p>
        </w:tc>
      </w:tr>
      <w:tr>
        <w:trPr>
          <w:trHeight w:val="213"/>
        </w:trPr>
        <w:tc>
          <w:tcPr>
            <w:tcW w:w="2700" w:type="dxa"/>
            <w:vAlign w:val="bottom"/>
          </w:tcPr>
          <w:p>
            <w:pPr>
              <w:ind w:left="240"/>
              <w:spacing w:after="0"/>
              <w:rPr>
                <w:sz w:val="20"/>
                <w:szCs w:val="20"/>
                <w:color w:val="auto"/>
              </w:rPr>
            </w:pPr>
            <w:r>
              <w:rPr>
                <w:rFonts w:ascii="Arial" w:cs="Arial" w:eastAsia="Arial" w:hAnsi="Arial"/>
                <w:sz w:val="14"/>
                <w:szCs w:val="14"/>
                <w:color w:val="auto"/>
              </w:rPr>
              <w:t>Deferred Plan for Officers</w:t>
            </w:r>
          </w:p>
        </w:tc>
        <w:tc>
          <w:tcPr>
            <w:tcW w:w="1780" w:type="dxa"/>
            <w:vAlign w:val="bottom"/>
          </w:tcPr>
          <w:p>
            <w:pPr>
              <w:jc w:val="right"/>
              <w:spacing w:after="0"/>
              <w:rPr>
                <w:sz w:val="20"/>
                <w:szCs w:val="20"/>
                <w:color w:val="auto"/>
              </w:rPr>
            </w:pPr>
            <w:r>
              <w:rPr>
                <w:rFonts w:ascii="Arial" w:cs="Arial" w:eastAsia="Arial" w:hAnsi="Arial"/>
                <w:sz w:val="14"/>
                <w:szCs w:val="14"/>
                <w:color w:val="auto"/>
              </w:rPr>
              <w:t>362,711</w:t>
            </w:r>
          </w:p>
        </w:tc>
        <w:tc>
          <w:tcPr>
            <w:tcW w:w="2140" w:type="dxa"/>
            <w:vAlign w:val="bottom"/>
          </w:tcPr>
          <w:p>
            <w:pPr>
              <w:jc w:val="right"/>
              <w:ind w:right="130"/>
              <w:spacing w:after="0"/>
              <w:rPr>
                <w:sz w:val="20"/>
                <w:szCs w:val="20"/>
                <w:color w:val="auto"/>
              </w:rPr>
            </w:pPr>
            <w:r>
              <w:rPr>
                <w:rFonts w:ascii="Arial" w:cs="Arial" w:eastAsia="Arial" w:hAnsi="Arial"/>
                <w:sz w:val="14"/>
                <w:szCs w:val="14"/>
                <w:color w:val="auto"/>
              </w:rPr>
              <w:t>0</w:t>
            </w:r>
          </w:p>
        </w:tc>
        <w:tc>
          <w:tcPr>
            <w:tcW w:w="1480" w:type="dxa"/>
            <w:vAlign w:val="bottom"/>
          </w:tcPr>
          <w:p>
            <w:pPr>
              <w:jc w:val="right"/>
              <w:ind w:right="170"/>
              <w:spacing w:after="0"/>
              <w:rPr>
                <w:sz w:val="20"/>
                <w:szCs w:val="20"/>
                <w:color w:val="auto"/>
              </w:rPr>
            </w:pPr>
            <w:r>
              <w:rPr>
                <w:rFonts w:ascii="Arial" w:cs="Arial" w:eastAsia="Arial" w:hAnsi="Arial"/>
                <w:sz w:val="14"/>
                <w:szCs w:val="14"/>
                <w:color w:val="auto"/>
              </w:rPr>
              <w:t>103,474</w:t>
            </w:r>
          </w:p>
        </w:tc>
        <w:tc>
          <w:tcPr>
            <w:tcW w:w="1700" w:type="dxa"/>
            <w:vAlign w:val="bottom"/>
          </w:tcPr>
          <w:p>
            <w:pPr>
              <w:jc w:val="right"/>
              <w:ind w:right="209"/>
              <w:spacing w:after="0"/>
              <w:rPr>
                <w:sz w:val="20"/>
                <w:szCs w:val="20"/>
                <w:color w:val="auto"/>
              </w:rPr>
            </w:pPr>
            <w:r>
              <w:rPr>
                <w:rFonts w:ascii="Arial" w:cs="Arial" w:eastAsia="Arial" w:hAnsi="Arial"/>
                <w:sz w:val="14"/>
                <w:szCs w:val="14"/>
                <w:color w:val="auto"/>
              </w:rPr>
              <w:t>0</w:t>
            </w:r>
          </w:p>
        </w:tc>
        <w:tc>
          <w:tcPr>
            <w:tcW w:w="1440" w:type="dxa"/>
            <w:vAlign w:val="bottom"/>
          </w:tcPr>
          <w:p>
            <w:pPr>
              <w:jc w:val="right"/>
              <w:spacing w:after="0"/>
              <w:rPr>
                <w:sz w:val="20"/>
                <w:szCs w:val="20"/>
                <w:color w:val="auto"/>
              </w:rPr>
            </w:pPr>
            <w:r>
              <w:rPr>
                <w:rFonts w:ascii="Arial" w:cs="Arial" w:eastAsia="Arial" w:hAnsi="Arial"/>
                <w:sz w:val="14"/>
                <w:szCs w:val="14"/>
                <w:color w:val="auto"/>
              </w:rPr>
              <w:t>1,217,330</w:t>
            </w:r>
          </w:p>
        </w:tc>
      </w:tr>
      <w:tr>
        <w:trPr>
          <w:trHeight w:val="213"/>
        </w:trPr>
        <w:tc>
          <w:tcPr>
            <w:tcW w:w="2700" w:type="dxa"/>
            <w:vAlign w:val="bottom"/>
          </w:tcPr>
          <w:p>
            <w:pPr>
              <w:ind w:left="240"/>
              <w:spacing w:after="0"/>
              <w:rPr>
                <w:sz w:val="20"/>
                <w:szCs w:val="20"/>
                <w:color w:val="auto"/>
              </w:rPr>
            </w:pPr>
            <w:r>
              <w:rPr>
                <w:rFonts w:ascii="Arial" w:cs="Arial" w:eastAsia="Arial" w:hAnsi="Arial"/>
                <w:sz w:val="14"/>
                <w:szCs w:val="14"/>
                <w:color w:val="auto"/>
              </w:rPr>
              <w:t>Supplemental Benefit Plan</w:t>
            </w:r>
          </w:p>
        </w:tc>
        <w:tc>
          <w:tcPr>
            <w:tcW w:w="1780" w:type="dxa"/>
            <w:vAlign w:val="bottom"/>
          </w:tcPr>
          <w:p>
            <w:pPr>
              <w:jc w:val="right"/>
              <w:spacing w:after="0"/>
              <w:rPr>
                <w:sz w:val="20"/>
                <w:szCs w:val="20"/>
                <w:color w:val="auto"/>
              </w:rPr>
            </w:pPr>
            <w:r>
              <w:rPr>
                <w:rFonts w:ascii="Arial" w:cs="Arial" w:eastAsia="Arial" w:hAnsi="Arial"/>
                <w:sz w:val="14"/>
                <w:szCs w:val="14"/>
                <w:color w:val="auto"/>
              </w:rPr>
              <w:t>0</w:t>
            </w:r>
          </w:p>
        </w:tc>
        <w:tc>
          <w:tcPr>
            <w:tcW w:w="2140" w:type="dxa"/>
            <w:vAlign w:val="bottom"/>
          </w:tcPr>
          <w:p>
            <w:pPr>
              <w:jc w:val="right"/>
              <w:ind w:right="130"/>
              <w:spacing w:after="0"/>
              <w:rPr>
                <w:sz w:val="20"/>
                <w:szCs w:val="20"/>
                <w:color w:val="auto"/>
              </w:rPr>
            </w:pPr>
            <w:r>
              <w:rPr>
                <w:rFonts w:ascii="Arial" w:cs="Arial" w:eastAsia="Arial" w:hAnsi="Arial"/>
                <w:sz w:val="14"/>
                <w:szCs w:val="14"/>
                <w:color w:val="auto"/>
              </w:rPr>
              <w:t>60,580</w:t>
            </w:r>
          </w:p>
        </w:tc>
        <w:tc>
          <w:tcPr>
            <w:tcW w:w="1480" w:type="dxa"/>
            <w:vAlign w:val="bottom"/>
          </w:tcPr>
          <w:p>
            <w:pPr>
              <w:jc w:val="right"/>
              <w:ind w:right="170"/>
              <w:spacing w:after="0"/>
              <w:rPr>
                <w:sz w:val="20"/>
                <w:szCs w:val="20"/>
                <w:color w:val="auto"/>
              </w:rPr>
            </w:pPr>
            <w:r>
              <w:rPr>
                <w:rFonts w:ascii="Arial" w:cs="Arial" w:eastAsia="Arial" w:hAnsi="Arial"/>
                <w:sz w:val="14"/>
                <w:szCs w:val="14"/>
                <w:color w:val="auto"/>
              </w:rPr>
              <w:t>35,954</w:t>
            </w:r>
          </w:p>
        </w:tc>
        <w:tc>
          <w:tcPr>
            <w:tcW w:w="1700" w:type="dxa"/>
            <w:vAlign w:val="bottom"/>
          </w:tcPr>
          <w:p>
            <w:pPr>
              <w:jc w:val="right"/>
              <w:ind w:right="209"/>
              <w:spacing w:after="0"/>
              <w:rPr>
                <w:sz w:val="20"/>
                <w:szCs w:val="20"/>
                <w:color w:val="auto"/>
              </w:rPr>
            </w:pPr>
            <w:r>
              <w:rPr>
                <w:rFonts w:ascii="Arial" w:cs="Arial" w:eastAsia="Arial" w:hAnsi="Arial"/>
                <w:sz w:val="14"/>
                <w:szCs w:val="14"/>
                <w:color w:val="auto"/>
              </w:rPr>
              <w:t>0</w:t>
            </w:r>
          </w:p>
        </w:tc>
        <w:tc>
          <w:tcPr>
            <w:tcW w:w="1440" w:type="dxa"/>
            <w:vAlign w:val="bottom"/>
          </w:tcPr>
          <w:p>
            <w:pPr>
              <w:jc w:val="right"/>
              <w:spacing w:after="0"/>
              <w:rPr>
                <w:sz w:val="20"/>
                <w:szCs w:val="20"/>
                <w:color w:val="auto"/>
              </w:rPr>
            </w:pPr>
            <w:r>
              <w:rPr>
                <w:rFonts w:ascii="Arial" w:cs="Arial" w:eastAsia="Arial" w:hAnsi="Arial"/>
                <w:sz w:val="14"/>
                <w:szCs w:val="14"/>
                <w:color w:val="auto"/>
              </w:rPr>
              <w:t>228,450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74930</wp:posOffset>
            </wp:positionV>
            <wp:extent cx="203454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034540" cy="8255"/>
                    </a:xfrm>
                    <a:prstGeom prst="rect">
                      <a:avLst/>
                    </a:prstGeom>
                    <a:noFill/>
                  </pic:spPr>
                </pic:pic>
              </a:graphicData>
            </a:graphic>
          </wp:anchor>
        </w:drawing>
      </w:r>
    </w:p>
    <w:p>
      <w:pPr>
        <w:spacing w:after="0" w:line="163" w:lineRule="exact"/>
        <w:rPr>
          <w:sz w:val="20"/>
          <w:szCs w:val="20"/>
          <w:color w:val="auto"/>
        </w:rPr>
      </w:pPr>
    </w:p>
    <w:p>
      <w:pPr>
        <w:ind w:left="400" w:right="80" w:hanging="394"/>
        <w:spacing w:after="0" w:line="233" w:lineRule="auto"/>
        <w:tabs>
          <w:tab w:leader="none" w:pos="4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Executive contributions of base salary and annual cash incentive award payouts are included in the “Salary” column and the “Non-Equity Incentive Plan Compensation” column, respectively, of the “Summary Compensation Table.” Executive contributions of the fiscal 2019 to fiscal 2021 performance share award payouts are included in the “Value Realized on Vesting” column of the “Option Exercises and Stock Vested for Fiscal 2021” table, but are not included in the “Summary Compensation Table” as that table reflects the grant of the fiscal 2021 to fiscal 2023 performance share awards at target value. Our named executive officers deferred the following components of compensation during fiscal 2021:</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30" w:type="dxa"/>
            <w:vAlign w:val="bottom"/>
            <w:shd w:val="clear" w:color="auto" w:fill="C00000"/>
          </w:tcPr>
          <w:p>
            <w:pPr>
              <w:spacing w:after="0"/>
              <w:rPr>
                <w:sz w:val="20"/>
                <w:szCs w:val="20"/>
                <w:color w:val="auto"/>
              </w:rPr>
            </w:pPr>
            <w:r>
              <w:rPr>
                <w:rFonts w:ascii="Arial" w:cs="Arial" w:eastAsia="Arial" w:hAnsi="Arial"/>
                <w:sz w:val="16"/>
                <w:szCs w:val="16"/>
                <w:b w:val="1"/>
                <w:bCs w:val="1"/>
                <w:color w:val="FFFFFF"/>
              </w:rPr>
              <w:t>Name</w:t>
            </w:r>
          </w:p>
        </w:tc>
        <w:tc>
          <w:tcPr>
            <w:tcW w:w="6230" w:type="dxa"/>
            <w:vAlign w:val="bottom"/>
            <w:shd w:val="clear" w:color="auto" w:fill="C00000"/>
          </w:tcPr>
          <w:p>
            <w:pPr>
              <w:ind w:left="110"/>
              <w:spacing w:after="0"/>
              <w:rPr>
                <w:sz w:val="20"/>
                <w:szCs w:val="20"/>
                <w:color w:val="auto"/>
              </w:rPr>
            </w:pPr>
            <w:r>
              <w:rPr>
                <w:rFonts w:ascii="Arial" w:cs="Arial" w:eastAsia="Arial" w:hAnsi="Arial"/>
                <w:sz w:val="16"/>
                <w:szCs w:val="16"/>
                <w:b w:val="1"/>
                <w:bCs w:val="1"/>
                <w:color w:val="FFFFFF"/>
              </w:rPr>
              <w:t>Deferrals</w:t>
            </w:r>
          </w:p>
        </w:tc>
        <w:tc>
          <w:tcPr>
            <w:tcW w:w="2980" w:type="dxa"/>
            <w:vAlign w:val="bottom"/>
            <w:shd w:val="clear" w:color="auto" w:fill="C00000"/>
          </w:tcPr>
          <w:p>
            <w:pPr>
              <w:jc w:val="right"/>
              <w:ind w:right="280"/>
              <w:spacing w:after="0"/>
              <w:rPr>
                <w:sz w:val="20"/>
                <w:szCs w:val="20"/>
                <w:color w:val="auto"/>
              </w:rPr>
            </w:pPr>
            <w:r>
              <w:rPr>
                <w:rFonts w:ascii="Arial" w:cs="Arial" w:eastAsia="Arial" w:hAnsi="Arial"/>
                <w:sz w:val="16"/>
                <w:szCs w:val="16"/>
                <w:b w:val="1"/>
                <w:bCs w:val="1"/>
                <w:color w:val="FFFFFF"/>
              </w:rPr>
              <w:t>Amount ($)</w:t>
            </w:r>
          </w:p>
        </w:tc>
      </w:tr>
      <w:tr>
        <w:trPr>
          <w:trHeight w:val="234"/>
        </w:trPr>
        <w:tc>
          <w:tcPr>
            <w:tcW w:w="2030" w:type="dxa"/>
            <w:vAlign w:val="bottom"/>
          </w:tcPr>
          <w:p>
            <w:pPr>
              <w:spacing w:after="0"/>
              <w:rPr>
                <w:sz w:val="20"/>
                <w:szCs w:val="20"/>
                <w:color w:val="auto"/>
              </w:rPr>
            </w:pPr>
            <w:r>
              <w:rPr>
                <w:rFonts w:ascii="Arial" w:cs="Arial" w:eastAsia="Arial" w:hAnsi="Arial"/>
                <w:sz w:val="16"/>
                <w:szCs w:val="16"/>
                <w:color w:val="auto"/>
              </w:rPr>
              <w:t>Mr. Olson</w:t>
            </w:r>
          </w:p>
        </w:tc>
        <w:tc>
          <w:tcPr>
            <w:tcW w:w="6230" w:type="dxa"/>
            <w:vAlign w:val="bottom"/>
          </w:tcPr>
          <w:p>
            <w:pPr>
              <w:ind w:left="110"/>
              <w:spacing w:after="0"/>
              <w:rPr>
                <w:sz w:val="20"/>
                <w:szCs w:val="20"/>
                <w:color w:val="auto"/>
              </w:rPr>
            </w:pPr>
            <w:r>
              <w:rPr>
                <w:rFonts w:ascii="Arial" w:cs="Arial" w:eastAsia="Arial" w:hAnsi="Arial"/>
                <w:sz w:val="16"/>
                <w:szCs w:val="16"/>
                <w:color w:val="auto"/>
              </w:rPr>
              <w:t>35% of the fiscal 2021 annual cash incentive award</w:t>
            </w:r>
          </w:p>
        </w:tc>
        <w:tc>
          <w:tcPr>
            <w:tcW w:w="2980" w:type="dxa"/>
            <w:vAlign w:val="bottom"/>
          </w:tcPr>
          <w:p>
            <w:pPr>
              <w:jc w:val="right"/>
              <w:spacing w:after="0"/>
              <w:rPr>
                <w:sz w:val="20"/>
                <w:szCs w:val="20"/>
                <w:color w:val="auto"/>
              </w:rPr>
            </w:pPr>
            <w:r>
              <w:rPr>
                <w:rFonts w:ascii="Arial" w:cs="Arial" w:eastAsia="Arial" w:hAnsi="Arial"/>
                <w:sz w:val="16"/>
                <w:szCs w:val="16"/>
                <w:color w:val="auto"/>
              </w:rPr>
              <w:t>733,439</w:t>
            </w:r>
          </w:p>
        </w:tc>
      </w:tr>
      <w:tr>
        <w:trPr>
          <w:trHeight w:val="242"/>
        </w:trPr>
        <w:tc>
          <w:tcPr>
            <w:tcW w:w="2030" w:type="dxa"/>
            <w:vAlign w:val="bottom"/>
          </w:tcPr>
          <w:p>
            <w:pPr>
              <w:spacing w:after="0"/>
              <w:rPr>
                <w:sz w:val="21"/>
                <w:szCs w:val="21"/>
                <w:color w:val="auto"/>
              </w:rPr>
            </w:pPr>
          </w:p>
        </w:tc>
        <w:tc>
          <w:tcPr>
            <w:tcW w:w="6230" w:type="dxa"/>
            <w:vAlign w:val="bottom"/>
          </w:tcPr>
          <w:p>
            <w:pPr>
              <w:ind w:left="110"/>
              <w:spacing w:after="0"/>
              <w:rPr>
                <w:sz w:val="20"/>
                <w:szCs w:val="20"/>
                <w:color w:val="auto"/>
              </w:rPr>
            </w:pPr>
            <w:r>
              <w:rPr>
                <w:rFonts w:ascii="Arial" w:cs="Arial" w:eastAsia="Arial" w:hAnsi="Arial"/>
                <w:sz w:val="16"/>
                <w:szCs w:val="16"/>
                <w:color w:val="auto"/>
              </w:rPr>
              <w:t>100% of the fiscal 2019 to 2021 performance share award</w:t>
            </w:r>
          </w:p>
        </w:tc>
        <w:tc>
          <w:tcPr>
            <w:tcW w:w="2980" w:type="dxa"/>
            <w:vAlign w:val="bottom"/>
          </w:tcPr>
          <w:p>
            <w:pPr>
              <w:jc w:val="right"/>
              <w:spacing w:after="0"/>
              <w:rPr>
                <w:sz w:val="20"/>
                <w:szCs w:val="20"/>
                <w:color w:val="auto"/>
              </w:rPr>
            </w:pPr>
            <w:r>
              <w:rPr>
                <w:rFonts w:ascii="Arial" w:cs="Arial" w:eastAsia="Arial" w:hAnsi="Arial"/>
                <w:sz w:val="16"/>
                <w:szCs w:val="16"/>
                <w:color w:val="auto"/>
              </w:rPr>
              <w:t>2,321,841</w:t>
            </w:r>
          </w:p>
        </w:tc>
      </w:tr>
      <w:tr>
        <w:trPr>
          <w:trHeight w:val="237"/>
        </w:trPr>
        <w:tc>
          <w:tcPr>
            <w:tcW w:w="2030" w:type="dxa"/>
            <w:vAlign w:val="bottom"/>
            <w:shd w:val="clear" w:color="auto" w:fill="D9D9D9"/>
          </w:tcPr>
          <w:p>
            <w:pPr>
              <w:spacing w:after="0"/>
              <w:rPr>
                <w:sz w:val="20"/>
                <w:szCs w:val="20"/>
                <w:color w:val="auto"/>
              </w:rPr>
            </w:pPr>
            <w:r>
              <w:rPr>
                <w:rFonts w:ascii="Arial" w:cs="Arial" w:eastAsia="Arial" w:hAnsi="Arial"/>
                <w:sz w:val="16"/>
                <w:szCs w:val="16"/>
                <w:color w:val="auto"/>
              </w:rPr>
              <w:t>Ms. Peterson</w:t>
            </w:r>
          </w:p>
        </w:tc>
        <w:tc>
          <w:tcPr>
            <w:tcW w:w="6230" w:type="dxa"/>
            <w:vAlign w:val="bottom"/>
            <w:shd w:val="clear" w:color="auto" w:fill="D9D9D9"/>
          </w:tcPr>
          <w:p>
            <w:pPr>
              <w:ind w:left="110"/>
              <w:spacing w:after="0"/>
              <w:rPr>
                <w:sz w:val="20"/>
                <w:szCs w:val="20"/>
                <w:color w:val="auto"/>
              </w:rPr>
            </w:pPr>
            <w:r>
              <w:rPr>
                <w:rFonts w:ascii="Arial" w:cs="Arial" w:eastAsia="Arial" w:hAnsi="Arial"/>
                <w:sz w:val="16"/>
                <w:szCs w:val="16"/>
                <w:color w:val="auto"/>
              </w:rPr>
              <w:t>27% of base salary from November through December 2020</w:t>
            </w:r>
          </w:p>
        </w:tc>
        <w:tc>
          <w:tcPr>
            <w:tcW w:w="29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24,840</w:t>
            </w:r>
          </w:p>
        </w:tc>
      </w:tr>
      <w:tr>
        <w:trPr>
          <w:trHeight w:val="239"/>
        </w:trPr>
        <w:tc>
          <w:tcPr>
            <w:tcW w:w="2030" w:type="dxa"/>
            <w:vAlign w:val="bottom"/>
            <w:shd w:val="clear" w:color="auto" w:fill="D9D9D9"/>
          </w:tcPr>
          <w:p>
            <w:pPr>
              <w:spacing w:after="0"/>
              <w:rPr>
                <w:sz w:val="20"/>
                <w:szCs w:val="20"/>
                <w:color w:val="auto"/>
              </w:rPr>
            </w:pPr>
          </w:p>
        </w:tc>
        <w:tc>
          <w:tcPr>
            <w:tcW w:w="6230" w:type="dxa"/>
            <w:vAlign w:val="bottom"/>
            <w:shd w:val="clear" w:color="auto" w:fill="D9D9D9"/>
          </w:tcPr>
          <w:p>
            <w:pPr>
              <w:ind w:left="110"/>
              <w:spacing w:after="0"/>
              <w:rPr>
                <w:sz w:val="20"/>
                <w:szCs w:val="20"/>
                <w:color w:val="auto"/>
              </w:rPr>
            </w:pPr>
            <w:r>
              <w:rPr>
                <w:rFonts w:ascii="Arial" w:cs="Arial" w:eastAsia="Arial" w:hAnsi="Arial"/>
                <w:sz w:val="16"/>
                <w:szCs w:val="16"/>
                <w:color w:val="auto"/>
              </w:rPr>
              <w:t>30% of base salary for January 2021 through October 2021</w:t>
            </w:r>
          </w:p>
        </w:tc>
        <w:tc>
          <w:tcPr>
            <w:tcW w:w="29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142,220</w:t>
            </w:r>
          </w:p>
        </w:tc>
      </w:tr>
      <w:tr>
        <w:trPr>
          <w:trHeight w:val="245"/>
        </w:trPr>
        <w:tc>
          <w:tcPr>
            <w:tcW w:w="2030" w:type="dxa"/>
            <w:vAlign w:val="bottom"/>
            <w:shd w:val="clear" w:color="auto" w:fill="D9D9D9"/>
          </w:tcPr>
          <w:p>
            <w:pPr>
              <w:spacing w:after="0"/>
              <w:rPr>
                <w:sz w:val="21"/>
                <w:szCs w:val="21"/>
                <w:color w:val="auto"/>
              </w:rPr>
            </w:pPr>
          </w:p>
        </w:tc>
        <w:tc>
          <w:tcPr>
            <w:tcW w:w="6230" w:type="dxa"/>
            <w:vAlign w:val="bottom"/>
            <w:shd w:val="clear" w:color="auto" w:fill="D9D9D9"/>
          </w:tcPr>
          <w:p>
            <w:pPr>
              <w:ind w:left="110"/>
              <w:spacing w:after="0"/>
              <w:rPr>
                <w:sz w:val="20"/>
                <w:szCs w:val="20"/>
                <w:color w:val="auto"/>
              </w:rPr>
            </w:pPr>
            <w:r>
              <w:rPr>
                <w:rFonts w:ascii="Arial" w:cs="Arial" w:eastAsia="Arial" w:hAnsi="Arial"/>
                <w:sz w:val="16"/>
                <w:szCs w:val="16"/>
                <w:color w:val="auto"/>
              </w:rPr>
              <w:t>50% of the fiscal 2021 annual cash incentive award</w:t>
            </w:r>
          </w:p>
        </w:tc>
        <w:tc>
          <w:tcPr>
            <w:tcW w:w="29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378,041</w:t>
            </w:r>
          </w:p>
        </w:tc>
      </w:tr>
      <w:tr>
        <w:trPr>
          <w:trHeight w:val="234"/>
        </w:trPr>
        <w:tc>
          <w:tcPr>
            <w:tcW w:w="2030" w:type="dxa"/>
            <w:vAlign w:val="bottom"/>
          </w:tcPr>
          <w:p>
            <w:pPr>
              <w:spacing w:after="0"/>
              <w:rPr>
                <w:sz w:val="20"/>
                <w:szCs w:val="20"/>
                <w:color w:val="auto"/>
              </w:rPr>
            </w:pPr>
            <w:r>
              <w:rPr>
                <w:rFonts w:ascii="Arial" w:cs="Arial" w:eastAsia="Arial" w:hAnsi="Arial"/>
                <w:sz w:val="16"/>
                <w:szCs w:val="16"/>
                <w:color w:val="auto"/>
              </w:rPr>
              <w:t>Mr. Rodier</w:t>
            </w:r>
          </w:p>
        </w:tc>
        <w:tc>
          <w:tcPr>
            <w:tcW w:w="6230" w:type="dxa"/>
            <w:vAlign w:val="bottom"/>
          </w:tcPr>
          <w:p>
            <w:pPr>
              <w:ind w:left="110"/>
              <w:spacing w:after="0"/>
              <w:rPr>
                <w:sz w:val="20"/>
                <w:szCs w:val="20"/>
                <w:color w:val="auto"/>
              </w:rPr>
            </w:pPr>
            <w:r>
              <w:rPr>
                <w:rFonts w:ascii="Arial" w:cs="Arial" w:eastAsia="Arial" w:hAnsi="Arial"/>
                <w:sz w:val="16"/>
                <w:szCs w:val="16"/>
                <w:color w:val="auto"/>
              </w:rPr>
              <w:t>35% of base salary from November through December 2020</w:t>
            </w:r>
          </w:p>
        </w:tc>
        <w:tc>
          <w:tcPr>
            <w:tcW w:w="2980" w:type="dxa"/>
            <w:vAlign w:val="bottom"/>
          </w:tcPr>
          <w:p>
            <w:pPr>
              <w:jc w:val="right"/>
              <w:spacing w:after="0"/>
              <w:rPr>
                <w:sz w:val="20"/>
                <w:szCs w:val="20"/>
                <w:color w:val="auto"/>
              </w:rPr>
            </w:pPr>
            <w:r>
              <w:rPr>
                <w:rFonts w:ascii="Arial" w:cs="Arial" w:eastAsia="Arial" w:hAnsi="Arial"/>
                <w:sz w:val="16"/>
                <w:szCs w:val="16"/>
                <w:color w:val="auto"/>
              </w:rPr>
              <w:t>29,166</w:t>
            </w:r>
          </w:p>
        </w:tc>
      </w:tr>
      <w:tr>
        <w:trPr>
          <w:trHeight w:val="239"/>
        </w:trPr>
        <w:tc>
          <w:tcPr>
            <w:tcW w:w="2030" w:type="dxa"/>
            <w:vAlign w:val="bottom"/>
          </w:tcPr>
          <w:p>
            <w:pPr>
              <w:spacing w:after="0"/>
              <w:rPr>
                <w:sz w:val="20"/>
                <w:szCs w:val="20"/>
                <w:color w:val="auto"/>
              </w:rPr>
            </w:pPr>
          </w:p>
        </w:tc>
        <w:tc>
          <w:tcPr>
            <w:tcW w:w="6230" w:type="dxa"/>
            <w:vAlign w:val="bottom"/>
          </w:tcPr>
          <w:p>
            <w:pPr>
              <w:ind w:left="110"/>
              <w:spacing w:after="0"/>
              <w:rPr>
                <w:sz w:val="20"/>
                <w:szCs w:val="20"/>
                <w:color w:val="auto"/>
              </w:rPr>
            </w:pPr>
            <w:r>
              <w:rPr>
                <w:rFonts w:ascii="Arial" w:cs="Arial" w:eastAsia="Arial" w:hAnsi="Arial"/>
                <w:sz w:val="16"/>
                <w:szCs w:val="16"/>
                <w:color w:val="auto"/>
              </w:rPr>
              <w:t>50% of base salary from January 2021 through October 2021</w:t>
            </w:r>
          </w:p>
        </w:tc>
        <w:tc>
          <w:tcPr>
            <w:tcW w:w="2980" w:type="dxa"/>
            <w:vAlign w:val="bottom"/>
          </w:tcPr>
          <w:p>
            <w:pPr>
              <w:jc w:val="right"/>
              <w:spacing w:after="0"/>
              <w:rPr>
                <w:sz w:val="20"/>
                <w:szCs w:val="20"/>
                <w:color w:val="auto"/>
              </w:rPr>
            </w:pPr>
            <w:r>
              <w:rPr>
                <w:rFonts w:ascii="Arial" w:cs="Arial" w:eastAsia="Arial" w:hAnsi="Arial"/>
                <w:sz w:val="16"/>
                <w:szCs w:val="16"/>
                <w:color w:val="auto"/>
              </w:rPr>
              <w:t>216,106</w:t>
            </w:r>
          </w:p>
        </w:tc>
      </w:tr>
      <w:tr>
        <w:trPr>
          <w:trHeight w:val="242"/>
        </w:trPr>
        <w:tc>
          <w:tcPr>
            <w:tcW w:w="2030" w:type="dxa"/>
            <w:vAlign w:val="bottom"/>
          </w:tcPr>
          <w:p>
            <w:pPr>
              <w:spacing w:after="0"/>
              <w:rPr>
                <w:sz w:val="21"/>
                <w:szCs w:val="21"/>
                <w:color w:val="auto"/>
              </w:rPr>
            </w:pPr>
          </w:p>
        </w:tc>
        <w:tc>
          <w:tcPr>
            <w:tcW w:w="6230" w:type="dxa"/>
            <w:vAlign w:val="bottom"/>
          </w:tcPr>
          <w:p>
            <w:pPr>
              <w:ind w:left="110"/>
              <w:spacing w:after="0"/>
              <w:rPr>
                <w:sz w:val="20"/>
                <w:szCs w:val="20"/>
                <w:color w:val="auto"/>
              </w:rPr>
            </w:pPr>
            <w:r>
              <w:rPr>
                <w:rFonts w:ascii="Arial" w:cs="Arial" w:eastAsia="Arial" w:hAnsi="Arial"/>
                <w:sz w:val="16"/>
                <w:szCs w:val="16"/>
                <w:color w:val="auto"/>
              </w:rPr>
              <w:t>100% of the fiscal 2021 annual cash incentive award</w:t>
            </w:r>
          </w:p>
        </w:tc>
        <w:tc>
          <w:tcPr>
            <w:tcW w:w="2980" w:type="dxa"/>
            <w:vAlign w:val="bottom"/>
          </w:tcPr>
          <w:p>
            <w:pPr>
              <w:jc w:val="right"/>
              <w:spacing w:after="0"/>
              <w:rPr>
                <w:sz w:val="20"/>
                <w:szCs w:val="20"/>
                <w:color w:val="auto"/>
              </w:rPr>
            </w:pPr>
            <w:r>
              <w:rPr>
                <w:rFonts w:ascii="Arial" w:cs="Arial" w:eastAsia="Arial" w:hAnsi="Arial"/>
                <w:sz w:val="16"/>
                <w:szCs w:val="16"/>
                <w:color w:val="auto"/>
              </w:rPr>
              <w:t>602,528</w:t>
            </w:r>
          </w:p>
        </w:tc>
      </w:tr>
      <w:tr>
        <w:trPr>
          <w:trHeight w:val="263"/>
        </w:trPr>
        <w:tc>
          <w:tcPr>
            <w:tcW w:w="2030" w:type="dxa"/>
            <w:vAlign w:val="bottom"/>
            <w:shd w:val="clear" w:color="auto" w:fill="D9D9D9"/>
          </w:tcPr>
          <w:p>
            <w:pPr>
              <w:spacing w:after="0"/>
              <w:rPr>
                <w:sz w:val="20"/>
                <w:szCs w:val="20"/>
                <w:color w:val="auto"/>
              </w:rPr>
            </w:pPr>
            <w:r>
              <w:rPr>
                <w:rFonts w:ascii="Arial" w:cs="Arial" w:eastAsia="Arial" w:hAnsi="Arial"/>
                <w:sz w:val="16"/>
                <w:szCs w:val="16"/>
                <w:color w:val="auto"/>
              </w:rPr>
              <w:t>Ms. Dahl</w:t>
            </w:r>
          </w:p>
        </w:tc>
        <w:tc>
          <w:tcPr>
            <w:tcW w:w="6230" w:type="dxa"/>
            <w:vAlign w:val="bottom"/>
            <w:shd w:val="clear" w:color="auto" w:fill="D9D9D9"/>
          </w:tcPr>
          <w:p>
            <w:pPr>
              <w:ind w:left="110"/>
              <w:spacing w:after="0"/>
              <w:rPr>
                <w:sz w:val="20"/>
                <w:szCs w:val="20"/>
                <w:color w:val="auto"/>
              </w:rPr>
            </w:pPr>
            <w:r>
              <w:rPr>
                <w:rFonts w:ascii="Arial" w:cs="Arial" w:eastAsia="Arial" w:hAnsi="Arial"/>
                <w:sz w:val="16"/>
                <w:szCs w:val="16"/>
                <w:color w:val="auto"/>
              </w:rPr>
              <w:t>20% of base salary from January 2021 through October 2021</w:t>
            </w:r>
          </w:p>
        </w:tc>
        <w:tc>
          <w:tcPr>
            <w:tcW w:w="29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80,627</w:t>
            </w:r>
          </w:p>
        </w:tc>
      </w:tr>
      <w:tr>
        <w:trPr>
          <w:trHeight w:val="271"/>
        </w:trPr>
        <w:tc>
          <w:tcPr>
            <w:tcW w:w="2030" w:type="dxa"/>
            <w:vAlign w:val="bottom"/>
            <w:shd w:val="clear" w:color="auto" w:fill="D9D9D9"/>
          </w:tcPr>
          <w:p>
            <w:pPr>
              <w:spacing w:after="0"/>
              <w:rPr>
                <w:sz w:val="23"/>
                <w:szCs w:val="23"/>
                <w:color w:val="auto"/>
              </w:rPr>
            </w:pPr>
          </w:p>
        </w:tc>
        <w:tc>
          <w:tcPr>
            <w:tcW w:w="6230" w:type="dxa"/>
            <w:vAlign w:val="bottom"/>
            <w:shd w:val="clear" w:color="auto" w:fill="D9D9D9"/>
          </w:tcPr>
          <w:p>
            <w:pPr>
              <w:ind w:left="110"/>
              <w:spacing w:after="0"/>
              <w:rPr>
                <w:sz w:val="20"/>
                <w:szCs w:val="20"/>
                <w:color w:val="auto"/>
              </w:rPr>
            </w:pPr>
            <w:r>
              <w:rPr>
                <w:rFonts w:ascii="Arial" w:cs="Arial" w:eastAsia="Arial" w:hAnsi="Arial"/>
                <w:sz w:val="16"/>
                <w:szCs w:val="16"/>
                <w:color w:val="auto"/>
              </w:rPr>
              <w:t>100% of the fiscal 2021 annual cash incentive award</w:t>
            </w:r>
          </w:p>
        </w:tc>
        <w:tc>
          <w:tcPr>
            <w:tcW w:w="29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521,604</w:t>
            </w:r>
          </w:p>
        </w:tc>
      </w:tr>
      <w:tr>
        <w:trPr>
          <w:trHeight w:val="234"/>
        </w:trPr>
        <w:tc>
          <w:tcPr>
            <w:tcW w:w="2030" w:type="dxa"/>
            <w:vAlign w:val="bottom"/>
          </w:tcPr>
          <w:p>
            <w:pPr>
              <w:spacing w:after="0"/>
              <w:rPr>
                <w:sz w:val="20"/>
                <w:szCs w:val="20"/>
                <w:color w:val="auto"/>
              </w:rPr>
            </w:pPr>
            <w:r>
              <w:rPr>
                <w:rFonts w:ascii="Arial" w:cs="Arial" w:eastAsia="Arial" w:hAnsi="Arial"/>
                <w:sz w:val="16"/>
                <w:szCs w:val="16"/>
                <w:color w:val="auto"/>
              </w:rPr>
              <w:t>Mr. Hamilton</w:t>
            </w:r>
          </w:p>
        </w:tc>
        <w:tc>
          <w:tcPr>
            <w:tcW w:w="6230" w:type="dxa"/>
            <w:vAlign w:val="bottom"/>
          </w:tcPr>
          <w:p>
            <w:pPr>
              <w:ind w:left="110"/>
              <w:spacing w:after="0"/>
              <w:rPr>
                <w:sz w:val="20"/>
                <w:szCs w:val="20"/>
                <w:color w:val="auto"/>
              </w:rPr>
            </w:pPr>
            <w:r>
              <w:rPr>
                <w:rFonts w:ascii="Arial" w:cs="Arial" w:eastAsia="Arial" w:hAnsi="Arial"/>
                <w:sz w:val="16"/>
                <w:szCs w:val="16"/>
                <w:color w:val="auto"/>
              </w:rPr>
              <w:t>50% of base salary from November through December 2020</w:t>
            </w:r>
          </w:p>
        </w:tc>
        <w:tc>
          <w:tcPr>
            <w:tcW w:w="2980" w:type="dxa"/>
            <w:vAlign w:val="bottom"/>
          </w:tcPr>
          <w:p>
            <w:pPr>
              <w:jc w:val="right"/>
              <w:spacing w:after="0"/>
              <w:rPr>
                <w:sz w:val="20"/>
                <w:szCs w:val="20"/>
                <w:color w:val="auto"/>
              </w:rPr>
            </w:pPr>
            <w:r>
              <w:rPr>
                <w:rFonts w:ascii="Arial" w:cs="Arial" w:eastAsia="Arial" w:hAnsi="Arial"/>
                <w:sz w:val="16"/>
                <w:szCs w:val="16"/>
                <w:color w:val="auto"/>
              </w:rPr>
              <w:t>35,000</w:t>
            </w:r>
          </w:p>
        </w:tc>
      </w:tr>
      <w:tr>
        <w:trPr>
          <w:trHeight w:val="239"/>
        </w:trPr>
        <w:tc>
          <w:tcPr>
            <w:tcW w:w="2030" w:type="dxa"/>
            <w:vAlign w:val="bottom"/>
          </w:tcPr>
          <w:p>
            <w:pPr>
              <w:spacing w:after="0"/>
              <w:rPr>
                <w:sz w:val="20"/>
                <w:szCs w:val="20"/>
                <w:color w:val="auto"/>
              </w:rPr>
            </w:pPr>
          </w:p>
        </w:tc>
        <w:tc>
          <w:tcPr>
            <w:tcW w:w="6230" w:type="dxa"/>
            <w:vAlign w:val="bottom"/>
          </w:tcPr>
          <w:p>
            <w:pPr>
              <w:ind w:left="110"/>
              <w:spacing w:after="0"/>
              <w:rPr>
                <w:sz w:val="20"/>
                <w:szCs w:val="20"/>
                <w:color w:val="auto"/>
              </w:rPr>
            </w:pPr>
            <w:r>
              <w:rPr>
                <w:rFonts w:ascii="Arial" w:cs="Arial" w:eastAsia="Arial" w:hAnsi="Arial"/>
                <w:sz w:val="16"/>
                <w:szCs w:val="16"/>
                <w:color w:val="auto"/>
              </w:rPr>
              <w:t>40% of base salary from January 2021 through October 2021</w:t>
            </w:r>
          </w:p>
        </w:tc>
        <w:tc>
          <w:tcPr>
            <w:tcW w:w="2980" w:type="dxa"/>
            <w:vAlign w:val="bottom"/>
          </w:tcPr>
          <w:p>
            <w:pPr>
              <w:jc w:val="right"/>
              <w:spacing w:after="0"/>
              <w:rPr>
                <w:sz w:val="20"/>
                <w:szCs w:val="20"/>
                <w:color w:val="auto"/>
              </w:rPr>
            </w:pPr>
            <w:r>
              <w:rPr>
                <w:rFonts w:ascii="Arial" w:cs="Arial" w:eastAsia="Arial" w:hAnsi="Arial"/>
                <w:sz w:val="16"/>
                <w:szCs w:val="16"/>
                <w:color w:val="auto"/>
              </w:rPr>
              <w:t>144,146</w:t>
            </w:r>
          </w:p>
        </w:tc>
      </w:tr>
      <w:tr>
        <w:trPr>
          <w:trHeight w:val="239"/>
        </w:trPr>
        <w:tc>
          <w:tcPr>
            <w:tcW w:w="2030" w:type="dxa"/>
            <w:vAlign w:val="bottom"/>
          </w:tcPr>
          <w:p>
            <w:pPr>
              <w:spacing w:after="0"/>
              <w:rPr>
                <w:sz w:val="20"/>
                <w:szCs w:val="20"/>
                <w:color w:val="auto"/>
              </w:rPr>
            </w:pPr>
          </w:p>
        </w:tc>
        <w:tc>
          <w:tcPr>
            <w:tcW w:w="6230" w:type="dxa"/>
            <w:vAlign w:val="bottom"/>
          </w:tcPr>
          <w:p>
            <w:pPr>
              <w:ind w:left="110"/>
              <w:spacing w:after="0"/>
              <w:rPr>
                <w:sz w:val="20"/>
                <w:szCs w:val="20"/>
                <w:color w:val="auto"/>
              </w:rPr>
            </w:pPr>
            <w:r>
              <w:rPr>
                <w:rFonts w:ascii="Arial" w:cs="Arial" w:eastAsia="Arial" w:hAnsi="Arial"/>
                <w:sz w:val="16"/>
                <w:szCs w:val="16"/>
                <w:color w:val="auto"/>
              </w:rPr>
              <w:t>75% of the fiscal 2021 annual cash incentive award</w:t>
            </w:r>
          </w:p>
        </w:tc>
        <w:tc>
          <w:tcPr>
            <w:tcW w:w="2980" w:type="dxa"/>
            <w:vAlign w:val="bottom"/>
          </w:tcPr>
          <w:p>
            <w:pPr>
              <w:jc w:val="right"/>
              <w:spacing w:after="0"/>
              <w:rPr>
                <w:sz w:val="20"/>
                <w:szCs w:val="20"/>
                <w:color w:val="auto"/>
              </w:rPr>
            </w:pPr>
            <w:r>
              <w:rPr>
                <w:rFonts w:ascii="Arial" w:cs="Arial" w:eastAsia="Arial" w:hAnsi="Arial"/>
                <w:sz w:val="16"/>
                <w:szCs w:val="16"/>
                <w:color w:val="auto"/>
              </w:rPr>
              <w:t>323,343</w:t>
            </w:r>
          </w:p>
        </w:tc>
      </w:tr>
      <w:tr>
        <w:trPr>
          <w:trHeight w:val="239"/>
        </w:trPr>
        <w:tc>
          <w:tcPr>
            <w:tcW w:w="2030" w:type="dxa"/>
            <w:vAlign w:val="bottom"/>
          </w:tcPr>
          <w:p>
            <w:pPr>
              <w:spacing w:after="0"/>
              <w:rPr>
                <w:sz w:val="20"/>
                <w:szCs w:val="20"/>
                <w:color w:val="auto"/>
              </w:rPr>
            </w:pPr>
          </w:p>
        </w:tc>
        <w:tc>
          <w:tcPr>
            <w:tcW w:w="6230" w:type="dxa"/>
            <w:vAlign w:val="bottom"/>
          </w:tcPr>
          <w:p>
            <w:pPr>
              <w:ind w:left="110"/>
              <w:spacing w:after="0"/>
              <w:rPr>
                <w:sz w:val="20"/>
                <w:szCs w:val="20"/>
                <w:color w:val="auto"/>
              </w:rPr>
            </w:pPr>
            <w:r>
              <w:rPr>
                <w:rFonts w:ascii="Arial" w:cs="Arial" w:eastAsia="Arial" w:hAnsi="Arial"/>
                <w:sz w:val="16"/>
                <w:szCs w:val="16"/>
                <w:color w:val="auto"/>
              </w:rPr>
              <w:t>100% of the fiscal 2019 to 2021 performance share award</w:t>
            </w:r>
          </w:p>
        </w:tc>
        <w:tc>
          <w:tcPr>
            <w:tcW w:w="2980" w:type="dxa"/>
            <w:vAlign w:val="bottom"/>
          </w:tcPr>
          <w:p>
            <w:pPr>
              <w:jc w:val="right"/>
              <w:spacing w:after="0"/>
              <w:rPr>
                <w:sz w:val="20"/>
                <w:szCs w:val="20"/>
                <w:color w:val="auto"/>
              </w:rPr>
            </w:pPr>
            <w:r>
              <w:rPr>
                <w:rFonts w:ascii="Arial" w:cs="Arial" w:eastAsia="Arial" w:hAnsi="Arial"/>
                <w:sz w:val="16"/>
                <w:szCs w:val="16"/>
                <w:color w:val="auto"/>
              </w:rPr>
              <w:t>362,711</w:t>
            </w:r>
          </w:p>
        </w:tc>
      </w:tr>
    </w:tbl>
    <w:p>
      <w:pPr>
        <w:spacing w:after="0" w:line="60" w:lineRule="exact"/>
        <w:rPr>
          <w:sz w:val="20"/>
          <w:szCs w:val="20"/>
          <w:color w:val="auto"/>
        </w:rPr>
      </w:pPr>
    </w:p>
    <w:p>
      <w:pPr>
        <w:ind w:left="400" w:right="1000" w:hanging="394"/>
        <w:spacing w:after="0" w:line="253" w:lineRule="auto"/>
        <w:tabs>
          <w:tab w:leader="none" w:pos="4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Amounts reported represent Company credits to the Supplemental Benefit Plan in fiscal 2021. These amounts are included in the “All Other Compensation” column of the “Summary Compensation Table” and the related footnote.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101" w:lineRule="exact"/>
        <w:rPr>
          <w:sz w:val="20"/>
          <w:szCs w:val="20"/>
          <w:color w:val="auto"/>
        </w:rPr>
      </w:pPr>
    </w:p>
    <w:p>
      <w:pPr>
        <w:ind w:left="400" w:right="20" w:hanging="394"/>
        <w:spacing w:after="0" w:line="246" w:lineRule="auto"/>
        <w:tabs>
          <w:tab w:leader="none" w:pos="4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Aggregate earnings comprise interest, dividends, capital gains and appreciation/depreciation of investment results during the fiscal year based on each named executive officer’s selected fund allocation. None of these amounts are included in the “Summary Compensation Table” because earnings were not preferential or above-market. The funds listed below are consistent with or comparable to those funds provided in our Retirement Plan and do not include any preferential or above-market interest. The rates for fiscal 2021 are provided in the following table:</w:t>
      </w:r>
    </w:p>
    <w:p>
      <w:pPr>
        <w:spacing w:after="0" w:line="95" w:lineRule="exact"/>
        <w:rPr>
          <w:sz w:val="20"/>
          <w:szCs w:val="20"/>
          <w:color w:val="auto"/>
        </w:rPr>
      </w:pPr>
    </w:p>
    <w:tbl>
      <w:tblPr>
        <w:tblLayout w:type="fixed"/>
        <w:tblInd w:w="400" w:type="dxa"/>
        <w:tblCellMar>
          <w:top w:w="0" w:type="dxa"/>
          <w:left w:w="0" w:type="dxa"/>
          <w:bottom w:w="0" w:type="dxa"/>
          <w:right w:w="0" w:type="dxa"/>
        </w:tblCellMar>
      </w:tblPr>
      <w:tr>
        <w:trPr>
          <w:trHeight w:val="226"/>
        </w:trPr>
        <w:tc>
          <w:tcPr>
            <w:tcW w:w="4780" w:type="dxa"/>
            <w:vAlign w:val="bottom"/>
            <w:shd w:val="clear" w:color="auto" w:fill="C00000"/>
          </w:tcPr>
          <w:p>
            <w:pPr>
              <w:ind w:left="40"/>
              <w:spacing w:after="0"/>
              <w:rPr>
                <w:sz w:val="20"/>
                <w:szCs w:val="20"/>
                <w:color w:val="auto"/>
              </w:rPr>
            </w:pPr>
            <w:r>
              <w:rPr>
                <w:rFonts w:ascii="Arial" w:cs="Arial" w:eastAsia="Arial" w:hAnsi="Arial"/>
                <w:sz w:val="16"/>
                <w:szCs w:val="16"/>
                <w:b w:val="1"/>
                <w:bCs w:val="1"/>
                <w:color w:val="FFFFFF"/>
              </w:rPr>
              <w:t>Fund Name</w:t>
            </w:r>
          </w:p>
        </w:tc>
        <w:tc>
          <w:tcPr>
            <w:tcW w:w="3240" w:type="dxa"/>
            <w:vAlign w:val="bottom"/>
            <w:shd w:val="clear" w:color="auto" w:fill="C00000"/>
          </w:tcPr>
          <w:p>
            <w:pPr>
              <w:jc w:val="right"/>
              <w:ind w:right="300"/>
              <w:spacing w:after="0"/>
              <w:rPr>
                <w:sz w:val="20"/>
                <w:szCs w:val="20"/>
                <w:color w:val="auto"/>
              </w:rPr>
            </w:pPr>
            <w:r>
              <w:rPr>
                <w:rFonts w:ascii="Arial" w:cs="Arial" w:eastAsia="Arial" w:hAnsi="Arial"/>
                <w:sz w:val="16"/>
                <w:szCs w:val="16"/>
                <w:b w:val="1"/>
                <w:bCs w:val="1"/>
                <w:color w:val="FFFFFF"/>
              </w:rPr>
              <w:t>Change from Fiscal 2020</w:t>
            </w:r>
          </w:p>
        </w:tc>
      </w:tr>
      <w:tr>
        <w:trPr>
          <w:trHeight w:val="226"/>
        </w:trPr>
        <w:tc>
          <w:tcPr>
            <w:tcW w:w="4780" w:type="dxa"/>
            <w:vAlign w:val="bottom"/>
            <w:shd w:val="clear" w:color="auto" w:fill="D9D9D9"/>
          </w:tcPr>
          <w:p>
            <w:pPr>
              <w:ind w:left="40"/>
              <w:spacing w:after="0"/>
              <w:rPr>
                <w:sz w:val="20"/>
                <w:szCs w:val="20"/>
                <w:color w:val="auto"/>
              </w:rPr>
            </w:pPr>
            <w:r>
              <w:rPr>
                <w:rFonts w:ascii="Arial" w:cs="Arial" w:eastAsia="Arial" w:hAnsi="Arial"/>
                <w:sz w:val="16"/>
                <w:szCs w:val="16"/>
                <w:color w:val="auto"/>
              </w:rPr>
              <w:t>American Funds Europacific Growth Fund R6</w:t>
            </w:r>
          </w:p>
        </w:tc>
        <w:tc>
          <w:tcPr>
            <w:tcW w:w="32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28.40%</w:t>
            </w:r>
          </w:p>
        </w:tc>
      </w:tr>
      <w:tr>
        <w:trPr>
          <w:trHeight w:val="217"/>
        </w:trPr>
        <w:tc>
          <w:tcPr>
            <w:tcW w:w="4780" w:type="dxa"/>
            <w:vAlign w:val="bottom"/>
          </w:tcPr>
          <w:p>
            <w:pPr>
              <w:ind w:left="40"/>
              <w:spacing w:after="0"/>
              <w:rPr>
                <w:sz w:val="20"/>
                <w:szCs w:val="20"/>
                <w:color w:val="auto"/>
              </w:rPr>
            </w:pPr>
            <w:r>
              <w:rPr>
                <w:rFonts w:ascii="Arial" w:cs="Arial" w:eastAsia="Arial" w:hAnsi="Arial"/>
                <w:sz w:val="16"/>
                <w:szCs w:val="16"/>
                <w:color w:val="auto"/>
              </w:rPr>
              <w:t>Artisan Mid Cap Investor Fund</w:t>
            </w:r>
          </w:p>
        </w:tc>
        <w:tc>
          <w:tcPr>
            <w:tcW w:w="3240" w:type="dxa"/>
            <w:vAlign w:val="bottom"/>
          </w:tcPr>
          <w:p>
            <w:pPr>
              <w:jc w:val="right"/>
              <w:spacing w:after="0"/>
              <w:rPr>
                <w:sz w:val="20"/>
                <w:szCs w:val="20"/>
                <w:color w:val="auto"/>
              </w:rPr>
            </w:pPr>
            <w:r>
              <w:rPr>
                <w:rFonts w:ascii="Arial" w:cs="Arial" w:eastAsia="Arial" w:hAnsi="Arial"/>
                <w:sz w:val="16"/>
                <w:szCs w:val="16"/>
                <w:color w:val="auto"/>
              </w:rPr>
              <w:t>39.85%</w:t>
            </w:r>
          </w:p>
        </w:tc>
      </w:tr>
      <w:tr>
        <w:trPr>
          <w:trHeight w:val="235"/>
        </w:trPr>
        <w:tc>
          <w:tcPr>
            <w:tcW w:w="4780" w:type="dxa"/>
            <w:vAlign w:val="bottom"/>
            <w:shd w:val="clear" w:color="auto" w:fill="D9D9D9"/>
          </w:tcPr>
          <w:p>
            <w:pPr>
              <w:ind w:left="40"/>
              <w:spacing w:after="0"/>
              <w:rPr>
                <w:sz w:val="20"/>
                <w:szCs w:val="20"/>
                <w:color w:val="auto"/>
              </w:rPr>
            </w:pPr>
            <w:r>
              <w:rPr>
                <w:rFonts w:ascii="Arial" w:cs="Arial" w:eastAsia="Arial" w:hAnsi="Arial"/>
                <w:sz w:val="16"/>
                <w:szCs w:val="16"/>
                <w:color w:val="auto"/>
              </w:rPr>
              <w:t>Fidelity Treasury Only Money Market Fund</w:t>
            </w:r>
          </w:p>
        </w:tc>
        <w:tc>
          <w:tcPr>
            <w:tcW w:w="32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0.01%</w:t>
            </w:r>
          </w:p>
        </w:tc>
      </w:tr>
      <w:tr>
        <w:trPr>
          <w:trHeight w:val="217"/>
        </w:trPr>
        <w:tc>
          <w:tcPr>
            <w:tcW w:w="4780" w:type="dxa"/>
            <w:vAlign w:val="bottom"/>
          </w:tcPr>
          <w:p>
            <w:pPr>
              <w:ind w:left="40"/>
              <w:spacing w:after="0"/>
              <w:rPr>
                <w:sz w:val="20"/>
                <w:szCs w:val="20"/>
                <w:color w:val="auto"/>
              </w:rPr>
            </w:pPr>
            <w:r>
              <w:rPr>
                <w:rFonts w:ascii="Arial" w:cs="Arial" w:eastAsia="Arial" w:hAnsi="Arial"/>
                <w:sz w:val="16"/>
                <w:szCs w:val="16"/>
                <w:color w:val="auto"/>
              </w:rPr>
              <w:t>Fidelity US Bond Index</w:t>
            </w:r>
          </w:p>
        </w:tc>
        <w:tc>
          <w:tcPr>
            <w:tcW w:w="3240" w:type="dxa"/>
            <w:vAlign w:val="bottom"/>
          </w:tcPr>
          <w:p>
            <w:pPr>
              <w:jc w:val="right"/>
              <w:spacing w:after="0"/>
              <w:rPr>
                <w:sz w:val="20"/>
                <w:szCs w:val="20"/>
                <w:color w:val="auto"/>
              </w:rPr>
            </w:pPr>
            <w:r>
              <w:rPr>
                <w:rFonts w:ascii="Arial" w:cs="Arial" w:eastAsia="Arial" w:hAnsi="Arial"/>
                <w:sz w:val="16"/>
                <w:szCs w:val="16"/>
                <w:color w:val="auto"/>
              </w:rPr>
              <w:t>-0.44%</w:t>
            </w:r>
          </w:p>
        </w:tc>
      </w:tr>
      <w:tr>
        <w:trPr>
          <w:trHeight w:val="235"/>
        </w:trPr>
        <w:tc>
          <w:tcPr>
            <w:tcW w:w="4780" w:type="dxa"/>
            <w:vAlign w:val="bottom"/>
            <w:shd w:val="clear" w:color="auto" w:fill="D9D9D9"/>
          </w:tcPr>
          <w:p>
            <w:pPr>
              <w:ind w:left="40"/>
              <w:spacing w:after="0"/>
              <w:rPr>
                <w:sz w:val="20"/>
                <w:szCs w:val="20"/>
                <w:color w:val="auto"/>
              </w:rPr>
            </w:pPr>
            <w:r>
              <w:rPr>
                <w:rFonts w:ascii="Arial" w:cs="Arial" w:eastAsia="Arial" w:hAnsi="Arial"/>
                <w:sz w:val="16"/>
                <w:szCs w:val="16"/>
                <w:color w:val="auto"/>
              </w:rPr>
              <w:t>Goldman Sachs Small Cap Value Institutional Fund</w:t>
            </w:r>
          </w:p>
        </w:tc>
        <w:tc>
          <w:tcPr>
            <w:tcW w:w="32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56.61%</w:t>
            </w:r>
          </w:p>
        </w:tc>
      </w:tr>
      <w:tr>
        <w:trPr>
          <w:trHeight w:val="217"/>
        </w:trPr>
        <w:tc>
          <w:tcPr>
            <w:tcW w:w="4780" w:type="dxa"/>
            <w:vAlign w:val="bottom"/>
          </w:tcPr>
          <w:p>
            <w:pPr>
              <w:ind w:left="40"/>
              <w:spacing w:after="0"/>
              <w:rPr>
                <w:sz w:val="20"/>
                <w:szCs w:val="20"/>
                <w:color w:val="auto"/>
              </w:rPr>
            </w:pPr>
            <w:r>
              <w:rPr>
                <w:rFonts w:ascii="Arial" w:cs="Arial" w:eastAsia="Arial" w:hAnsi="Arial"/>
                <w:sz w:val="16"/>
                <w:szCs w:val="16"/>
                <w:color w:val="auto"/>
              </w:rPr>
              <w:t>JPMorgan Mid Cap Value I Fund</w:t>
            </w:r>
          </w:p>
        </w:tc>
        <w:tc>
          <w:tcPr>
            <w:tcW w:w="3240" w:type="dxa"/>
            <w:vAlign w:val="bottom"/>
          </w:tcPr>
          <w:p>
            <w:pPr>
              <w:jc w:val="right"/>
              <w:spacing w:after="0"/>
              <w:rPr>
                <w:sz w:val="20"/>
                <w:szCs w:val="20"/>
                <w:color w:val="auto"/>
              </w:rPr>
            </w:pPr>
            <w:r>
              <w:rPr>
                <w:rFonts w:ascii="Arial" w:cs="Arial" w:eastAsia="Arial" w:hAnsi="Arial"/>
                <w:sz w:val="16"/>
                <w:szCs w:val="16"/>
                <w:color w:val="auto"/>
              </w:rPr>
              <w:t>48.69%</w:t>
            </w:r>
          </w:p>
        </w:tc>
      </w:tr>
      <w:tr>
        <w:trPr>
          <w:trHeight w:val="235"/>
        </w:trPr>
        <w:tc>
          <w:tcPr>
            <w:tcW w:w="4780" w:type="dxa"/>
            <w:vAlign w:val="bottom"/>
            <w:shd w:val="clear" w:color="auto" w:fill="D9D9D9"/>
          </w:tcPr>
          <w:p>
            <w:pPr>
              <w:ind w:left="40"/>
              <w:spacing w:after="0"/>
              <w:rPr>
                <w:sz w:val="20"/>
                <w:szCs w:val="20"/>
                <w:color w:val="auto"/>
              </w:rPr>
            </w:pPr>
            <w:r>
              <w:rPr>
                <w:rFonts w:ascii="Arial" w:cs="Arial" w:eastAsia="Arial" w:hAnsi="Arial"/>
                <w:sz w:val="16"/>
                <w:szCs w:val="16"/>
                <w:color w:val="auto"/>
              </w:rPr>
              <w:t>PGIM Total Return Bond R6</w:t>
            </w:r>
          </w:p>
        </w:tc>
        <w:tc>
          <w:tcPr>
            <w:tcW w:w="32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1.61%</w:t>
            </w:r>
          </w:p>
        </w:tc>
      </w:tr>
      <w:tr>
        <w:trPr>
          <w:trHeight w:val="217"/>
        </w:trPr>
        <w:tc>
          <w:tcPr>
            <w:tcW w:w="4780" w:type="dxa"/>
            <w:vAlign w:val="bottom"/>
          </w:tcPr>
          <w:p>
            <w:pPr>
              <w:ind w:left="40"/>
              <w:spacing w:after="0"/>
              <w:rPr>
                <w:sz w:val="20"/>
                <w:szCs w:val="20"/>
                <w:color w:val="auto"/>
              </w:rPr>
            </w:pPr>
            <w:r>
              <w:rPr>
                <w:rFonts w:ascii="Arial" w:cs="Arial" w:eastAsia="Arial" w:hAnsi="Arial"/>
                <w:sz w:val="16"/>
                <w:szCs w:val="16"/>
                <w:color w:val="auto"/>
              </w:rPr>
              <w:t>PIMCO International Bond Fund (Unhedged)</w:t>
            </w:r>
          </w:p>
        </w:tc>
        <w:tc>
          <w:tcPr>
            <w:tcW w:w="3240" w:type="dxa"/>
            <w:vAlign w:val="bottom"/>
          </w:tcPr>
          <w:p>
            <w:pPr>
              <w:jc w:val="right"/>
              <w:spacing w:after="0"/>
              <w:rPr>
                <w:sz w:val="20"/>
                <w:szCs w:val="20"/>
                <w:color w:val="auto"/>
              </w:rPr>
            </w:pPr>
            <w:r>
              <w:rPr>
                <w:rFonts w:ascii="Arial" w:cs="Arial" w:eastAsia="Arial" w:hAnsi="Arial"/>
                <w:sz w:val="16"/>
                <w:szCs w:val="16"/>
                <w:color w:val="auto"/>
              </w:rPr>
              <w:t>0.35%</w:t>
            </w:r>
          </w:p>
        </w:tc>
      </w:tr>
      <w:tr>
        <w:trPr>
          <w:trHeight w:val="235"/>
        </w:trPr>
        <w:tc>
          <w:tcPr>
            <w:tcW w:w="4780" w:type="dxa"/>
            <w:vAlign w:val="bottom"/>
            <w:shd w:val="clear" w:color="auto" w:fill="D9D9D9"/>
          </w:tcPr>
          <w:p>
            <w:pPr>
              <w:ind w:left="40"/>
              <w:spacing w:after="0"/>
              <w:rPr>
                <w:sz w:val="20"/>
                <w:szCs w:val="20"/>
                <w:color w:val="auto"/>
              </w:rPr>
            </w:pPr>
            <w:r>
              <w:rPr>
                <w:rFonts w:ascii="Arial" w:cs="Arial" w:eastAsia="Arial" w:hAnsi="Arial"/>
                <w:sz w:val="16"/>
                <w:szCs w:val="16"/>
                <w:color w:val="auto"/>
              </w:rPr>
              <w:t>T. Rowe Price International Discovery Fund</w:t>
            </w:r>
          </w:p>
        </w:tc>
        <w:tc>
          <w:tcPr>
            <w:tcW w:w="32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29.66%</w:t>
            </w:r>
          </w:p>
        </w:tc>
      </w:tr>
      <w:tr>
        <w:trPr>
          <w:trHeight w:val="217"/>
        </w:trPr>
        <w:tc>
          <w:tcPr>
            <w:tcW w:w="4780" w:type="dxa"/>
            <w:vAlign w:val="bottom"/>
          </w:tcPr>
          <w:p>
            <w:pPr>
              <w:ind w:left="40"/>
              <w:spacing w:after="0"/>
              <w:rPr>
                <w:sz w:val="20"/>
                <w:szCs w:val="20"/>
                <w:color w:val="auto"/>
              </w:rPr>
            </w:pPr>
            <w:r>
              <w:rPr>
                <w:rFonts w:ascii="Arial" w:cs="Arial" w:eastAsia="Arial" w:hAnsi="Arial"/>
                <w:sz w:val="16"/>
                <w:szCs w:val="16"/>
                <w:color w:val="auto"/>
              </w:rPr>
              <w:t>The Toro Company</w:t>
            </w:r>
          </w:p>
        </w:tc>
        <w:tc>
          <w:tcPr>
            <w:tcW w:w="3240" w:type="dxa"/>
            <w:vAlign w:val="bottom"/>
          </w:tcPr>
          <w:p>
            <w:pPr>
              <w:jc w:val="right"/>
              <w:spacing w:after="0"/>
              <w:rPr>
                <w:sz w:val="20"/>
                <w:szCs w:val="20"/>
                <w:color w:val="auto"/>
              </w:rPr>
            </w:pPr>
            <w:r>
              <w:rPr>
                <w:rFonts w:ascii="Arial" w:cs="Arial" w:eastAsia="Arial" w:hAnsi="Arial"/>
                <w:sz w:val="16"/>
                <w:szCs w:val="16"/>
                <w:color w:val="auto"/>
              </w:rPr>
              <w:t>17.48%</w:t>
            </w:r>
          </w:p>
        </w:tc>
      </w:tr>
      <w:tr>
        <w:trPr>
          <w:trHeight w:val="235"/>
        </w:trPr>
        <w:tc>
          <w:tcPr>
            <w:tcW w:w="4780" w:type="dxa"/>
            <w:vAlign w:val="bottom"/>
            <w:shd w:val="clear" w:color="auto" w:fill="D9D9D9"/>
          </w:tcPr>
          <w:p>
            <w:pPr>
              <w:ind w:left="40"/>
              <w:spacing w:after="0"/>
              <w:rPr>
                <w:sz w:val="20"/>
                <w:szCs w:val="20"/>
                <w:color w:val="auto"/>
              </w:rPr>
            </w:pPr>
            <w:r>
              <w:rPr>
                <w:rFonts w:ascii="Arial" w:cs="Arial" w:eastAsia="Arial" w:hAnsi="Arial"/>
                <w:sz w:val="16"/>
                <w:szCs w:val="16"/>
                <w:color w:val="auto"/>
              </w:rPr>
              <w:t>Vanguard Explorer Fund Admiral Shares</w:t>
            </w:r>
          </w:p>
        </w:tc>
        <w:tc>
          <w:tcPr>
            <w:tcW w:w="32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46.42%</w:t>
            </w:r>
          </w:p>
        </w:tc>
      </w:tr>
      <w:tr>
        <w:trPr>
          <w:trHeight w:val="217"/>
        </w:trPr>
        <w:tc>
          <w:tcPr>
            <w:tcW w:w="4780" w:type="dxa"/>
            <w:vAlign w:val="bottom"/>
          </w:tcPr>
          <w:p>
            <w:pPr>
              <w:ind w:left="40"/>
              <w:spacing w:after="0"/>
              <w:rPr>
                <w:sz w:val="20"/>
                <w:szCs w:val="20"/>
                <w:color w:val="auto"/>
              </w:rPr>
            </w:pPr>
            <w:r>
              <w:rPr>
                <w:rFonts w:ascii="Arial" w:cs="Arial" w:eastAsia="Arial" w:hAnsi="Arial"/>
                <w:sz w:val="16"/>
                <w:szCs w:val="16"/>
                <w:color w:val="auto"/>
              </w:rPr>
              <w:t>Vanguard Institutional Index Fund Institutional Shares</w:t>
            </w:r>
          </w:p>
        </w:tc>
        <w:tc>
          <w:tcPr>
            <w:tcW w:w="3240" w:type="dxa"/>
            <w:vAlign w:val="bottom"/>
          </w:tcPr>
          <w:p>
            <w:pPr>
              <w:jc w:val="right"/>
              <w:spacing w:after="0"/>
              <w:rPr>
                <w:sz w:val="20"/>
                <w:szCs w:val="20"/>
                <w:color w:val="auto"/>
              </w:rPr>
            </w:pPr>
            <w:r>
              <w:rPr>
                <w:rFonts w:ascii="Arial" w:cs="Arial" w:eastAsia="Arial" w:hAnsi="Arial"/>
                <w:sz w:val="16"/>
                <w:szCs w:val="16"/>
                <w:color w:val="auto"/>
              </w:rPr>
              <w:t>42.88%</w:t>
            </w:r>
          </w:p>
        </w:tc>
      </w:tr>
      <w:tr>
        <w:trPr>
          <w:trHeight w:val="235"/>
        </w:trPr>
        <w:tc>
          <w:tcPr>
            <w:tcW w:w="4780" w:type="dxa"/>
            <w:vAlign w:val="bottom"/>
            <w:shd w:val="clear" w:color="auto" w:fill="D9D9D9"/>
          </w:tcPr>
          <w:p>
            <w:pPr>
              <w:ind w:left="40"/>
              <w:spacing w:after="0"/>
              <w:rPr>
                <w:sz w:val="20"/>
                <w:szCs w:val="20"/>
                <w:color w:val="auto"/>
              </w:rPr>
            </w:pPr>
            <w:r>
              <w:rPr>
                <w:rFonts w:ascii="Arial" w:cs="Arial" w:eastAsia="Arial" w:hAnsi="Arial"/>
                <w:sz w:val="16"/>
                <w:szCs w:val="16"/>
                <w:color w:val="auto"/>
              </w:rPr>
              <w:t>Vanguard Mid Cap Index Fund Admiral Shares</w:t>
            </w:r>
          </w:p>
        </w:tc>
        <w:tc>
          <w:tcPr>
            <w:tcW w:w="32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45.22%</w:t>
            </w:r>
          </w:p>
        </w:tc>
      </w:tr>
      <w:tr>
        <w:trPr>
          <w:trHeight w:val="217"/>
        </w:trPr>
        <w:tc>
          <w:tcPr>
            <w:tcW w:w="4780" w:type="dxa"/>
            <w:vAlign w:val="bottom"/>
          </w:tcPr>
          <w:p>
            <w:pPr>
              <w:ind w:left="40"/>
              <w:spacing w:after="0"/>
              <w:rPr>
                <w:sz w:val="20"/>
                <w:szCs w:val="20"/>
                <w:color w:val="auto"/>
              </w:rPr>
            </w:pPr>
            <w:r>
              <w:rPr>
                <w:rFonts w:ascii="Arial" w:cs="Arial" w:eastAsia="Arial" w:hAnsi="Arial"/>
                <w:sz w:val="16"/>
                <w:szCs w:val="16"/>
                <w:color w:val="auto"/>
              </w:rPr>
              <w:t>Vanguard Small Cap Index Fund Admiral Shares</w:t>
            </w:r>
          </w:p>
        </w:tc>
        <w:tc>
          <w:tcPr>
            <w:tcW w:w="3240" w:type="dxa"/>
            <w:vAlign w:val="bottom"/>
          </w:tcPr>
          <w:p>
            <w:pPr>
              <w:jc w:val="right"/>
              <w:spacing w:after="0"/>
              <w:rPr>
                <w:sz w:val="20"/>
                <w:szCs w:val="20"/>
                <w:color w:val="auto"/>
              </w:rPr>
            </w:pPr>
            <w:r>
              <w:rPr>
                <w:rFonts w:ascii="Arial" w:cs="Arial" w:eastAsia="Arial" w:hAnsi="Arial"/>
                <w:sz w:val="16"/>
                <w:szCs w:val="16"/>
                <w:color w:val="auto"/>
              </w:rPr>
              <w:t>48.16%</w:t>
            </w:r>
          </w:p>
        </w:tc>
      </w:tr>
      <w:tr>
        <w:trPr>
          <w:trHeight w:val="235"/>
        </w:trPr>
        <w:tc>
          <w:tcPr>
            <w:tcW w:w="4780" w:type="dxa"/>
            <w:vAlign w:val="bottom"/>
            <w:shd w:val="clear" w:color="auto" w:fill="D9D9D9"/>
          </w:tcPr>
          <w:p>
            <w:pPr>
              <w:ind w:left="40"/>
              <w:spacing w:after="0"/>
              <w:rPr>
                <w:sz w:val="20"/>
                <w:szCs w:val="20"/>
                <w:color w:val="auto"/>
              </w:rPr>
            </w:pPr>
            <w:r>
              <w:rPr>
                <w:rFonts w:ascii="Arial" w:cs="Arial" w:eastAsia="Arial" w:hAnsi="Arial"/>
                <w:sz w:val="16"/>
                <w:szCs w:val="16"/>
                <w:color w:val="auto"/>
              </w:rPr>
              <w:t>Vanguard Target Retirement 2015 Fund</w:t>
            </w:r>
          </w:p>
        </w:tc>
        <w:tc>
          <w:tcPr>
            <w:tcW w:w="32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12.30%</w:t>
            </w:r>
          </w:p>
        </w:tc>
      </w:tr>
      <w:tr>
        <w:trPr>
          <w:trHeight w:val="217"/>
        </w:trPr>
        <w:tc>
          <w:tcPr>
            <w:tcW w:w="4780" w:type="dxa"/>
            <w:vAlign w:val="bottom"/>
          </w:tcPr>
          <w:p>
            <w:pPr>
              <w:ind w:left="40"/>
              <w:spacing w:after="0"/>
              <w:rPr>
                <w:sz w:val="20"/>
                <w:szCs w:val="20"/>
                <w:color w:val="auto"/>
              </w:rPr>
            </w:pPr>
            <w:r>
              <w:rPr>
                <w:rFonts w:ascii="Arial" w:cs="Arial" w:eastAsia="Arial" w:hAnsi="Arial"/>
                <w:sz w:val="16"/>
                <w:szCs w:val="16"/>
                <w:color w:val="auto"/>
              </w:rPr>
              <w:t>Vanguard Target Retirement 2020 Fund</w:t>
            </w:r>
          </w:p>
        </w:tc>
        <w:tc>
          <w:tcPr>
            <w:tcW w:w="3240" w:type="dxa"/>
            <w:vAlign w:val="bottom"/>
          </w:tcPr>
          <w:p>
            <w:pPr>
              <w:jc w:val="right"/>
              <w:spacing w:after="0"/>
              <w:rPr>
                <w:sz w:val="20"/>
                <w:szCs w:val="20"/>
                <w:color w:val="auto"/>
              </w:rPr>
            </w:pPr>
            <w:r>
              <w:rPr>
                <w:rFonts w:ascii="Arial" w:cs="Arial" w:eastAsia="Arial" w:hAnsi="Arial"/>
                <w:sz w:val="16"/>
                <w:szCs w:val="16"/>
                <w:color w:val="auto"/>
              </w:rPr>
              <w:t>17.33%</w:t>
            </w:r>
          </w:p>
        </w:tc>
      </w:tr>
      <w:tr>
        <w:trPr>
          <w:trHeight w:val="235"/>
        </w:trPr>
        <w:tc>
          <w:tcPr>
            <w:tcW w:w="4780" w:type="dxa"/>
            <w:vAlign w:val="bottom"/>
            <w:shd w:val="clear" w:color="auto" w:fill="D9D9D9"/>
          </w:tcPr>
          <w:p>
            <w:pPr>
              <w:ind w:left="40"/>
              <w:spacing w:after="0"/>
              <w:rPr>
                <w:sz w:val="20"/>
                <w:szCs w:val="20"/>
                <w:color w:val="auto"/>
              </w:rPr>
            </w:pPr>
            <w:r>
              <w:rPr>
                <w:rFonts w:ascii="Arial" w:cs="Arial" w:eastAsia="Arial" w:hAnsi="Arial"/>
                <w:sz w:val="16"/>
                <w:szCs w:val="16"/>
                <w:color w:val="auto"/>
              </w:rPr>
              <w:t>Vanguard Target Retirement 2025 Fund</w:t>
            </w:r>
          </w:p>
        </w:tc>
        <w:tc>
          <w:tcPr>
            <w:tcW w:w="32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20.88%</w:t>
            </w:r>
          </w:p>
        </w:tc>
      </w:tr>
      <w:tr>
        <w:trPr>
          <w:trHeight w:val="217"/>
        </w:trPr>
        <w:tc>
          <w:tcPr>
            <w:tcW w:w="4780" w:type="dxa"/>
            <w:vAlign w:val="bottom"/>
          </w:tcPr>
          <w:p>
            <w:pPr>
              <w:ind w:left="40"/>
              <w:spacing w:after="0"/>
              <w:rPr>
                <w:sz w:val="20"/>
                <w:szCs w:val="20"/>
                <w:color w:val="auto"/>
              </w:rPr>
            </w:pPr>
            <w:r>
              <w:rPr>
                <w:rFonts w:ascii="Arial" w:cs="Arial" w:eastAsia="Arial" w:hAnsi="Arial"/>
                <w:sz w:val="16"/>
                <w:szCs w:val="16"/>
                <w:color w:val="auto"/>
              </w:rPr>
              <w:t>Vanguard Target Retirement 2030 Fund</w:t>
            </w:r>
          </w:p>
        </w:tc>
        <w:tc>
          <w:tcPr>
            <w:tcW w:w="3240" w:type="dxa"/>
            <w:vAlign w:val="bottom"/>
          </w:tcPr>
          <w:p>
            <w:pPr>
              <w:jc w:val="right"/>
              <w:spacing w:after="0"/>
              <w:rPr>
                <w:sz w:val="20"/>
                <w:szCs w:val="20"/>
                <w:color w:val="auto"/>
              </w:rPr>
            </w:pPr>
            <w:r>
              <w:rPr>
                <w:rFonts w:ascii="Arial" w:cs="Arial" w:eastAsia="Arial" w:hAnsi="Arial"/>
                <w:sz w:val="16"/>
                <w:szCs w:val="16"/>
                <w:color w:val="auto"/>
              </w:rPr>
              <w:t>23.99%</w:t>
            </w:r>
          </w:p>
        </w:tc>
      </w:tr>
      <w:tr>
        <w:trPr>
          <w:trHeight w:val="235"/>
        </w:trPr>
        <w:tc>
          <w:tcPr>
            <w:tcW w:w="4780" w:type="dxa"/>
            <w:vAlign w:val="bottom"/>
            <w:shd w:val="clear" w:color="auto" w:fill="D9D9D9"/>
          </w:tcPr>
          <w:p>
            <w:pPr>
              <w:ind w:left="40"/>
              <w:spacing w:after="0"/>
              <w:rPr>
                <w:sz w:val="20"/>
                <w:szCs w:val="20"/>
                <w:color w:val="auto"/>
              </w:rPr>
            </w:pPr>
            <w:r>
              <w:rPr>
                <w:rFonts w:ascii="Arial" w:cs="Arial" w:eastAsia="Arial" w:hAnsi="Arial"/>
                <w:sz w:val="16"/>
                <w:szCs w:val="16"/>
                <w:color w:val="auto"/>
              </w:rPr>
              <w:t>Vanguard Target Retirement 2035 Fund</w:t>
            </w:r>
          </w:p>
        </w:tc>
        <w:tc>
          <w:tcPr>
            <w:tcW w:w="32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27.13%</w:t>
            </w:r>
          </w:p>
        </w:tc>
      </w:tr>
      <w:tr>
        <w:trPr>
          <w:trHeight w:val="217"/>
        </w:trPr>
        <w:tc>
          <w:tcPr>
            <w:tcW w:w="4780" w:type="dxa"/>
            <w:vAlign w:val="bottom"/>
          </w:tcPr>
          <w:p>
            <w:pPr>
              <w:ind w:left="40"/>
              <w:spacing w:after="0"/>
              <w:rPr>
                <w:sz w:val="20"/>
                <w:szCs w:val="20"/>
                <w:color w:val="auto"/>
              </w:rPr>
            </w:pPr>
            <w:r>
              <w:rPr>
                <w:rFonts w:ascii="Arial" w:cs="Arial" w:eastAsia="Arial" w:hAnsi="Arial"/>
                <w:sz w:val="16"/>
                <w:szCs w:val="16"/>
                <w:color w:val="auto"/>
              </w:rPr>
              <w:t>Vanguard Target Retirement 2040 Fund</w:t>
            </w:r>
          </w:p>
        </w:tc>
        <w:tc>
          <w:tcPr>
            <w:tcW w:w="3240" w:type="dxa"/>
            <w:vAlign w:val="bottom"/>
          </w:tcPr>
          <w:p>
            <w:pPr>
              <w:jc w:val="right"/>
              <w:spacing w:after="0"/>
              <w:rPr>
                <w:sz w:val="20"/>
                <w:szCs w:val="20"/>
                <w:color w:val="auto"/>
              </w:rPr>
            </w:pPr>
            <w:r>
              <w:rPr>
                <w:rFonts w:ascii="Arial" w:cs="Arial" w:eastAsia="Arial" w:hAnsi="Arial"/>
                <w:sz w:val="16"/>
                <w:szCs w:val="16"/>
                <w:color w:val="auto"/>
              </w:rPr>
              <w:t>30.32%</w:t>
            </w:r>
          </w:p>
        </w:tc>
      </w:tr>
      <w:tr>
        <w:trPr>
          <w:trHeight w:val="235"/>
        </w:trPr>
        <w:tc>
          <w:tcPr>
            <w:tcW w:w="4780" w:type="dxa"/>
            <w:vAlign w:val="bottom"/>
            <w:shd w:val="clear" w:color="auto" w:fill="D9D9D9"/>
          </w:tcPr>
          <w:p>
            <w:pPr>
              <w:ind w:left="40"/>
              <w:spacing w:after="0"/>
              <w:rPr>
                <w:sz w:val="20"/>
                <w:szCs w:val="20"/>
                <w:color w:val="auto"/>
              </w:rPr>
            </w:pPr>
            <w:r>
              <w:rPr>
                <w:rFonts w:ascii="Arial" w:cs="Arial" w:eastAsia="Arial" w:hAnsi="Arial"/>
                <w:sz w:val="16"/>
                <w:szCs w:val="16"/>
                <w:color w:val="auto"/>
              </w:rPr>
              <w:t>Vanguard Target Retirement 2045 Fund</w:t>
            </w:r>
          </w:p>
        </w:tc>
        <w:tc>
          <w:tcPr>
            <w:tcW w:w="32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33.60%</w:t>
            </w:r>
          </w:p>
        </w:tc>
      </w:tr>
      <w:tr>
        <w:trPr>
          <w:trHeight w:val="217"/>
        </w:trPr>
        <w:tc>
          <w:tcPr>
            <w:tcW w:w="4780" w:type="dxa"/>
            <w:vAlign w:val="bottom"/>
          </w:tcPr>
          <w:p>
            <w:pPr>
              <w:ind w:left="40"/>
              <w:spacing w:after="0"/>
              <w:rPr>
                <w:sz w:val="20"/>
                <w:szCs w:val="20"/>
                <w:color w:val="auto"/>
              </w:rPr>
            </w:pPr>
            <w:r>
              <w:rPr>
                <w:rFonts w:ascii="Arial" w:cs="Arial" w:eastAsia="Arial" w:hAnsi="Arial"/>
                <w:sz w:val="16"/>
                <w:szCs w:val="16"/>
                <w:color w:val="auto"/>
              </w:rPr>
              <w:t>Vanguard Target Retirement 2050 Fund</w:t>
            </w:r>
          </w:p>
        </w:tc>
        <w:tc>
          <w:tcPr>
            <w:tcW w:w="3240" w:type="dxa"/>
            <w:vAlign w:val="bottom"/>
          </w:tcPr>
          <w:p>
            <w:pPr>
              <w:jc w:val="right"/>
              <w:spacing w:after="0"/>
              <w:rPr>
                <w:sz w:val="20"/>
                <w:szCs w:val="20"/>
                <w:color w:val="auto"/>
              </w:rPr>
            </w:pPr>
            <w:r>
              <w:rPr>
                <w:rFonts w:ascii="Arial" w:cs="Arial" w:eastAsia="Arial" w:hAnsi="Arial"/>
                <w:sz w:val="16"/>
                <w:szCs w:val="16"/>
                <w:color w:val="auto"/>
              </w:rPr>
              <w:t>33.99%</w:t>
            </w:r>
          </w:p>
        </w:tc>
      </w:tr>
      <w:tr>
        <w:trPr>
          <w:trHeight w:val="235"/>
        </w:trPr>
        <w:tc>
          <w:tcPr>
            <w:tcW w:w="4780" w:type="dxa"/>
            <w:vAlign w:val="bottom"/>
            <w:shd w:val="clear" w:color="auto" w:fill="D9D9D9"/>
          </w:tcPr>
          <w:p>
            <w:pPr>
              <w:ind w:left="40"/>
              <w:spacing w:after="0"/>
              <w:rPr>
                <w:sz w:val="20"/>
                <w:szCs w:val="20"/>
                <w:color w:val="auto"/>
              </w:rPr>
            </w:pPr>
            <w:r>
              <w:rPr>
                <w:rFonts w:ascii="Arial" w:cs="Arial" w:eastAsia="Arial" w:hAnsi="Arial"/>
                <w:sz w:val="16"/>
                <w:szCs w:val="16"/>
                <w:color w:val="auto"/>
              </w:rPr>
              <w:t>Vanguard Target Retirement 2055 Fund</w:t>
            </w:r>
          </w:p>
        </w:tc>
        <w:tc>
          <w:tcPr>
            <w:tcW w:w="32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33.97%</w:t>
            </w:r>
          </w:p>
        </w:tc>
      </w:tr>
      <w:tr>
        <w:trPr>
          <w:trHeight w:val="217"/>
        </w:trPr>
        <w:tc>
          <w:tcPr>
            <w:tcW w:w="4780" w:type="dxa"/>
            <w:vAlign w:val="bottom"/>
          </w:tcPr>
          <w:p>
            <w:pPr>
              <w:ind w:left="40"/>
              <w:spacing w:after="0"/>
              <w:rPr>
                <w:sz w:val="20"/>
                <w:szCs w:val="20"/>
                <w:color w:val="auto"/>
              </w:rPr>
            </w:pPr>
            <w:r>
              <w:rPr>
                <w:rFonts w:ascii="Arial" w:cs="Arial" w:eastAsia="Arial" w:hAnsi="Arial"/>
                <w:sz w:val="16"/>
                <w:szCs w:val="16"/>
                <w:color w:val="auto"/>
              </w:rPr>
              <w:t>Vanguard Target Retirement 2060 Fund</w:t>
            </w:r>
          </w:p>
        </w:tc>
        <w:tc>
          <w:tcPr>
            <w:tcW w:w="3240" w:type="dxa"/>
            <w:vAlign w:val="bottom"/>
          </w:tcPr>
          <w:p>
            <w:pPr>
              <w:jc w:val="right"/>
              <w:spacing w:after="0"/>
              <w:rPr>
                <w:sz w:val="20"/>
                <w:szCs w:val="20"/>
                <w:color w:val="auto"/>
              </w:rPr>
            </w:pPr>
            <w:r>
              <w:rPr>
                <w:rFonts w:ascii="Arial" w:cs="Arial" w:eastAsia="Arial" w:hAnsi="Arial"/>
                <w:sz w:val="16"/>
                <w:szCs w:val="16"/>
                <w:color w:val="auto"/>
              </w:rPr>
              <w:t>33.92%</w:t>
            </w:r>
          </w:p>
        </w:tc>
      </w:tr>
      <w:tr>
        <w:trPr>
          <w:trHeight w:val="235"/>
        </w:trPr>
        <w:tc>
          <w:tcPr>
            <w:tcW w:w="4780" w:type="dxa"/>
            <w:vAlign w:val="bottom"/>
            <w:shd w:val="clear" w:color="auto" w:fill="D9D9D9"/>
          </w:tcPr>
          <w:p>
            <w:pPr>
              <w:ind w:left="40"/>
              <w:spacing w:after="0"/>
              <w:rPr>
                <w:sz w:val="20"/>
                <w:szCs w:val="20"/>
                <w:color w:val="auto"/>
              </w:rPr>
            </w:pPr>
            <w:r>
              <w:rPr>
                <w:rFonts w:ascii="Arial" w:cs="Arial" w:eastAsia="Arial" w:hAnsi="Arial"/>
                <w:sz w:val="16"/>
                <w:szCs w:val="16"/>
                <w:color w:val="auto"/>
              </w:rPr>
              <w:t>Vanguard Target Retirement 2065 Fund</w:t>
            </w:r>
          </w:p>
        </w:tc>
        <w:tc>
          <w:tcPr>
            <w:tcW w:w="32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33.98%</w:t>
            </w:r>
          </w:p>
        </w:tc>
      </w:tr>
      <w:tr>
        <w:trPr>
          <w:trHeight w:val="208"/>
        </w:trPr>
        <w:tc>
          <w:tcPr>
            <w:tcW w:w="4780" w:type="dxa"/>
            <w:vAlign w:val="bottom"/>
          </w:tcPr>
          <w:p>
            <w:pPr>
              <w:ind w:left="40"/>
              <w:spacing w:after="0"/>
              <w:rPr>
                <w:sz w:val="20"/>
                <w:szCs w:val="20"/>
                <w:color w:val="auto"/>
              </w:rPr>
            </w:pPr>
            <w:r>
              <w:rPr>
                <w:rFonts w:ascii="Arial" w:cs="Arial" w:eastAsia="Arial" w:hAnsi="Arial"/>
                <w:sz w:val="16"/>
                <w:szCs w:val="16"/>
                <w:color w:val="auto"/>
              </w:rPr>
              <w:t>Vanguard Target Retirement Income Fund</w:t>
            </w:r>
          </w:p>
        </w:tc>
        <w:tc>
          <w:tcPr>
            <w:tcW w:w="3240" w:type="dxa"/>
            <w:vAlign w:val="bottom"/>
          </w:tcPr>
          <w:p>
            <w:pPr>
              <w:jc w:val="right"/>
              <w:spacing w:after="0"/>
              <w:rPr>
                <w:sz w:val="20"/>
                <w:szCs w:val="20"/>
                <w:color w:val="auto"/>
              </w:rPr>
            </w:pPr>
            <w:r>
              <w:rPr>
                <w:rFonts w:ascii="Arial" w:cs="Arial" w:eastAsia="Arial" w:hAnsi="Arial"/>
                <w:sz w:val="16"/>
                <w:szCs w:val="16"/>
                <w:color w:val="auto"/>
              </w:rPr>
              <w:t>11.04%</w:t>
            </w:r>
          </w:p>
        </w:tc>
      </w:tr>
    </w:tbl>
    <w:p>
      <w:pPr>
        <w:spacing w:after="0" w:line="74" w:lineRule="exact"/>
        <w:rPr>
          <w:sz w:val="20"/>
          <w:szCs w:val="20"/>
          <w:color w:val="auto"/>
        </w:rPr>
      </w:pPr>
    </w:p>
    <w:p>
      <w:pPr>
        <w:ind w:left="400" w:right="180" w:hanging="394"/>
        <w:spacing w:after="0" w:line="248" w:lineRule="auto"/>
        <w:tabs>
          <w:tab w:leader="none" w:pos="4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Amounts reported represent the total balance at October 31, 2021, the last day of fiscal 2021, plus any named executive officer’s or Company contributions for fiscal 2021 that were paid, or expected to be paid, after October 31, 2021. Includes the following amounts reported in the “Summary Compensation Table” in the “Base Salary” or “Non-Equity Incentive Plan Compensation” column for fiscal years 2019 and 2020:</w:t>
      </w:r>
    </w:p>
    <w:p>
      <w:pPr>
        <w:spacing w:after="0" w:line="39" w:lineRule="exact"/>
        <w:rPr>
          <w:sz w:val="20"/>
          <w:szCs w:val="20"/>
          <w:color w:val="auto"/>
        </w:rPr>
      </w:pPr>
    </w:p>
    <w:tbl>
      <w:tblPr>
        <w:tblLayout w:type="fixed"/>
        <w:tblInd w:w="400" w:type="dxa"/>
        <w:tblCellMar>
          <w:top w:w="0" w:type="dxa"/>
          <w:left w:w="0" w:type="dxa"/>
          <w:bottom w:w="0" w:type="dxa"/>
          <w:right w:w="0" w:type="dxa"/>
        </w:tblCellMar>
      </w:tblPr>
      <w:tr>
        <w:trPr>
          <w:trHeight w:val="226"/>
        </w:trPr>
        <w:tc>
          <w:tcPr>
            <w:tcW w:w="4020" w:type="dxa"/>
            <w:vAlign w:val="bottom"/>
            <w:shd w:val="clear" w:color="auto" w:fill="D9D9D9"/>
          </w:tcPr>
          <w:p>
            <w:pPr>
              <w:spacing w:after="0"/>
              <w:rPr>
                <w:sz w:val="20"/>
                <w:szCs w:val="20"/>
                <w:color w:val="auto"/>
              </w:rPr>
            </w:pPr>
            <w:r>
              <w:rPr>
                <w:rFonts w:ascii="Arial" w:cs="Arial" w:eastAsia="Arial" w:hAnsi="Arial"/>
                <w:sz w:val="16"/>
                <w:szCs w:val="16"/>
                <w:color w:val="auto"/>
              </w:rPr>
              <w:t>Mr. Olson</w:t>
            </w:r>
          </w:p>
        </w:tc>
        <w:tc>
          <w:tcPr>
            <w:tcW w:w="3280" w:type="dxa"/>
            <w:vAlign w:val="bottom"/>
            <w:shd w:val="clear" w:color="auto" w:fill="D9D9D9"/>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228,871</w:t>
            </w:r>
          </w:p>
        </w:tc>
      </w:tr>
      <w:tr>
        <w:trPr>
          <w:trHeight w:val="217"/>
        </w:trPr>
        <w:tc>
          <w:tcPr>
            <w:tcW w:w="4020" w:type="dxa"/>
            <w:vAlign w:val="bottom"/>
          </w:tcPr>
          <w:p>
            <w:pPr>
              <w:spacing w:after="0"/>
              <w:rPr>
                <w:sz w:val="20"/>
                <w:szCs w:val="20"/>
                <w:color w:val="auto"/>
              </w:rPr>
            </w:pPr>
            <w:r>
              <w:rPr>
                <w:rFonts w:ascii="Arial" w:cs="Arial" w:eastAsia="Arial" w:hAnsi="Arial"/>
                <w:sz w:val="16"/>
                <w:szCs w:val="16"/>
                <w:color w:val="auto"/>
              </w:rPr>
              <w:t>Ms. Peterson</w:t>
            </w:r>
          </w:p>
        </w:tc>
        <w:tc>
          <w:tcPr>
            <w:tcW w:w="32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435,890</w:t>
            </w:r>
          </w:p>
        </w:tc>
      </w:tr>
      <w:tr>
        <w:trPr>
          <w:trHeight w:val="235"/>
        </w:trPr>
        <w:tc>
          <w:tcPr>
            <w:tcW w:w="4020" w:type="dxa"/>
            <w:vAlign w:val="bottom"/>
            <w:shd w:val="clear" w:color="auto" w:fill="D9D9D9"/>
          </w:tcPr>
          <w:p>
            <w:pPr>
              <w:spacing w:after="0"/>
              <w:rPr>
                <w:sz w:val="20"/>
                <w:szCs w:val="20"/>
                <w:color w:val="auto"/>
              </w:rPr>
            </w:pPr>
            <w:r>
              <w:rPr>
                <w:rFonts w:ascii="Arial" w:cs="Arial" w:eastAsia="Arial" w:hAnsi="Arial"/>
                <w:sz w:val="16"/>
                <w:szCs w:val="16"/>
                <w:color w:val="auto"/>
              </w:rPr>
              <w:t>Mr. Rodier</w:t>
            </w:r>
          </w:p>
        </w:tc>
        <w:tc>
          <w:tcPr>
            <w:tcW w:w="3280" w:type="dxa"/>
            <w:vAlign w:val="bottom"/>
            <w:shd w:val="clear" w:color="auto" w:fill="D9D9D9"/>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268,865</w:t>
            </w:r>
          </w:p>
        </w:tc>
      </w:tr>
      <w:tr>
        <w:trPr>
          <w:trHeight w:val="217"/>
        </w:trPr>
        <w:tc>
          <w:tcPr>
            <w:tcW w:w="4020" w:type="dxa"/>
            <w:vAlign w:val="bottom"/>
          </w:tcPr>
          <w:p>
            <w:pPr>
              <w:spacing w:after="0"/>
              <w:rPr>
                <w:sz w:val="20"/>
                <w:szCs w:val="20"/>
                <w:color w:val="auto"/>
              </w:rPr>
            </w:pPr>
            <w:r>
              <w:rPr>
                <w:rFonts w:ascii="Arial" w:cs="Arial" w:eastAsia="Arial" w:hAnsi="Arial"/>
                <w:sz w:val="16"/>
                <w:szCs w:val="16"/>
                <w:color w:val="auto"/>
              </w:rPr>
              <w:t>Ms. Dahl</w:t>
            </w:r>
          </w:p>
        </w:tc>
        <w:tc>
          <w:tcPr>
            <w:tcW w:w="32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223,587</w:t>
            </w:r>
          </w:p>
        </w:tc>
      </w:tr>
      <w:tr>
        <w:trPr>
          <w:trHeight w:val="235"/>
        </w:trPr>
        <w:tc>
          <w:tcPr>
            <w:tcW w:w="4020" w:type="dxa"/>
            <w:vAlign w:val="bottom"/>
            <w:shd w:val="clear" w:color="auto" w:fill="D9D9D9"/>
          </w:tcPr>
          <w:p>
            <w:pPr>
              <w:spacing w:after="0"/>
              <w:rPr>
                <w:sz w:val="20"/>
                <w:szCs w:val="20"/>
                <w:color w:val="auto"/>
              </w:rPr>
            </w:pPr>
            <w:r>
              <w:rPr>
                <w:rFonts w:ascii="Arial" w:cs="Arial" w:eastAsia="Arial" w:hAnsi="Arial"/>
                <w:sz w:val="16"/>
                <w:szCs w:val="16"/>
                <w:color w:val="auto"/>
              </w:rPr>
              <w:t>Mr. Hamilton</w:t>
            </w:r>
          </w:p>
        </w:tc>
        <w:tc>
          <w:tcPr>
            <w:tcW w:w="3280" w:type="dxa"/>
            <w:vAlign w:val="bottom"/>
            <w:shd w:val="clear" w:color="auto" w:fill="D9D9D9"/>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205,208</w:t>
            </w:r>
          </w:p>
        </w:tc>
      </w:tr>
    </w:tbl>
    <w:p>
      <w:pPr>
        <w:spacing w:after="0" w:line="55" w:lineRule="exact"/>
        <w:rPr>
          <w:sz w:val="20"/>
          <w:szCs w:val="20"/>
          <w:color w:val="auto"/>
        </w:rPr>
      </w:pPr>
    </w:p>
    <w:p>
      <w:pPr>
        <w:ind w:left="400"/>
        <w:spacing w:after="0"/>
        <w:rPr>
          <w:sz w:val="20"/>
          <w:szCs w:val="20"/>
          <w:color w:val="auto"/>
        </w:rPr>
      </w:pPr>
      <w:r>
        <w:rPr>
          <w:rFonts w:ascii="Arial" w:cs="Arial" w:eastAsia="Arial" w:hAnsi="Arial"/>
          <w:sz w:val="15"/>
          <w:szCs w:val="15"/>
          <w:color w:val="auto"/>
        </w:rPr>
        <w:t>Includes the following amounts reported in the “Summary Compensation Table” in the “All Other Compensation” column for fiscal years 2019 and 2020.</w:t>
      </w:r>
    </w:p>
    <w:p>
      <w:pPr>
        <w:spacing w:after="0" w:line="65" w:lineRule="exact"/>
        <w:rPr>
          <w:sz w:val="20"/>
          <w:szCs w:val="20"/>
          <w:color w:val="auto"/>
        </w:rPr>
      </w:pPr>
    </w:p>
    <w:tbl>
      <w:tblPr>
        <w:tblLayout w:type="fixed"/>
        <w:tblInd w:w="400" w:type="dxa"/>
        <w:tblCellMar>
          <w:top w:w="0" w:type="dxa"/>
          <w:left w:w="0" w:type="dxa"/>
          <w:bottom w:w="0" w:type="dxa"/>
          <w:right w:w="0" w:type="dxa"/>
        </w:tblCellMar>
      </w:tblPr>
      <w:tr>
        <w:trPr>
          <w:trHeight w:val="226"/>
        </w:trPr>
        <w:tc>
          <w:tcPr>
            <w:tcW w:w="4020" w:type="dxa"/>
            <w:vAlign w:val="bottom"/>
            <w:shd w:val="clear" w:color="auto" w:fill="D9D9D9"/>
          </w:tcPr>
          <w:p>
            <w:pPr>
              <w:spacing w:after="0"/>
              <w:rPr>
                <w:sz w:val="20"/>
                <w:szCs w:val="20"/>
                <w:color w:val="auto"/>
              </w:rPr>
            </w:pPr>
            <w:r>
              <w:rPr>
                <w:rFonts w:ascii="Arial" w:cs="Arial" w:eastAsia="Arial" w:hAnsi="Arial"/>
                <w:sz w:val="16"/>
                <w:szCs w:val="16"/>
                <w:color w:val="auto"/>
              </w:rPr>
              <w:t>Mr. Olson</w:t>
            </w:r>
          </w:p>
        </w:tc>
        <w:tc>
          <w:tcPr>
            <w:tcW w:w="3280" w:type="dxa"/>
            <w:vAlign w:val="bottom"/>
            <w:shd w:val="clear" w:color="auto" w:fill="D9D9D9"/>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190,959</w:t>
            </w:r>
          </w:p>
        </w:tc>
      </w:tr>
      <w:tr>
        <w:trPr>
          <w:trHeight w:val="217"/>
        </w:trPr>
        <w:tc>
          <w:tcPr>
            <w:tcW w:w="4020" w:type="dxa"/>
            <w:vAlign w:val="bottom"/>
          </w:tcPr>
          <w:p>
            <w:pPr>
              <w:spacing w:after="0"/>
              <w:rPr>
                <w:sz w:val="20"/>
                <w:szCs w:val="20"/>
                <w:color w:val="auto"/>
              </w:rPr>
            </w:pPr>
            <w:r>
              <w:rPr>
                <w:rFonts w:ascii="Arial" w:cs="Arial" w:eastAsia="Arial" w:hAnsi="Arial"/>
                <w:sz w:val="16"/>
                <w:szCs w:val="16"/>
                <w:color w:val="auto"/>
              </w:rPr>
              <w:t>Ms. Peterson</w:t>
            </w:r>
          </w:p>
        </w:tc>
        <w:tc>
          <w:tcPr>
            <w:tcW w:w="32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74,408</w:t>
            </w:r>
          </w:p>
        </w:tc>
      </w:tr>
      <w:tr>
        <w:trPr>
          <w:trHeight w:val="235"/>
        </w:trPr>
        <w:tc>
          <w:tcPr>
            <w:tcW w:w="4020" w:type="dxa"/>
            <w:vAlign w:val="bottom"/>
            <w:shd w:val="clear" w:color="auto" w:fill="E7E6E6"/>
          </w:tcPr>
          <w:p>
            <w:pPr>
              <w:spacing w:after="0"/>
              <w:rPr>
                <w:sz w:val="20"/>
                <w:szCs w:val="20"/>
                <w:color w:val="auto"/>
              </w:rPr>
            </w:pPr>
            <w:r>
              <w:rPr>
                <w:rFonts w:ascii="Arial" w:cs="Arial" w:eastAsia="Arial" w:hAnsi="Arial"/>
                <w:sz w:val="16"/>
                <w:szCs w:val="16"/>
                <w:color w:val="auto"/>
              </w:rPr>
              <w:t>Mr. Rodier</w:t>
            </w:r>
          </w:p>
        </w:tc>
        <w:tc>
          <w:tcPr>
            <w:tcW w:w="3280" w:type="dxa"/>
            <w:vAlign w:val="bottom"/>
            <w:shd w:val="clear" w:color="auto" w:fill="E7E6E6"/>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shd w:val="clear" w:color="auto" w:fill="E7E6E6"/>
          </w:tcPr>
          <w:p>
            <w:pPr>
              <w:jc w:val="right"/>
              <w:spacing w:after="0"/>
              <w:rPr>
                <w:sz w:val="20"/>
                <w:szCs w:val="20"/>
                <w:color w:val="auto"/>
              </w:rPr>
            </w:pPr>
            <w:r>
              <w:rPr>
                <w:rFonts w:ascii="Arial" w:cs="Arial" w:eastAsia="Arial" w:hAnsi="Arial"/>
                <w:sz w:val="16"/>
                <w:szCs w:val="16"/>
                <w:color w:val="auto"/>
              </w:rPr>
              <w:t>33,397</w:t>
            </w:r>
          </w:p>
        </w:tc>
      </w:tr>
      <w:tr>
        <w:trPr>
          <w:trHeight w:val="217"/>
        </w:trPr>
        <w:tc>
          <w:tcPr>
            <w:tcW w:w="4020" w:type="dxa"/>
            <w:vAlign w:val="bottom"/>
          </w:tcPr>
          <w:p>
            <w:pPr>
              <w:spacing w:after="0"/>
              <w:rPr>
                <w:sz w:val="20"/>
                <w:szCs w:val="20"/>
                <w:color w:val="auto"/>
              </w:rPr>
            </w:pPr>
            <w:r>
              <w:rPr>
                <w:rFonts w:ascii="Arial" w:cs="Arial" w:eastAsia="Arial" w:hAnsi="Arial"/>
                <w:sz w:val="16"/>
                <w:szCs w:val="16"/>
                <w:color w:val="auto"/>
              </w:rPr>
              <w:t>Ms. Dahl</w:t>
            </w:r>
          </w:p>
        </w:tc>
        <w:tc>
          <w:tcPr>
            <w:tcW w:w="32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11,820</w:t>
            </w:r>
          </w:p>
        </w:tc>
      </w:tr>
      <w:tr>
        <w:trPr>
          <w:trHeight w:val="235"/>
        </w:trPr>
        <w:tc>
          <w:tcPr>
            <w:tcW w:w="4020" w:type="dxa"/>
            <w:vAlign w:val="bottom"/>
            <w:shd w:val="clear" w:color="auto" w:fill="D9D9D9"/>
          </w:tcPr>
          <w:p>
            <w:pPr>
              <w:spacing w:after="0"/>
              <w:rPr>
                <w:sz w:val="20"/>
                <w:szCs w:val="20"/>
                <w:color w:val="auto"/>
              </w:rPr>
            </w:pPr>
            <w:r>
              <w:rPr>
                <w:rFonts w:ascii="Arial" w:cs="Arial" w:eastAsia="Arial" w:hAnsi="Arial"/>
                <w:sz w:val="16"/>
                <w:szCs w:val="16"/>
                <w:color w:val="auto"/>
              </w:rPr>
              <w:t>Mr. Hamilton</w:t>
            </w:r>
          </w:p>
        </w:tc>
        <w:tc>
          <w:tcPr>
            <w:tcW w:w="3280" w:type="dxa"/>
            <w:vAlign w:val="bottom"/>
            <w:shd w:val="clear" w:color="auto" w:fill="D9D9D9"/>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38,572</w:t>
            </w:r>
          </w:p>
        </w:tc>
      </w:tr>
    </w:tbl>
    <w:p>
      <w:pPr>
        <w:spacing w:after="0" w:line="200" w:lineRule="exact"/>
        <w:rPr>
          <w:sz w:val="20"/>
          <w:szCs w:val="20"/>
          <w:color w:val="auto"/>
        </w:rPr>
      </w:pP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060"/>
          </w:cols>
          <w:pgMar w:left="320" w:top="140" w:right="51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Potential Payments Upon Termination or Change In Control</w:t>
      </w:r>
    </w:p>
    <w:p>
      <w:pPr>
        <w:spacing w:after="0" w:line="105" w:lineRule="exact"/>
        <w:rPr>
          <w:sz w:val="20"/>
          <w:szCs w:val="20"/>
          <w:color w:val="auto"/>
        </w:rPr>
      </w:pPr>
    </w:p>
    <w:p>
      <w:pPr>
        <w:ind w:right="140" w:firstLine="401"/>
        <w:spacing w:after="0" w:line="239"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The following discussion describes the payments and benefits to which our named executive officers are entitled in various</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employment and change in control situations. The intent of this discussion is to describe those payments and benefits for which the amount, vesting or time of payment is altered by the termination of employment or change in control situation. Therefore, this discussion does not describe all payments and benefits a named executive officer may receive following a termination or change in control, such as the following accrued, vested or non-forfeitable compensation and benefits:</w:t>
      </w:r>
    </w:p>
    <w:p>
      <w:pPr>
        <w:spacing w:after="0" w:line="42" w:lineRule="exact"/>
        <w:rPr>
          <w:sz w:val="20"/>
          <w:szCs w:val="20"/>
          <w:color w:val="auto"/>
        </w:rPr>
      </w:pPr>
    </w:p>
    <w:p>
      <w:pPr>
        <w:ind w:left="800" w:hanging="395"/>
        <w:spacing w:after="0" w:line="238" w:lineRule="auto"/>
        <w:tabs>
          <w:tab w:leader="none" w:pos="800" w:val="left"/>
        </w:tabs>
        <w:numPr>
          <w:ilvl w:val="0"/>
          <w:numId w:val="71"/>
        </w:numPr>
        <w:rPr>
          <w:rFonts w:ascii="Arial" w:cs="Arial" w:eastAsia="Arial" w:hAnsi="Arial"/>
          <w:sz w:val="16"/>
          <w:szCs w:val="16"/>
          <w:color w:val="auto"/>
        </w:rPr>
      </w:pPr>
      <w:r>
        <w:rPr>
          <w:rFonts w:ascii="Arial" w:cs="Arial" w:eastAsia="Arial" w:hAnsi="Arial"/>
          <w:sz w:val="18"/>
          <w:szCs w:val="18"/>
          <w:color w:val="auto"/>
        </w:rPr>
        <w:t>Payment of individual contributions to our Deferred Plan and Deferred Plan for Officers in accordance with prior distribution elections, as described under “Nonqualified Deferred Compensation for Fiscal 2021”;</w:t>
      </w:r>
    </w:p>
    <w:p>
      <w:pPr>
        <w:spacing w:after="0" w:line="41" w:lineRule="exact"/>
        <w:rPr>
          <w:rFonts w:ascii="Arial" w:cs="Arial" w:eastAsia="Arial" w:hAnsi="Arial"/>
          <w:sz w:val="16"/>
          <w:szCs w:val="16"/>
          <w:color w:val="auto"/>
        </w:rPr>
      </w:pPr>
    </w:p>
    <w:p>
      <w:pPr>
        <w:ind w:left="800" w:right="420" w:hanging="395"/>
        <w:spacing w:after="0" w:line="238" w:lineRule="auto"/>
        <w:tabs>
          <w:tab w:leader="none" w:pos="800" w:val="left"/>
        </w:tabs>
        <w:numPr>
          <w:ilvl w:val="0"/>
          <w:numId w:val="71"/>
        </w:numPr>
        <w:rPr>
          <w:rFonts w:ascii="Arial" w:cs="Arial" w:eastAsia="Arial" w:hAnsi="Arial"/>
          <w:sz w:val="16"/>
          <w:szCs w:val="16"/>
          <w:color w:val="auto"/>
        </w:rPr>
      </w:pPr>
      <w:r>
        <w:rPr>
          <w:rFonts w:ascii="Arial" w:cs="Arial" w:eastAsia="Arial" w:hAnsi="Arial"/>
          <w:sz w:val="18"/>
          <w:szCs w:val="18"/>
          <w:color w:val="auto"/>
        </w:rPr>
        <w:t>Payment of Company contributions on behalf of the named executive officer under our Supplemental Benefit Plan, as described under “Nonqualified Deferred Compensation for Fiscal 2021”;</w:t>
      </w:r>
    </w:p>
    <w:p>
      <w:pPr>
        <w:spacing w:after="0" w:line="41" w:lineRule="exact"/>
        <w:rPr>
          <w:rFonts w:ascii="Arial" w:cs="Arial" w:eastAsia="Arial" w:hAnsi="Arial"/>
          <w:sz w:val="16"/>
          <w:szCs w:val="16"/>
          <w:color w:val="auto"/>
        </w:rPr>
      </w:pPr>
    </w:p>
    <w:p>
      <w:pPr>
        <w:ind w:left="800" w:right="140" w:hanging="395"/>
        <w:spacing w:after="0" w:line="236" w:lineRule="auto"/>
        <w:tabs>
          <w:tab w:leader="none" w:pos="800" w:val="left"/>
        </w:tabs>
        <w:numPr>
          <w:ilvl w:val="0"/>
          <w:numId w:val="71"/>
        </w:numPr>
        <w:rPr>
          <w:rFonts w:ascii="Arial" w:cs="Arial" w:eastAsia="Arial" w:hAnsi="Arial"/>
          <w:sz w:val="16"/>
          <w:szCs w:val="16"/>
          <w:color w:val="auto"/>
        </w:rPr>
      </w:pPr>
      <w:r>
        <w:rPr>
          <w:rFonts w:ascii="Arial" w:cs="Arial" w:eastAsia="Arial" w:hAnsi="Arial"/>
          <w:sz w:val="18"/>
          <w:szCs w:val="18"/>
          <w:color w:val="auto"/>
        </w:rPr>
        <w:t>Payment of individual contributions and vested Company investment fund contributions on behalf of the named executive officer under our Retirement Plan, as described under “Health, Welfare and Retirement Benefits and All Other Compensation—Retirement Benefits”;</w:t>
      </w:r>
    </w:p>
    <w:p>
      <w:pPr>
        <w:spacing w:after="0" w:line="40" w:lineRule="exact"/>
        <w:rPr>
          <w:rFonts w:ascii="Arial" w:cs="Arial" w:eastAsia="Arial" w:hAnsi="Arial"/>
          <w:sz w:val="16"/>
          <w:szCs w:val="16"/>
          <w:color w:val="auto"/>
        </w:rPr>
      </w:pPr>
    </w:p>
    <w:p>
      <w:pPr>
        <w:ind w:left="800" w:right="400" w:hanging="395"/>
        <w:spacing w:after="0" w:line="238" w:lineRule="auto"/>
        <w:tabs>
          <w:tab w:leader="none" w:pos="800" w:val="left"/>
        </w:tabs>
        <w:numPr>
          <w:ilvl w:val="0"/>
          <w:numId w:val="71"/>
        </w:numPr>
        <w:rPr>
          <w:rFonts w:ascii="Arial" w:cs="Arial" w:eastAsia="Arial" w:hAnsi="Arial"/>
          <w:sz w:val="16"/>
          <w:szCs w:val="16"/>
          <w:color w:val="auto"/>
        </w:rPr>
      </w:pPr>
      <w:r>
        <w:rPr>
          <w:rFonts w:ascii="Arial" w:cs="Arial" w:eastAsia="Arial" w:hAnsi="Arial"/>
          <w:sz w:val="18"/>
          <w:szCs w:val="18"/>
          <w:color w:val="auto"/>
        </w:rPr>
        <w:t>Payment of annual cash incentive awards if employed on the last day of the fiscal year and if threshold levels are met and at the percentage of the target achieved, as described under “Annual Cash Incentives”;</w:t>
      </w:r>
    </w:p>
    <w:p>
      <w:pPr>
        <w:spacing w:after="0" w:line="41" w:lineRule="exact"/>
        <w:rPr>
          <w:rFonts w:ascii="Arial" w:cs="Arial" w:eastAsia="Arial" w:hAnsi="Arial"/>
          <w:sz w:val="16"/>
          <w:szCs w:val="16"/>
          <w:color w:val="auto"/>
        </w:rPr>
      </w:pPr>
    </w:p>
    <w:p>
      <w:pPr>
        <w:ind w:left="800" w:right="260" w:hanging="395"/>
        <w:spacing w:after="0" w:line="238" w:lineRule="auto"/>
        <w:tabs>
          <w:tab w:leader="none" w:pos="800" w:val="left"/>
        </w:tabs>
        <w:numPr>
          <w:ilvl w:val="0"/>
          <w:numId w:val="71"/>
        </w:numPr>
        <w:rPr>
          <w:rFonts w:ascii="Arial" w:cs="Arial" w:eastAsia="Arial" w:hAnsi="Arial"/>
          <w:sz w:val="16"/>
          <w:szCs w:val="16"/>
          <w:color w:val="auto"/>
        </w:rPr>
      </w:pPr>
      <w:r>
        <w:rPr>
          <w:rFonts w:ascii="Arial" w:cs="Arial" w:eastAsia="Arial" w:hAnsi="Arial"/>
          <w:sz w:val="18"/>
          <w:szCs w:val="18"/>
          <w:color w:val="auto"/>
        </w:rPr>
        <w:t>Payout for performance share awards if employed on the last day of the performance period and if threshold levels are met and at the percentage of the target achieved, as described under “Long-Term Incentives—Performance Share Awards”;</w:t>
      </w:r>
    </w:p>
    <w:p>
      <w:pPr>
        <w:spacing w:after="0" w:line="41" w:lineRule="exact"/>
        <w:rPr>
          <w:rFonts w:ascii="Arial" w:cs="Arial" w:eastAsia="Arial" w:hAnsi="Arial"/>
          <w:sz w:val="16"/>
          <w:szCs w:val="16"/>
          <w:color w:val="auto"/>
        </w:rPr>
      </w:pPr>
    </w:p>
    <w:p>
      <w:pPr>
        <w:ind w:left="800" w:hanging="395"/>
        <w:spacing w:after="0"/>
        <w:tabs>
          <w:tab w:leader="none" w:pos="800" w:val="left"/>
        </w:tabs>
        <w:numPr>
          <w:ilvl w:val="0"/>
          <w:numId w:val="71"/>
        </w:numPr>
        <w:rPr>
          <w:rFonts w:ascii="Arial" w:cs="Arial" w:eastAsia="Arial" w:hAnsi="Arial"/>
          <w:sz w:val="16"/>
          <w:szCs w:val="16"/>
          <w:color w:val="auto"/>
        </w:rPr>
      </w:pPr>
      <w:r>
        <w:rPr>
          <w:rFonts w:ascii="Arial" w:cs="Arial" w:eastAsia="Arial" w:hAnsi="Arial"/>
          <w:sz w:val="18"/>
          <w:szCs w:val="18"/>
          <w:color w:val="auto"/>
        </w:rPr>
        <w:t>Exercise of stock options that had vested prior to the date of termination; and</w:t>
      </w:r>
    </w:p>
    <w:p>
      <w:pPr>
        <w:spacing w:after="0" w:line="45" w:lineRule="exact"/>
        <w:rPr>
          <w:rFonts w:ascii="Arial" w:cs="Arial" w:eastAsia="Arial" w:hAnsi="Arial"/>
          <w:sz w:val="16"/>
          <w:szCs w:val="16"/>
          <w:color w:val="auto"/>
        </w:rPr>
      </w:pPr>
    </w:p>
    <w:p>
      <w:pPr>
        <w:ind w:left="800" w:right="300" w:hanging="395"/>
        <w:spacing w:after="0" w:line="238" w:lineRule="auto"/>
        <w:tabs>
          <w:tab w:leader="none" w:pos="800" w:val="left"/>
        </w:tabs>
        <w:numPr>
          <w:ilvl w:val="0"/>
          <w:numId w:val="71"/>
        </w:numPr>
        <w:rPr>
          <w:rFonts w:ascii="Arial" w:cs="Arial" w:eastAsia="Arial" w:hAnsi="Arial"/>
          <w:sz w:val="16"/>
          <w:szCs w:val="16"/>
          <w:color w:val="auto"/>
        </w:rPr>
      </w:pPr>
      <w:r>
        <w:rPr>
          <w:rFonts w:ascii="Arial" w:cs="Arial" w:eastAsia="Arial" w:hAnsi="Arial"/>
          <w:sz w:val="18"/>
          <w:szCs w:val="18"/>
          <w:color w:val="auto"/>
        </w:rPr>
        <w:t>Payouts under, and continuation of, health and welfare benefits under plans generally applicable to our U.S.-based office salaried employees.</w:t>
      </w:r>
    </w:p>
    <w:p>
      <w:pPr>
        <w:spacing w:after="0" w:line="95" w:lineRule="exact"/>
        <w:rPr>
          <w:sz w:val="20"/>
          <w:szCs w:val="20"/>
          <w:color w:val="auto"/>
        </w:rPr>
      </w:pPr>
    </w:p>
    <w:p>
      <w:pPr>
        <w:ind w:right="20" w:firstLine="401"/>
        <w:spacing w:after="0" w:line="234" w:lineRule="auto"/>
        <w:rPr>
          <w:sz w:val="20"/>
          <w:szCs w:val="20"/>
          <w:color w:val="auto"/>
        </w:rPr>
      </w:pPr>
      <w:r>
        <w:rPr>
          <w:rFonts w:ascii="Arial" w:cs="Arial" w:eastAsia="Arial" w:hAnsi="Arial"/>
          <w:sz w:val="18"/>
          <w:szCs w:val="18"/>
          <w:color w:val="auto"/>
        </w:rPr>
        <w:t>None of our executive officers have any employment or severance agreements or arrangements other than as provided for in our CIC policy and other than certain change in control provisions in our equity plans. Accordingly, our named executive officers do not have the right to cash severance or additional benefits in connection with a termination of employment except in connection with a change in control of our Company, as described under “Potential Payments Upon Termination or Change in Control—Change in Control”. Each of our executive officers is a party to our standard confidentiality, invention and non-compete agreement.</w:t>
      </w:r>
    </w:p>
    <w:p>
      <w:pPr>
        <w:spacing w:after="0" w:line="73" w:lineRule="exact"/>
        <w:rPr>
          <w:sz w:val="20"/>
          <w:szCs w:val="20"/>
          <w:color w:val="auto"/>
        </w:rPr>
      </w:pPr>
    </w:p>
    <w:p>
      <w:pPr>
        <w:ind w:right="80" w:firstLine="401"/>
        <w:spacing w:after="0" w:line="239" w:lineRule="auto"/>
        <w:rPr>
          <w:sz w:val="20"/>
          <w:szCs w:val="20"/>
          <w:color w:val="auto"/>
        </w:rPr>
      </w:pPr>
      <w:r>
        <w:rPr>
          <w:rFonts w:ascii="Arial" w:cs="Arial" w:eastAsia="Arial" w:hAnsi="Arial"/>
          <w:sz w:val="18"/>
          <w:szCs w:val="18"/>
          <w:b w:val="1"/>
          <w:bCs w:val="1"/>
          <w:color w:val="auto"/>
        </w:rPr>
        <w:t xml:space="preserve">Voluntary Resignation and Retirement. </w:t>
      </w:r>
      <w:r>
        <w:rPr>
          <w:rFonts w:ascii="Arial" w:cs="Arial" w:eastAsia="Arial" w:hAnsi="Arial"/>
          <w:sz w:val="18"/>
          <w:szCs w:val="18"/>
          <w:color w:val="auto"/>
        </w:rPr>
        <w:t>In the event of a named executive officer’s voluntary resignation or retirement, we would not</w:t>
      </w:r>
      <w:r>
        <w:rPr>
          <w:rFonts w:ascii="Arial" w:cs="Arial" w:eastAsia="Arial" w:hAnsi="Arial"/>
          <w:sz w:val="18"/>
          <w:szCs w:val="18"/>
          <w:b w:val="1"/>
          <w:bCs w:val="1"/>
          <w:color w:val="auto"/>
        </w:rPr>
        <w:t xml:space="preserve"> </w:t>
      </w:r>
      <w:r>
        <w:rPr>
          <w:rFonts w:ascii="Arial" w:cs="Arial" w:eastAsia="Arial" w:hAnsi="Arial"/>
          <w:sz w:val="18"/>
          <w:szCs w:val="18"/>
          <w:color w:val="auto"/>
        </w:rPr>
        <w:t>be obligated to pay or provide any additional payments or benefits, unless the named executive officer meets the criteria for “retirement” in connection with his or her voluntary resignation. For purposes of our compensation arrangements, “retirement” generally means the voluntary termination of employment at or after the age of 55 and with a number of years of service that, when added together with the named executive officer’s age, equals at least 65.</w:t>
      </w:r>
    </w:p>
    <w:p>
      <w:pPr>
        <w:spacing w:after="0" w:line="95" w:lineRule="exact"/>
        <w:rPr>
          <w:sz w:val="20"/>
          <w:szCs w:val="20"/>
          <w:color w:val="auto"/>
        </w:rPr>
      </w:pPr>
    </w:p>
    <w:p>
      <w:pPr>
        <w:ind w:right="360" w:firstLine="401"/>
        <w:spacing w:after="0" w:line="236" w:lineRule="auto"/>
        <w:rPr>
          <w:sz w:val="20"/>
          <w:szCs w:val="20"/>
          <w:color w:val="auto"/>
        </w:rPr>
      </w:pPr>
      <w:r>
        <w:rPr>
          <w:rFonts w:ascii="Arial" w:cs="Arial" w:eastAsia="Arial" w:hAnsi="Arial"/>
          <w:sz w:val="18"/>
          <w:szCs w:val="18"/>
          <w:color w:val="auto"/>
        </w:rPr>
        <w:t>If a named executive officer meets the criteria for “retirement” in connection with his or her voluntary resignation, the named executive officer generally would be entitled to or, in the case of annual cash incentive awards and performance share awards, may receive upon approval by the Compensation &amp; Human Resources Committee, the following additional payments and benefits:</w:t>
      </w:r>
    </w:p>
    <w:p>
      <w:pPr>
        <w:spacing w:after="0" w:line="41" w:lineRule="exact"/>
        <w:rPr>
          <w:sz w:val="20"/>
          <w:szCs w:val="20"/>
          <w:color w:val="auto"/>
        </w:rPr>
      </w:pPr>
    </w:p>
    <w:p>
      <w:pPr>
        <w:ind w:left="800" w:right="360" w:hanging="395"/>
        <w:spacing w:after="0" w:line="238" w:lineRule="auto"/>
        <w:tabs>
          <w:tab w:leader="none" w:pos="800" w:val="left"/>
        </w:tabs>
        <w:numPr>
          <w:ilvl w:val="0"/>
          <w:numId w:val="72"/>
        </w:numPr>
        <w:rPr>
          <w:rFonts w:ascii="Arial" w:cs="Arial" w:eastAsia="Arial" w:hAnsi="Arial"/>
          <w:sz w:val="16"/>
          <w:szCs w:val="16"/>
          <w:color w:val="auto"/>
        </w:rPr>
      </w:pPr>
      <w:r>
        <w:rPr>
          <w:rFonts w:ascii="Arial" w:cs="Arial" w:eastAsia="Arial" w:hAnsi="Arial"/>
          <w:sz w:val="18"/>
          <w:szCs w:val="18"/>
          <w:color w:val="auto"/>
        </w:rPr>
        <w:t>Extended vesting and exercise period of four additional years (or the remaining term of the option, whichever is shorter) after the retirement date for all outstanding stock options held on the retirement date;</w:t>
      </w:r>
    </w:p>
    <w:p>
      <w:pPr>
        <w:spacing w:after="0" w:line="41" w:lineRule="exact"/>
        <w:rPr>
          <w:rFonts w:ascii="Arial" w:cs="Arial" w:eastAsia="Arial" w:hAnsi="Arial"/>
          <w:sz w:val="16"/>
          <w:szCs w:val="16"/>
          <w:color w:val="auto"/>
        </w:rPr>
      </w:pPr>
    </w:p>
    <w:p>
      <w:pPr>
        <w:ind w:left="800" w:right="80" w:hanging="395"/>
        <w:spacing w:after="0" w:line="234" w:lineRule="auto"/>
        <w:tabs>
          <w:tab w:leader="none" w:pos="800" w:val="left"/>
        </w:tabs>
        <w:numPr>
          <w:ilvl w:val="0"/>
          <w:numId w:val="72"/>
        </w:numPr>
        <w:rPr>
          <w:rFonts w:ascii="Arial" w:cs="Arial" w:eastAsia="Arial" w:hAnsi="Arial"/>
          <w:sz w:val="16"/>
          <w:szCs w:val="16"/>
          <w:color w:val="auto"/>
        </w:rPr>
      </w:pPr>
      <w:r>
        <w:rPr>
          <w:rFonts w:ascii="Arial" w:cs="Arial" w:eastAsia="Arial" w:hAnsi="Arial"/>
          <w:sz w:val="18"/>
          <w:szCs w:val="18"/>
          <w:color w:val="auto"/>
        </w:rPr>
        <w:t>Extended perquisites consisting of reimbursement for amounts incurred for: (i) one additional year of financial planning expenses; (ii) one additional executive physical; (iii) twelve additional months, or through the end of the lease term, whichever is shorter, of lease payments for a Company-leased automobile; and (iv) certain Company products for personal use at no cost for five years following the named executive officer’s retirement; provided, however, that the named executive officer is responsible for payment of applicable taxes attributed to the value of such products;</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45" w:lineRule="exact"/>
        <w:rPr>
          <w:sz w:val="20"/>
          <w:szCs w:val="20"/>
          <w:color w:val="auto"/>
        </w:rPr>
      </w:pPr>
    </w:p>
    <w:p>
      <w:pPr>
        <w:ind w:left="800" w:right="140" w:hanging="395"/>
        <w:spacing w:after="0" w:line="235" w:lineRule="auto"/>
        <w:tabs>
          <w:tab w:leader="none" w:pos="800" w:val="left"/>
        </w:tabs>
        <w:numPr>
          <w:ilvl w:val="0"/>
          <w:numId w:val="73"/>
        </w:numPr>
        <w:rPr>
          <w:rFonts w:ascii="Arial" w:cs="Arial" w:eastAsia="Arial" w:hAnsi="Arial"/>
          <w:sz w:val="16"/>
          <w:szCs w:val="16"/>
          <w:color w:val="auto"/>
        </w:rPr>
      </w:pPr>
      <w:r>
        <w:rPr>
          <w:rFonts w:ascii="Arial" w:cs="Arial" w:eastAsia="Arial" w:hAnsi="Arial"/>
          <w:sz w:val="18"/>
          <w:szCs w:val="18"/>
          <w:color w:val="auto"/>
        </w:rPr>
        <w:t>Prorated payment of an outstanding annual cash incentive award if the named executive officer retires prior to the date payment is made in settlement of the annual cash incentive award, which is typically in early December, but only (i) if threshold levels are met and at the percentage of the target achieved; and (ii) in an amount that is proportionate to the portion of the fiscal year performance period that was completed as of the retirement date; and</w:t>
      </w:r>
    </w:p>
    <w:p>
      <w:pPr>
        <w:spacing w:after="0" w:line="40" w:lineRule="exact"/>
        <w:rPr>
          <w:rFonts w:ascii="Arial" w:cs="Arial" w:eastAsia="Arial" w:hAnsi="Arial"/>
          <w:sz w:val="16"/>
          <w:szCs w:val="16"/>
          <w:color w:val="auto"/>
        </w:rPr>
      </w:pPr>
    </w:p>
    <w:p>
      <w:pPr>
        <w:ind w:left="800" w:hanging="395"/>
        <w:spacing w:after="0" w:line="234" w:lineRule="auto"/>
        <w:tabs>
          <w:tab w:leader="none" w:pos="800" w:val="left"/>
        </w:tabs>
        <w:numPr>
          <w:ilvl w:val="0"/>
          <w:numId w:val="73"/>
        </w:numPr>
        <w:rPr>
          <w:rFonts w:ascii="Arial" w:cs="Arial" w:eastAsia="Arial" w:hAnsi="Arial"/>
          <w:sz w:val="16"/>
          <w:szCs w:val="16"/>
          <w:color w:val="auto"/>
        </w:rPr>
      </w:pPr>
      <w:r>
        <w:rPr>
          <w:rFonts w:ascii="Arial" w:cs="Arial" w:eastAsia="Arial" w:hAnsi="Arial"/>
          <w:sz w:val="18"/>
          <w:szCs w:val="18"/>
          <w:color w:val="auto"/>
        </w:rPr>
        <w:t>Prorated payment of outstanding performance share awards if the named executive officer retires after completion of at least one fiscal year of our current three-fiscal year performance period, but only (i) if threshold levels are met and at the percentage of the target achieved and (ii) in an amount that is proportionate to the portion of the performance period based on the number of months or years that the named executive officer was employed or performed services during the performance period as of the named executive officer’s retirement date.</w:t>
      </w:r>
    </w:p>
    <w:p>
      <w:pPr>
        <w:spacing w:after="0" w:line="95" w:lineRule="exact"/>
        <w:rPr>
          <w:sz w:val="20"/>
          <w:szCs w:val="20"/>
          <w:color w:val="auto"/>
        </w:rPr>
      </w:pPr>
    </w:p>
    <w:p>
      <w:pPr>
        <w:jc w:val="both"/>
        <w:ind w:right="200" w:firstLine="401"/>
        <w:spacing w:after="0" w:line="236" w:lineRule="auto"/>
        <w:rPr>
          <w:sz w:val="20"/>
          <w:szCs w:val="20"/>
          <w:color w:val="auto"/>
        </w:rPr>
      </w:pPr>
      <w:r>
        <w:rPr>
          <w:rFonts w:ascii="Arial" w:cs="Arial" w:eastAsia="Arial" w:hAnsi="Arial"/>
          <w:sz w:val="18"/>
          <w:szCs w:val="18"/>
          <w:color w:val="auto"/>
        </w:rPr>
        <w:t>Any such payment for any prorated annual cash incentive or performance share awards would be made at the same time payments are made to our other executive officers after the certification of performance achieved by the Compensation &amp; Human Resources Committee at the meeting following the completion of the applicable performance period.</w:t>
      </w:r>
    </w:p>
    <w:p>
      <w:pPr>
        <w:spacing w:after="0" w:line="72" w:lineRule="exact"/>
        <w:rPr>
          <w:sz w:val="20"/>
          <w:szCs w:val="20"/>
          <w:color w:val="auto"/>
        </w:rPr>
      </w:pPr>
    </w:p>
    <w:p>
      <w:pPr>
        <w:ind w:right="100" w:firstLine="401"/>
        <w:spacing w:after="0" w:line="247" w:lineRule="auto"/>
        <w:rPr>
          <w:sz w:val="20"/>
          <w:szCs w:val="20"/>
          <w:color w:val="auto"/>
        </w:rPr>
      </w:pPr>
      <w:r>
        <w:rPr>
          <w:rFonts w:ascii="Arial" w:cs="Arial" w:eastAsia="Arial" w:hAnsi="Arial"/>
          <w:sz w:val="18"/>
          <w:szCs w:val="18"/>
          <w:b w:val="1"/>
          <w:bCs w:val="1"/>
          <w:color w:val="auto"/>
        </w:rPr>
        <w:t xml:space="preserve">Disability or Death. </w:t>
      </w:r>
      <w:r>
        <w:rPr>
          <w:rFonts w:ascii="Arial" w:cs="Arial" w:eastAsia="Arial" w:hAnsi="Arial"/>
          <w:sz w:val="18"/>
          <w:szCs w:val="18"/>
          <w:color w:val="auto"/>
        </w:rPr>
        <w:t>In the event of a termination as the result of the disability or death of a named executive officer, the named</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or his or her beneficiary, would be entitled to or, in the case of annual cash incentive awards and performance share awards, may receive upon approval by the Compensation &amp; Human Resources Committee, the following additional payments and benefits:</w:t>
      </w:r>
    </w:p>
    <w:p>
      <w:pPr>
        <w:spacing w:after="0" w:line="34" w:lineRule="exact"/>
        <w:rPr>
          <w:sz w:val="20"/>
          <w:szCs w:val="20"/>
          <w:color w:val="auto"/>
        </w:rPr>
      </w:pPr>
    </w:p>
    <w:p>
      <w:pPr>
        <w:ind w:left="800" w:right="60" w:hanging="395"/>
        <w:spacing w:after="0" w:line="238" w:lineRule="auto"/>
        <w:tabs>
          <w:tab w:leader="none" w:pos="800" w:val="left"/>
        </w:tabs>
        <w:numPr>
          <w:ilvl w:val="0"/>
          <w:numId w:val="74"/>
        </w:numPr>
        <w:rPr>
          <w:rFonts w:ascii="Arial" w:cs="Arial" w:eastAsia="Arial" w:hAnsi="Arial"/>
          <w:sz w:val="16"/>
          <w:szCs w:val="16"/>
          <w:color w:val="auto"/>
        </w:rPr>
      </w:pPr>
      <w:r>
        <w:rPr>
          <w:rFonts w:ascii="Arial" w:cs="Arial" w:eastAsia="Arial" w:hAnsi="Arial"/>
          <w:sz w:val="18"/>
          <w:szCs w:val="18"/>
          <w:color w:val="auto"/>
        </w:rPr>
        <w:t>Immediate vesting of all outstanding stock options held as of the termination date and stock options may be exercised for a period of up to one year (or the remaining term of the option, whichever is shorter) after the termination date;</w:t>
      </w:r>
    </w:p>
    <w:p>
      <w:pPr>
        <w:spacing w:after="0" w:line="41" w:lineRule="exact"/>
        <w:rPr>
          <w:rFonts w:ascii="Arial" w:cs="Arial" w:eastAsia="Arial" w:hAnsi="Arial"/>
          <w:sz w:val="16"/>
          <w:szCs w:val="16"/>
          <w:color w:val="auto"/>
        </w:rPr>
      </w:pPr>
    </w:p>
    <w:p>
      <w:pPr>
        <w:ind w:left="800" w:hanging="395"/>
        <w:spacing w:after="0" w:line="235" w:lineRule="auto"/>
        <w:tabs>
          <w:tab w:leader="none" w:pos="800" w:val="left"/>
        </w:tabs>
        <w:numPr>
          <w:ilvl w:val="0"/>
          <w:numId w:val="74"/>
        </w:numPr>
        <w:rPr>
          <w:rFonts w:ascii="Arial" w:cs="Arial" w:eastAsia="Arial" w:hAnsi="Arial"/>
          <w:sz w:val="16"/>
          <w:szCs w:val="16"/>
          <w:color w:val="auto"/>
        </w:rPr>
      </w:pPr>
      <w:r>
        <w:rPr>
          <w:rFonts w:ascii="Arial" w:cs="Arial" w:eastAsia="Arial" w:hAnsi="Arial"/>
          <w:sz w:val="18"/>
          <w:szCs w:val="18"/>
          <w:color w:val="auto"/>
        </w:rPr>
        <w:t>Prorated payment of an outstanding annual cash incentive award if the termination of the named executive officer is prior to the date payment is made in settlement of the annual cash incentive award, but only (i) if threshold levels are met and at the percentage of the target achieved; and (ii) in an amount that is proportionate to the portion of the fiscal year performance period that was completed as of the termination date; and</w:t>
      </w:r>
    </w:p>
    <w:p>
      <w:pPr>
        <w:spacing w:after="0" w:line="40" w:lineRule="exact"/>
        <w:rPr>
          <w:rFonts w:ascii="Arial" w:cs="Arial" w:eastAsia="Arial" w:hAnsi="Arial"/>
          <w:sz w:val="16"/>
          <w:szCs w:val="16"/>
          <w:color w:val="auto"/>
        </w:rPr>
      </w:pPr>
    </w:p>
    <w:p>
      <w:pPr>
        <w:ind w:left="800" w:right="20" w:hanging="395"/>
        <w:spacing w:after="0" w:line="234" w:lineRule="auto"/>
        <w:tabs>
          <w:tab w:leader="none" w:pos="800" w:val="left"/>
        </w:tabs>
        <w:numPr>
          <w:ilvl w:val="0"/>
          <w:numId w:val="74"/>
        </w:numPr>
        <w:rPr>
          <w:rFonts w:ascii="Arial" w:cs="Arial" w:eastAsia="Arial" w:hAnsi="Arial"/>
          <w:sz w:val="16"/>
          <w:szCs w:val="16"/>
          <w:color w:val="auto"/>
        </w:rPr>
      </w:pPr>
      <w:r>
        <w:rPr>
          <w:rFonts w:ascii="Arial" w:cs="Arial" w:eastAsia="Arial" w:hAnsi="Arial"/>
          <w:sz w:val="18"/>
          <w:szCs w:val="18"/>
          <w:color w:val="auto"/>
        </w:rPr>
        <w:t>Prorated payment of outstanding performance share awards if the named executive officer was employed for at least one fiscal year of our current three-fiscal year performance period, but only (i) if threshold levels are met and at the percentage of the target achieved and (ii) in an amount that is proportionate to the portion of the performance period based on the number of months or years that the named executive officer was employed or performed services during the performance period as of the named executive officer’s termination date.</w:t>
      </w:r>
    </w:p>
    <w:p>
      <w:pPr>
        <w:spacing w:after="0" w:line="95" w:lineRule="exact"/>
        <w:rPr>
          <w:sz w:val="20"/>
          <w:szCs w:val="20"/>
          <w:color w:val="auto"/>
        </w:rPr>
      </w:pPr>
    </w:p>
    <w:p>
      <w:pPr>
        <w:jc w:val="both"/>
        <w:ind w:right="200" w:firstLine="401"/>
        <w:spacing w:after="0" w:line="236" w:lineRule="auto"/>
        <w:rPr>
          <w:sz w:val="20"/>
          <w:szCs w:val="20"/>
          <w:color w:val="auto"/>
        </w:rPr>
      </w:pPr>
      <w:r>
        <w:rPr>
          <w:rFonts w:ascii="Arial" w:cs="Arial" w:eastAsia="Arial" w:hAnsi="Arial"/>
          <w:sz w:val="18"/>
          <w:szCs w:val="18"/>
          <w:color w:val="auto"/>
        </w:rPr>
        <w:t>Any such payment for any prorated annual cash incentive or performance share awards would be made at the same time payments are made to our other executive officers after the certification of performance achieved by the Compensation &amp; Human Resources Committee at the meeting following the completion of the applicable performance period.</w:t>
      </w:r>
    </w:p>
    <w:p>
      <w:pPr>
        <w:spacing w:after="0" w:line="72" w:lineRule="exact"/>
        <w:rPr>
          <w:sz w:val="20"/>
          <w:szCs w:val="20"/>
          <w:color w:val="auto"/>
        </w:rPr>
      </w:pPr>
    </w:p>
    <w:p>
      <w:pPr>
        <w:ind w:right="380" w:firstLine="401"/>
        <w:spacing w:after="0" w:line="260" w:lineRule="auto"/>
        <w:rPr>
          <w:sz w:val="20"/>
          <w:szCs w:val="20"/>
          <w:color w:val="auto"/>
        </w:rPr>
      </w:pPr>
      <w:r>
        <w:rPr>
          <w:rFonts w:ascii="Arial" w:cs="Arial" w:eastAsia="Arial" w:hAnsi="Arial"/>
          <w:sz w:val="17"/>
          <w:szCs w:val="17"/>
          <w:b w:val="1"/>
          <w:bCs w:val="1"/>
          <w:color w:val="auto"/>
        </w:rPr>
        <w:t xml:space="preserve">Involuntary Termination by TTC. </w:t>
      </w:r>
      <w:r>
        <w:rPr>
          <w:rFonts w:ascii="Arial" w:cs="Arial" w:eastAsia="Arial" w:hAnsi="Arial"/>
          <w:sz w:val="17"/>
          <w:szCs w:val="17"/>
          <w:color w:val="auto"/>
        </w:rPr>
        <w:t>Since our named executive officers do not have employment or severance agreements or</w:t>
      </w:r>
      <w:r>
        <w:rPr>
          <w:rFonts w:ascii="Arial" w:cs="Arial" w:eastAsia="Arial" w:hAnsi="Arial"/>
          <w:sz w:val="17"/>
          <w:szCs w:val="17"/>
          <w:b w:val="1"/>
          <w:bCs w:val="1"/>
          <w:color w:val="auto"/>
        </w:rPr>
        <w:t xml:space="preserve"> </w:t>
      </w:r>
      <w:r>
        <w:rPr>
          <w:rFonts w:ascii="Arial" w:cs="Arial" w:eastAsia="Arial" w:hAnsi="Arial"/>
          <w:sz w:val="17"/>
          <w:szCs w:val="17"/>
          <w:color w:val="auto"/>
        </w:rPr>
        <w:t>arrangements other than as provided for in our CIC policy, we would not be obligated to provide any additional payments or benefits to our named executive officers in the event of an involuntary termination of employment by us. Any negotiated separation arrangement typically requires that the named executive officer sign a release and waiver of claims and comply with confidentiality and non-compete restrictions.</w:t>
      </w:r>
    </w:p>
    <w:p>
      <w:pPr>
        <w:spacing w:after="0" w:line="57" w:lineRule="exact"/>
        <w:rPr>
          <w:sz w:val="20"/>
          <w:szCs w:val="20"/>
          <w:color w:val="auto"/>
        </w:rPr>
      </w:pPr>
    </w:p>
    <w:p>
      <w:pPr>
        <w:ind w:right="60" w:firstLine="401"/>
        <w:spacing w:after="0" w:line="247" w:lineRule="auto"/>
        <w:rPr>
          <w:sz w:val="20"/>
          <w:szCs w:val="20"/>
          <w:color w:val="auto"/>
        </w:rPr>
      </w:pPr>
      <w:r>
        <w:rPr>
          <w:rFonts w:ascii="Arial" w:cs="Arial" w:eastAsia="Arial" w:hAnsi="Arial"/>
          <w:sz w:val="18"/>
          <w:szCs w:val="18"/>
          <w:b w:val="1"/>
          <w:bCs w:val="1"/>
          <w:color w:val="auto"/>
        </w:rPr>
        <w:t xml:space="preserve">Termination by TTC for Cause. </w:t>
      </w:r>
      <w:r>
        <w:rPr>
          <w:rFonts w:ascii="Arial" w:cs="Arial" w:eastAsia="Arial" w:hAnsi="Arial"/>
          <w:sz w:val="18"/>
          <w:szCs w:val="18"/>
          <w:color w:val="auto"/>
        </w:rPr>
        <w:t>In the event of a termination of a named executive officer’s employment by us for cause, we would not</w:t>
      </w:r>
      <w:r>
        <w:rPr>
          <w:rFonts w:ascii="Arial" w:cs="Arial" w:eastAsia="Arial" w:hAnsi="Arial"/>
          <w:sz w:val="18"/>
          <w:szCs w:val="18"/>
          <w:b w:val="1"/>
          <w:bCs w:val="1"/>
          <w:color w:val="auto"/>
        </w:rPr>
        <w:t xml:space="preserve"> </w:t>
      </w:r>
      <w:r>
        <w:rPr>
          <w:rFonts w:ascii="Arial" w:cs="Arial" w:eastAsia="Arial" w:hAnsi="Arial"/>
          <w:sz w:val="18"/>
          <w:szCs w:val="18"/>
          <w:color w:val="auto"/>
        </w:rPr>
        <w:t>be obligated to provide any additional payments or benefits to the executive. In addition, we may have certain clawback rights, as described below under “Clawback Provisions.”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ind w:right="20" w:firstLine="401"/>
        <w:spacing w:after="0" w:line="234" w:lineRule="auto"/>
        <w:rPr>
          <w:sz w:val="20"/>
          <w:szCs w:val="20"/>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We have a CIC policy generally applicable to our executive officers. Our CIC policy incorporates a “double trigger”</w:t>
      </w:r>
      <w:r>
        <w:rPr>
          <w:rFonts w:ascii="Arial" w:cs="Arial" w:eastAsia="Arial" w:hAnsi="Arial"/>
          <w:sz w:val="18"/>
          <w:szCs w:val="18"/>
          <w:b w:val="1"/>
          <w:bCs w:val="1"/>
          <w:color w:val="auto"/>
        </w:rPr>
        <w:t xml:space="preserve"> </w:t>
      </w:r>
      <w:r>
        <w:rPr>
          <w:rFonts w:ascii="Arial" w:cs="Arial" w:eastAsia="Arial" w:hAnsi="Arial"/>
          <w:sz w:val="18"/>
          <w:szCs w:val="18"/>
          <w:color w:val="auto"/>
        </w:rPr>
        <w:t>mechanism and provides for a cash severance payment and certain other benefits if within three years after a change in control the named executive officer’s employment is terminated by us without just cause or the named executive officer terminates his or her employment for good reason, or if such termination occurs at the request of a third party who had taken steps reasonably calculated to effect the change in control. The payments and benefits the named executive officer would be entitled to receive include:</w:t>
      </w:r>
    </w:p>
    <w:p>
      <w:pPr>
        <w:spacing w:after="0" w:line="41" w:lineRule="exact"/>
        <w:rPr>
          <w:sz w:val="20"/>
          <w:szCs w:val="20"/>
          <w:color w:val="auto"/>
        </w:rPr>
      </w:pPr>
    </w:p>
    <w:p>
      <w:pPr>
        <w:ind w:left="800" w:right="180" w:hanging="395"/>
        <w:spacing w:after="0" w:line="238" w:lineRule="auto"/>
        <w:tabs>
          <w:tab w:leader="none" w:pos="800" w:val="left"/>
        </w:tabs>
        <w:numPr>
          <w:ilvl w:val="0"/>
          <w:numId w:val="75"/>
        </w:numPr>
        <w:rPr>
          <w:rFonts w:ascii="Arial" w:cs="Arial" w:eastAsia="Arial" w:hAnsi="Arial"/>
          <w:sz w:val="16"/>
          <w:szCs w:val="16"/>
          <w:color w:val="auto"/>
        </w:rPr>
      </w:pPr>
      <w:r>
        <w:rPr>
          <w:rFonts w:ascii="Arial" w:cs="Arial" w:eastAsia="Arial" w:hAnsi="Arial"/>
          <w:sz w:val="18"/>
          <w:szCs w:val="18"/>
          <w:color w:val="auto"/>
        </w:rPr>
        <w:t>a lump sum cash severance payment equal to two times (or three times for the CEO) the sum of the named executive officer’s then current annual base salary and target annual cash incentive award;</w:t>
      </w:r>
    </w:p>
    <w:p>
      <w:pPr>
        <w:spacing w:after="0" w:line="41" w:lineRule="exact"/>
        <w:rPr>
          <w:rFonts w:ascii="Arial" w:cs="Arial" w:eastAsia="Arial" w:hAnsi="Arial"/>
          <w:sz w:val="16"/>
          <w:szCs w:val="16"/>
          <w:color w:val="auto"/>
        </w:rPr>
      </w:pPr>
    </w:p>
    <w:p>
      <w:pPr>
        <w:ind w:left="800" w:right="40" w:hanging="395"/>
        <w:spacing w:after="0" w:line="236" w:lineRule="auto"/>
        <w:tabs>
          <w:tab w:leader="none" w:pos="800" w:val="left"/>
        </w:tabs>
        <w:numPr>
          <w:ilvl w:val="0"/>
          <w:numId w:val="75"/>
        </w:numPr>
        <w:rPr>
          <w:rFonts w:ascii="Arial" w:cs="Arial" w:eastAsia="Arial" w:hAnsi="Arial"/>
          <w:sz w:val="16"/>
          <w:szCs w:val="16"/>
          <w:color w:val="auto"/>
        </w:rPr>
      </w:pPr>
      <w:r>
        <w:rPr>
          <w:rFonts w:ascii="Arial" w:cs="Arial" w:eastAsia="Arial" w:hAnsi="Arial"/>
          <w:sz w:val="18"/>
          <w:szCs w:val="18"/>
          <w:color w:val="auto"/>
        </w:rPr>
        <w:t>a lump sum cash payment in an amount equal to the named executive officer’s pro-rated target annual cash incentive award for the fiscal year in which the termination date occurs, reduced by any amounts paid under the terms of the applicable equity compensation policy for the same period of time;</w:t>
      </w:r>
    </w:p>
    <w:p>
      <w:pPr>
        <w:spacing w:after="0" w:line="40" w:lineRule="exact"/>
        <w:rPr>
          <w:rFonts w:ascii="Arial" w:cs="Arial" w:eastAsia="Arial" w:hAnsi="Arial"/>
          <w:sz w:val="16"/>
          <w:szCs w:val="16"/>
          <w:color w:val="auto"/>
        </w:rPr>
      </w:pPr>
    </w:p>
    <w:p>
      <w:pPr>
        <w:jc w:val="both"/>
        <w:ind w:left="800" w:right="260" w:hanging="395"/>
        <w:spacing w:after="0" w:line="235" w:lineRule="auto"/>
        <w:tabs>
          <w:tab w:leader="none" w:pos="800" w:val="left"/>
        </w:tabs>
        <w:numPr>
          <w:ilvl w:val="0"/>
          <w:numId w:val="75"/>
        </w:numPr>
        <w:rPr>
          <w:rFonts w:ascii="Arial" w:cs="Arial" w:eastAsia="Arial" w:hAnsi="Arial"/>
          <w:sz w:val="16"/>
          <w:szCs w:val="16"/>
          <w:color w:val="auto"/>
        </w:rPr>
      </w:pPr>
      <w:r>
        <w:rPr>
          <w:rFonts w:ascii="Arial" w:cs="Arial" w:eastAsia="Arial" w:hAnsi="Arial"/>
          <w:sz w:val="18"/>
          <w:szCs w:val="18"/>
          <w:color w:val="auto"/>
        </w:rPr>
        <w:t>eligibility for continuation coverage under our medical, dental and other group health plans for a period of three years following the termination date and reimbursement for any costs incurred in securing such continuation coverage that are in excess of costs that would have been incurred by the named executive officer immediately prior to his or her termination date to obtain such coverage; and</w:t>
      </w:r>
    </w:p>
    <w:p>
      <w:pPr>
        <w:spacing w:after="0" w:line="40" w:lineRule="exact"/>
        <w:rPr>
          <w:rFonts w:ascii="Arial" w:cs="Arial" w:eastAsia="Arial" w:hAnsi="Arial"/>
          <w:sz w:val="16"/>
          <w:szCs w:val="16"/>
          <w:color w:val="auto"/>
        </w:rPr>
      </w:pPr>
    </w:p>
    <w:p>
      <w:pPr>
        <w:ind w:left="800" w:hanging="395"/>
        <w:spacing w:after="0"/>
        <w:tabs>
          <w:tab w:leader="none" w:pos="800" w:val="left"/>
        </w:tabs>
        <w:numPr>
          <w:ilvl w:val="0"/>
          <w:numId w:val="75"/>
        </w:numPr>
        <w:rPr>
          <w:rFonts w:ascii="Arial" w:cs="Arial" w:eastAsia="Arial" w:hAnsi="Arial"/>
          <w:sz w:val="16"/>
          <w:szCs w:val="16"/>
          <w:color w:val="auto"/>
        </w:rPr>
      </w:pPr>
      <w:r>
        <w:rPr>
          <w:rFonts w:ascii="Arial" w:cs="Arial" w:eastAsia="Arial" w:hAnsi="Arial"/>
          <w:sz w:val="18"/>
          <w:szCs w:val="18"/>
          <w:color w:val="auto"/>
        </w:rPr>
        <w:t>two years of outplacement services.</w:t>
      </w:r>
    </w:p>
    <w:p>
      <w:pPr>
        <w:spacing w:after="0" w:line="99" w:lineRule="exact"/>
        <w:rPr>
          <w:sz w:val="20"/>
          <w:szCs w:val="20"/>
          <w:color w:val="auto"/>
        </w:rPr>
      </w:pPr>
    </w:p>
    <w:p>
      <w:pPr>
        <w:ind w:right="180" w:firstLine="401"/>
        <w:spacing w:after="0" w:line="236" w:lineRule="auto"/>
        <w:rPr>
          <w:sz w:val="20"/>
          <w:szCs w:val="20"/>
          <w:color w:val="auto"/>
        </w:rPr>
      </w:pPr>
      <w:r>
        <w:rPr>
          <w:rFonts w:ascii="Arial" w:cs="Arial" w:eastAsia="Arial" w:hAnsi="Arial"/>
          <w:sz w:val="18"/>
          <w:szCs w:val="18"/>
          <w:color w:val="auto"/>
        </w:rPr>
        <w:t>Our CIC policy does not provide a “gross-up” for 280G excise tax and, as a condition to the payment of any severance payment, the named executive officer must execute a release of claims against us. If a change in control, as generally defined below, has not occurred, our Board may terminate our CIC policy after two years’ advance notice of such termination.</w:t>
      </w:r>
    </w:p>
    <w:p>
      <w:pPr>
        <w:spacing w:after="0" w:line="94" w:lineRule="exact"/>
        <w:rPr>
          <w:sz w:val="20"/>
          <w:szCs w:val="20"/>
          <w:color w:val="auto"/>
        </w:rPr>
      </w:pPr>
    </w:p>
    <w:p>
      <w:pPr>
        <w:ind w:right="100" w:firstLine="401"/>
        <w:spacing w:after="0" w:line="238" w:lineRule="auto"/>
        <w:rPr>
          <w:sz w:val="20"/>
          <w:szCs w:val="20"/>
          <w:color w:val="auto"/>
        </w:rPr>
      </w:pPr>
      <w:r>
        <w:rPr>
          <w:rFonts w:ascii="Arial" w:cs="Arial" w:eastAsia="Arial" w:hAnsi="Arial"/>
          <w:sz w:val="18"/>
          <w:szCs w:val="18"/>
          <w:color w:val="auto"/>
        </w:rPr>
        <w:t>In addition to our CIC policy, our 2010 Plan provides that if we experience a change in control, as generally defined below, whether or not there is a qualifying termination of employment:</w:t>
      </w:r>
    </w:p>
    <w:p>
      <w:pPr>
        <w:spacing w:after="0" w:line="42" w:lineRule="exact"/>
        <w:rPr>
          <w:sz w:val="20"/>
          <w:szCs w:val="20"/>
          <w:color w:val="auto"/>
        </w:rPr>
      </w:pPr>
    </w:p>
    <w:p>
      <w:pPr>
        <w:ind w:left="800" w:right="60" w:hanging="395"/>
        <w:spacing w:after="0" w:line="238" w:lineRule="auto"/>
        <w:tabs>
          <w:tab w:leader="none" w:pos="800" w:val="left"/>
        </w:tabs>
        <w:numPr>
          <w:ilvl w:val="0"/>
          <w:numId w:val="76"/>
        </w:numPr>
        <w:rPr>
          <w:rFonts w:ascii="Arial" w:cs="Arial" w:eastAsia="Arial" w:hAnsi="Arial"/>
          <w:sz w:val="16"/>
          <w:szCs w:val="16"/>
          <w:color w:val="auto"/>
        </w:rPr>
      </w:pPr>
      <w:r>
        <w:rPr>
          <w:rFonts w:ascii="Arial" w:cs="Arial" w:eastAsia="Arial" w:hAnsi="Arial"/>
          <w:sz w:val="18"/>
          <w:szCs w:val="18"/>
          <w:color w:val="auto"/>
        </w:rPr>
        <w:t>all stock options immediately vest, become exercisable in full and remain exercisable for their remaining term following the change in control;</w:t>
      </w:r>
    </w:p>
    <w:p>
      <w:pPr>
        <w:spacing w:after="0" w:line="41" w:lineRule="exact"/>
        <w:rPr>
          <w:rFonts w:ascii="Arial" w:cs="Arial" w:eastAsia="Arial" w:hAnsi="Arial"/>
          <w:sz w:val="16"/>
          <w:szCs w:val="16"/>
          <w:color w:val="auto"/>
        </w:rPr>
      </w:pPr>
    </w:p>
    <w:p>
      <w:pPr>
        <w:ind w:left="800" w:right="300" w:hanging="395"/>
        <w:spacing w:after="0" w:line="238" w:lineRule="auto"/>
        <w:tabs>
          <w:tab w:leader="none" w:pos="800" w:val="left"/>
        </w:tabs>
        <w:numPr>
          <w:ilvl w:val="0"/>
          <w:numId w:val="76"/>
        </w:numPr>
        <w:rPr>
          <w:rFonts w:ascii="Arial" w:cs="Arial" w:eastAsia="Arial" w:hAnsi="Arial"/>
          <w:sz w:val="16"/>
          <w:szCs w:val="16"/>
          <w:color w:val="auto"/>
        </w:rPr>
      </w:pPr>
      <w:r>
        <w:rPr>
          <w:rFonts w:ascii="Arial" w:cs="Arial" w:eastAsia="Arial" w:hAnsi="Arial"/>
          <w:sz w:val="18"/>
          <w:szCs w:val="18"/>
          <w:color w:val="auto"/>
        </w:rPr>
        <w:t>all outstanding annual cash incentive awards for performance periods in progress at the time of the change in control immediately vest and become immediately payable at target in cash;</w:t>
      </w:r>
    </w:p>
    <w:p>
      <w:pPr>
        <w:spacing w:after="0" w:line="134" w:lineRule="exact"/>
        <w:rPr>
          <w:rFonts w:ascii="Arial" w:cs="Arial" w:eastAsia="Arial" w:hAnsi="Arial"/>
          <w:sz w:val="16"/>
          <w:szCs w:val="16"/>
          <w:color w:val="auto"/>
        </w:rPr>
      </w:pPr>
    </w:p>
    <w:p>
      <w:pPr>
        <w:ind w:left="800" w:right="40" w:hanging="395"/>
        <w:spacing w:after="0" w:line="231" w:lineRule="auto"/>
        <w:tabs>
          <w:tab w:leader="none" w:pos="800" w:val="left"/>
        </w:tabs>
        <w:numPr>
          <w:ilvl w:val="0"/>
          <w:numId w:val="76"/>
        </w:numPr>
        <w:rPr>
          <w:rFonts w:ascii="Arial" w:cs="Arial" w:eastAsia="Arial" w:hAnsi="Arial"/>
          <w:sz w:val="16"/>
          <w:szCs w:val="16"/>
          <w:color w:val="auto"/>
        </w:rPr>
      </w:pPr>
      <w:r>
        <w:rPr>
          <w:rFonts w:ascii="Arial" w:cs="Arial" w:eastAsia="Arial" w:hAnsi="Arial"/>
          <w:sz w:val="18"/>
          <w:szCs w:val="18"/>
          <w:color w:val="auto"/>
        </w:rPr>
        <w:t>all outstanding performance share awards for performance periods in progress at the time of the change in control immediately vest and become payable at maximum levels of performance in shares of our common stock, provided, however, that the CIC policy provides that for executive officers covered by the CIC policy, any such performance share awards are payable at target (not in full or at maximum); and</w:t>
      </w:r>
    </w:p>
    <w:p>
      <w:pPr>
        <w:ind w:left="800" w:right="200" w:hanging="395"/>
        <w:spacing w:after="0" w:line="238" w:lineRule="auto"/>
        <w:tabs>
          <w:tab w:leader="none" w:pos="800" w:val="left"/>
        </w:tabs>
        <w:numPr>
          <w:ilvl w:val="0"/>
          <w:numId w:val="76"/>
        </w:numPr>
        <w:rPr>
          <w:rFonts w:ascii="Arial" w:cs="Arial" w:eastAsia="Arial" w:hAnsi="Arial"/>
          <w:sz w:val="16"/>
          <w:szCs w:val="16"/>
          <w:color w:val="auto"/>
        </w:rPr>
      </w:pPr>
      <w:r>
        <w:rPr>
          <w:rFonts w:ascii="Arial" w:cs="Arial" w:eastAsia="Arial" w:hAnsi="Arial"/>
          <w:sz w:val="18"/>
          <w:szCs w:val="18"/>
          <w:color w:val="auto"/>
        </w:rPr>
        <w:t>all outstanding shares of restricted stock and restricted stock unit awards immediately vest and become non-forfeitable or issuable, as the case may be.</w:t>
      </w:r>
    </w:p>
    <w:p>
      <w:pPr>
        <w:spacing w:after="0" w:line="188" w:lineRule="exact"/>
        <w:rPr>
          <w:sz w:val="20"/>
          <w:szCs w:val="20"/>
          <w:color w:val="auto"/>
        </w:rPr>
      </w:pPr>
    </w:p>
    <w:p>
      <w:pPr>
        <w:ind w:firstLine="401"/>
        <w:spacing w:after="0" w:line="233" w:lineRule="auto"/>
        <w:rPr>
          <w:sz w:val="20"/>
          <w:szCs w:val="20"/>
          <w:color w:val="auto"/>
        </w:rPr>
      </w:pPr>
      <w:r>
        <w:rPr>
          <w:rFonts w:ascii="Arial" w:cs="Arial" w:eastAsia="Arial" w:hAnsi="Arial"/>
          <w:sz w:val="18"/>
          <w:szCs w:val="18"/>
          <w:color w:val="auto"/>
        </w:rPr>
        <w:t>Alternatively, the Compensation &amp; Human Resources Committee may elect to terminate such options, restricted stock awards, restricted stock unit awards or performance share awards in exchange for a cash payment for each option, restricted stock, restricted stock unit or performance share award in an amount equal to the excess, if any, between the consideration received by shareholders of our Company for shares of our Company in connection with the change in control and the exercise or purchase price, if any, of the option, restricted stock, restricted stock unit award or performance share award, multiplied by the number of shares subject to such option or award. Our 2010 Plan does not provide a “gross-up” for 280G excise tax, but does provide for a reduction of payments if such payments would result in lower after-tax income taking into consideration the 280G excise tax.</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For purposes of our CIC policy and 2010 Plan, and subject to limited exceptions, a “change in control” occurs if:</w:t>
      </w:r>
    </w:p>
    <w:p>
      <w:pPr>
        <w:spacing w:after="0" w:line="46" w:lineRule="exact"/>
        <w:rPr>
          <w:sz w:val="20"/>
          <w:szCs w:val="20"/>
          <w:color w:val="auto"/>
        </w:rPr>
      </w:pPr>
    </w:p>
    <w:p>
      <w:pPr>
        <w:ind w:left="800" w:right="300" w:hanging="395"/>
        <w:spacing w:after="0" w:line="238" w:lineRule="auto"/>
        <w:tabs>
          <w:tab w:leader="none" w:pos="800" w:val="left"/>
        </w:tabs>
        <w:numPr>
          <w:ilvl w:val="0"/>
          <w:numId w:val="77"/>
        </w:numPr>
        <w:rPr>
          <w:rFonts w:ascii="Arial" w:cs="Arial" w:eastAsia="Arial" w:hAnsi="Arial"/>
          <w:sz w:val="16"/>
          <w:szCs w:val="16"/>
          <w:color w:val="auto"/>
        </w:rPr>
      </w:pPr>
      <w:r>
        <w:rPr>
          <w:rFonts w:ascii="Arial" w:cs="Arial" w:eastAsia="Arial" w:hAnsi="Arial"/>
          <w:sz w:val="18"/>
          <w:szCs w:val="18"/>
          <w:color w:val="auto"/>
        </w:rPr>
        <w:t>another person becomes the beneficial owner of 20% of our then-outstanding common stock or the combined voting power of our then-outstanding voting stock;</w:t>
      </w:r>
    </w:p>
    <w:p>
      <w:pPr>
        <w:spacing w:after="0" w:line="41" w:lineRule="exact"/>
        <w:rPr>
          <w:rFonts w:ascii="Arial" w:cs="Arial" w:eastAsia="Arial" w:hAnsi="Arial"/>
          <w:sz w:val="16"/>
          <w:szCs w:val="16"/>
          <w:color w:val="auto"/>
        </w:rPr>
      </w:pPr>
    </w:p>
    <w:p>
      <w:pPr>
        <w:ind w:left="800" w:hanging="395"/>
        <w:spacing w:after="0"/>
        <w:tabs>
          <w:tab w:leader="none" w:pos="800" w:val="left"/>
        </w:tabs>
        <w:numPr>
          <w:ilvl w:val="0"/>
          <w:numId w:val="77"/>
        </w:numPr>
        <w:rPr>
          <w:rFonts w:ascii="Arial" w:cs="Arial" w:eastAsia="Arial" w:hAnsi="Arial"/>
          <w:sz w:val="15"/>
          <w:szCs w:val="15"/>
          <w:color w:val="auto"/>
        </w:rPr>
      </w:pPr>
      <w:r>
        <w:rPr>
          <w:rFonts w:ascii="Arial" w:cs="Arial" w:eastAsia="Arial" w:hAnsi="Arial"/>
          <w:sz w:val="17"/>
          <w:szCs w:val="17"/>
          <w:color w:val="auto"/>
        </w:rPr>
        <w:t>a majority of our Board becomes comprised of persons other than those for whom election proxies have been solicited by our Board;</w:t>
      </w:r>
    </w:p>
    <w:p>
      <w:pPr>
        <w:spacing w:after="0" w:line="57" w:lineRule="exact"/>
        <w:rPr>
          <w:rFonts w:ascii="Arial" w:cs="Arial" w:eastAsia="Arial" w:hAnsi="Arial"/>
          <w:sz w:val="15"/>
          <w:szCs w:val="15"/>
          <w:color w:val="auto"/>
        </w:rPr>
      </w:pPr>
    </w:p>
    <w:p>
      <w:pPr>
        <w:ind w:left="800" w:right="160" w:hanging="395"/>
        <w:spacing w:after="0" w:line="235" w:lineRule="auto"/>
        <w:tabs>
          <w:tab w:leader="none" w:pos="800" w:val="left"/>
        </w:tabs>
        <w:numPr>
          <w:ilvl w:val="0"/>
          <w:numId w:val="77"/>
        </w:numPr>
        <w:rPr>
          <w:rFonts w:ascii="Arial" w:cs="Arial" w:eastAsia="Arial" w:hAnsi="Arial"/>
          <w:sz w:val="16"/>
          <w:szCs w:val="16"/>
          <w:color w:val="auto"/>
        </w:rPr>
      </w:pPr>
      <w:r>
        <w:rPr>
          <w:rFonts w:ascii="Arial" w:cs="Arial" w:eastAsia="Arial" w:hAnsi="Arial"/>
          <w:sz w:val="18"/>
          <w:szCs w:val="18"/>
          <w:color w:val="auto"/>
        </w:rPr>
        <w:t>the completion of certain business combinations, including a reorganization, merger, consolidation, the sale of all or substantially all of our assets or the acquisition by us of assets or stock of another entity, where the shareholders before the business combination fail to beneficially own and have voting power for more than 50% of our Company or the resulting company after the business combination; or</w:t>
      </w:r>
    </w:p>
    <w:p>
      <w:pPr>
        <w:spacing w:after="0" w:line="40" w:lineRule="exact"/>
        <w:rPr>
          <w:rFonts w:ascii="Arial" w:cs="Arial" w:eastAsia="Arial" w:hAnsi="Arial"/>
          <w:sz w:val="16"/>
          <w:szCs w:val="16"/>
          <w:color w:val="auto"/>
        </w:rPr>
      </w:pPr>
    </w:p>
    <w:p>
      <w:pPr>
        <w:ind w:left="800" w:hanging="395"/>
        <w:spacing w:after="0"/>
        <w:tabs>
          <w:tab w:leader="none" w:pos="800" w:val="left"/>
        </w:tabs>
        <w:numPr>
          <w:ilvl w:val="0"/>
          <w:numId w:val="77"/>
        </w:numPr>
        <w:rPr>
          <w:rFonts w:ascii="Arial" w:cs="Arial" w:eastAsia="Arial" w:hAnsi="Arial"/>
          <w:sz w:val="16"/>
          <w:szCs w:val="16"/>
          <w:color w:val="auto"/>
        </w:rPr>
      </w:pPr>
      <w:r>
        <w:rPr>
          <w:rFonts w:ascii="Arial" w:cs="Arial" w:eastAsia="Arial" w:hAnsi="Arial"/>
          <w:sz w:val="18"/>
          <w:szCs w:val="18"/>
          <w:color w:val="auto"/>
        </w:rPr>
        <w:t>our shareholders approve a complete liquidation or dissolution of our Company.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350" w:lineRule="exact"/>
        <w:rPr>
          <w:sz w:val="20"/>
          <w:szCs w:val="20"/>
          <w:color w:val="auto"/>
        </w:rPr>
      </w:pPr>
    </w:p>
    <w:p>
      <w:pPr>
        <w:jc w:val="both"/>
        <w:ind w:right="320" w:firstLine="401"/>
        <w:spacing w:after="0" w:line="236" w:lineRule="auto"/>
        <w:rPr>
          <w:sz w:val="20"/>
          <w:szCs w:val="20"/>
          <w:color w:val="auto"/>
        </w:rPr>
      </w:pPr>
      <w:r>
        <w:rPr>
          <w:rFonts w:ascii="Arial" w:cs="Arial" w:eastAsia="Arial" w:hAnsi="Arial"/>
          <w:sz w:val="18"/>
          <w:szCs w:val="18"/>
          <w:color w:val="auto"/>
        </w:rPr>
        <w:t>Additionally, under our nonqualified deferred compensation and retirement plans, upon the occurrence of a change in control, we must transfer cash or property to a “rabbi” trust for the benefit of plan participants in an amount sufficient to cause the trust to be funded at a level equal to the present value of all accumulated or accrued benefits then payable to or on behalf of plan participants.</w:t>
      </w:r>
    </w:p>
    <w:p>
      <w:pPr>
        <w:spacing w:after="0" w:line="72" w:lineRule="exact"/>
        <w:rPr>
          <w:sz w:val="20"/>
          <w:szCs w:val="20"/>
          <w:color w:val="auto"/>
        </w:rPr>
      </w:pPr>
    </w:p>
    <w:p>
      <w:pPr>
        <w:ind w:right="60" w:firstLine="401"/>
        <w:spacing w:after="0" w:line="238" w:lineRule="auto"/>
        <w:rPr>
          <w:sz w:val="20"/>
          <w:szCs w:val="20"/>
          <w:color w:val="auto"/>
        </w:rPr>
      </w:pPr>
      <w:r>
        <w:rPr>
          <w:rFonts w:ascii="Arial" w:cs="Arial" w:eastAsia="Arial" w:hAnsi="Arial"/>
          <w:sz w:val="18"/>
          <w:szCs w:val="18"/>
          <w:b w:val="1"/>
          <w:bCs w:val="1"/>
          <w:color w:val="auto"/>
        </w:rPr>
        <w:t xml:space="preserve">Potential Payments Upon Termination or Change In Control. </w:t>
      </w:r>
      <w:r>
        <w:rPr>
          <w:rFonts w:ascii="Arial" w:cs="Arial" w:eastAsia="Arial" w:hAnsi="Arial"/>
          <w:sz w:val="18"/>
          <w:szCs w:val="18"/>
          <w:color w:val="auto"/>
        </w:rPr>
        <w:t>The following table quantifies the payments and benefits for which the</w:t>
      </w:r>
      <w:r>
        <w:rPr>
          <w:rFonts w:ascii="Arial" w:cs="Arial" w:eastAsia="Arial" w:hAnsi="Arial"/>
          <w:sz w:val="18"/>
          <w:szCs w:val="18"/>
          <w:b w:val="1"/>
          <w:bCs w:val="1"/>
          <w:color w:val="auto"/>
        </w:rPr>
        <w:t xml:space="preserve"> </w:t>
      </w:r>
      <w:r>
        <w:rPr>
          <w:rFonts w:ascii="Arial" w:cs="Arial" w:eastAsia="Arial" w:hAnsi="Arial"/>
          <w:sz w:val="18"/>
          <w:szCs w:val="18"/>
          <w:color w:val="auto"/>
        </w:rPr>
        <w:t>amount, vesting or time of payment is altered by each of the foregoing termination of employment or change in control situations. For purposes of quantifying payments and benefits, amounts are calculated (i) for each named executive officer as if the termination or change in control occurred on October 29, 2021, the last business day of our 2021 fiscal year; and (ii) using a per share value of $95.47, which represents the closing price of our common stock, on October 29, 2021. Material assumptions used in calculating the estimated payments and benefits are described in footnotes to the table.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640" w:type="dxa"/>
            <w:vAlign w:val="bottom"/>
            <w:shd w:val="clear" w:color="auto" w:fill="C00000"/>
          </w:tcPr>
          <w:p>
            <w:pPr>
              <w:spacing w:after="0"/>
              <w:rPr>
                <w:sz w:val="19"/>
                <w:szCs w:val="19"/>
                <w:color w:val="auto"/>
              </w:rPr>
            </w:pPr>
          </w:p>
        </w:tc>
        <w:tc>
          <w:tcPr>
            <w:tcW w:w="120" w:type="dxa"/>
            <w:vAlign w:val="bottom"/>
            <w:shd w:val="clear" w:color="auto" w:fill="C00000"/>
          </w:tcPr>
          <w:p>
            <w:pPr>
              <w:spacing w:after="0"/>
              <w:rPr>
                <w:sz w:val="19"/>
                <w:szCs w:val="19"/>
                <w:color w:val="auto"/>
              </w:rPr>
            </w:pPr>
          </w:p>
        </w:tc>
        <w:tc>
          <w:tcPr>
            <w:tcW w:w="1000" w:type="dxa"/>
            <w:vAlign w:val="bottom"/>
            <w:shd w:val="clear" w:color="auto" w:fill="C00000"/>
          </w:tcPr>
          <w:p>
            <w:pPr>
              <w:spacing w:after="0"/>
              <w:rPr>
                <w:sz w:val="19"/>
                <w:szCs w:val="19"/>
                <w:color w:val="auto"/>
              </w:rPr>
            </w:pPr>
          </w:p>
        </w:tc>
        <w:tc>
          <w:tcPr>
            <w:tcW w:w="180" w:type="dxa"/>
            <w:vAlign w:val="bottom"/>
            <w:shd w:val="clear" w:color="auto" w:fill="C00000"/>
          </w:tcPr>
          <w:p>
            <w:pPr>
              <w:spacing w:after="0"/>
              <w:rPr>
                <w:sz w:val="19"/>
                <w:szCs w:val="19"/>
                <w:color w:val="auto"/>
              </w:rPr>
            </w:pPr>
          </w:p>
        </w:tc>
        <w:tc>
          <w:tcPr>
            <w:tcW w:w="1020" w:type="dxa"/>
            <w:vAlign w:val="bottom"/>
            <w:shd w:val="clear" w:color="auto" w:fill="C00000"/>
          </w:tcPr>
          <w:p>
            <w:pPr>
              <w:spacing w:after="0"/>
              <w:rPr>
                <w:sz w:val="19"/>
                <w:szCs w:val="19"/>
                <w:color w:val="auto"/>
              </w:rPr>
            </w:pPr>
          </w:p>
        </w:tc>
        <w:tc>
          <w:tcPr>
            <w:tcW w:w="180" w:type="dxa"/>
            <w:vAlign w:val="bottom"/>
            <w:shd w:val="clear" w:color="auto" w:fill="C00000"/>
          </w:tcPr>
          <w:p>
            <w:pPr>
              <w:spacing w:after="0"/>
              <w:rPr>
                <w:sz w:val="19"/>
                <w:szCs w:val="19"/>
                <w:color w:val="auto"/>
              </w:rPr>
            </w:pPr>
          </w:p>
        </w:tc>
        <w:tc>
          <w:tcPr>
            <w:tcW w:w="1080" w:type="dxa"/>
            <w:vAlign w:val="bottom"/>
            <w:shd w:val="clear" w:color="auto" w:fill="C00000"/>
          </w:tcPr>
          <w:p>
            <w:pPr>
              <w:spacing w:after="0"/>
              <w:rPr>
                <w:sz w:val="19"/>
                <w:szCs w:val="19"/>
                <w:color w:val="auto"/>
              </w:rPr>
            </w:pPr>
          </w:p>
        </w:tc>
        <w:tc>
          <w:tcPr>
            <w:tcW w:w="120" w:type="dxa"/>
            <w:vAlign w:val="bottom"/>
            <w:shd w:val="clear" w:color="auto" w:fill="C00000"/>
          </w:tcPr>
          <w:p>
            <w:pPr>
              <w:spacing w:after="0"/>
              <w:rPr>
                <w:sz w:val="19"/>
                <w:szCs w:val="19"/>
                <w:color w:val="auto"/>
              </w:rPr>
            </w:pPr>
          </w:p>
        </w:tc>
        <w:tc>
          <w:tcPr>
            <w:tcW w:w="1060" w:type="dxa"/>
            <w:vAlign w:val="bottom"/>
            <w:shd w:val="clear" w:color="auto" w:fill="C00000"/>
          </w:tcPr>
          <w:p>
            <w:pPr>
              <w:spacing w:after="0"/>
              <w:rPr>
                <w:sz w:val="19"/>
                <w:szCs w:val="19"/>
                <w:color w:val="auto"/>
              </w:rPr>
            </w:pPr>
          </w:p>
        </w:tc>
        <w:tc>
          <w:tcPr>
            <w:tcW w:w="120" w:type="dxa"/>
            <w:vAlign w:val="bottom"/>
            <w:shd w:val="clear" w:color="auto" w:fill="C00000"/>
          </w:tcPr>
          <w:p>
            <w:pPr>
              <w:spacing w:after="0"/>
              <w:rPr>
                <w:sz w:val="19"/>
                <w:szCs w:val="19"/>
                <w:color w:val="auto"/>
              </w:rPr>
            </w:pPr>
          </w:p>
        </w:tc>
        <w:tc>
          <w:tcPr>
            <w:tcW w:w="2540" w:type="dxa"/>
            <w:vAlign w:val="bottom"/>
            <w:gridSpan w:val="3"/>
            <w:shd w:val="clear" w:color="auto" w:fill="C00000"/>
          </w:tcPr>
          <w:p>
            <w:pPr>
              <w:jc w:val="right"/>
              <w:ind w:right="590"/>
              <w:spacing w:after="0"/>
              <w:rPr>
                <w:sz w:val="20"/>
                <w:szCs w:val="20"/>
                <w:color w:val="auto"/>
              </w:rPr>
            </w:pPr>
            <w:r>
              <w:rPr>
                <w:rFonts w:ascii="Arial" w:cs="Arial" w:eastAsia="Arial" w:hAnsi="Arial"/>
                <w:sz w:val="12"/>
                <w:szCs w:val="12"/>
                <w:b w:val="1"/>
                <w:bCs w:val="1"/>
                <w:color w:val="FFFFFF"/>
              </w:rPr>
              <w:t>Change in Control</w:t>
            </w:r>
          </w:p>
        </w:tc>
        <w:tc>
          <w:tcPr>
            <w:tcW w:w="180" w:type="dxa"/>
            <w:vAlign w:val="bottom"/>
            <w:shd w:val="clear" w:color="auto" w:fill="C00000"/>
          </w:tcPr>
          <w:p>
            <w:pPr>
              <w:spacing w:after="0"/>
              <w:rPr>
                <w:sz w:val="19"/>
                <w:szCs w:val="19"/>
                <w:color w:val="auto"/>
              </w:rPr>
            </w:pPr>
          </w:p>
        </w:tc>
      </w:tr>
      <w:tr>
        <w:trPr>
          <w:trHeight w:val="140"/>
        </w:trPr>
        <w:tc>
          <w:tcPr>
            <w:tcW w:w="3640" w:type="dxa"/>
            <w:vAlign w:val="bottom"/>
            <w:shd w:val="clear" w:color="auto" w:fill="C00000"/>
          </w:tcPr>
          <w:p>
            <w:pPr>
              <w:spacing w:after="0"/>
              <w:rPr>
                <w:sz w:val="12"/>
                <w:szCs w:val="12"/>
                <w:color w:val="auto"/>
              </w:rPr>
            </w:pPr>
          </w:p>
        </w:tc>
        <w:tc>
          <w:tcPr>
            <w:tcW w:w="120" w:type="dxa"/>
            <w:vAlign w:val="bottom"/>
            <w:shd w:val="clear" w:color="auto" w:fill="C00000"/>
          </w:tcPr>
          <w:p>
            <w:pPr>
              <w:spacing w:after="0"/>
              <w:rPr>
                <w:sz w:val="12"/>
                <w:szCs w:val="12"/>
                <w:color w:val="auto"/>
              </w:rPr>
            </w:pPr>
          </w:p>
        </w:tc>
        <w:tc>
          <w:tcPr>
            <w:tcW w:w="1000" w:type="dxa"/>
            <w:vAlign w:val="bottom"/>
            <w:shd w:val="clear" w:color="auto" w:fill="C00000"/>
          </w:tcPr>
          <w:p>
            <w:pPr>
              <w:spacing w:after="0"/>
              <w:rPr>
                <w:sz w:val="12"/>
                <w:szCs w:val="12"/>
                <w:color w:val="auto"/>
              </w:rPr>
            </w:pPr>
          </w:p>
        </w:tc>
        <w:tc>
          <w:tcPr>
            <w:tcW w:w="180" w:type="dxa"/>
            <w:vAlign w:val="bottom"/>
            <w:shd w:val="clear" w:color="auto" w:fill="C00000"/>
          </w:tcPr>
          <w:p>
            <w:pPr>
              <w:spacing w:after="0"/>
              <w:rPr>
                <w:sz w:val="12"/>
                <w:szCs w:val="12"/>
                <w:color w:val="auto"/>
              </w:rPr>
            </w:pPr>
          </w:p>
        </w:tc>
        <w:tc>
          <w:tcPr>
            <w:tcW w:w="1020" w:type="dxa"/>
            <w:vAlign w:val="bottom"/>
            <w:shd w:val="clear" w:color="auto" w:fill="C00000"/>
          </w:tcPr>
          <w:p>
            <w:pPr>
              <w:spacing w:after="0"/>
              <w:rPr>
                <w:sz w:val="12"/>
                <w:szCs w:val="12"/>
                <w:color w:val="auto"/>
              </w:rPr>
            </w:pPr>
          </w:p>
        </w:tc>
        <w:tc>
          <w:tcPr>
            <w:tcW w:w="180" w:type="dxa"/>
            <w:vAlign w:val="bottom"/>
            <w:shd w:val="clear" w:color="auto" w:fill="C00000"/>
          </w:tcPr>
          <w:p>
            <w:pPr>
              <w:spacing w:after="0"/>
              <w:rPr>
                <w:sz w:val="12"/>
                <w:szCs w:val="12"/>
                <w:color w:val="auto"/>
              </w:rPr>
            </w:pPr>
          </w:p>
        </w:tc>
        <w:tc>
          <w:tcPr>
            <w:tcW w:w="1080" w:type="dxa"/>
            <w:vAlign w:val="bottom"/>
            <w:shd w:val="clear" w:color="auto" w:fill="C00000"/>
          </w:tcPr>
          <w:p>
            <w:pPr>
              <w:spacing w:after="0"/>
              <w:rPr>
                <w:sz w:val="12"/>
                <w:szCs w:val="12"/>
                <w:color w:val="auto"/>
              </w:rPr>
            </w:pPr>
          </w:p>
        </w:tc>
        <w:tc>
          <w:tcPr>
            <w:tcW w:w="120" w:type="dxa"/>
            <w:vAlign w:val="bottom"/>
            <w:shd w:val="clear" w:color="auto" w:fill="C00000"/>
          </w:tcPr>
          <w:p>
            <w:pPr>
              <w:spacing w:after="0"/>
              <w:rPr>
                <w:sz w:val="12"/>
                <w:szCs w:val="12"/>
                <w:color w:val="auto"/>
              </w:rPr>
            </w:pPr>
          </w:p>
        </w:tc>
        <w:tc>
          <w:tcPr>
            <w:tcW w:w="1060" w:type="dxa"/>
            <w:vAlign w:val="bottom"/>
            <w:shd w:val="clear" w:color="auto" w:fill="C00000"/>
          </w:tcPr>
          <w:p>
            <w:pPr>
              <w:spacing w:after="0"/>
              <w:rPr>
                <w:sz w:val="12"/>
                <w:szCs w:val="12"/>
                <w:color w:val="auto"/>
              </w:rPr>
            </w:pPr>
          </w:p>
        </w:tc>
        <w:tc>
          <w:tcPr>
            <w:tcW w:w="120" w:type="dxa"/>
            <w:vAlign w:val="bottom"/>
            <w:shd w:val="clear" w:color="auto" w:fill="C00000"/>
          </w:tcPr>
          <w:p>
            <w:pPr>
              <w:spacing w:after="0"/>
              <w:rPr>
                <w:sz w:val="12"/>
                <w:szCs w:val="12"/>
                <w:color w:val="auto"/>
              </w:rPr>
            </w:pPr>
          </w:p>
        </w:tc>
        <w:tc>
          <w:tcPr>
            <w:tcW w:w="1020" w:type="dxa"/>
            <w:vAlign w:val="bottom"/>
            <w:shd w:val="clear" w:color="auto" w:fill="C00000"/>
          </w:tcPr>
          <w:p>
            <w:pPr>
              <w:spacing w:after="0"/>
              <w:rPr>
                <w:sz w:val="12"/>
                <w:szCs w:val="12"/>
                <w:color w:val="auto"/>
              </w:rPr>
            </w:pPr>
          </w:p>
        </w:tc>
        <w:tc>
          <w:tcPr>
            <w:tcW w:w="180" w:type="dxa"/>
            <w:vAlign w:val="bottom"/>
            <w:shd w:val="clear" w:color="auto" w:fill="C00000"/>
          </w:tcPr>
          <w:p>
            <w:pPr>
              <w:spacing w:after="0"/>
              <w:rPr>
                <w:sz w:val="12"/>
                <w:szCs w:val="12"/>
                <w:color w:val="auto"/>
              </w:rPr>
            </w:pPr>
          </w:p>
        </w:tc>
        <w:tc>
          <w:tcPr>
            <w:tcW w:w="1340" w:type="dxa"/>
            <w:vAlign w:val="bottom"/>
            <w:shd w:val="clear" w:color="auto" w:fill="C00000"/>
          </w:tcPr>
          <w:p>
            <w:pPr>
              <w:jc w:val="center"/>
              <w:ind w:left="90"/>
              <w:spacing w:after="0"/>
              <w:rPr>
                <w:sz w:val="20"/>
                <w:szCs w:val="20"/>
                <w:color w:val="auto"/>
              </w:rPr>
            </w:pPr>
            <w:r>
              <w:rPr>
                <w:rFonts w:ascii="Arial" w:cs="Arial" w:eastAsia="Arial" w:hAnsi="Arial"/>
                <w:sz w:val="12"/>
                <w:szCs w:val="12"/>
                <w:b w:val="1"/>
                <w:bCs w:val="1"/>
                <w:color w:val="FFFFFF"/>
              </w:rPr>
              <w:t>Termination Without</w:t>
            </w:r>
          </w:p>
        </w:tc>
        <w:tc>
          <w:tcPr>
            <w:tcW w:w="180" w:type="dxa"/>
            <w:vAlign w:val="bottom"/>
            <w:shd w:val="clear" w:color="auto" w:fill="C00000"/>
          </w:tcPr>
          <w:p>
            <w:pPr>
              <w:spacing w:after="0"/>
              <w:rPr>
                <w:sz w:val="12"/>
                <w:szCs w:val="12"/>
                <w:color w:val="auto"/>
              </w:rPr>
            </w:pPr>
          </w:p>
        </w:tc>
      </w:tr>
      <w:tr>
        <w:trPr>
          <w:trHeight w:val="133"/>
        </w:trPr>
        <w:tc>
          <w:tcPr>
            <w:tcW w:w="3640" w:type="dxa"/>
            <w:vAlign w:val="bottom"/>
            <w:shd w:val="clear" w:color="auto" w:fill="C00000"/>
          </w:tcPr>
          <w:p>
            <w:pPr>
              <w:spacing w:after="0"/>
              <w:rPr>
                <w:sz w:val="11"/>
                <w:szCs w:val="11"/>
                <w:color w:val="auto"/>
              </w:rPr>
            </w:pPr>
          </w:p>
        </w:tc>
        <w:tc>
          <w:tcPr>
            <w:tcW w:w="120" w:type="dxa"/>
            <w:vAlign w:val="bottom"/>
            <w:shd w:val="clear" w:color="auto" w:fill="C00000"/>
          </w:tcPr>
          <w:p>
            <w:pPr>
              <w:spacing w:after="0"/>
              <w:rPr>
                <w:sz w:val="11"/>
                <w:szCs w:val="11"/>
                <w:color w:val="auto"/>
              </w:rPr>
            </w:pPr>
          </w:p>
        </w:tc>
        <w:tc>
          <w:tcPr>
            <w:tcW w:w="1000" w:type="dxa"/>
            <w:vAlign w:val="bottom"/>
            <w:shd w:val="clear" w:color="auto" w:fill="C00000"/>
          </w:tcPr>
          <w:p>
            <w:pPr>
              <w:jc w:val="center"/>
              <w:ind w:left="90"/>
              <w:spacing w:after="0" w:line="133" w:lineRule="exact"/>
              <w:rPr>
                <w:sz w:val="20"/>
                <w:szCs w:val="20"/>
                <w:color w:val="auto"/>
              </w:rPr>
            </w:pPr>
            <w:r>
              <w:rPr>
                <w:rFonts w:ascii="Arial" w:cs="Arial" w:eastAsia="Arial" w:hAnsi="Arial"/>
                <w:sz w:val="12"/>
                <w:szCs w:val="12"/>
                <w:b w:val="1"/>
                <w:bCs w:val="1"/>
                <w:color w:val="FFFFFF"/>
              </w:rPr>
              <w:t>Voluntary</w:t>
            </w:r>
          </w:p>
        </w:tc>
        <w:tc>
          <w:tcPr>
            <w:tcW w:w="180" w:type="dxa"/>
            <w:vAlign w:val="bottom"/>
            <w:shd w:val="clear" w:color="auto" w:fill="C00000"/>
          </w:tcPr>
          <w:p>
            <w:pPr>
              <w:spacing w:after="0"/>
              <w:rPr>
                <w:sz w:val="11"/>
                <w:szCs w:val="11"/>
                <w:color w:val="auto"/>
              </w:rPr>
            </w:pPr>
          </w:p>
        </w:tc>
        <w:tc>
          <w:tcPr>
            <w:tcW w:w="1020" w:type="dxa"/>
            <w:vAlign w:val="bottom"/>
            <w:shd w:val="clear" w:color="auto" w:fill="C00000"/>
          </w:tcPr>
          <w:p>
            <w:pPr>
              <w:spacing w:after="0"/>
              <w:rPr>
                <w:sz w:val="11"/>
                <w:szCs w:val="11"/>
                <w:color w:val="auto"/>
              </w:rPr>
            </w:pPr>
          </w:p>
        </w:tc>
        <w:tc>
          <w:tcPr>
            <w:tcW w:w="180" w:type="dxa"/>
            <w:vAlign w:val="bottom"/>
            <w:shd w:val="clear" w:color="auto" w:fill="C00000"/>
          </w:tcPr>
          <w:p>
            <w:pPr>
              <w:spacing w:after="0"/>
              <w:rPr>
                <w:sz w:val="11"/>
                <w:szCs w:val="11"/>
                <w:color w:val="auto"/>
              </w:rPr>
            </w:pPr>
          </w:p>
        </w:tc>
        <w:tc>
          <w:tcPr>
            <w:tcW w:w="1080" w:type="dxa"/>
            <w:vAlign w:val="bottom"/>
            <w:shd w:val="clear" w:color="auto" w:fill="C00000"/>
          </w:tcPr>
          <w:p>
            <w:pPr>
              <w:jc w:val="center"/>
              <w:ind w:left="30"/>
              <w:spacing w:after="0" w:line="133" w:lineRule="exact"/>
              <w:rPr>
                <w:sz w:val="20"/>
                <w:szCs w:val="20"/>
                <w:color w:val="auto"/>
              </w:rPr>
            </w:pPr>
            <w:r>
              <w:rPr>
                <w:rFonts w:ascii="Arial" w:cs="Arial" w:eastAsia="Arial" w:hAnsi="Arial"/>
                <w:sz w:val="12"/>
                <w:szCs w:val="12"/>
                <w:b w:val="1"/>
                <w:bCs w:val="1"/>
                <w:color w:val="FFFFFF"/>
              </w:rPr>
              <w:t>Involuntary</w:t>
            </w:r>
          </w:p>
        </w:tc>
        <w:tc>
          <w:tcPr>
            <w:tcW w:w="120" w:type="dxa"/>
            <w:vAlign w:val="bottom"/>
            <w:shd w:val="clear" w:color="auto" w:fill="C00000"/>
          </w:tcPr>
          <w:p>
            <w:pPr>
              <w:spacing w:after="0"/>
              <w:rPr>
                <w:sz w:val="11"/>
                <w:szCs w:val="11"/>
                <w:color w:val="auto"/>
              </w:rPr>
            </w:pPr>
          </w:p>
        </w:tc>
        <w:tc>
          <w:tcPr>
            <w:tcW w:w="1180" w:type="dxa"/>
            <w:vAlign w:val="bottom"/>
            <w:gridSpan w:val="2"/>
            <w:shd w:val="clear" w:color="auto" w:fill="C00000"/>
          </w:tcPr>
          <w:p>
            <w:pPr>
              <w:jc w:val="center"/>
              <w:ind w:right="40"/>
              <w:spacing w:after="0" w:line="133" w:lineRule="exact"/>
              <w:rPr>
                <w:sz w:val="20"/>
                <w:szCs w:val="20"/>
                <w:color w:val="auto"/>
              </w:rPr>
            </w:pPr>
            <w:r>
              <w:rPr>
                <w:rFonts w:ascii="Arial" w:cs="Arial" w:eastAsia="Arial" w:hAnsi="Arial"/>
                <w:sz w:val="12"/>
                <w:szCs w:val="12"/>
                <w:b w:val="1"/>
                <w:bCs w:val="1"/>
                <w:color w:val="FFFFFF"/>
              </w:rPr>
              <w:t>Termination</w:t>
            </w:r>
          </w:p>
        </w:tc>
        <w:tc>
          <w:tcPr>
            <w:tcW w:w="1020" w:type="dxa"/>
            <w:vAlign w:val="bottom"/>
            <w:shd w:val="clear" w:color="auto" w:fill="C00000"/>
          </w:tcPr>
          <w:p>
            <w:pPr>
              <w:spacing w:after="0"/>
              <w:rPr>
                <w:sz w:val="11"/>
                <w:szCs w:val="11"/>
                <w:color w:val="auto"/>
              </w:rPr>
            </w:pPr>
          </w:p>
        </w:tc>
        <w:tc>
          <w:tcPr>
            <w:tcW w:w="180" w:type="dxa"/>
            <w:vAlign w:val="bottom"/>
            <w:shd w:val="clear" w:color="auto" w:fill="C00000"/>
          </w:tcPr>
          <w:p>
            <w:pPr>
              <w:spacing w:after="0"/>
              <w:rPr>
                <w:sz w:val="11"/>
                <w:szCs w:val="11"/>
                <w:color w:val="auto"/>
              </w:rPr>
            </w:pPr>
          </w:p>
        </w:tc>
        <w:tc>
          <w:tcPr>
            <w:tcW w:w="1340" w:type="dxa"/>
            <w:vAlign w:val="bottom"/>
            <w:shd w:val="clear" w:color="auto" w:fill="C00000"/>
          </w:tcPr>
          <w:p>
            <w:pPr>
              <w:jc w:val="center"/>
              <w:ind w:left="90"/>
              <w:spacing w:after="0" w:line="133" w:lineRule="exact"/>
              <w:rPr>
                <w:sz w:val="20"/>
                <w:szCs w:val="20"/>
                <w:color w:val="auto"/>
              </w:rPr>
            </w:pPr>
            <w:r>
              <w:rPr>
                <w:rFonts w:ascii="Arial" w:cs="Arial" w:eastAsia="Arial" w:hAnsi="Arial"/>
                <w:sz w:val="12"/>
                <w:szCs w:val="12"/>
                <w:b w:val="1"/>
                <w:bCs w:val="1"/>
                <w:color w:val="FFFFFF"/>
              </w:rPr>
              <w:t>Cause by TTC or by</w:t>
            </w:r>
          </w:p>
        </w:tc>
        <w:tc>
          <w:tcPr>
            <w:tcW w:w="180" w:type="dxa"/>
            <w:vAlign w:val="bottom"/>
            <w:shd w:val="clear" w:color="auto" w:fill="C00000"/>
          </w:tcPr>
          <w:p>
            <w:pPr>
              <w:spacing w:after="0"/>
              <w:rPr>
                <w:sz w:val="11"/>
                <w:szCs w:val="11"/>
                <w:color w:val="auto"/>
              </w:rPr>
            </w:pPr>
          </w:p>
        </w:tc>
      </w:tr>
      <w:tr>
        <w:trPr>
          <w:trHeight w:val="133"/>
        </w:trPr>
        <w:tc>
          <w:tcPr>
            <w:tcW w:w="3640" w:type="dxa"/>
            <w:vAlign w:val="bottom"/>
            <w:shd w:val="clear" w:color="auto" w:fill="C00000"/>
          </w:tcPr>
          <w:p>
            <w:pPr>
              <w:spacing w:after="0"/>
              <w:rPr>
                <w:sz w:val="11"/>
                <w:szCs w:val="11"/>
                <w:color w:val="auto"/>
              </w:rPr>
            </w:pPr>
          </w:p>
        </w:tc>
        <w:tc>
          <w:tcPr>
            <w:tcW w:w="120" w:type="dxa"/>
            <w:vAlign w:val="bottom"/>
            <w:shd w:val="clear" w:color="auto" w:fill="C00000"/>
          </w:tcPr>
          <w:p>
            <w:pPr>
              <w:spacing w:after="0"/>
              <w:rPr>
                <w:sz w:val="11"/>
                <w:szCs w:val="11"/>
                <w:color w:val="auto"/>
              </w:rPr>
            </w:pPr>
          </w:p>
        </w:tc>
        <w:tc>
          <w:tcPr>
            <w:tcW w:w="1000" w:type="dxa"/>
            <w:vAlign w:val="bottom"/>
            <w:shd w:val="clear" w:color="auto" w:fill="C00000"/>
          </w:tcPr>
          <w:p>
            <w:pPr>
              <w:jc w:val="center"/>
              <w:ind w:left="110"/>
              <w:spacing w:after="0" w:line="133" w:lineRule="exact"/>
              <w:rPr>
                <w:sz w:val="20"/>
                <w:szCs w:val="20"/>
                <w:color w:val="auto"/>
              </w:rPr>
            </w:pPr>
            <w:r>
              <w:rPr>
                <w:rFonts w:ascii="Arial" w:cs="Arial" w:eastAsia="Arial" w:hAnsi="Arial"/>
                <w:sz w:val="12"/>
                <w:szCs w:val="12"/>
                <w:b w:val="1"/>
                <w:bCs w:val="1"/>
                <w:color w:val="FFFFFF"/>
              </w:rPr>
              <w:t>Resignation /</w:t>
            </w:r>
          </w:p>
        </w:tc>
        <w:tc>
          <w:tcPr>
            <w:tcW w:w="180" w:type="dxa"/>
            <w:vAlign w:val="bottom"/>
            <w:shd w:val="clear" w:color="auto" w:fill="C00000"/>
          </w:tcPr>
          <w:p>
            <w:pPr>
              <w:spacing w:after="0"/>
              <w:rPr>
                <w:sz w:val="11"/>
                <w:szCs w:val="11"/>
                <w:color w:val="auto"/>
              </w:rPr>
            </w:pPr>
          </w:p>
        </w:tc>
        <w:tc>
          <w:tcPr>
            <w:tcW w:w="1020" w:type="dxa"/>
            <w:vAlign w:val="bottom"/>
            <w:shd w:val="clear" w:color="auto" w:fill="C00000"/>
          </w:tcPr>
          <w:p>
            <w:pPr>
              <w:jc w:val="center"/>
              <w:ind w:left="90"/>
              <w:spacing w:after="0" w:line="133" w:lineRule="exact"/>
              <w:rPr>
                <w:sz w:val="20"/>
                <w:szCs w:val="20"/>
                <w:color w:val="auto"/>
              </w:rPr>
            </w:pPr>
            <w:r>
              <w:rPr>
                <w:rFonts w:ascii="Arial" w:cs="Arial" w:eastAsia="Arial" w:hAnsi="Arial"/>
                <w:sz w:val="12"/>
                <w:szCs w:val="12"/>
                <w:b w:val="1"/>
                <w:bCs w:val="1"/>
                <w:color w:val="FFFFFF"/>
              </w:rPr>
              <w:t>Disability or</w:t>
            </w:r>
          </w:p>
        </w:tc>
        <w:tc>
          <w:tcPr>
            <w:tcW w:w="180" w:type="dxa"/>
            <w:vAlign w:val="bottom"/>
            <w:shd w:val="clear" w:color="auto" w:fill="C00000"/>
          </w:tcPr>
          <w:p>
            <w:pPr>
              <w:spacing w:after="0"/>
              <w:rPr>
                <w:sz w:val="11"/>
                <w:szCs w:val="11"/>
                <w:color w:val="auto"/>
              </w:rPr>
            </w:pPr>
          </w:p>
        </w:tc>
        <w:tc>
          <w:tcPr>
            <w:tcW w:w="1080" w:type="dxa"/>
            <w:vAlign w:val="bottom"/>
            <w:shd w:val="clear" w:color="auto" w:fill="C00000"/>
          </w:tcPr>
          <w:p>
            <w:pPr>
              <w:jc w:val="center"/>
              <w:ind w:left="10"/>
              <w:spacing w:after="0" w:line="133" w:lineRule="exact"/>
              <w:rPr>
                <w:sz w:val="20"/>
                <w:szCs w:val="20"/>
                <w:color w:val="auto"/>
              </w:rPr>
            </w:pPr>
            <w:r>
              <w:rPr>
                <w:rFonts w:ascii="Arial" w:cs="Arial" w:eastAsia="Arial" w:hAnsi="Arial"/>
                <w:sz w:val="12"/>
                <w:szCs w:val="12"/>
                <w:b w:val="1"/>
                <w:bCs w:val="1"/>
                <w:color w:val="FFFFFF"/>
              </w:rPr>
              <w:t>Termination by</w:t>
            </w:r>
          </w:p>
        </w:tc>
        <w:tc>
          <w:tcPr>
            <w:tcW w:w="120" w:type="dxa"/>
            <w:vAlign w:val="bottom"/>
            <w:shd w:val="clear" w:color="auto" w:fill="C00000"/>
          </w:tcPr>
          <w:p>
            <w:pPr>
              <w:spacing w:after="0"/>
              <w:rPr>
                <w:sz w:val="11"/>
                <w:szCs w:val="11"/>
                <w:color w:val="auto"/>
              </w:rPr>
            </w:pPr>
          </w:p>
        </w:tc>
        <w:tc>
          <w:tcPr>
            <w:tcW w:w="1180" w:type="dxa"/>
            <w:vAlign w:val="bottom"/>
            <w:gridSpan w:val="2"/>
            <w:shd w:val="clear" w:color="auto" w:fill="C00000"/>
          </w:tcPr>
          <w:p>
            <w:pPr>
              <w:jc w:val="center"/>
              <w:ind w:right="40"/>
              <w:spacing w:after="0" w:line="133" w:lineRule="exact"/>
              <w:rPr>
                <w:sz w:val="20"/>
                <w:szCs w:val="20"/>
                <w:color w:val="auto"/>
              </w:rPr>
            </w:pPr>
            <w:r>
              <w:rPr>
                <w:rFonts w:ascii="Arial" w:cs="Arial" w:eastAsia="Arial" w:hAnsi="Arial"/>
                <w:sz w:val="12"/>
                <w:szCs w:val="12"/>
                <w:b w:val="1"/>
                <w:bCs w:val="1"/>
                <w:color w:val="FFFFFF"/>
              </w:rPr>
              <w:t>by TTC for</w:t>
            </w:r>
          </w:p>
        </w:tc>
        <w:tc>
          <w:tcPr>
            <w:tcW w:w="1200" w:type="dxa"/>
            <w:vAlign w:val="bottom"/>
            <w:gridSpan w:val="2"/>
            <w:shd w:val="clear" w:color="auto" w:fill="C00000"/>
          </w:tcPr>
          <w:p>
            <w:pPr>
              <w:jc w:val="center"/>
              <w:spacing w:after="0" w:line="133" w:lineRule="exact"/>
              <w:rPr>
                <w:sz w:val="20"/>
                <w:szCs w:val="20"/>
                <w:color w:val="auto"/>
              </w:rPr>
            </w:pPr>
            <w:r>
              <w:rPr>
                <w:rFonts w:ascii="Arial" w:cs="Arial" w:eastAsia="Arial" w:hAnsi="Arial"/>
                <w:sz w:val="12"/>
                <w:szCs w:val="12"/>
                <w:b w:val="1"/>
                <w:bCs w:val="1"/>
                <w:color w:val="FFFFFF"/>
              </w:rPr>
              <w:t>No Termination</w:t>
            </w:r>
          </w:p>
        </w:tc>
        <w:tc>
          <w:tcPr>
            <w:tcW w:w="1340" w:type="dxa"/>
            <w:vAlign w:val="bottom"/>
            <w:shd w:val="clear" w:color="auto" w:fill="C00000"/>
          </w:tcPr>
          <w:p>
            <w:pPr>
              <w:jc w:val="center"/>
              <w:ind w:left="90"/>
              <w:spacing w:after="0" w:line="133" w:lineRule="exact"/>
              <w:rPr>
                <w:sz w:val="20"/>
                <w:szCs w:val="20"/>
                <w:color w:val="auto"/>
              </w:rPr>
            </w:pPr>
            <w:r>
              <w:rPr>
                <w:rFonts w:ascii="Arial" w:cs="Arial" w:eastAsia="Arial" w:hAnsi="Arial"/>
                <w:sz w:val="12"/>
                <w:szCs w:val="12"/>
                <w:b w:val="1"/>
                <w:bCs w:val="1"/>
                <w:color w:val="FFFFFF"/>
              </w:rPr>
              <w:t>Executive for Good</w:t>
            </w:r>
          </w:p>
        </w:tc>
        <w:tc>
          <w:tcPr>
            <w:tcW w:w="180" w:type="dxa"/>
            <w:vAlign w:val="bottom"/>
            <w:shd w:val="clear" w:color="auto" w:fill="C00000"/>
          </w:tcPr>
          <w:p>
            <w:pPr>
              <w:spacing w:after="0"/>
              <w:rPr>
                <w:sz w:val="11"/>
                <w:szCs w:val="11"/>
                <w:color w:val="auto"/>
              </w:rPr>
            </w:pPr>
          </w:p>
        </w:tc>
      </w:tr>
      <w:tr>
        <w:trPr>
          <w:trHeight w:val="133"/>
        </w:trPr>
        <w:tc>
          <w:tcPr>
            <w:tcW w:w="3640" w:type="dxa"/>
            <w:vAlign w:val="bottom"/>
            <w:shd w:val="clear" w:color="auto" w:fill="C00000"/>
          </w:tcPr>
          <w:p>
            <w:pPr>
              <w:spacing w:after="0"/>
              <w:rPr>
                <w:sz w:val="11"/>
                <w:szCs w:val="11"/>
                <w:color w:val="auto"/>
              </w:rPr>
            </w:pPr>
          </w:p>
        </w:tc>
        <w:tc>
          <w:tcPr>
            <w:tcW w:w="120" w:type="dxa"/>
            <w:vAlign w:val="bottom"/>
            <w:shd w:val="clear" w:color="auto" w:fill="C00000"/>
          </w:tcPr>
          <w:p>
            <w:pPr>
              <w:spacing w:after="0"/>
              <w:rPr>
                <w:sz w:val="11"/>
                <w:szCs w:val="11"/>
                <w:color w:val="auto"/>
              </w:rPr>
            </w:pPr>
          </w:p>
        </w:tc>
        <w:tc>
          <w:tcPr>
            <w:tcW w:w="1000" w:type="dxa"/>
            <w:vAlign w:val="bottom"/>
            <w:shd w:val="clear" w:color="auto" w:fill="C00000"/>
          </w:tcPr>
          <w:p>
            <w:pPr>
              <w:jc w:val="center"/>
              <w:ind w:left="110"/>
              <w:spacing w:after="0" w:line="133" w:lineRule="exact"/>
              <w:rPr>
                <w:sz w:val="20"/>
                <w:szCs w:val="20"/>
                <w:color w:val="auto"/>
              </w:rPr>
            </w:pPr>
            <w:r>
              <w:rPr>
                <w:rFonts w:ascii="Arial" w:cs="Arial" w:eastAsia="Arial" w:hAnsi="Arial"/>
                <w:sz w:val="12"/>
                <w:szCs w:val="12"/>
                <w:b w:val="1"/>
                <w:bCs w:val="1"/>
                <w:color w:val="FFFFFF"/>
              </w:rPr>
              <w:t>Retirement</w:t>
            </w:r>
            <w:r>
              <w:rPr>
                <w:rFonts w:ascii="Arial" w:cs="Arial" w:eastAsia="Arial" w:hAnsi="Arial"/>
                <w:sz w:val="10"/>
                <w:szCs w:val="10"/>
                <w:b w:val="1"/>
                <w:bCs w:val="1"/>
                <w:color w:val="FFFFFF"/>
              </w:rPr>
              <w:t>(1)</w:t>
            </w:r>
          </w:p>
        </w:tc>
        <w:tc>
          <w:tcPr>
            <w:tcW w:w="180" w:type="dxa"/>
            <w:vAlign w:val="bottom"/>
            <w:shd w:val="clear" w:color="auto" w:fill="C00000"/>
          </w:tcPr>
          <w:p>
            <w:pPr>
              <w:spacing w:after="0"/>
              <w:rPr>
                <w:sz w:val="11"/>
                <w:szCs w:val="11"/>
                <w:color w:val="auto"/>
              </w:rPr>
            </w:pPr>
          </w:p>
        </w:tc>
        <w:tc>
          <w:tcPr>
            <w:tcW w:w="1020" w:type="dxa"/>
            <w:vAlign w:val="bottom"/>
            <w:shd w:val="clear" w:color="auto" w:fill="C00000"/>
          </w:tcPr>
          <w:p>
            <w:pPr>
              <w:jc w:val="center"/>
              <w:ind w:left="90"/>
              <w:spacing w:after="0" w:line="133" w:lineRule="exact"/>
              <w:rPr>
                <w:sz w:val="20"/>
                <w:szCs w:val="20"/>
                <w:color w:val="auto"/>
              </w:rPr>
            </w:pPr>
            <w:r>
              <w:rPr>
                <w:rFonts w:ascii="Arial" w:cs="Arial" w:eastAsia="Arial" w:hAnsi="Arial"/>
                <w:sz w:val="12"/>
                <w:szCs w:val="12"/>
                <w:b w:val="1"/>
                <w:bCs w:val="1"/>
                <w:color w:val="FFFFFF"/>
              </w:rPr>
              <w:t>Death</w:t>
            </w:r>
          </w:p>
        </w:tc>
        <w:tc>
          <w:tcPr>
            <w:tcW w:w="180" w:type="dxa"/>
            <w:vAlign w:val="bottom"/>
            <w:shd w:val="clear" w:color="auto" w:fill="C00000"/>
          </w:tcPr>
          <w:p>
            <w:pPr>
              <w:spacing w:after="0"/>
              <w:rPr>
                <w:sz w:val="11"/>
                <w:szCs w:val="11"/>
                <w:color w:val="auto"/>
              </w:rPr>
            </w:pPr>
          </w:p>
        </w:tc>
        <w:tc>
          <w:tcPr>
            <w:tcW w:w="1080" w:type="dxa"/>
            <w:vAlign w:val="bottom"/>
            <w:shd w:val="clear" w:color="auto" w:fill="C00000"/>
          </w:tcPr>
          <w:p>
            <w:pPr>
              <w:jc w:val="center"/>
              <w:ind w:left="10"/>
              <w:spacing w:after="0" w:line="133" w:lineRule="exact"/>
              <w:rPr>
                <w:sz w:val="20"/>
                <w:szCs w:val="20"/>
                <w:color w:val="auto"/>
              </w:rPr>
            </w:pPr>
            <w:r>
              <w:rPr>
                <w:rFonts w:ascii="Arial" w:cs="Arial" w:eastAsia="Arial" w:hAnsi="Arial"/>
                <w:sz w:val="12"/>
                <w:szCs w:val="12"/>
                <w:b w:val="1"/>
                <w:bCs w:val="1"/>
                <w:color w:val="FFFFFF"/>
              </w:rPr>
              <w:t>TTC</w:t>
            </w:r>
          </w:p>
        </w:tc>
        <w:tc>
          <w:tcPr>
            <w:tcW w:w="120" w:type="dxa"/>
            <w:vAlign w:val="bottom"/>
            <w:shd w:val="clear" w:color="auto" w:fill="C00000"/>
          </w:tcPr>
          <w:p>
            <w:pPr>
              <w:spacing w:after="0"/>
              <w:rPr>
                <w:sz w:val="11"/>
                <w:szCs w:val="11"/>
                <w:color w:val="auto"/>
              </w:rPr>
            </w:pPr>
          </w:p>
        </w:tc>
        <w:tc>
          <w:tcPr>
            <w:tcW w:w="1180" w:type="dxa"/>
            <w:vAlign w:val="bottom"/>
            <w:gridSpan w:val="2"/>
            <w:shd w:val="clear" w:color="auto" w:fill="C00000"/>
          </w:tcPr>
          <w:p>
            <w:pPr>
              <w:jc w:val="center"/>
              <w:ind w:right="20"/>
              <w:spacing w:after="0" w:line="133" w:lineRule="exact"/>
              <w:rPr>
                <w:sz w:val="20"/>
                <w:szCs w:val="20"/>
                <w:color w:val="auto"/>
              </w:rPr>
            </w:pPr>
            <w:r>
              <w:rPr>
                <w:rFonts w:ascii="Arial" w:cs="Arial" w:eastAsia="Arial" w:hAnsi="Arial"/>
                <w:sz w:val="12"/>
                <w:szCs w:val="12"/>
                <w:b w:val="1"/>
                <w:bCs w:val="1"/>
                <w:color w:val="FFFFFF"/>
                <w:w w:val="99"/>
              </w:rPr>
              <w:t>Cause</w:t>
            </w:r>
          </w:p>
        </w:tc>
        <w:tc>
          <w:tcPr>
            <w:tcW w:w="1020" w:type="dxa"/>
            <w:vAlign w:val="bottom"/>
            <w:shd w:val="clear" w:color="auto" w:fill="C00000"/>
          </w:tcPr>
          <w:p>
            <w:pPr>
              <w:jc w:val="center"/>
              <w:ind w:left="90"/>
              <w:spacing w:after="0" w:line="133" w:lineRule="exact"/>
              <w:rPr>
                <w:sz w:val="20"/>
                <w:szCs w:val="20"/>
                <w:color w:val="auto"/>
              </w:rPr>
            </w:pPr>
            <w:r>
              <w:rPr>
                <w:rFonts w:ascii="Arial" w:cs="Arial" w:eastAsia="Arial" w:hAnsi="Arial"/>
                <w:sz w:val="12"/>
                <w:szCs w:val="12"/>
                <w:b w:val="1"/>
                <w:bCs w:val="1"/>
                <w:color w:val="FFFFFF"/>
              </w:rPr>
              <w:t>Event</w:t>
            </w:r>
          </w:p>
        </w:tc>
        <w:tc>
          <w:tcPr>
            <w:tcW w:w="180" w:type="dxa"/>
            <w:vAlign w:val="bottom"/>
            <w:shd w:val="clear" w:color="auto" w:fill="C00000"/>
          </w:tcPr>
          <w:p>
            <w:pPr>
              <w:spacing w:after="0"/>
              <w:rPr>
                <w:sz w:val="11"/>
                <w:szCs w:val="11"/>
                <w:color w:val="auto"/>
              </w:rPr>
            </w:pPr>
          </w:p>
        </w:tc>
        <w:tc>
          <w:tcPr>
            <w:tcW w:w="1340" w:type="dxa"/>
            <w:vAlign w:val="bottom"/>
            <w:shd w:val="clear" w:color="auto" w:fill="C00000"/>
          </w:tcPr>
          <w:p>
            <w:pPr>
              <w:jc w:val="center"/>
              <w:ind w:left="90"/>
              <w:spacing w:after="0" w:line="133" w:lineRule="exact"/>
              <w:rPr>
                <w:sz w:val="20"/>
                <w:szCs w:val="20"/>
                <w:color w:val="auto"/>
              </w:rPr>
            </w:pPr>
            <w:r>
              <w:rPr>
                <w:rFonts w:ascii="Arial" w:cs="Arial" w:eastAsia="Arial" w:hAnsi="Arial"/>
                <w:sz w:val="12"/>
                <w:szCs w:val="12"/>
                <w:b w:val="1"/>
                <w:bCs w:val="1"/>
                <w:color w:val="FFFFFF"/>
              </w:rPr>
              <w:t>Reason</w:t>
            </w:r>
          </w:p>
        </w:tc>
        <w:tc>
          <w:tcPr>
            <w:tcW w:w="180" w:type="dxa"/>
            <w:vAlign w:val="bottom"/>
            <w:shd w:val="clear" w:color="auto" w:fill="C00000"/>
          </w:tcPr>
          <w:p>
            <w:pPr>
              <w:spacing w:after="0"/>
              <w:rPr>
                <w:sz w:val="11"/>
                <w:szCs w:val="11"/>
                <w:color w:val="auto"/>
              </w:rPr>
            </w:pPr>
          </w:p>
        </w:tc>
      </w:tr>
      <w:tr>
        <w:trPr>
          <w:trHeight w:val="153"/>
        </w:trPr>
        <w:tc>
          <w:tcPr>
            <w:tcW w:w="3640" w:type="dxa"/>
            <w:vAlign w:val="bottom"/>
            <w:shd w:val="clear" w:color="auto" w:fill="C00000"/>
          </w:tcPr>
          <w:p>
            <w:pPr>
              <w:ind w:left="1220"/>
              <w:spacing w:after="0"/>
              <w:rPr>
                <w:sz w:val="20"/>
                <w:szCs w:val="20"/>
                <w:color w:val="auto"/>
              </w:rPr>
            </w:pPr>
            <w:r>
              <w:rPr>
                <w:rFonts w:ascii="Arial" w:cs="Arial" w:eastAsia="Arial" w:hAnsi="Arial"/>
                <w:sz w:val="12"/>
                <w:szCs w:val="12"/>
                <w:b w:val="1"/>
                <w:bCs w:val="1"/>
                <w:color w:val="FFFFFF"/>
              </w:rPr>
              <w:t>Name/Payment Type</w:t>
            </w:r>
          </w:p>
        </w:tc>
        <w:tc>
          <w:tcPr>
            <w:tcW w:w="1120" w:type="dxa"/>
            <w:vAlign w:val="bottom"/>
            <w:gridSpan w:val="2"/>
            <w:shd w:val="clear" w:color="auto" w:fill="C00000"/>
          </w:tcPr>
          <w:p>
            <w:pPr>
              <w:jc w:val="center"/>
              <w:ind w:left="230"/>
              <w:spacing w:after="0"/>
              <w:rPr>
                <w:sz w:val="20"/>
                <w:szCs w:val="20"/>
                <w:color w:val="auto"/>
              </w:rPr>
            </w:pPr>
            <w:r>
              <w:rPr>
                <w:rFonts w:ascii="Arial" w:cs="Arial" w:eastAsia="Arial" w:hAnsi="Arial"/>
                <w:sz w:val="12"/>
                <w:szCs w:val="12"/>
                <w:b w:val="1"/>
                <w:bCs w:val="1"/>
                <w:color w:val="FFFFFF"/>
                <w:w w:val="95"/>
              </w:rPr>
              <w:t>($)</w:t>
            </w:r>
          </w:p>
        </w:tc>
        <w:tc>
          <w:tcPr>
            <w:tcW w:w="180" w:type="dxa"/>
            <w:vAlign w:val="bottom"/>
            <w:shd w:val="clear" w:color="auto" w:fill="C00000"/>
          </w:tcPr>
          <w:p>
            <w:pPr>
              <w:spacing w:after="0"/>
              <w:rPr>
                <w:sz w:val="13"/>
                <w:szCs w:val="13"/>
                <w:color w:val="auto"/>
              </w:rPr>
            </w:pPr>
          </w:p>
        </w:tc>
        <w:tc>
          <w:tcPr>
            <w:tcW w:w="1020" w:type="dxa"/>
            <w:vAlign w:val="bottom"/>
            <w:shd w:val="clear" w:color="auto" w:fill="C00000"/>
          </w:tcPr>
          <w:p>
            <w:pPr>
              <w:jc w:val="center"/>
              <w:ind w:left="90"/>
              <w:spacing w:after="0"/>
              <w:rPr>
                <w:sz w:val="20"/>
                <w:szCs w:val="20"/>
                <w:color w:val="auto"/>
              </w:rPr>
            </w:pPr>
            <w:r>
              <w:rPr>
                <w:rFonts w:ascii="Arial" w:cs="Arial" w:eastAsia="Arial" w:hAnsi="Arial"/>
                <w:sz w:val="12"/>
                <w:szCs w:val="12"/>
                <w:b w:val="1"/>
                <w:bCs w:val="1"/>
                <w:color w:val="FFFFFF"/>
                <w:w w:val="95"/>
              </w:rPr>
              <w:t>($)</w:t>
            </w:r>
          </w:p>
        </w:tc>
        <w:tc>
          <w:tcPr>
            <w:tcW w:w="180" w:type="dxa"/>
            <w:vAlign w:val="bottom"/>
            <w:shd w:val="clear" w:color="auto" w:fill="C00000"/>
          </w:tcPr>
          <w:p>
            <w:pPr>
              <w:spacing w:after="0"/>
              <w:rPr>
                <w:sz w:val="13"/>
                <w:szCs w:val="13"/>
                <w:color w:val="auto"/>
              </w:rPr>
            </w:pPr>
          </w:p>
        </w:tc>
        <w:tc>
          <w:tcPr>
            <w:tcW w:w="1080" w:type="dxa"/>
            <w:vAlign w:val="bottom"/>
            <w:shd w:val="clear" w:color="auto" w:fill="C00000"/>
          </w:tcPr>
          <w:p>
            <w:pPr>
              <w:jc w:val="center"/>
              <w:ind w:left="30"/>
              <w:spacing w:after="0"/>
              <w:rPr>
                <w:sz w:val="20"/>
                <w:szCs w:val="20"/>
                <w:color w:val="auto"/>
              </w:rPr>
            </w:pPr>
            <w:r>
              <w:rPr>
                <w:rFonts w:ascii="Arial" w:cs="Arial" w:eastAsia="Arial" w:hAnsi="Arial"/>
                <w:sz w:val="12"/>
                <w:szCs w:val="12"/>
                <w:b w:val="1"/>
                <w:bCs w:val="1"/>
                <w:color w:val="FFFFFF"/>
                <w:w w:val="95"/>
              </w:rPr>
              <w:t>($)</w:t>
            </w:r>
          </w:p>
        </w:tc>
        <w:tc>
          <w:tcPr>
            <w:tcW w:w="1180" w:type="dxa"/>
            <w:vAlign w:val="bottom"/>
            <w:gridSpan w:val="2"/>
            <w:shd w:val="clear" w:color="auto" w:fill="C00000"/>
          </w:tcPr>
          <w:p>
            <w:pPr>
              <w:jc w:val="center"/>
              <w:ind w:left="149"/>
              <w:spacing w:after="0"/>
              <w:rPr>
                <w:sz w:val="20"/>
                <w:szCs w:val="20"/>
                <w:color w:val="auto"/>
              </w:rPr>
            </w:pPr>
            <w:r>
              <w:rPr>
                <w:rFonts w:ascii="Arial" w:cs="Arial" w:eastAsia="Arial" w:hAnsi="Arial"/>
                <w:sz w:val="12"/>
                <w:szCs w:val="12"/>
                <w:b w:val="1"/>
                <w:bCs w:val="1"/>
                <w:color w:val="FFFFFF"/>
              </w:rPr>
              <w:t>($)</w:t>
            </w:r>
          </w:p>
        </w:tc>
        <w:tc>
          <w:tcPr>
            <w:tcW w:w="120" w:type="dxa"/>
            <w:vAlign w:val="bottom"/>
            <w:shd w:val="clear" w:color="auto" w:fill="C00000"/>
          </w:tcPr>
          <w:p>
            <w:pPr>
              <w:spacing w:after="0"/>
              <w:rPr>
                <w:sz w:val="13"/>
                <w:szCs w:val="13"/>
                <w:color w:val="auto"/>
              </w:rPr>
            </w:pPr>
          </w:p>
        </w:tc>
        <w:tc>
          <w:tcPr>
            <w:tcW w:w="1020" w:type="dxa"/>
            <w:vAlign w:val="bottom"/>
            <w:shd w:val="clear" w:color="auto" w:fill="C00000"/>
          </w:tcPr>
          <w:p>
            <w:pPr>
              <w:jc w:val="center"/>
              <w:ind w:left="90"/>
              <w:spacing w:after="0"/>
              <w:rPr>
                <w:sz w:val="20"/>
                <w:szCs w:val="20"/>
                <w:color w:val="auto"/>
              </w:rPr>
            </w:pPr>
            <w:r>
              <w:rPr>
                <w:rFonts w:ascii="Arial" w:cs="Arial" w:eastAsia="Arial" w:hAnsi="Arial"/>
                <w:sz w:val="12"/>
                <w:szCs w:val="12"/>
                <w:b w:val="1"/>
                <w:bCs w:val="1"/>
                <w:color w:val="FFFFFF"/>
                <w:w w:val="95"/>
              </w:rPr>
              <w:t>($)</w:t>
            </w:r>
          </w:p>
        </w:tc>
        <w:tc>
          <w:tcPr>
            <w:tcW w:w="180" w:type="dxa"/>
            <w:vAlign w:val="bottom"/>
            <w:shd w:val="clear" w:color="auto" w:fill="C00000"/>
          </w:tcPr>
          <w:p>
            <w:pPr>
              <w:spacing w:after="0"/>
              <w:rPr>
                <w:sz w:val="13"/>
                <w:szCs w:val="13"/>
                <w:color w:val="auto"/>
              </w:rPr>
            </w:pPr>
          </w:p>
        </w:tc>
        <w:tc>
          <w:tcPr>
            <w:tcW w:w="1340" w:type="dxa"/>
            <w:vAlign w:val="bottom"/>
            <w:shd w:val="clear" w:color="auto" w:fill="C00000"/>
          </w:tcPr>
          <w:p>
            <w:pPr>
              <w:jc w:val="center"/>
              <w:ind w:left="90"/>
              <w:spacing w:after="0"/>
              <w:rPr>
                <w:sz w:val="20"/>
                <w:szCs w:val="20"/>
                <w:color w:val="auto"/>
              </w:rPr>
            </w:pPr>
            <w:r>
              <w:rPr>
                <w:rFonts w:ascii="Arial" w:cs="Arial" w:eastAsia="Arial" w:hAnsi="Arial"/>
                <w:sz w:val="12"/>
                <w:szCs w:val="12"/>
                <w:b w:val="1"/>
                <w:bCs w:val="1"/>
                <w:color w:val="FFFFFF"/>
                <w:w w:val="95"/>
              </w:rPr>
              <w:t>($)</w:t>
            </w:r>
          </w:p>
        </w:tc>
        <w:tc>
          <w:tcPr>
            <w:tcW w:w="180" w:type="dxa"/>
            <w:vAlign w:val="bottom"/>
            <w:shd w:val="clear" w:color="auto" w:fill="C00000"/>
          </w:tcPr>
          <w:p>
            <w:pPr>
              <w:spacing w:after="0"/>
              <w:rPr>
                <w:sz w:val="13"/>
                <w:szCs w:val="13"/>
                <w:color w:val="auto"/>
              </w:rPr>
            </w:pPr>
          </w:p>
        </w:tc>
      </w:tr>
      <w:tr>
        <w:trPr>
          <w:trHeight w:val="183"/>
        </w:trPr>
        <w:tc>
          <w:tcPr>
            <w:tcW w:w="3640" w:type="dxa"/>
            <w:vAlign w:val="bottom"/>
          </w:tcPr>
          <w:p>
            <w:pPr>
              <w:spacing w:after="0"/>
              <w:rPr>
                <w:sz w:val="20"/>
                <w:szCs w:val="20"/>
                <w:color w:val="auto"/>
              </w:rPr>
            </w:pPr>
            <w:r>
              <w:rPr>
                <w:rFonts w:ascii="Arial" w:cs="Arial" w:eastAsia="Arial" w:hAnsi="Arial"/>
                <w:sz w:val="14"/>
                <w:szCs w:val="14"/>
                <w:color w:val="auto"/>
              </w:rPr>
              <w:t>Richard M. Olson</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3"/>
        </w:trPr>
        <w:tc>
          <w:tcPr>
            <w:tcW w:w="3640" w:type="dxa"/>
            <w:vAlign w:val="bottom"/>
          </w:tcPr>
          <w:p>
            <w:pPr>
              <w:ind w:left="240"/>
              <w:spacing w:after="0" w:line="173" w:lineRule="exact"/>
              <w:rPr>
                <w:sz w:val="20"/>
                <w:szCs w:val="20"/>
                <w:color w:val="auto"/>
              </w:rPr>
            </w:pPr>
            <w:r>
              <w:rPr>
                <w:rFonts w:ascii="Arial" w:cs="Arial" w:eastAsia="Arial" w:hAnsi="Arial"/>
                <w:sz w:val="12"/>
                <w:szCs w:val="12"/>
                <w:color w:val="auto"/>
              </w:rPr>
              <w:t>Cash Severance Payment</w:t>
            </w:r>
            <w:r>
              <w:rPr>
                <w:rFonts w:ascii="Arial" w:cs="Arial" w:eastAsia="Arial" w:hAnsi="Arial"/>
                <w:sz w:val="20"/>
                <w:szCs w:val="20"/>
                <w:color w:val="auto"/>
                <w:vertAlign w:val="superscript"/>
              </w:rPr>
              <w:t>(2)</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6,996,000</w:t>
            </w:r>
          </w:p>
        </w:tc>
        <w:tc>
          <w:tcPr>
            <w:tcW w:w="180" w:type="dxa"/>
            <w:vAlign w:val="bottom"/>
          </w:tcPr>
          <w:p>
            <w:pPr>
              <w:spacing w:after="0"/>
              <w:rPr>
                <w:sz w:val="15"/>
                <w:szCs w:val="15"/>
                <w:color w:val="auto"/>
              </w:rPr>
            </w:pPr>
          </w:p>
        </w:tc>
      </w:tr>
      <w:tr>
        <w:trPr>
          <w:trHeight w:val="180"/>
        </w:trPr>
        <w:tc>
          <w:tcPr>
            <w:tcW w:w="3640" w:type="dxa"/>
            <w:vAlign w:val="bottom"/>
          </w:tcPr>
          <w:p>
            <w:pPr>
              <w:ind w:left="240"/>
              <w:spacing w:after="0" w:line="181" w:lineRule="exact"/>
              <w:rPr>
                <w:sz w:val="20"/>
                <w:szCs w:val="20"/>
                <w:color w:val="auto"/>
              </w:rPr>
            </w:pPr>
            <w:r>
              <w:rPr>
                <w:rFonts w:ascii="Arial" w:cs="Arial" w:eastAsia="Arial" w:hAnsi="Arial"/>
                <w:sz w:val="12"/>
                <w:szCs w:val="12"/>
                <w:color w:val="auto"/>
              </w:rPr>
              <w:t>Unvested &amp; Accelerated Stock Options</w:t>
            </w:r>
            <w:r>
              <w:rPr>
                <w:rFonts w:ascii="Arial" w:cs="Arial" w:eastAsia="Arial" w:hAnsi="Arial"/>
                <w:sz w:val="20"/>
                <w:szCs w:val="20"/>
                <w:color w:val="auto"/>
                <w:vertAlign w:val="superscript"/>
              </w:rPr>
              <w:t>(3)</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3,906,190</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3,906,190</w:t>
            </w: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3,906,190</w:t>
            </w:r>
          </w:p>
        </w:tc>
        <w:tc>
          <w:tcPr>
            <w:tcW w:w="180" w:type="dxa"/>
            <w:vAlign w:val="bottom"/>
          </w:tcPr>
          <w:p>
            <w:pPr>
              <w:spacing w:after="0"/>
              <w:rPr>
                <w:sz w:val="15"/>
                <w:szCs w:val="15"/>
                <w:color w:val="auto"/>
              </w:rPr>
            </w:pPr>
          </w:p>
        </w:tc>
      </w:tr>
      <w:tr>
        <w:trPr>
          <w:trHeight w:val="166"/>
        </w:trPr>
        <w:tc>
          <w:tcPr>
            <w:tcW w:w="3640" w:type="dxa"/>
            <w:vAlign w:val="bottom"/>
          </w:tcPr>
          <w:p>
            <w:pPr>
              <w:ind w:left="240"/>
              <w:spacing w:after="0"/>
              <w:rPr>
                <w:sz w:val="20"/>
                <w:szCs w:val="20"/>
                <w:color w:val="auto"/>
              </w:rPr>
            </w:pPr>
            <w:r>
              <w:rPr>
                <w:rFonts w:ascii="Arial" w:cs="Arial" w:eastAsia="Arial" w:hAnsi="Arial"/>
                <w:sz w:val="14"/>
                <w:szCs w:val="14"/>
                <w:color w:val="auto"/>
              </w:rPr>
              <w:t>Performance Share Award Payouts</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3,189,653</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(4)</w:t>
            </w:r>
          </w:p>
        </w:tc>
        <w:tc>
          <w:tcPr>
            <w:tcW w:w="1020" w:type="dxa"/>
            <w:vAlign w:val="bottom"/>
          </w:tcPr>
          <w:p>
            <w:pPr>
              <w:jc w:val="right"/>
              <w:spacing w:after="0"/>
              <w:rPr>
                <w:sz w:val="20"/>
                <w:szCs w:val="20"/>
                <w:color w:val="auto"/>
              </w:rPr>
            </w:pPr>
            <w:r>
              <w:rPr>
                <w:rFonts w:ascii="Arial" w:cs="Arial" w:eastAsia="Arial" w:hAnsi="Arial"/>
                <w:sz w:val="14"/>
                <w:szCs w:val="14"/>
                <w:color w:val="auto"/>
              </w:rPr>
              <w:t>3,189,653</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(4)</w:t>
            </w:r>
          </w:p>
        </w:tc>
        <w:tc>
          <w:tcPr>
            <w:tcW w:w="1080" w:type="dxa"/>
            <w:vAlign w:val="bottom"/>
          </w:tcPr>
          <w:p>
            <w:pPr>
              <w:jc w:val="right"/>
              <w:spacing w:after="0"/>
              <w:rPr>
                <w:sz w:val="20"/>
                <w:szCs w:val="20"/>
                <w:color w:val="auto"/>
              </w:rPr>
            </w:pPr>
            <w:r>
              <w:rPr>
                <w:rFonts w:ascii="Arial" w:cs="Arial" w:eastAsia="Arial" w:hAnsi="Arial"/>
                <w:sz w:val="14"/>
                <w:szCs w:val="14"/>
                <w:color w:val="auto"/>
              </w:rPr>
              <w:t>0</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2,813,119</w:t>
            </w:r>
          </w:p>
        </w:tc>
        <w:tc>
          <w:tcPr>
            <w:tcW w:w="180" w:type="dxa"/>
            <w:vAlign w:val="bottom"/>
          </w:tcPr>
          <w:p>
            <w:pPr>
              <w:jc w:val="right"/>
              <w:spacing w:after="0"/>
              <w:rPr>
                <w:sz w:val="20"/>
                <w:szCs w:val="20"/>
                <w:color w:val="auto"/>
              </w:rPr>
            </w:pPr>
            <w:r>
              <w:rPr>
                <w:rFonts w:ascii="Arial" w:cs="Arial" w:eastAsia="Arial" w:hAnsi="Arial"/>
                <w:sz w:val="12"/>
                <w:szCs w:val="12"/>
                <w:color w:val="auto"/>
                <w:w w:val="81"/>
              </w:rPr>
              <w:t>(5)</w:t>
            </w:r>
          </w:p>
        </w:tc>
        <w:tc>
          <w:tcPr>
            <w:tcW w:w="1340" w:type="dxa"/>
            <w:vAlign w:val="bottom"/>
          </w:tcPr>
          <w:p>
            <w:pPr>
              <w:jc w:val="right"/>
              <w:spacing w:after="0"/>
              <w:rPr>
                <w:sz w:val="20"/>
                <w:szCs w:val="20"/>
                <w:color w:val="auto"/>
              </w:rPr>
            </w:pPr>
            <w:r>
              <w:rPr>
                <w:rFonts w:ascii="Arial" w:cs="Arial" w:eastAsia="Arial" w:hAnsi="Arial"/>
                <w:sz w:val="14"/>
                <w:szCs w:val="14"/>
                <w:color w:val="auto"/>
              </w:rPr>
              <w:t>2,813,119</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(5)</w:t>
            </w:r>
          </w:p>
        </w:tc>
      </w:tr>
      <w:tr>
        <w:trPr>
          <w:trHeight w:val="173"/>
        </w:trPr>
        <w:tc>
          <w:tcPr>
            <w:tcW w:w="3640" w:type="dxa"/>
            <w:vAlign w:val="bottom"/>
          </w:tcPr>
          <w:p>
            <w:pPr>
              <w:ind w:left="240"/>
              <w:spacing w:after="0" w:line="173" w:lineRule="exact"/>
              <w:rPr>
                <w:sz w:val="20"/>
                <w:szCs w:val="20"/>
                <w:color w:val="auto"/>
              </w:rPr>
            </w:pPr>
            <w:r>
              <w:rPr>
                <w:rFonts w:ascii="Arial" w:cs="Arial" w:eastAsia="Arial" w:hAnsi="Arial"/>
                <w:sz w:val="12"/>
                <w:szCs w:val="12"/>
                <w:color w:val="auto"/>
              </w:rPr>
              <w:t>Welfare Plan Benefits</w:t>
            </w:r>
            <w:r>
              <w:rPr>
                <w:rFonts w:ascii="Arial" w:cs="Arial" w:eastAsia="Arial" w:hAnsi="Arial"/>
                <w:sz w:val="20"/>
                <w:szCs w:val="20"/>
                <w:color w:val="auto"/>
                <w:vertAlign w:val="superscript"/>
              </w:rPr>
              <w:t>(6)</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62,877</w:t>
            </w:r>
          </w:p>
        </w:tc>
        <w:tc>
          <w:tcPr>
            <w:tcW w:w="180" w:type="dxa"/>
            <w:vAlign w:val="bottom"/>
          </w:tcPr>
          <w:p>
            <w:pPr>
              <w:spacing w:after="0"/>
              <w:rPr>
                <w:sz w:val="15"/>
                <w:szCs w:val="15"/>
                <w:color w:val="auto"/>
              </w:rPr>
            </w:pPr>
          </w:p>
        </w:tc>
      </w:tr>
      <w:tr>
        <w:trPr>
          <w:trHeight w:val="173"/>
        </w:trPr>
        <w:tc>
          <w:tcPr>
            <w:tcW w:w="3640" w:type="dxa"/>
            <w:vAlign w:val="bottom"/>
          </w:tcPr>
          <w:p>
            <w:pPr>
              <w:ind w:left="240"/>
              <w:spacing w:after="0" w:line="173" w:lineRule="exact"/>
              <w:rPr>
                <w:sz w:val="20"/>
                <w:szCs w:val="20"/>
                <w:color w:val="auto"/>
              </w:rPr>
            </w:pPr>
            <w:r>
              <w:rPr>
                <w:rFonts w:ascii="Arial" w:cs="Arial" w:eastAsia="Arial" w:hAnsi="Arial"/>
                <w:sz w:val="12"/>
                <w:szCs w:val="12"/>
                <w:color w:val="auto"/>
              </w:rPr>
              <w:t>Outplacement Services</w:t>
            </w:r>
            <w:r>
              <w:rPr>
                <w:rFonts w:ascii="Arial" w:cs="Arial" w:eastAsia="Arial" w:hAnsi="Arial"/>
                <w:sz w:val="20"/>
                <w:szCs w:val="20"/>
                <w:color w:val="auto"/>
                <w:vertAlign w:val="superscript"/>
              </w:rPr>
              <w:t>(7)</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30,000</w:t>
            </w:r>
          </w:p>
        </w:tc>
        <w:tc>
          <w:tcPr>
            <w:tcW w:w="180" w:type="dxa"/>
            <w:vAlign w:val="bottom"/>
          </w:tcPr>
          <w:p>
            <w:pPr>
              <w:spacing w:after="0"/>
              <w:rPr>
                <w:sz w:val="15"/>
                <w:szCs w:val="15"/>
                <w:color w:val="auto"/>
              </w:rPr>
            </w:pPr>
          </w:p>
        </w:tc>
      </w:tr>
      <w:tr>
        <w:trPr>
          <w:trHeight w:val="162"/>
        </w:trPr>
        <w:tc>
          <w:tcPr>
            <w:tcW w:w="3640" w:type="dxa"/>
            <w:vAlign w:val="bottom"/>
          </w:tcPr>
          <w:p>
            <w:pPr>
              <w:ind w:left="240"/>
              <w:spacing w:after="0" w:line="163" w:lineRule="exact"/>
              <w:rPr>
                <w:sz w:val="20"/>
                <w:szCs w:val="20"/>
                <w:color w:val="auto"/>
              </w:rPr>
            </w:pPr>
            <w:r>
              <w:rPr>
                <w:rFonts w:ascii="Arial" w:cs="Arial" w:eastAsia="Arial" w:hAnsi="Arial"/>
                <w:sz w:val="11"/>
                <w:szCs w:val="11"/>
                <w:color w:val="auto"/>
              </w:rPr>
              <w:t>Perquisites</w:t>
            </w:r>
            <w:r>
              <w:rPr>
                <w:rFonts w:ascii="Arial" w:cs="Arial" w:eastAsia="Arial" w:hAnsi="Arial"/>
                <w:sz w:val="18"/>
                <w:szCs w:val="18"/>
                <w:color w:val="auto"/>
                <w:vertAlign w:val="superscript"/>
              </w:rPr>
              <w:t>(8)</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35,932</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r>
      <w:tr>
        <w:trPr>
          <w:trHeight w:val="166"/>
        </w:trPr>
        <w:tc>
          <w:tcPr>
            <w:tcW w:w="364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3,225,585</w:t>
            </w:r>
          </w:p>
        </w:tc>
        <w:tc>
          <w:tcPr>
            <w:tcW w:w="180" w:type="dxa"/>
            <w:vAlign w:val="bottom"/>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7,095,843</w:t>
            </w:r>
          </w:p>
        </w:tc>
        <w:tc>
          <w:tcPr>
            <w:tcW w:w="180" w:type="dxa"/>
            <w:vAlign w:val="bottom"/>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0</w:t>
            </w:r>
          </w:p>
        </w:tc>
        <w:tc>
          <w:tcPr>
            <w:tcW w:w="120" w:type="dxa"/>
            <w:vAlign w:val="bottom"/>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0</w:t>
            </w:r>
          </w:p>
        </w:tc>
        <w:tc>
          <w:tcPr>
            <w:tcW w:w="120" w:type="dxa"/>
            <w:vAlign w:val="bottom"/>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6,719,309</w:t>
            </w:r>
          </w:p>
        </w:tc>
        <w:tc>
          <w:tcPr>
            <w:tcW w:w="180" w:type="dxa"/>
            <w:vAlign w:val="bottom"/>
          </w:tcPr>
          <w:p>
            <w:pPr>
              <w:spacing w:after="0"/>
              <w:rPr>
                <w:sz w:val="14"/>
                <w:szCs w:val="14"/>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13,808,186</w:t>
            </w:r>
          </w:p>
        </w:tc>
        <w:tc>
          <w:tcPr>
            <w:tcW w:w="180" w:type="dxa"/>
            <w:vAlign w:val="bottom"/>
          </w:tcPr>
          <w:p>
            <w:pPr>
              <w:spacing w:after="0"/>
              <w:rPr>
                <w:sz w:val="14"/>
                <w:szCs w:val="14"/>
                <w:color w:val="auto"/>
              </w:rPr>
            </w:pPr>
          </w:p>
        </w:tc>
      </w:tr>
      <w:tr>
        <w:trPr>
          <w:trHeight w:val="173"/>
        </w:trPr>
        <w:tc>
          <w:tcPr>
            <w:tcW w:w="3640" w:type="dxa"/>
            <w:vAlign w:val="bottom"/>
            <w:shd w:val="clear" w:color="auto" w:fill="D9D9D9"/>
          </w:tcPr>
          <w:p>
            <w:pPr>
              <w:spacing w:after="0"/>
              <w:rPr>
                <w:sz w:val="20"/>
                <w:szCs w:val="20"/>
                <w:color w:val="auto"/>
              </w:rPr>
            </w:pPr>
            <w:r>
              <w:rPr>
                <w:rFonts w:ascii="Arial" w:cs="Arial" w:eastAsia="Arial" w:hAnsi="Arial"/>
                <w:sz w:val="14"/>
                <w:szCs w:val="14"/>
                <w:color w:val="auto"/>
              </w:rPr>
              <w:t>Renee J. Peterson</w:t>
            </w:r>
          </w:p>
        </w:tc>
        <w:tc>
          <w:tcPr>
            <w:tcW w:w="120" w:type="dxa"/>
            <w:vAlign w:val="bottom"/>
            <w:shd w:val="clear" w:color="auto" w:fill="D9D9D9"/>
          </w:tcPr>
          <w:p>
            <w:pPr>
              <w:spacing w:after="0"/>
              <w:rPr>
                <w:sz w:val="15"/>
                <w:szCs w:val="15"/>
                <w:color w:val="auto"/>
              </w:rPr>
            </w:pPr>
          </w:p>
        </w:tc>
        <w:tc>
          <w:tcPr>
            <w:tcW w:w="1000" w:type="dxa"/>
            <w:vAlign w:val="bottom"/>
            <w:shd w:val="clear" w:color="auto" w:fill="D9D9D9"/>
          </w:tcPr>
          <w:p>
            <w:pPr>
              <w:spacing w:after="0"/>
              <w:rPr>
                <w:sz w:val="15"/>
                <w:szCs w:val="15"/>
                <w:color w:val="auto"/>
              </w:rPr>
            </w:pPr>
          </w:p>
        </w:tc>
        <w:tc>
          <w:tcPr>
            <w:tcW w:w="180" w:type="dxa"/>
            <w:vAlign w:val="bottom"/>
            <w:shd w:val="clear" w:color="auto" w:fill="D9D9D9"/>
          </w:tcPr>
          <w:p>
            <w:pPr>
              <w:spacing w:after="0"/>
              <w:rPr>
                <w:sz w:val="15"/>
                <w:szCs w:val="15"/>
                <w:color w:val="auto"/>
              </w:rPr>
            </w:pPr>
          </w:p>
        </w:tc>
        <w:tc>
          <w:tcPr>
            <w:tcW w:w="1020" w:type="dxa"/>
            <w:vAlign w:val="bottom"/>
            <w:shd w:val="clear" w:color="auto" w:fill="D9D9D9"/>
          </w:tcPr>
          <w:p>
            <w:pPr>
              <w:spacing w:after="0"/>
              <w:rPr>
                <w:sz w:val="15"/>
                <w:szCs w:val="15"/>
                <w:color w:val="auto"/>
              </w:rPr>
            </w:pPr>
          </w:p>
        </w:tc>
        <w:tc>
          <w:tcPr>
            <w:tcW w:w="180" w:type="dxa"/>
            <w:vAlign w:val="bottom"/>
            <w:shd w:val="clear" w:color="auto" w:fill="D9D9D9"/>
          </w:tcPr>
          <w:p>
            <w:pPr>
              <w:spacing w:after="0"/>
              <w:rPr>
                <w:sz w:val="15"/>
                <w:szCs w:val="15"/>
                <w:color w:val="auto"/>
              </w:rPr>
            </w:pPr>
          </w:p>
        </w:tc>
        <w:tc>
          <w:tcPr>
            <w:tcW w:w="1080" w:type="dxa"/>
            <w:vAlign w:val="bottom"/>
            <w:shd w:val="clear" w:color="auto" w:fill="D9D9D9"/>
          </w:tcPr>
          <w:p>
            <w:pPr>
              <w:spacing w:after="0"/>
              <w:rPr>
                <w:sz w:val="15"/>
                <w:szCs w:val="15"/>
                <w:color w:val="auto"/>
              </w:rPr>
            </w:pPr>
          </w:p>
        </w:tc>
        <w:tc>
          <w:tcPr>
            <w:tcW w:w="120" w:type="dxa"/>
            <w:vAlign w:val="bottom"/>
            <w:shd w:val="clear" w:color="auto" w:fill="D9D9D9"/>
          </w:tcPr>
          <w:p>
            <w:pPr>
              <w:spacing w:after="0"/>
              <w:rPr>
                <w:sz w:val="15"/>
                <w:szCs w:val="15"/>
                <w:color w:val="auto"/>
              </w:rPr>
            </w:pPr>
          </w:p>
        </w:tc>
        <w:tc>
          <w:tcPr>
            <w:tcW w:w="1060" w:type="dxa"/>
            <w:vAlign w:val="bottom"/>
            <w:shd w:val="clear" w:color="auto" w:fill="D9D9D9"/>
          </w:tcPr>
          <w:p>
            <w:pPr>
              <w:spacing w:after="0"/>
              <w:rPr>
                <w:sz w:val="15"/>
                <w:szCs w:val="15"/>
                <w:color w:val="auto"/>
              </w:rPr>
            </w:pPr>
          </w:p>
        </w:tc>
        <w:tc>
          <w:tcPr>
            <w:tcW w:w="120" w:type="dxa"/>
            <w:vAlign w:val="bottom"/>
            <w:shd w:val="clear" w:color="auto" w:fill="D9D9D9"/>
          </w:tcPr>
          <w:p>
            <w:pPr>
              <w:spacing w:after="0"/>
              <w:rPr>
                <w:sz w:val="15"/>
                <w:szCs w:val="15"/>
                <w:color w:val="auto"/>
              </w:rPr>
            </w:pPr>
          </w:p>
        </w:tc>
        <w:tc>
          <w:tcPr>
            <w:tcW w:w="1020" w:type="dxa"/>
            <w:vAlign w:val="bottom"/>
            <w:shd w:val="clear" w:color="auto" w:fill="D9D9D9"/>
          </w:tcPr>
          <w:p>
            <w:pPr>
              <w:spacing w:after="0"/>
              <w:rPr>
                <w:sz w:val="15"/>
                <w:szCs w:val="15"/>
                <w:color w:val="auto"/>
              </w:rPr>
            </w:pPr>
          </w:p>
        </w:tc>
        <w:tc>
          <w:tcPr>
            <w:tcW w:w="180" w:type="dxa"/>
            <w:vAlign w:val="bottom"/>
            <w:shd w:val="clear" w:color="auto" w:fill="D9D9D9"/>
          </w:tcPr>
          <w:p>
            <w:pPr>
              <w:spacing w:after="0"/>
              <w:rPr>
                <w:sz w:val="15"/>
                <w:szCs w:val="15"/>
                <w:color w:val="auto"/>
              </w:rPr>
            </w:pPr>
          </w:p>
        </w:tc>
        <w:tc>
          <w:tcPr>
            <w:tcW w:w="1340" w:type="dxa"/>
            <w:vAlign w:val="bottom"/>
            <w:shd w:val="clear" w:color="auto" w:fill="D9D9D9"/>
          </w:tcPr>
          <w:p>
            <w:pPr>
              <w:spacing w:after="0"/>
              <w:rPr>
                <w:sz w:val="15"/>
                <w:szCs w:val="15"/>
                <w:color w:val="auto"/>
              </w:rPr>
            </w:pPr>
          </w:p>
        </w:tc>
        <w:tc>
          <w:tcPr>
            <w:tcW w:w="180" w:type="dxa"/>
            <w:vAlign w:val="bottom"/>
            <w:shd w:val="clear" w:color="auto" w:fill="D9D9D9"/>
          </w:tcPr>
          <w:p>
            <w:pPr>
              <w:spacing w:after="0"/>
              <w:rPr>
                <w:sz w:val="15"/>
                <w:szCs w:val="15"/>
                <w:color w:val="auto"/>
              </w:rPr>
            </w:pPr>
          </w:p>
        </w:tc>
      </w:tr>
      <w:tr>
        <w:trPr>
          <w:trHeight w:val="173"/>
        </w:trPr>
        <w:tc>
          <w:tcPr>
            <w:tcW w:w="3640" w:type="dxa"/>
            <w:vAlign w:val="bottom"/>
            <w:shd w:val="clear" w:color="auto" w:fill="D9D9D9"/>
          </w:tcPr>
          <w:p>
            <w:pPr>
              <w:ind w:left="240"/>
              <w:spacing w:after="0" w:line="173" w:lineRule="exact"/>
              <w:rPr>
                <w:sz w:val="20"/>
                <w:szCs w:val="20"/>
                <w:color w:val="auto"/>
              </w:rPr>
            </w:pPr>
            <w:r>
              <w:rPr>
                <w:rFonts w:ascii="Arial" w:cs="Arial" w:eastAsia="Arial" w:hAnsi="Arial"/>
                <w:sz w:val="12"/>
                <w:szCs w:val="12"/>
                <w:color w:val="auto"/>
              </w:rPr>
              <w:t>Cash Severance Payment</w:t>
            </w:r>
            <w:r>
              <w:rPr>
                <w:rFonts w:ascii="Arial" w:cs="Arial" w:eastAsia="Arial" w:hAnsi="Arial"/>
                <w:sz w:val="20"/>
                <w:szCs w:val="20"/>
                <w:color w:val="auto"/>
                <w:vertAlign w:val="superscript"/>
              </w:rPr>
              <w:t>(2)</w:t>
            </w:r>
          </w:p>
        </w:tc>
        <w:tc>
          <w:tcPr>
            <w:tcW w:w="120" w:type="dxa"/>
            <w:vAlign w:val="bottom"/>
            <w:shd w:val="clear" w:color="auto" w:fill="D9D9D9"/>
          </w:tcPr>
          <w:p>
            <w:pPr>
              <w:spacing w:after="0"/>
              <w:rPr>
                <w:sz w:val="15"/>
                <w:szCs w:val="15"/>
                <w:color w:val="auto"/>
              </w:rPr>
            </w:pPr>
          </w:p>
        </w:tc>
        <w:tc>
          <w:tcPr>
            <w:tcW w:w="10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18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3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2,070,000</w:t>
            </w:r>
          </w:p>
        </w:tc>
        <w:tc>
          <w:tcPr>
            <w:tcW w:w="180" w:type="dxa"/>
            <w:vAlign w:val="bottom"/>
            <w:shd w:val="clear" w:color="auto" w:fill="D9D9D9"/>
          </w:tcPr>
          <w:p>
            <w:pPr>
              <w:spacing w:after="0"/>
              <w:rPr>
                <w:sz w:val="15"/>
                <w:szCs w:val="15"/>
                <w:color w:val="auto"/>
              </w:rPr>
            </w:pPr>
          </w:p>
        </w:tc>
      </w:tr>
      <w:tr>
        <w:trPr>
          <w:trHeight w:val="173"/>
        </w:trPr>
        <w:tc>
          <w:tcPr>
            <w:tcW w:w="3640" w:type="dxa"/>
            <w:vAlign w:val="bottom"/>
            <w:shd w:val="clear" w:color="auto" w:fill="D9D9D9"/>
          </w:tcPr>
          <w:p>
            <w:pPr>
              <w:ind w:left="240"/>
              <w:spacing w:after="0" w:line="173" w:lineRule="exact"/>
              <w:rPr>
                <w:sz w:val="20"/>
                <w:szCs w:val="20"/>
                <w:color w:val="auto"/>
              </w:rPr>
            </w:pPr>
            <w:r>
              <w:rPr>
                <w:rFonts w:ascii="Arial" w:cs="Arial" w:eastAsia="Arial" w:hAnsi="Arial"/>
                <w:sz w:val="12"/>
                <w:szCs w:val="12"/>
                <w:color w:val="auto"/>
              </w:rPr>
              <w:t>Unvested &amp; Accelerated Stock Options</w:t>
            </w:r>
            <w:r>
              <w:rPr>
                <w:rFonts w:ascii="Arial" w:cs="Arial" w:eastAsia="Arial" w:hAnsi="Arial"/>
                <w:sz w:val="20"/>
                <w:szCs w:val="20"/>
                <w:color w:val="auto"/>
                <w:vertAlign w:val="superscript"/>
              </w:rPr>
              <w:t>(3)</w:t>
            </w:r>
          </w:p>
        </w:tc>
        <w:tc>
          <w:tcPr>
            <w:tcW w:w="120" w:type="dxa"/>
            <w:vAlign w:val="bottom"/>
            <w:shd w:val="clear" w:color="auto" w:fill="D9D9D9"/>
          </w:tcPr>
          <w:p>
            <w:pPr>
              <w:spacing w:after="0"/>
              <w:rPr>
                <w:sz w:val="15"/>
                <w:szCs w:val="15"/>
                <w:color w:val="auto"/>
              </w:rPr>
            </w:pPr>
          </w:p>
        </w:tc>
        <w:tc>
          <w:tcPr>
            <w:tcW w:w="10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911,238</w:t>
            </w:r>
          </w:p>
        </w:tc>
        <w:tc>
          <w:tcPr>
            <w:tcW w:w="180" w:type="dxa"/>
            <w:vAlign w:val="bottom"/>
            <w:shd w:val="clear" w:color="auto" w:fill="D9D9D9"/>
          </w:tcPr>
          <w:p>
            <w:pPr>
              <w:spacing w:after="0"/>
              <w:rPr>
                <w:sz w:val="15"/>
                <w:szCs w:val="15"/>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18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911,238</w:t>
            </w:r>
          </w:p>
        </w:tc>
        <w:tc>
          <w:tcPr>
            <w:tcW w:w="180" w:type="dxa"/>
            <w:vAlign w:val="bottom"/>
            <w:shd w:val="clear" w:color="auto" w:fill="D9D9D9"/>
          </w:tcPr>
          <w:p>
            <w:pPr>
              <w:spacing w:after="0"/>
              <w:rPr>
                <w:sz w:val="15"/>
                <w:szCs w:val="15"/>
                <w:color w:val="auto"/>
              </w:rPr>
            </w:pPr>
          </w:p>
        </w:tc>
        <w:tc>
          <w:tcPr>
            <w:tcW w:w="13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911,238</w:t>
            </w:r>
          </w:p>
        </w:tc>
        <w:tc>
          <w:tcPr>
            <w:tcW w:w="180" w:type="dxa"/>
            <w:vAlign w:val="bottom"/>
            <w:shd w:val="clear" w:color="auto" w:fill="D9D9D9"/>
          </w:tcPr>
          <w:p>
            <w:pPr>
              <w:spacing w:after="0"/>
              <w:rPr>
                <w:sz w:val="15"/>
                <w:szCs w:val="15"/>
                <w:color w:val="auto"/>
              </w:rPr>
            </w:pPr>
          </w:p>
        </w:tc>
      </w:tr>
      <w:tr>
        <w:trPr>
          <w:trHeight w:val="173"/>
        </w:trPr>
        <w:tc>
          <w:tcPr>
            <w:tcW w:w="3640" w:type="dxa"/>
            <w:vAlign w:val="bottom"/>
            <w:shd w:val="clear" w:color="auto" w:fill="D9D9D9"/>
          </w:tcPr>
          <w:p>
            <w:pPr>
              <w:ind w:left="240"/>
              <w:spacing w:after="0"/>
              <w:rPr>
                <w:sz w:val="20"/>
                <w:szCs w:val="20"/>
                <w:color w:val="auto"/>
              </w:rPr>
            </w:pPr>
            <w:r>
              <w:rPr>
                <w:rFonts w:ascii="Arial" w:cs="Arial" w:eastAsia="Arial" w:hAnsi="Arial"/>
                <w:sz w:val="14"/>
                <w:szCs w:val="14"/>
                <w:color w:val="auto"/>
              </w:rPr>
              <w:t>Performance Share Award Payouts</w:t>
            </w:r>
          </w:p>
        </w:tc>
        <w:tc>
          <w:tcPr>
            <w:tcW w:w="120" w:type="dxa"/>
            <w:vAlign w:val="bottom"/>
            <w:shd w:val="clear" w:color="auto" w:fill="D9D9D9"/>
          </w:tcPr>
          <w:p>
            <w:pPr>
              <w:spacing w:after="0"/>
              <w:rPr>
                <w:sz w:val="15"/>
                <w:szCs w:val="15"/>
                <w:color w:val="auto"/>
              </w:rPr>
            </w:pPr>
          </w:p>
        </w:tc>
        <w:tc>
          <w:tcPr>
            <w:tcW w:w="10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747,817</w:t>
            </w:r>
          </w:p>
        </w:tc>
        <w:tc>
          <w:tcPr>
            <w:tcW w:w="180" w:type="dxa"/>
            <w:vAlign w:val="bottom"/>
            <w:shd w:val="clear" w:color="auto" w:fill="D9D9D9"/>
          </w:tcPr>
          <w:p>
            <w:pPr>
              <w:jc w:val="right"/>
              <w:spacing w:after="0"/>
              <w:rPr>
                <w:sz w:val="20"/>
                <w:szCs w:val="20"/>
                <w:color w:val="auto"/>
              </w:rPr>
            </w:pPr>
            <w:r>
              <w:rPr>
                <w:rFonts w:ascii="Arial" w:cs="Arial" w:eastAsia="Arial" w:hAnsi="Arial"/>
                <w:sz w:val="12"/>
                <w:szCs w:val="12"/>
                <w:color w:val="auto"/>
                <w:w w:val="95"/>
              </w:rPr>
              <w:t>(4)</w:t>
            </w: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747,817</w:t>
            </w:r>
          </w:p>
        </w:tc>
        <w:tc>
          <w:tcPr>
            <w:tcW w:w="180" w:type="dxa"/>
            <w:vAlign w:val="bottom"/>
            <w:shd w:val="clear" w:color="auto" w:fill="D9D9D9"/>
          </w:tcPr>
          <w:p>
            <w:pPr>
              <w:jc w:val="right"/>
              <w:spacing w:after="0"/>
              <w:rPr>
                <w:sz w:val="20"/>
                <w:szCs w:val="20"/>
                <w:color w:val="auto"/>
              </w:rPr>
            </w:pPr>
            <w:r>
              <w:rPr>
                <w:rFonts w:ascii="Arial" w:cs="Arial" w:eastAsia="Arial" w:hAnsi="Arial"/>
                <w:sz w:val="12"/>
                <w:szCs w:val="12"/>
                <w:color w:val="auto"/>
                <w:w w:val="95"/>
              </w:rPr>
              <w:t>(4)</w:t>
            </w:r>
          </w:p>
        </w:tc>
        <w:tc>
          <w:tcPr>
            <w:tcW w:w="10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18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649,101</w:t>
            </w:r>
          </w:p>
        </w:tc>
        <w:tc>
          <w:tcPr>
            <w:tcW w:w="180" w:type="dxa"/>
            <w:vAlign w:val="bottom"/>
            <w:shd w:val="clear" w:color="auto" w:fill="D9D9D9"/>
          </w:tcPr>
          <w:p>
            <w:pPr>
              <w:jc w:val="right"/>
              <w:spacing w:after="0"/>
              <w:rPr>
                <w:sz w:val="20"/>
                <w:szCs w:val="20"/>
                <w:color w:val="auto"/>
              </w:rPr>
            </w:pPr>
            <w:r>
              <w:rPr>
                <w:rFonts w:ascii="Arial" w:cs="Arial" w:eastAsia="Arial" w:hAnsi="Arial"/>
                <w:sz w:val="12"/>
                <w:szCs w:val="12"/>
                <w:color w:val="auto"/>
                <w:w w:val="81"/>
              </w:rPr>
              <w:t>(5)</w:t>
            </w:r>
          </w:p>
        </w:tc>
        <w:tc>
          <w:tcPr>
            <w:tcW w:w="13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649,101</w:t>
            </w:r>
          </w:p>
        </w:tc>
        <w:tc>
          <w:tcPr>
            <w:tcW w:w="180" w:type="dxa"/>
            <w:vAlign w:val="bottom"/>
            <w:shd w:val="clear" w:color="auto" w:fill="D9D9D9"/>
          </w:tcPr>
          <w:p>
            <w:pPr>
              <w:jc w:val="right"/>
              <w:spacing w:after="0"/>
              <w:rPr>
                <w:sz w:val="20"/>
                <w:szCs w:val="20"/>
                <w:color w:val="auto"/>
              </w:rPr>
            </w:pPr>
            <w:r>
              <w:rPr>
                <w:rFonts w:ascii="Arial" w:cs="Arial" w:eastAsia="Arial" w:hAnsi="Arial"/>
                <w:sz w:val="12"/>
                <w:szCs w:val="12"/>
                <w:color w:val="auto"/>
                <w:w w:val="95"/>
              </w:rPr>
              <w:t>(5)</w:t>
            </w:r>
          </w:p>
        </w:tc>
      </w:tr>
      <w:tr>
        <w:trPr>
          <w:trHeight w:val="173"/>
        </w:trPr>
        <w:tc>
          <w:tcPr>
            <w:tcW w:w="3640" w:type="dxa"/>
            <w:vAlign w:val="bottom"/>
            <w:shd w:val="clear" w:color="auto" w:fill="D9D9D9"/>
          </w:tcPr>
          <w:p>
            <w:pPr>
              <w:ind w:left="240"/>
              <w:spacing w:after="0" w:line="173" w:lineRule="exact"/>
              <w:rPr>
                <w:sz w:val="20"/>
                <w:szCs w:val="20"/>
                <w:color w:val="auto"/>
              </w:rPr>
            </w:pPr>
            <w:r>
              <w:rPr>
                <w:rFonts w:ascii="Arial" w:cs="Arial" w:eastAsia="Arial" w:hAnsi="Arial"/>
                <w:sz w:val="12"/>
                <w:szCs w:val="12"/>
                <w:color w:val="auto"/>
              </w:rPr>
              <w:t>Welfare Plan Benefits</w:t>
            </w:r>
            <w:r>
              <w:rPr>
                <w:rFonts w:ascii="Arial" w:cs="Arial" w:eastAsia="Arial" w:hAnsi="Arial"/>
                <w:sz w:val="20"/>
                <w:szCs w:val="20"/>
                <w:color w:val="auto"/>
                <w:vertAlign w:val="superscript"/>
              </w:rPr>
              <w:t>(6)</w:t>
            </w:r>
          </w:p>
        </w:tc>
        <w:tc>
          <w:tcPr>
            <w:tcW w:w="120" w:type="dxa"/>
            <w:vAlign w:val="bottom"/>
            <w:shd w:val="clear" w:color="auto" w:fill="D9D9D9"/>
          </w:tcPr>
          <w:p>
            <w:pPr>
              <w:spacing w:after="0"/>
              <w:rPr>
                <w:sz w:val="15"/>
                <w:szCs w:val="15"/>
                <w:color w:val="auto"/>
              </w:rPr>
            </w:pPr>
          </w:p>
        </w:tc>
        <w:tc>
          <w:tcPr>
            <w:tcW w:w="10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18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3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43,197</w:t>
            </w:r>
          </w:p>
        </w:tc>
        <w:tc>
          <w:tcPr>
            <w:tcW w:w="180" w:type="dxa"/>
            <w:vAlign w:val="bottom"/>
            <w:shd w:val="clear" w:color="auto" w:fill="D9D9D9"/>
          </w:tcPr>
          <w:p>
            <w:pPr>
              <w:spacing w:after="0"/>
              <w:rPr>
                <w:sz w:val="15"/>
                <w:szCs w:val="15"/>
                <w:color w:val="auto"/>
              </w:rPr>
            </w:pPr>
          </w:p>
        </w:tc>
      </w:tr>
      <w:tr>
        <w:trPr>
          <w:trHeight w:val="173"/>
        </w:trPr>
        <w:tc>
          <w:tcPr>
            <w:tcW w:w="3640" w:type="dxa"/>
            <w:vAlign w:val="bottom"/>
            <w:shd w:val="clear" w:color="auto" w:fill="D9D9D9"/>
          </w:tcPr>
          <w:p>
            <w:pPr>
              <w:ind w:left="240"/>
              <w:spacing w:after="0" w:line="173" w:lineRule="exact"/>
              <w:rPr>
                <w:sz w:val="20"/>
                <w:szCs w:val="20"/>
                <w:color w:val="auto"/>
              </w:rPr>
            </w:pPr>
            <w:r>
              <w:rPr>
                <w:rFonts w:ascii="Arial" w:cs="Arial" w:eastAsia="Arial" w:hAnsi="Arial"/>
                <w:sz w:val="12"/>
                <w:szCs w:val="12"/>
                <w:color w:val="auto"/>
              </w:rPr>
              <w:t>Outplacement Services</w:t>
            </w:r>
            <w:r>
              <w:rPr>
                <w:rFonts w:ascii="Arial" w:cs="Arial" w:eastAsia="Arial" w:hAnsi="Arial"/>
                <w:sz w:val="20"/>
                <w:szCs w:val="20"/>
                <w:color w:val="auto"/>
                <w:vertAlign w:val="superscript"/>
              </w:rPr>
              <w:t>(7)</w:t>
            </w:r>
          </w:p>
        </w:tc>
        <w:tc>
          <w:tcPr>
            <w:tcW w:w="120" w:type="dxa"/>
            <w:vAlign w:val="bottom"/>
            <w:shd w:val="clear" w:color="auto" w:fill="D9D9D9"/>
          </w:tcPr>
          <w:p>
            <w:pPr>
              <w:spacing w:after="0"/>
              <w:rPr>
                <w:sz w:val="15"/>
                <w:szCs w:val="15"/>
                <w:color w:val="auto"/>
              </w:rPr>
            </w:pPr>
          </w:p>
        </w:tc>
        <w:tc>
          <w:tcPr>
            <w:tcW w:w="10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18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3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30,000</w:t>
            </w:r>
          </w:p>
        </w:tc>
        <w:tc>
          <w:tcPr>
            <w:tcW w:w="180" w:type="dxa"/>
            <w:vAlign w:val="bottom"/>
            <w:shd w:val="clear" w:color="auto" w:fill="D9D9D9"/>
          </w:tcPr>
          <w:p>
            <w:pPr>
              <w:spacing w:after="0"/>
              <w:rPr>
                <w:sz w:val="15"/>
                <w:szCs w:val="15"/>
                <w:color w:val="auto"/>
              </w:rPr>
            </w:pPr>
          </w:p>
        </w:tc>
      </w:tr>
      <w:tr>
        <w:trPr>
          <w:trHeight w:val="173"/>
        </w:trPr>
        <w:tc>
          <w:tcPr>
            <w:tcW w:w="3640" w:type="dxa"/>
            <w:vAlign w:val="bottom"/>
            <w:shd w:val="clear" w:color="auto" w:fill="D9D9D9"/>
          </w:tcPr>
          <w:p>
            <w:pPr>
              <w:ind w:left="240"/>
              <w:spacing w:after="0" w:line="173" w:lineRule="exact"/>
              <w:rPr>
                <w:sz w:val="20"/>
                <w:szCs w:val="20"/>
                <w:color w:val="auto"/>
              </w:rPr>
            </w:pPr>
            <w:r>
              <w:rPr>
                <w:rFonts w:ascii="Arial" w:cs="Arial" w:eastAsia="Arial" w:hAnsi="Arial"/>
                <w:sz w:val="12"/>
                <w:szCs w:val="12"/>
                <w:color w:val="auto"/>
              </w:rPr>
              <w:t>Perquisites</w:t>
            </w:r>
            <w:r>
              <w:rPr>
                <w:rFonts w:ascii="Arial" w:cs="Arial" w:eastAsia="Arial" w:hAnsi="Arial"/>
                <w:sz w:val="20"/>
                <w:szCs w:val="20"/>
                <w:color w:val="auto"/>
                <w:vertAlign w:val="superscript"/>
              </w:rPr>
              <w:t>(8)</w:t>
            </w:r>
          </w:p>
        </w:tc>
        <w:tc>
          <w:tcPr>
            <w:tcW w:w="120" w:type="dxa"/>
            <w:vAlign w:val="bottom"/>
            <w:shd w:val="clear" w:color="auto" w:fill="D9D9D9"/>
          </w:tcPr>
          <w:p>
            <w:pPr>
              <w:spacing w:after="0"/>
              <w:rPr>
                <w:sz w:val="15"/>
                <w:szCs w:val="15"/>
                <w:color w:val="auto"/>
              </w:rPr>
            </w:pPr>
          </w:p>
        </w:tc>
        <w:tc>
          <w:tcPr>
            <w:tcW w:w="10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25,802</w:t>
            </w:r>
          </w:p>
        </w:tc>
        <w:tc>
          <w:tcPr>
            <w:tcW w:w="18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18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3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r>
      <w:tr>
        <w:trPr>
          <w:trHeight w:val="166"/>
        </w:trPr>
        <w:tc>
          <w:tcPr>
            <w:tcW w:w="3640" w:type="dxa"/>
            <w:vAlign w:val="bottom"/>
            <w:tcBorders>
              <w:top w:val="single" w:sz="8" w:color="D9D9D9"/>
            </w:tcBorders>
            <w:shd w:val="clear" w:color="auto" w:fill="D9D9D9"/>
          </w:tcPr>
          <w:p>
            <w:pPr>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top w:val="single" w:sz="8" w:color="D9D9D9"/>
            </w:tcBorders>
            <w:shd w:val="clear" w:color="auto" w:fill="D9D9D9"/>
          </w:tcPr>
          <w:p>
            <w:pPr>
              <w:spacing w:after="0"/>
              <w:rPr>
                <w:sz w:val="14"/>
                <w:szCs w:val="14"/>
                <w:color w:val="auto"/>
              </w:rPr>
            </w:pPr>
          </w:p>
        </w:tc>
        <w:tc>
          <w:tcPr>
            <w:tcW w:w="100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773,619</w:t>
            </w:r>
          </w:p>
        </w:tc>
        <w:tc>
          <w:tcPr>
            <w:tcW w:w="180" w:type="dxa"/>
            <w:vAlign w:val="bottom"/>
            <w:tcBorders>
              <w:top w:val="single" w:sz="8" w:color="D9D9D9"/>
            </w:tcBorders>
            <w:shd w:val="clear" w:color="auto" w:fill="D9D9D9"/>
          </w:tcPr>
          <w:p>
            <w:pPr>
              <w:spacing w:after="0"/>
              <w:rPr>
                <w:sz w:val="14"/>
                <w:szCs w:val="14"/>
                <w:color w:val="auto"/>
              </w:rPr>
            </w:pPr>
          </w:p>
        </w:tc>
        <w:tc>
          <w:tcPr>
            <w:tcW w:w="102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1,659,055</w:t>
            </w:r>
          </w:p>
        </w:tc>
        <w:tc>
          <w:tcPr>
            <w:tcW w:w="180" w:type="dxa"/>
            <w:vAlign w:val="bottom"/>
            <w:tcBorders>
              <w:top w:val="single" w:sz="8" w:color="D9D9D9"/>
            </w:tcBorders>
            <w:shd w:val="clear" w:color="auto" w:fill="D9D9D9"/>
          </w:tcPr>
          <w:p>
            <w:pPr>
              <w:spacing w:after="0"/>
              <w:rPr>
                <w:sz w:val="14"/>
                <w:szCs w:val="14"/>
                <w:color w:val="auto"/>
              </w:rPr>
            </w:pPr>
          </w:p>
        </w:tc>
        <w:tc>
          <w:tcPr>
            <w:tcW w:w="108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0</w:t>
            </w:r>
          </w:p>
        </w:tc>
        <w:tc>
          <w:tcPr>
            <w:tcW w:w="120" w:type="dxa"/>
            <w:vAlign w:val="bottom"/>
            <w:tcBorders>
              <w:top w:val="single" w:sz="8" w:color="D9D9D9"/>
            </w:tcBorders>
            <w:shd w:val="clear" w:color="auto" w:fill="D9D9D9"/>
          </w:tcPr>
          <w:p>
            <w:pPr>
              <w:spacing w:after="0"/>
              <w:rPr>
                <w:sz w:val="14"/>
                <w:szCs w:val="14"/>
                <w:color w:val="auto"/>
              </w:rPr>
            </w:pPr>
          </w:p>
        </w:tc>
        <w:tc>
          <w:tcPr>
            <w:tcW w:w="106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0</w:t>
            </w:r>
          </w:p>
        </w:tc>
        <w:tc>
          <w:tcPr>
            <w:tcW w:w="120" w:type="dxa"/>
            <w:vAlign w:val="bottom"/>
            <w:tcBorders>
              <w:top w:val="single" w:sz="8" w:color="D9D9D9"/>
            </w:tcBorders>
            <w:shd w:val="clear" w:color="auto" w:fill="D9D9D9"/>
          </w:tcPr>
          <w:p>
            <w:pPr>
              <w:spacing w:after="0"/>
              <w:rPr>
                <w:sz w:val="14"/>
                <w:szCs w:val="14"/>
                <w:color w:val="auto"/>
              </w:rPr>
            </w:pPr>
          </w:p>
        </w:tc>
        <w:tc>
          <w:tcPr>
            <w:tcW w:w="102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1,560,339</w:t>
            </w:r>
          </w:p>
        </w:tc>
        <w:tc>
          <w:tcPr>
            <w:tcW w:w="180" w:type="dxa"/>
            <w:vAlign w:val="bottom"/>
            <w:tcBorders>
              <w:top w:val="single" w:sz="8" w:color="D9D9D9"/>
            </w:tcBorders>
            <w:shd w:val="clear" w:color="auto" w:fill="D9D9D9"/>
          </w:tcPr>
          <w:p>
            <w:pPr>
              <w:spacing w:after="0"/>
              <w:rPr>
                <w:sz w:val="14"/>
                <w:szCs w:val="14"/>
                <w:color w:val="auto"/>
              </w:rPr>
            </w:pPr>
          </w:p>
        </w:tc>
        <w:tc>
          <w:tcPr>
            <w:tcW w:w="134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3,703,536</w:t>
            </w:r>
          </w:p>
        </w:tc>
        <w:tc>
          <w:tcPr>
            <w:tcW w:w="180" w:type="dxa"/>
            <w:vAlign w:val="bottom"/>
            <w:tcBorders>
              <w:top w:val="single" w:sz="8" w:color="D9D9D9"/>
            </w:tcBorders>
            <w:shd w:val="clear" w:color="auto" w:fill="D9D9D9"/>
          </w:tcPr>
          <w:p>
            <w:pPr>
              <w:spacing w:after="0"/>
              <w:rPr>
                <w:sz w:val="14"/>
                <w:szCs w:val="14"/>
                <w:color w:val="auto"/>
              </w:rPr>
            </w:pPr>
          </w:p>
        </w:tc>
      </w:tr>
      <w:tr>
        <w:trPr>
          <w:trHeight w:val="183"/>
        </w:trPr>
        <w:tc>
          <w:tcPr>
            <w:tcW w:w="3640" w:type="dxa"/>
            <w:vAlign w:val="bottom"/>
          </w:tcPr>
          <w:p>
            <w:pPr>
              <w:spacing w:after="0"/>
              <w:rPr>
                <w:sz w:val="20"/>
                <w:szCs w:val="20"/>
                <w:color w:val="auto"/>
              </w:rPr>
            </w:pPr>
            <w:r>
              <w:rPr>
                <w:rFonts w:ascii="Arial" w:cs="Arial" w:eastAsia="Arial" w:hAnsi="Arial"/>
                <w:sz w:val="14"/>
                <w:szCs w:val="14"/>
                <w:color w:val="auto"/>
              </w:rPr>
              <w:t>Richard W. Rodier</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3"/>
        </w:trPr>
        <w:tc>
          <w:tcPr>
            <w:tcW w:w="3640" w:type="dxa"/>
            <w:vAlign w:val="bottom"/>
          </w:tcPr>
          <w:p>
            <w:pPr>
              <w:ind w:left="240"/>
              <w:spacing w:after="0" w:line="173" w:lineRule="exact"/>
              <w:rPr>
                <w:sz w:val="20"/>
                <w:szCs w:val="20"/>
                <w:color w:val="auto"/>
              </w:rPr>
            </w:pPr>
            <w:r>
              <w:rPr>
                <w:rFonts w:ascii="Arial" w:cs="Arial" w:eastAsia="Arial" w:hAnsi="Arial"/>
                <w:sz w:val="12"/>
                <w:szCs w:val="12"/>
                <w:color w:val="auto"/>
              </w:rPr>
              <w:t>Cash Severance Payment</w:t>
            </w:r>
            <w:r>
              <w:rPr>
                <w:rFonts w:ascii="Arial" w:cs="Arial" w:eastAsia="Arial" w:hAnsi="Arial"/>
                <w:sz w:val="20"/>
                <w:szCs w:val="20"/>
                <w:color w:val="auto"/>
                <w:vertAlign w:val="superscript"/>
              </w:rPr>
              <w:t>(2)</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1,785,000</w:t>
            </w:r>
          </w:p>
        </w:tc>
        <w:tc>
          <w:tcPr>
            <w:tcW w:w="180" w:type="dxa"/>
            <w:vAlign w:val="bottom"/>
          </w:tcPr>
          <w:p>
            <w:pPr>
              <w:spacing w:after="0"/>
              <w:rPr>
                <w:sz w:val="15"/>
                <w:szCs w:val="15"/>
                <w:color w:val="auto"/>
              </w:rPr>
            </w:pPr>
          </w:p>
        </w:tc>
      </w:tr>
      <w:tr>
        <w:trPr>
          <w:trHeight w:val="173"/>
        </w:trPr>
        <w:tc>
          <w:tcPr>
            <w:tcW w:w="3640" w:type="dxa"/>
            <w:vAlign w:val="bottom"/>
          </w:tcPr>
          <w:p>
            <w:pPr>
              <w:ind w:left="240"/>
              <w:spacing w:after="0" w:line="173" w:lineRule="exact"/>
              <w:rPr>
                <w:sz w:val="20"/>
                <w:szCs w:val="20"/>
                <w:color w:val="auto"/>
              </w:rPr>
            </w:pPr>
            <w:r>
              <w:rPr>
                <w:rFonts w:ascii="Arial" w:cs="Arial" w:eastAsia="Arial" w:hAnsi="Arial"/>
                <w:sz w:val="12"/>
                <w:szCs w:val="12"/>
                <w:color w:val="auto"/>
              </w:rPr>
              <w:t>Unvested &amp; Accelerated Stock Options</w:t>
            </w:r>
            <w:r>
              <w:rPr>
                <w:rFonts w:ascii="Arial" w:cs="Arial" w:eastAsia="Arial" w:hAnsi="Arial"/>
                <w:sz w:val="20"/>
                <w:szCs w:val="20"/>
                <w:color w:val="auto"/>
                <w:vertAlign w:val="superscript"/>
              </w:rPr>
              <w:t>(3)</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904,932</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904,932</w:t>
            </w: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904,932</w:t>
            </w:r>
          </w:p>
        </w:tc>
        <w:tc>
          <w:tcPr>
            <w:tcW w:w="180" w:type="dxa"/>
            <w:vAlign w:val="bottom"/>
          </w:tcPr>
          <w:p>
            <w:pPr>
              <w:spacing w:after="0"/>
              <w:rPr>
                <w:sz w:val="15"/>
                <w:szCs w:val="15"/>
                <w:color w:val="auto"/>
              </w:rPr>
            </w:pPr>
          </w:p>
        </w:tc>
      </w:tr>
      <w:tr>
        <w:trPr>
          <w:trHeight w:val="180"/>
        </w:trPr>
        <w:tc>
          <w:tcPr>
            <w:tcW w:w="3640" w:type="dxa"/>
            <w:vAlign w:val="bottom"/>
          </w:tcPr>
          <w:p>
            <w:pPr>
              <w:ind w:left="240"/>
              <w:spacing w:after="0" w:line="181" w:lineRule="exact"/>
              <w:rPr>
                <w:sz w:val="20"/>
                <w:szCs w:val="20"/>
                <w:color w:val="auto"/>
              </w:rPr>
            </w:pPr>
            <w:r>
              <w:rPr>
                <w:rFonts w:ascii="Arial" w:cs="Arial" w:eastAsia="Arial" w:hAnsi="Arial"/>
                <w:sz w:val="12"/>
                <w:szCs w:val="12"/>
                <w:color w:val="auto"/>
              </w:rPr>
              <w:t>Unvested &amp; Accelerated Restricted Stock Units</w:t>
            </w:r>
            <w:r>
              <w:rPr>
                <w:rFonts w:ascii="Arial" w:cs="Arial" w:eastAsia="Arial" w:hAnsi="Arial"/>
                <w:sz w:val="20"/>
                <w:szCs w:val="20"/>
                <w:color w:val="auto"/>
                <w:vertAlign w:val="superscript"/>
              </w:rPr>
              <w:t>(9)</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482,314</w:t>
            </w: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482,314</w:t>
            </w:r>
          </w:p>
        </w:tc>
        <w:tc>
          <w:tcPr>
            <w:tcW w:w="180" w:type="dxa"/>
            <w:vAlign w:val="bottom"/>
          </w:tcPr>
          <w:p>
            <w:pPr>
              <w:spacing w:after="0"/>
              <w:rPr>
                <w:sz w:val="15"/>
                <w:szCs w:val="15"/>
                <w:color w:val="auto"/>
              </w:rPr>
            </w:pPr>
          </w:p>
        </w:tc>
      </w:tr>
      <w:tr>
        <w:trPr>
          <w:trHeight w:val="166"/>
        </w:trPr>
        <w:tc>
          <w:tcPr>
            <w:tcW w:w="3640" w:type="dxa"/>
            <w:vAlign w:val="bottom"/>
          </w:tcPr>
          <w:p>
            <w:pPr>
              <w:ind w:left="240"/>
              <w:spacing w:after="0"/>
              <w:rPr>
                <w:sz w:val="20"/>
                <w:szCs w:val="20"/>
                <w:color w:val="auto"/>
              </w:rPr>
            </w:pPr>
            <w:r>
              <w:rPr>
                <w:rFonts w:ascii="Arial" w:cs="Arial" w:eastAsia="Arial" w:hAnsi="Arial"/>
                <w:sz w:val="14"/>
                <w:szCs w:val="14"/>
                <w:color w:val="auto"/>
              </w:rPr>
              <w:t>Performance Share Award Payouts</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526,517</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(4)</w:t>
            </w:r>
          </w:p>
        </w:tc>
        <w:tc>
          <w:tcPr>
            <w:tcW w:w="1020" w:type="dxa"/>
            <w:vAlign w:val="bottom"/>
          </w:tcPr>
          <w:p>
            <w:pPr>
              <w:jc w:val="right"/>
              <w:spacing w:after="0"/>
              <w:rPr>
                <w:sz w:val="20"/>
                <w:szCs w:val="20"/>
                <w:color w:val="auto"/>
              </w:rPr>
            </w:pPr>
            <w:r>
              <w:rPr>
                <w:rFonts w:ascii="Arial" w:cs="Arial" w:eastAsia="Arial" w:hAnsi="Arial"/>
                <w:sz w:val="14"/>
                <w:szCs w:val="14"/>
                <w:color w:val="auto"/>
              </w:rPr>
              <w:t>526,517</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(4)</w:t>
            </w:r>
          </w:p>
        </w:tc>
        <w:tc>
          <w:tcPr>
            <w:tcW w:w="1080" w:type="dxa"/>
            <w:vAlign w:val="bottom"/>
          </w:tcPr>
          <w:p>
            <w:pPr>
              <w:jc w:val="right"/>
              <w:spacing w:after="0"/>
              <w:rPr>
                <w:sz w:val="20"/>
                <w:szCs w:val="20"/>
                <w:color w:val="auto"/>
              </w:rPr>
            </w:pPr>
            <w:r>
              <w:rPr>
                <w:rFonts w:ascii="Arial" w:cs="Arial" w:eastAsia="Arial" w:hAnsi="Arial"/>
                <w:sz w:val="14"/>
                <w:szCs w:val="14"/>
                <w:color w:val="auto"/>
              </w:rPr>
              <w:t>0</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426,369</w:t>
            </w:r>
          </w:p>
        </w:tc>
        <w:tc>
          <w:tcPr>
            <w:tcW w:w="180" w:type="dxa"/>
            <w:vAlign w:val="bottom"/>
          </w:tcPr>
          <w:p>
            <w:pPr>
              <w:jc w:val="right"/>
              <w:spacing w:after="0"/>
              <w:rPr>
                <w:sz w:val="20"/>
                <w:szCs w:val="20"/>
                <w:color w:val="auto"/>
              </w:rPr>
            </w:pPr>
            <w:r>
              <w:rPr>
                <w:rFonts w:ascii="Arial" w:cs="Arial" w:eastAsia="Arial" w:hAnsi="Arial"/>
                <w:sz w:val="12"/>
                <w:szCs w:val="12"/>
                <w:color w:val="auto"/>
                <w:w w:val="81"/>
              </w:rPr>
              <w:t>(5)</w:t>
            </w:r>
          </w:p>
        </w:tc>
        <w:tc>
          <w:tcPr>
            <w:tcW w:w="1340" w:type="dxa"/>
            <w:vAlign w:val="bottom"/>
          </w:tcPr>
          <w:p>
            <w:pPr>
              <w:jc w:val="right"/>
              <w:spacing w:after="0"/>
              <w:rPr>
                <w:sz w:val="20"/>
                <w:szCs w:val="20"/>
                <w:color w:val="auto"/>
              </w:rPr>
            </w:pPr>
            <w:r>
              <w:rPr>
                <w:rFonts w:ascii="Arial" w:cs="Arial" w:eastAsia="Arial" w:hAnsi="Arial"/>
                <w:sz w:val="14"/>
                <w:szCs w:val="14"/>
                <w:color w:val="auto"/>
              </w:rPr>
              <w:t>426,369</w:t>
            </w:r>
          </w:p>
        </w:tc>
        <w:tc>
          <w:tcPr>
            <w:tcW w:w="180" w:type="dxa"/>
            <w:vAlign w:val="bottom"/>
          </w:tcPr>
          <w:p>
            <w:pPr>
              <w:spacing w:after="0"/>
              <w:rPr>
                <w:sz w:val="14"/>
                <w:szCs w:val="14"/>
                <w:color w:val="auto"/>
              </w:rPr>
            </w:pPr>
          </w:p>
        </w:tc>
      </w:tr>
      <w:tr>
        <w:trPr>
          <w:trHeight w:val="173"/>
        </w:trPr>
        <w:tc>
          <w:tcPr>
            <w:tcW w:w="3640" w:type="dxa"/>
            <w:vAlign w:val="bottom"/>
          </w:tcPr>
          <w:p>
            <w:pPr>
              <w:ind w:left="240"/>
              <w:spacing w:after="0" w:line="173" w:lineRule="exact"/>
              <w:rPr>
                <w:sz w:val="20"/>
                <w:szCs w:val="20"/>
                <w:color w:val="auto"/>
              </w:rPr>
            </w:pPr>
            <w:r>
              <w:rPr>
                <w:rFonts w:ascii="Arial" w:cs="Arial" w:eastAsia="Arial" w:hAnsi="Arial"/>
                <w:sz w:val="12"/>
                <w:szCs w:val="12"/>
                <w:color w:val="auto"/>
              </w:rPr>
              <w:t>Welfare Plan Benefits</w:t>
            </w:r>
            <w:r>
              <w:rPr>
                <w:rFonts w:ascii="Arial" w:cs="Arial" w:eastAsia="Arial" w:hAnsi="Arial"/>
                <w:sz w:val="20"/>
                <w:szCs w:val="20"/>
                <w:color w:val="auto"/>
                <w:vertAlign w:val="superscript"/>
              </w:rPr>
              <w:t>(6)</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42,999</w:t>
            </w:r>
          </w:p>
        </w:tc>
        <w:tc>
          <w:tcPr>
            <w:tcW w:w="180" w:type="dxa"/>
            <w:vAlign w:val="bottom"/>
          </w:tcPr>
          <w:p>
            <w:pPr>
              <w:spacing w:after="0"/>
              <w:rPr>
                <w:sz w:val="15"/>
                <w:szCs w:val="15"/>
                <w:color w:val="auto"/>
              </w:rPr>
            </w:pPr>
          </w:p>
        </w:tc>
      </w:tr>
      <w:tr>
        <w:trPr>
          <w:trHeight w:val="173"/>
        </w:trPr>
        <w:tc>
          <w:tcPr>
            <w:tcW w:w="3640" w:type="dxa"/>
            <w:vAlign w:val="bottom"/>
          </w:tcPr>
          <w:p>
            <w:pPr>
              <w:ind w:left="240"/>
              <w:spacing w:after="0" w:line="173" w:lineRule="exact"/>
              <w:rPr>
                <w:sz w:val="20"/>
                <w:szCs w:val="20"/>
                <w:color w:val="auto"/>
              </w:rPr>
            </w:pPr>
            <w:r>
              <w:rPr>
                <w:rFonts w:ascii="Arial" w:cs="Arial" w:eastAsia="Arial" w:hAnsi="Arial"/>
                <w:sz w:val="12"/>
                <w:szCs w:val="12"/>
                <w:color w:val="auto"/>
              </w:rPr>
              <w:t>Outplacement Services</w:t>
            </w:r>
            <w:r>
              <w:rPr>
                <w:rFonts w:ascii="Arial" w:cs="Arial" w:eastAsia="Arial" w:hAnsi="Arial"/>
                <w:sz w:val="20"/>
                <w:szCs w:val="20"/>
                <w:color w:val="auto"/>
                <w:vertAlign w:val="superscript"/>
              </w:rPr>
              <w:t>(7)</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30,000</w:t>
            </w:r>
          </w:p>
        </w:tc>
        <w:tc>
          <w:tcPr>
            <w:tcW w:w="180" w:type="dxa"/>
            <w:vAlign w:val="bottom"/>
          </w:tcPr>
          <w:p>
            <w:pPr>
              <w:spacing w:after="0"/>
              <w:rPr>
                <w:sz w:val="15"/>
                <w:szCs w:val="15"/>
                <w:color w:val="auto"/>
              </w:rPr>
            </w:pPr>
          </w:p>
        </w:tc>
      </w:tr>
      <w:tr>
        <w:trPr>
          <w:trHeight w:val="162"/>
        </w:trPr>
        <w:tc>
          <w:tcPr>
            <w:tcW w:w="3640" w:type="dxa"/>
            <w:vAlign w:val="bottom"/>
          </w:tcPr>
          <w:p>
            <w:pPr>
              <w:ind w:left="240"/>
              <w:spacing w:after="0" w:line="163" w:lineRule="exact"/>
              <w:rPr>
                <w:sz w:val="20"/>
                <w:szCs w:val="20"/>
                <w:color w:val="auto"/>
              </w:rPr>
            </w:pPr>
            <w:r>
              <w:rPr>
                <w:rFonts w:ascii="Arial" w:cs="Arial" w:eastAsia="Arial" w:hAnsi="Arial"/>
                <w:sz w:val="11"/>
                <w:szCs w:val="11"/>
                <w:color w:val="auto"/>
              </w:rPr>
              <w:t>Perquisites</w:t>
            </w:r>
            <w:r>
              <w:rPr>
                <w:rFonts w:ascii="Arial" w:cs="Arial" w:eastAsia="Arial" w:hAnsi="Arial"/>
                <w:sz w:val="18"/>
                <w:szCs w:val="18"/>
                <w:color w:val="auto"/>
                <w:vertAlign w:val="superscript"/>
              </w:rPr>
              <w:t>(8)</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37,734</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4"/>
                <w:szCs w:val="14"/>
                <w:color w:val="auto"/>
              </w:rPr>
            </w:pPr>
          </w:p>
        </w:tc>
      </w:tr>
      <w:tr>
        <w:trPr>
          <w:trHeight w:val="166"/>
        </w:trPr>
        <w:tc>
          <w:tcPr>
            <w:tcW w:w="364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564,251</w:t>
            </w:r>
          </w:p>
        </w:tc>
        <w:tc>
          <w:tcPr>
            <w:tcW w:w="180" w:type="dxa"/>
            <w:vAlign w:val="bottom"/>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1,431,449</w:t>
            </w:r>
          </w:p>
        </w:tc>
        <w:tc>
          <w:tcPr>
            <w:tcW w:w="180" w:type="dxa"/>
            <w:vAlign w:val="bottom"/>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0</w:t>
            </w:r>
          </w:p>
        </w:tc>
        <w:tc>
          <w:tcPr>
            <w:tcW w:w="120" w:type="dxa"/>
            <w:vAlign w:val="bottom"/>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0</w:t>
            </w:r>
          </w:p>
        </w:tc>
        <w:tc>
          <w:tcPr>
            <w:tcW w:w="120" w:type="dxa"/>
            <w:vAlign w:val="bottom"/>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1,813,615</w:t>
            </w:r>
          </w:p>
        </w:tc>
        <w:tc>
          <w:tcPr>
            <w:tcW w:w="180" w:type="dxa"/>
            <w:vAlign w:val="bottom"/>
          </w:tcPr>
          <w:p>
            <w:pPr>
              <w:spacing w:after="0"/>
              <w:rPr>
                <w:sz w:val="14"/>
                <w:szCs w:val="14"/>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3,671,614</w:t>
            </w:r>
          </w:p>
        </w:tc>
        <w:tc>
          <w:tcPr>
            <w:tcW w:w="180" w:type="dxa"/>
            <w:vAlign w:val="bottom"/>
          </w:tcPr>
          <w:p>
            <w:pPr>
              <w:spacing w:after="0"/>
              <w:rPr>
                <w:sz w:val="14"/>
                <w:szCs w:val="14"/>
                <w:color w:val="auto"/>
              </w:rPr>
            </w:pPr>
          </w:p>
        </w:tc>
      </w:tr>
      <w:tr>
        <w:trPr>
          <w:trHeight w:val="173"/>
        </w:trPr>
        <w:tc>
          <w:tcPr>
            <w:tcW w:w="3640" w:type="dxa"/>
            <w:vAlign w:val="bottom"/>
            <w:shd w:val="clear" w:color="auto" w:fill="D9D9D9"/>
          </w:tcPr>
          <w:p>
            <w:pPr>
              <w:spacing w:after="0"/>
              <w:rPr>
                <w:sz w:val="20"/>
                <w:szCs w:val="20"/>
                <w:color w:val="auto"/>
              </w:rPr>
            </w:pPr>
            <w:r>
              <w:rPr>
                <w:rFonts w:ascii="Arial" w:cs="Arial" w:eastAsia="Arial" w:hAnsi="Arial"/>
                <w:sz w:val="14"/>
                <w:szCs w:val="14"/>
                <w:color w:val="auto"/>
              </w:rPr>
              <w:t>Amy E. Dahl</w:t>
            </w:r>
          </w:p>
        </w:tc>
        <w:tc>
          <w:tcPr>
            <w:tcW w:w="120" w:type="dxa"/>
            <w:vAlign w:val="bottom"/>
            <w:shd w:val="clear" w:color="auto" w:fill="D9D9D9"/>
          </w:tcPr>
          <w:p>
            <w:pPr>
              <w:spacing w:after="0"/>
              <w:rPr>
                <w:sz w:val="15"/>
                <w:szCs w:val="15"/>
                <w:color w:val="auto"/>
              </w:rPr>
            </w:pPr>
          </w:p>
        </w:tc>
        <w:tc>
          <w:tcPr>
            <w:tcW w:w="1000" w:type="dxa"/>
            <w:vAlign w:val="bottom"/>
            <w:shd w:val="clear" w:color="auto" w:fill="D9D9D9"/>
          </w:tcPr>
          <w:p>
            <w:pPr>
              <w:spacing w:after="0"/>
              <w:rPr>
                <w:sz w:val="15"/>
                <w:szCs w:val="15"/>
                <w:color w:val="auto"/>
              </w:rPr>
            </w:pPr>
          </w:p>
        </w:tc>
        <w:tc>
          <w:tcPr>
            <w:tcW w:w="180" w:type="dxa"/>
            <w:vAlign w:val="bottom"/>
            <w:shd w:val="clear" w:color="auto" w:fill="D9D9D9"/>
          </w:tcPr>
          <w:p>
            <w:pPr>
              <w:spacing w:after="0"/>
              <w:rPr>
                <w:sz w:val="15"/>
                <w:szCs w:val="15"/>
                <w:color w:val="auto"/>
              </w:rPr>
            </w:pPr>
          </w:p>
        </w:tc>
        <w:tc>
          <w:tcPr>
            <w:tcW w:w="1020" w:type="dxa"/>
            <w:vAlign w:val="bottom"/>
            <w:shd w:val="clear" w:color="auto" w:fill="D9D9D9"/>
          </w:tcPr>
          <w:p>
            <w:pPr>
              <w:spacing w:after="0"/>
              <w:rPr>
                <w:sz w:val="15"/>
                <w:szCs w:val="15"/>
                <w:color w:val="auto"/>
              </w:rPr>
            </w:pPr>
          </w:p>
        </w:tc>
        <w:tc>
          <w:tcPr>
            <w:tcW w:w="180" w:type="dxa"/>
            <w:vAlign w:val="bottom"/>
            <w:shd w:val="clear" w:color="auto" w:fill="D9D9D9"/>
          </w:tcPr>
          <w:p>
            <w:pPr>
              <w:spacing w:after="0"/>
              <w:rPr>
                <w:sz w:val="15"/>
                <w:szCs w:val="15"/>
                <w:color w:val="auto"/>
              </w:rPr>
            </w:pPr>
          </w:p>
        </w:tc>
        <w:tc>
          <w:tcPr>
            <w:tcW w:w="1080" w:type="dxa"/>
            <w:vAlign w:val="bottom"/>
            <w:shd w:val="clear" w:color="auto" w:fill="D9D9D9"/>
          </w:tcPr>
          <w:p>
            <w:pPr>
              <w:spacing w:after="0"/>
              <w:rPr>
                <w:sz w:val="15"/>
                <w:szCs w:val="15"/>
                <w:color w:val="auto"/>
              </w:rPr>
            </w:pPr>
          </w:p>
        </w:tc>
        <w:tc>
          <w:tcPr>
            <w:tcW w:w="120" w:type="dxa"/>
            <w:vAlign w:val="bottom"/>
            <w:shd w:val="clear" w:color="auto" w:fill="D9D9D9"/>
          </w:tcPr>
          <w:p>
            <w:pPr>
              <w:spacing w:after="0"/>
              <w:rPr>
                <w:sz w:val="15"/>
                <w:szCs w:val="15"/>
                <w:color w:val="auto"/>
              </w:rPr>
            </w:pPr>
          </w:p>
        </w:tc>
        <w:tc>
          <w:tcPr>
            <w:tcW w:w="1060" w:type="dxa"/>
            <w:vAlign w:val="bottom"/>
            <w:shd w:val="clear" w:color="auto" w:fill="D9D9D9"/>
          </w:tcPr>
          <w:p>
            <w:pPr>
              <w:spacing w:after="0"/>
              <w:rPr>
                <w:sz w:val="15"/>
                <w:szCs w:val="15"/>
                <w:color w:val="auto"/>
              </w:rPr>
            </w:pPr>
          </w:p>
        </w:tc>
        <w:tc>
          <w:tcPr>
            <w:tcW w:w="120" w:type="dxa"/>
            <w:vAlign w:val="bottom"/>
            <w:shd w:val="clear" w:color="auto" w:fill="D9D9D9"/>
          </w:tcPr>
          <w:p>
            <w:pPr>
              <w:spacing w:after="0"/>
              <w:rPr>
                <w:sz w:val="15"/>
                <w:szCs w:val="15"/>
                <w:color w:val="auto"/>
              </w:rPr>
            </w:pPr>
          </w:p>
        </w:tc>
        <w:tc>
          <w:tcPr>
            <w:tcW w:w="1020" w:type="dxa"/>
            <w:vAlign w:val="bottom"/>
            <w:shd w:val="clear" w:color="auto" w:fill="D9D9D9"/>
          </w:tcPr>
          <w:p>
            <w:pPr>
              <w:spacing w:after="0"/>
              <w:rPr>
                <w:sz w:val="15"/>
                <w:szCs w:val="15"/>
                <w:color w:val="auto"/>
              </w:rPr>
            </w:pPr>
          </w:p>
        </w:tc>
        <w:tc>
          <w:tcPr>
            <w:tcW w:w="180" w:type="dxa"/>
            <w:vAlign w:val="bottom"/>
            <w:shd w:val="clear" w:color="auto" w:fill="D9D9D9"/>
          </w:tcPr>
          <w:p>
            <w:pPr>
              <w:spacing w:after="0"/>
              <w:rPr>
                <w:sz w:val="15"/>
                <w:szCs w:val="15"/>
                <w:color w:val="auto"/>
              </w:rPr>
            </w:pPr>
          </w:p>
        </w:tc>
        <w:tc>
          <w:tcPr>
            <w:tcW w:w="1340" w:type="dxa"/>
            <w:vAlign w:val="bottom"/>
            <w:shd w:val="clear" w:color="auto" w:fill="D9D9D9"/>
          </w:tcPr>
          <w:p>
            <w:pPr>
              <w:spacing w:after="0"/>
              <w:rPr>
                <w:sz w:val="15"/>
                <w:szCs w:val="15"/>
                <w:color w:val="auto"/>
              </w:rPr>
            </w:pPr>
          </w:p>
        </w:tc>
        <w:tc>
          <w:tcPr>
            <w:tcW w:w="180" w:type="dxa"/>
            <w:vAlign w:val="bottom"/>
            <w:shd w:val="clear" w:color="auto" w:fill="D9D9D9"/>
          </w:tcPr>
          <w:p>
            <w:pPr>
              <w:spacing w:after="0"/>
              <w:rPr>
                <w:sz w:val="15"/>
                <w:szCs w:val="15"/>
                <w:color w:val="auto"/>
              </w:rPr>
            </w:pPr>
          </w:p>
        </w:tc>
      </w:tr>
      <w:tr>
        <w:trPr>
          <w:trHeight w:val="173"/>
        </w:trPr>
        <w:tc>
          <w:tcPr>
            <w:tcW w:w="3640" w:type="dxa"/>
            <w:vAlign w:val="bottom"/>
            <w:shd w:val="clear" w:color="auto" w:fill="D9D9D9"/>
          </w:tcPr>
          <w:p>
            <w:pPr>
              <w:ind w:left="240"/>
              <w:spacing w:after="0" w:line="173" w:lineRule="exact"/>
              <w:rPr>
                <w:sz w:val="20"/>
                <w:szCs w:val="20"/>
                <w:color w:val="auto"/>
              </w:rPr>
            </w:pPr>
            <w:r>
              <w:rPr>
                <w:rFonts w:ascii="Arial" w:cs="Arial" w:eastAsia="Arial" w:hAnsi="Arial"/>
                <w:sz w:val="12"/>
                <w:szCs w:val="12"/>
                <w:color w:val="auto"/>
              </w:rPr>
              <w:t>Cash Severance Payment</w:t>
            </w:r>
            <w:r>
              <w:rPr>
                <w:rFonts w:ascii="Arial" w:cs="Arial" w:eastAsia="Arial" w:hAnsi="Arial"/>
                <w:sz w:val="20"/>
                <w:szCs w:val="20"/>
                <w:color w:val="auto"/>
                <w:vertAlign w:val="superscript"/>
              </w:rPr>
              <w:t>(2)</w:t>
            </w:r>
          </w:p>
        </w:tc>
        <w:tc>
          <w:tcPr>
            <w:tcW w:w="120" w:type="dxa"/>
            <w:vAlign w:val="bottom"/>
            <w:shd w:val="clear" w:color="auto" w:fill="D9D9D9"/>
          </w:tcPr>
          <w:p>
            <w:pPr>
              <w:spacing w:after="0"/>
              <w:rPr>
                <w:sz w:val="15"/>
                <w:szCs w:val="15"/>
                <w:color w:val="auto"/>
              </w:rPr>
            </w:pPr>
          </w:p>
        </w:tc>
        <w:tc>
          <w:tcPr>
            <w:tcW w:w="10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18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3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1,617,000</w:t>
            </w:r>
          </w:p>
        </w:tc>
        <w:tc>
          <w:tcPr>
            <w:tcW w:w="180" w:type="dxa"/>
            <w:vAlign w:val="bottom"/>
            <w:shd w:val="clear" w:color="auto" w:fill="D9D9D9"/>
          </w:tcPr>
          <w:p>
            <w:pPr>
              <w:spacing w:after="0"/>
              <w:rPr>
                <w:sz w:val="15"/>
                <w:szCs w:val="15"/>
                <w:color w:val="auto"/>
              </w:rPr>
            </w:pPr>
          </w:p>
        </w:tc>
      </w:tr>
      <w:tr>
        <w:trPr>
          <w:trHeight w:val="173"/>
        </w:trPr>
        <w:tc>
          <w:tcPr>
            <w:tcW w:w="3640" w:type="dxa"/>
            <w:vAlign w:val="bottom"/>
            <w:shd w:val="clear" w:color="auto" w:fill="D9D9D9"/>
          </w:tcPr>
          <w:p>
            <w:pPr>
              <w:ind w:left="240"/>
              <w:spacing w:after="0" w:line="173" w:lineRule="exact"/>
              <w:rPr>
                <w:sz w:val="20"/>
                <w:szCs w:val="20"/>
                <w:color w:val="auto"/>
              </w:rPr>
            </w:pPr>
            <w:r>
              <w:rPr>
                <w:rFonts w:ascii="Arial" w:cs="Arial" w:eastAsia="Arial" w:hAnsi="Arial"/>
                <w:sz w:val="12"/>
                <w:szCs w:val="12"/>
                <w:color w:val="auto"/>
              </w:rPr>
              <w:t>Unvested &amp; Accelerated Stock Options</w:t>
            </w:r>
            <w:r>
              <w:rPr>
                <w:rFonts w:ascii="Arial" w:cs="Arial" w:eastAsia="Arial" w:hAnsi="Arial"/>
                <w:sz w:val="20"/>
                <w:szCs w:val="20"/>
                <w:color w:val="auto"/>
                <w:vertAlign w:val="superscript"/>
              </w:rPr>
              <w:t>(3)</w:t>
            </w:r>
          </w:p>
        </w:tc>
        <w:tc>
          <w:tcPr>
            <w:tcW w:w="120" w:type="dxa"/>
            <w:vAlign w:val="bottom"/>
            <w:shd w:val="clear" w:color="auto" w:fill="D9D9D9"/>
          </w:tcPr>
          <w:p>
            <w:pPr>
              <w:spacing w:after="0"/>
              <w:rPr>
                <w:sz w:val="15"/>
                <w:szCs w:val="15"/>
                <w:color w:val="auto"/>
              </w:rPr>
            </w:pPr>
          </w:p>
        </w:tc>
        <w:tc>
          <w:tcPr>
            <w:tcW w:w="10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911,238</w:t>
            </w:r>
          </w:p>
        </w:tc>
        <w:tc>
          <w:tcPr>
            <w:tcW w:w="180" w:type="dxa"/>
            <w:vAlign w:val="bottom"/>
            <w:shd w:val="clear" w:color="auto" w:fill="D9D9D9"/>
          </w:tcPr>
          <w:p>
            <w:pPr>
              <w:spacing w:after="0"/>
              <w:rPr>
                <w:sz w:val="15"/>
                <w:szCs w:val="15"/>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18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911,238</w:t>
            </w:r>
          </w:p>
        </w:tc>
        <w:tc>
          <w:tcPr>
            <w:tcW w:w="180" w:type="dxa"/>
            <w:vAlign w:val="bottom"/>
            <w:shd w:val="clear" w:color="auto" w:fill="D9D9D9"/>
          </w:tcPr>
          <w:p>
            <w:pPr>
              <w:spacing w:after="0"/>
              <w:rPr>
                <w:sz w:val="15"/>
                <w:szCs w:val="15"/>
                <w:color w:val="auto"/>
              </w:rPr>
            </w:pPr>
          </w:p>
        </w:tc>
        <w:tc>
          <w:tcPr>
            <w:tcW w:w="13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911,238</w:t>
            </w:r>
          </w:p>
        </w:tc>
        <w:tc>
          <w:tcPr>
            <w:tcW w:w="180" w:type="dxa"/>
            <w:vAlign w:val="bottom"/>
            <w:shd w:val="clear" w:color="auto" w:fill="D9D9D9"/>
          </w:tcPr>
          <w:p>
            <w:pPr>
              <w:spacing w:after="0"/>
              <w:rPr>
                <w:sz w:val="15"/>
                <w:szCs w:val="15"/>
                <w:color w:val="auto"/>
              </w:rPr>
            </w:pPr>
          </w:p>
        </w:tc>
      </w:tr>
      <w:tr>
        <w:trPr>
          <w:trHeight w:val="173"/>
        </w:trPr>
        <w:tc>
          <w:tcPr>
            <w:tcW w:w="3640" w:type="dxa"/>
            <w:vAlign w:val="bottom"/>
            <w:shd w:val="clear" w:color="auto" w:fill="D9D9D9"/>
          </w:tcPr>
          <w:p>
            <w:pPr>
              <w:ind w:left="240"/>
              <w:spacing w:after="0"/>
              <w:rPr>
                <w:sz w:val="20"/>
                <w:szCs w:val="20"/>
                <w:color w:val="auto"/>
              </w:rPr>
            </w:pPr>
            <w:r>
              <w:rPr>
                <w:rFonts w:ascii="Arial" w:cs="Arial" w:eastAsia="Arial" w:hAnsi="Arial"/>
                <w:sz w:val="14"/>
                <w:szCs w:val="14"/>
                <w:color w:val="auto"/>
              </w:rPr>
              <w:t>Performance Share Award Payouts</w:t>
            </w:r>
          </w:p>
        </w:tc>
        <w:tc>
          <w:tcPr>
            <w:tcW w:w="120" w:type="dxa"/>
            <w:vAlign w:val="bottom"/>
            <w:shd w:val="clear" w:color="auto" w:fill="D9D9D9"/>
          </w:tcPr>
          <w:p>
            <w:pPr>
              <w:spacing w:after="0"/>
              <w:rPr>
                <w:sz w:val="15"/>
                <w:szCs w:val="15"/>
                <w:color w:val="auto"/>
              </w:rPr>
            </w:pPr>
          </w:p>
        </w:tc>
        <w:tc>
          <w:tcPr>
            <w:tcW w:w="10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463,602</w:t>
            </w:r>
          </w:p>
        </w:tc>
        <w:tc>
          <w:tcPr>
            <w:tcW w:w="180" w:type="dxa"/>
            <w:vAlign w:val="bottom"/>
            <w:shd w:val="clear" w:color="auto" w:fill="D9D9D9"/>
          </w:tcPr>
          <w:p>
            <w:pPr>
              <w:jc w:val="right"/>
              <w:spacing w:after="0"/>
              <w:rPr>
                <w:sz w:val="20"/>
                <w:szCs w:val="20"/>
                <w:color w:val="auto"/>
              </w:rPr>
            </w:pPr>
            <w:r>
              <w:rPr>
                <w:rFonts w:ascii="Arial" w:cs="Arial" w:eastAsia="Arial" w:hAnsi="Arial"/>
                <w:sz w:val="12"/>
                <w:szCs w:val="12"/>
                <w:color w:val="auto"/>
                <w:w w:val="95"/>
              </w:rPr>
              <w:t>(4)</w:t>
            </w: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463,602</w:t>
            </w:r>
          </w:p>
        </w:tc>
        <w:tc>
          <w:tcPr>
            <w:tcW w:w="180" w:type="dxa"/>
            <w:vAlign w:val="bottom"/>
            <w:shd w:val="clear" w:color="auto" w:fill="D9D9D9"/>
          </w:tcPr>
          <w:p>
            <w:pPr>
              <w:jc w:val="right"/>
              <w:spacing w:after="0"/>
              <w:rPr>
                <w:sz w:val="20"/>
                <w:szCs w:val="20"/>
                <w:color w:val="auto"/>
              </w:rPr>
            </w:pPr>
            <w:r>
              <w:rPr>
                <w:rFonts w:ascii="Arial" w:cs="Arial" w:eastAsia="Arial" w:hAnsi="Arial"/>
                <w:sz w:val="12"/>
                <w:szCs w:val="12"/>
                <w:color w:val="auto"/>
                <w:w w:val="95"/>
              </w:rPr>
              <w:t>(4)</w:t>
            </w:r>
          </w:p>
        </w:tc>
        <w:tc>
          <w:tcPr>
            <w:tcW w:w="10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18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400,879</w:t>
            </w:r>
          </w:p>
        </w:tc>
        <w:tc>
          <w:tcPr>
            <w:tcW w:w="180" w:type="dxa"/>
            <w:vAlign w:val="bottom"/>
            <w:shd w:val="clear" w:color="auto" w:fill="D9D9D9"/>
          </w:tcPr>
          <w:p>
            <w:pPr>
              <w:jc w:val="right"/>
              <w:spacing w:after="0"/>
              <w:rPr>
                <w:sz w:val="20"/>
                <w:szCs w:val="20"/>
                <w:color w:val="auto"/>
              </w:rPr>
            </w:pPr>
            <w:r>
              <w:rPr>
                <w:rFonts w:ascii="Arial" w:cs="Arial" w:eastAsia="Arial" w:hAnsi="Arial"/>
                <w:sz w:val="12"/>
                <w:szCs w:val="12"/>
                <w:color w:val="auto"/>
                <w:w w:val="81"/>
              </w:rPr>
              <w:t>(5)</w:t>
            </w:r>
          </w:p>
        </w:tc>
        <w:tc>
          <w:tcPr>
            <w:tcW w:w="13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400,879</w:t>
            </w:r>
          </w:p>
        </w:tc>
        <w:tc>
          <w:tcPr>
            <w:tcW w:w="180" w:type="dxa"/>
            <w:vAlign w:val="bottom"/>
            <w:shd w:val="clear" w:color="auto" w:fill="D9D9D9"/>
          </w:tcPr>
          <w:p>
            <w:pPr>
              <w:jc w:val="right"/>
              <w:spacing w:after="0"/>
              <w:rPr>
                <w:sz w:val="20"/>
                <w:szCs w:val="20"/>
                <w:color w:val="auto"/>
              </w:rPr>
            </w:pPr>
            <w:r>
              <w:rPr>
                <w:rFonts w:ascii="Arial" w:cs="Arial" w:eastAsia="Arial" w:hAnsi="Arial"/>
                <w:sz w:val="12"/>
                <w:szCs w:val="12"/>
                <w:color w:val="auto"/>
                <w:w w:val="95"/>
              </w:rPr>
              <w:t>(5)</w:t>
            </w:r>
          </w:p>
        </w:tc>
      </w:tr>
      <w:tr>
        <w:trPr>
          <w:trHeight w:val="173"/>
        </w:trPr>
        <w:tc>
          <w:tcPr>
            <w:tcW w:w="3640" w:type="dxa"/>
            <w:vAlign w:val="bottom"/>
            <w:shd w:val="clear" w:color="auto" w:fill="D9D9D9"/>
          </w:tcPr>
          <w:p>
            <w:pPr>
              <w:ind w:left="240"/>
              <w:spacing w:after="0" w:line="173" w:lineRule="exact"/>
              <w:rPr>
                <w:sz w:val="20"/>
                <w:szCs w:val="20"/>
                <w:color w:val="auto"/>
              </w:rPr>
            </w:pPr>
            <w:r>
              <w:rPr>
                <w:rFonts w:ascii="Arial" w:cs="Arial" w:eastAsia="Arial" w:hAnsi="Arial"/>
                <w:sz w:val="12"/>
                <w:szCs w:val="12"/>
                <w:color w:val="auto"/>
              </w:rPr>
              <w:t>Welfare Plan Benefits</w:t>
            </w:r>
            <w:r>
              <w:rPr>
                <w:rFonts w:ascii="Arial" w:cs="Arial" w:eastAsia="Arial" w:hAnsi="Arial"/>
                <w:sz w:val="20"/>
                <w:szCs w:val="20"/>
                <w:color w:val="auto"/>
                <w:vertAlign w:val="superscript"/>
              </w:rPr>
              <w:t>(6)</w:t>
            </w:r>
          </w:p>
        </w:tc>
        <w:tc>
          <w:tcPr>
            <w:tcW w:w="120" w:type="dxa"/>
            <w:vAlign w:val="bottom"/>
            <w:shd w:val="clear" w:color="auto" w:fill="D9D9D9"/>
          </w:tcPr>
          <w:p>
            <w:pPr>
              <w:spacing w:after="0"/>
              <w:rPr>
                <w:sz w:val="15"/>
                <w:szCs w:val="15"/>
                <w:color w:val="auto"/>
              </w:rPr>
            </w:pPr>
          </w:p>
        </w:tc>
        <w:tc>
          <w:tcPr>
            <w:tcW w:w="10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18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3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18,990</w:t>
            </w:r>
          </w:p>
        </w:tc>
        <w:tc>
          <w:tcPr>
            <w:tcW w:w="180" w:type="dxa"/>
            <w:vAlign w:val="bottom"/>
            <w:shd w:val="clear" w:color="auto" w:fill="D9D9D9"/>
          </w:tcPr>
          <w:p>
            <w:pPr>
              <w:spacing w:after="0"/>
              <w:rPr>
                <w:sz w:val="15"/>
                <w:szCs w:val="15"/>
                <w:color w:val="auto"/>
              </w:rPr>
            </w:pPr>
          </w:p>
        </w:tc>
      </w:tr>
      <w:tr>
        <w:trPr>
          <w:trHeight w:val="173"/>
        </w:trPr>
        <w:tc>
          <w:tcPr>
            <w:tcW w:w="3640" w:type="dxa"/>
            <w:vAlign w:val="bottom"/>
            <w:shd w:val="clear" w:color="auto" w:fill="D9D9D9"/>
          </w:tcPr>
          <w:p>
            <w:pPr>
              <w:ind w:left="240"/>
              <w:spacing w:after="0" w:line="173" w:lineRule="exact"/>
              <w:rPr>
                <w:sz w:val="20"/>
                <w:szCs w:val="20"/>
                <w:color w:val="auto"/>
              </w:rPr>
            </w:pPr>
            <w:r>
              <w:rPr>
                <w:rFonts w:ascii="Arial" w:cs="Arial" w:eastAsia="Arial" w:hAnsi="Arial"/>
                <w:sz w:val="12"/>
                <w:szCs w:val="12"/>
                <w:color w:val="auto"/>
              </w:rPr>
              <w:t>Outplacement Services</w:t>
            </w:r>
            <w:r>
              <w:rPr>
                <w:rFonts w:ascii="Arial" w:cs="Arial" w:eastAsia="Arial" w:hAnsi="Arial"/>
                <w:sz w:val="20"/>
                <w:szCs w:val="20"/>
                <w:color w:val="auto"/>
                <w:vertAlign w:val="superscript"/>
              </w:rPr>
              <w:t>(7)</w:t>
            </w:r>
          </w:p>
        </w:tc>
        <w:tc>
          <w:tcPr>
            <w:tcW w:w="120" w:type="dxa"/>
            <w:vAlign w:val="bottom"/>
            <w:shd w:val="clear" w:color="auto" w:fill="D9D9D9"/>
          </w:tcPr>
          <w:p>
            <w:pPr>
              <w:spacing w:after="0"/>
              <w:rPr>
                <w:sz w:val="15"/>
                <w:szCs w:val="15"/>
                <w:color w:val="auto"/>
              </w:rPr>
            </w:pPr>
          </w:p>
        </w:tc>
        <w:tc>
          <w:tcPr>
            <w:tcW w:w="10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18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3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30,000</w:t>
            </w:r>
          </w:p>
        </w:tc>
        <w:tc>
          <w:tcPr>
            <w:tcW w:w="180" w:type="dxa"/>
            <w:vAlign w:val="bottom"/>
            <w:shd w:val="clear" w:color="auto" w:fill="D9D9D9"/>
          </w:tcPr>
          <w:p>
            <w:pPr>
              <w:spacing w:after="0"/>
              <w:rPr>
                <w:sz w:val="15"/>
                <w:szCs w:val="15"/>
                <w:color w:val="auto"/>
              </w:rPr>
            </w:pPr>
          </w:p>
        </w:tc>
      </w:tr>
      <w:tr>
        <w:trPr>
          <w:trHeight w:val="173"/>
        </w:trPr>
        <w:tc>
          <w:tcPr>
            <w:tcW w:w="3640" w:type="dxa"/>
            <w:vAlign w:val="bottom"/>
            <w:shd w:val="clear" w:color="auto" w:fill="D9D9D9"/>
          </w:tcPr>
          <w:p>
            <w:pPr>
              <w:ind w:left="240"/>
              <w:spacing w:after="0" w:line="173" w:lineRule="exact"/>
              <w:rPr>
                <w:sz w:val="20"/>
                <w:szCs w:val="20"/>
                <w:color w:val="auto"/>
              </w:rPr>
            </w:pPr>
            <w:r>
              <w:rPr>
                <w:rFonts w:ascii="Arial" w:cs="Arial" w:eastAsia="Arial" w:hAnsi="Arial"/>
                <w:sz w:val="12"/>
                <w:szCs w:val="12"/>
                <w:color w:val="auto"/>
              </w:rPr>
              <w:t>Perquisites</w:t>
            </w:r>
            <w:r>
              <w:rPr>
                <w:rFonts w:ascii="Arial" w:cs="Arial" w:eastAsia="Arial" w:hAnsi="Arial"/>
                <w:sz w:val="20"/>
                <w:szCs w:val="20"/>
                <w:color w:val="auto"/>
                <w:vertAlign w:val="superscript"/>
              </w:rPr>
              <w:t>(8)</w:t>
            </w:r>
          </w:p>
        </w:tc>
        <w:tc>
          <w:tcPr>
            <w:tcW w:w="120" w:type="dxa"/>
            <w:vAlign w:val="bottom"/>
            <w:shd w:val="clear" w:color="auto" w:fill="D9D9D9"/>
          </w:tcPr>
          <w:p>
            <w:pPr>
              <w:spacing w:after="0"/>
              <w:rPr>
                <w:sz w:val="15"/>
                <w:szCs w:val="15"/>
                <w:color w:val="auto"/>
              </w:rPr>
            </w:pPr>
          </w:p>
        </w:tc>
        <w:tc>
          <w:tcPr>
            <w:tcW w:w="10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36,176</w:t>
            </w:r>
          </w:p>
        </w:tc>
        <w:tc>
          <w:tcPr>
            <w:tcW w:w="18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18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c>
          <w:tcPr>
            <w:tcW w:w="13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D9D9D9"/>
          </w:tcPr>
          <w:p>
            <w:pPr>
              <w:spacing w:after="0"/>
              <w:rPr>
                <w:sz w:val="15"/>
                <w:szCs w:val="15"/>
                <w:color w:val="auto"/>
              </w:rPr>
            </w:pPr>
          </w:p>
        </w:tc>
      </w:tr>
      <w:tr>
        <w:trPr>
          <w:trHeight w:val="166"/>
        </w:trPr>
        <w:tc>
          <w:tcPr>
            <w:tcW w:w="3640" w:type="dxa"/>
            <w:vAlign w:val="bottom"/>
            <w:tcBorders>
              <w:top w:val="single" w:sz="8" w:color="D9D9D9"/>
            </w:tcBorders>
            <w:shd w:val="clear" w:color="auto" w:fill="D9D9D9"/>
          </w:tcPr>
          <w:p>
            <w:pPr>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top w:val="single" w:sz="8" w:color="D9D9D9"/>
            </w:tcBorders>
            <w:shd w:val="clear" w:color="auto" w:fill="D9D9D9"/>
          </w:tcPr>
          <w:p>
            <w:pPr>
              <w:spacing w:after="0"/>
              <w:rPr>
                <w:sz w:val="14"/>
                <w:szCs w:val="14"/>
                <w:color w:val="auto"/>
              </w:rPr>
            </w:pPr>
          </w:p>
        </w:tc>
        <w:tc>
          <w:tcPr>
            <w:tcW w:w="100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499,778</w:t>
            </w:r>
          </w:p>
        </w:tc>
        <w:tc>
          <w:tcPr>
            <w:tcW w:w="180" w:type="dxa"/>
            <w:vAlign w:val="bottom"/>
            <w:tcBorders>
              <w:top w:val="single" w:sz="8" w:color="D9D9D9"/>
            </w:tcBorders>
            <w:shd w:val="clear" w:color="auto" w:fill="D9D9D9"/>
          </w:tcPr>
          <w:p>
            <w:pPr>
              <w:spacing w:after="0"/>
              <w:rPr>
                <w:sz w:val="14"/>
                <w:szCs w:val="14"/>
                <w:color w:val="auto"/>
              </w:rPr>
            </w:pPr>
          </w:p>
        </w:tc>
        <w:tc>
          <w:tcPr>
            <w:tcW w:w="102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1,374,840</w:t>
            </w:r>
          </w:p>
        </w:tc>
        <w:tc>
          <w:tcPr>
            <w:tcW w:w="180" w:type="dxa"/>
            <w:vAlign w:val="bottom"/>
            <w:tcBorders>
              <w:top w:val="single" w:sz="8" w:color="D9D9D9"/>
            </w:tcBorders>
            <w:shd w:val="clear" w:color="auto" w:fill="D9D9D9"/>
          </w:tcPr>
          <w:p>
            <w:pPr>
              <w:spacing w:after="0"/>
              <w:rPr>
                <w:sz w:val="14"/>
                <w:szCs w:val="14"/>
                <w:color w:val="auto"/>
              </w:rPr>
            </w:pPr>
          </w:p>
        </w:tc>
        <w:tc>
          <w:tcPr>
            <w:tcW w:w="108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0</w:t>
            </w:r>
          </w:p>
        </w:tc>
        <w:tc>
          <w:tcPr>
            <w:tcW w:w="120" w:type="dxa"/>
            <w:vAlign w:val="bottom"/>
            <w:tcBorders>
              <w:top w:val="single" w:sz="8" w:color="D9D9D9"/>
            </w:tcBorders>
            <w:shd w:val="clear" w:color="auto" w:fill="D9D9D9"/>
          </w:tcPr>
          <w:p>
            <w:pPr>
              <w:spacing w:after="0"/>
              <w:rPr>
                <w:sz w:val="14"/>
                <w:szCs w:val="14"/>
                <w:color w:val="auto"/>
              </w:rPr>
            </w:pPr>
          </w:p>
        </w:tc>
        <w:tc>
          <w:tcPr>
            <w:tcW w:w="106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0</w:t>
            </w:r>
          </w:p>
        </w:tc>
        <w:tc>
          <w:tcPr>
            <w:tcW w:w="120" w:type="dxa"/>
            <w:vAlign w:val="bottom"/>
            <w:tcBorders>
              <w:top w:val="single" w:sz="8" w:color="D9D9D9"/>
            </w:tcBorders>
            <w:shd w:val="clear" w:color="auto" w:fill="D9D9D9"/>
          </w:tcPr>
          <w:p>
            <w:pPr>
              <w:spacing w:after="0"/>
              <w:rPr>
                <w:sz w:val="14"/>
                <w:szCs w:val="14"/>
                <w:color w:val="auto"/>
              </w:rPr>
            </w:pPr>
          </w:p>
        </w:tc>
        <w:tc>
          <w:tcPr>
            <w:tcW w:w="102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1,312,117</w:t>
            </w:r>
          </w:p>
        </w:tc>
        <w:tc>
          <w:tcPr>
            <w:tcW w:w="180" w:type="dxa"/>
            <w:vAlign w:val="bottom"/>
            <w:tcBorders>
              <w:top w:val="single" w:sz="8" w:color="D9D9D9"/>
            </w:tcBorders>
            <w:shd w:val="clear" w:color="auto" w:fill="D9D9D9"/>
          </w:tcPr>
          <w:p>
            <w:pPr>
              <w:spacing w:after="0"/>
              <w:rPr>
                <w:sz w:val="14"/>
                <w:szCs w:val="14"/>
                <w:color w:val="auto"/>
              </w:rPr>
            </w:pPr>
          </w:p>
        </w:tc>
        <w:tc>
          <w:tcPr>
            <w:tcW w:w="134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2,978,107</w:t>
            </w:r>
          </w:p>
        </w:tc>
        <w:tc>
          <w:tcPr>
            <w:tcW w:w="180" w:type="dxa"/>
            <w:vAlign w:val="bottom"/>
            <w:tcBorders>
              <w:top w:val="single" w:sz="8" w:color="D9D9D9"/>
            </w:tcBorders>
            <w:shd w:val="clear" w:color="auto" w:fill="D9D9D9"/>
          </w:tcPr>
          <w:p>
            <w:pPr>
              <w:spacing w:after="0"/>
              <w:rPr>
                <w:sz w:val="14"/>
                <w:szCs w:val="14"/>
                <w:color w:val="auto"/>
              </w:rPr>
            </w:pPr>
          </w:p>
        </w:tc>
      </w:tr>
      <w:tr>
        <w:trPr>
          <w:trHeight w:val="188"/>
        </w:trPr>
        <w:tc>
          <w:tcPr>
            <w:tcW w:w="3640" w:type="dxa"/>
            <w:vAlign w:val="bottom"/>
          </w:tcPr>
          <w:p>
            <w:pPr>
              <w:spacing w:after="0"/>
              <w:rPr>
                <w:sz w:val="20"/>
                <w:szCs w:val="20"/>
                <w:color w:val="auto"/>
              </w:rPr>
            </w:pPr>
            <w:r>
              <w:rPr>
                <w:rFonts w:ascii="Arial" w:cs="Arial" w:eastAsia="Arial" w:hAnsi="Arial"/>
                <w:sz w:val="14"/>
                <w:szCs w:val="14"/>
                <w:color w:val="auto"/>
              </w:rPr>
              <w:t>Bradley A. Hamilton</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21"/>
        </w:trPr>
        <w:tc>
          <w:tcPr>
            <w:tcW w:w="3640" w:type="dxa"/>
            <w:vAlign w:val="bottom"/>
          </w:tcPr>
          <w:p>
            <w:pPr>
              <w:ind w:left="240"/>
              <w:spacing w:after="0" w:line="221" w:lineRule="exact"/>
              <w:rPr>
                <w:sz w:val="20"/>
                <w:szCs w:val="20"/>
                <w:color w:val="auto"/>
              </w:rPr>
            </w:pPr>
            <w:r>
              <w:rPr>
                <w:rFonts w:ascii="Arial" w:cs="Arial" w:eastAsia="Arial" w:hAnsi="Arial"/>
                <w:sz w:val="14"/>
                <w:szCs w:val="14"/>
                <w:color w:val="auto"/>
              </w:rPr>
              <w:t>Cash Severance Payment</w:t>
            </w:r>
            <w:r>
              <w:rPr>
                <w:rFonts w:ascii="Arial" w:cs="Arial" w:eastAsia="Arial" w:hAnsi="Arial"/>
                <w:sz w:val="24"/>
                <w:szCs w:val="24"/>
                <w:color w:val="auto"/>
                <w:vertAlign w:val="superscript"/>
              </w:rPr>
              <w:t>(2)</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1,398,400</w:t>
            </w:r>
          </w:p>
        </w:tc>
        <w:tc>
          <w:tcPr>
            <w:tcW w:w="180" w:type="dxa"/>
            <w:vAlign w:val="bottom"/>
          </w:tcPr>
          <w:p>
            <w:pPr>
              <w:spacing w:after="0"/>
              <w:rPr>
                <w:sz w:val="19"/>
                <w:szCs w:val="19"/>
                <w:color w:val="auto"/>
              </w:rPr>
            </w:pPr>
          </w:p>
        </w:tc>
      </w:tr>
      <w:tr>
        <w:trPr>
          <w:trHeight w:val="207"/>
        </w:trPr>
        <w:tc>
          <w:tcPr>
            <w:tcW w:w="3640" w:type="dxa"/>
            <w:vAlign w:val="bottom"/>
          </w:tcPr>
          <w:p>
            <w:pPr>
              <w:ind w:left="240"/>
              <w:spacing w:after="0" w:line="207" w:lineRule="exact"/>
              <w:rPr>
                <w:sz w:val="20"/>
                <w:szCs w:val="20"/>
                <w:color w:val="auto"/>
              </w:rPr>
            </w:pPr>
            <w:r>
              <w:rPr>
                <w:rFonts w:ascii="Arial" w:cs="Arial" w:eastAsia="Arial" w:hAnsi="Arial"/>
                <w:sz w:val="14"/>
                <w:szCs w:val="14"/>
                <w:color w:val="auto"/>
              </w:rPr>
              <w:t>Unvested &amp; Accelerated Stock Options</w:t>
            </w:r>
            <w:r>
              <w:rPr>
                <w:rFonts w:ascii="Arial" w:cs="Arial" w:eastAsia="Arial" w:hAnsi="Arial"/>
                <w:sz w:val="23"/>
                <w:szCs w:val="23"/>
                <w:color w:val="auto"/>
                <w:vertAlign w:val="superscript"/>
              </w:rPr>
              <w:t>(3)</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596,919</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596,919</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596,919</w:t>
            </w:r>
          </w:p>
        </w:tc>
        <w:tc>
          <w:tcPr>
            <w:tcW w:w="180" w:type="dxa"/>
            <w:vAlign w:val="bottom"/>
          </w:tcPr>
          <w:p>
            <w:pPr>
              <w:spacing w:after="0"/>
              <w:rPr>
                <w:sz w:val="17"/>
                <w:szCs w:val="17"/>
                <w:color w:val="auto"/>
              </w:rPr>
            </w:pPr>
          </w:p>
        </w:tc>
      </w:tr>
      <w:tr>
        <w:trPr>
          <w:trHeight w:val="192"/>
        </w:trPr>
        <w:tc>
          <w:tcPr>
            <w:tcW w:w="3640" w:type="dxa"/>
            <w:vAlign w:val="bottom"/>
          </w:tcPr>
          <w:p>
            <w:pPr>
              <w:ind w:left="240"/>
              <w:spacing w:after="0"/>
              <w:rPr>
                <w:sz w:val="20"/>
                <w:szCs w:val="20"/>
                <w:color w:val="auto"/>
              </w:rPr>
            </w:pPr>
            <w:r>
              <w:rPr>
                <w:rFonts w:ascii="Arial" w:cs="Arial" w:eastAsia="Arial" w:hAnsi="Arial"/>
                <w:sz w:val="14"/>
                <w:szCs w:val="14"/>
                <w:color w:val="auto"/>
              </w:rPr>
              <w:t>Performance Share Award Payouts</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486,897</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(4)</w:t>
            </w:r>
          </w:p>
        </w:tc>
        <w:tc>
          <w:tcPr>
            <w:tcW w:w="1020" w:type="dxa"/>
            <w:vAlign w:val="bottom"/>
          </w:tcPr>
          <w:p>
            <w:pPr>
              <w:jc w:val="right"/>
              <w:spacing w:after="0"/>
              <w:rPr>
                <w:sz w:val="20"/>
                <w:szCs w:val="20"/>
                <w:color w:val="auto"/>
              </w:rPr>
            </w:pPr>
            <w:r>
              <w:rPr>
                <w:rFonts w:ascii="Arial" w:cs="Arial" w:eastAsia="Arial" w:hAnsi="Arial"/>
                <w:sz w:val="14"/>
                <w:szCs w:val="14"/>
                <w:color w:val="auto"/>
              </w:rPr>
              <w:t>486,897</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(4)</w:t>
            </w:r>
          </w:p>
        </w:tc>
        <w:tc>
          <w:tcPr>
            <w:tcW w:w="1080" w:type="dxa"/>
            <w:vAlign w:val="bottom"/>
          </w:tcPr>
          <w:p>
            <w:pPr>
              <w:jc w:val="right"/>
              <w:spacing w:after="0"/>
              <w:rPr>
                <w:sz w:val="20"/>
                <w:szCs w:val="20"/>
                <w:color w:val="auto"/>
              </w:rPr>
            </w:pPr>
            <w:r>
              <w:rPr>
                <w:rFonts w:ascii="Arial" w:cs="Arial" w:eastAsia="Arial" w:hAnsi="Arial"/>
                <w:sz w:val="14"/>
                <w:szCs w:val="14"/>
                <w:color w:val="auto"/>
              </w:rPr>
              <w:t>0</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426,369</w:t>
            </w:r>
          </w:p>
        </w:tc>
        <w:tc>
          <w:tcPr>
            <w:tcW w:w="180" w:type="dxa"/>
            <w:vAlign w:val="bottom"/>
          </w:tcPr>
          <w:p>
            <w:pPr>
              <w:jc w:val="right"/>
              <w:spacing w:after="0"/>
              <w:rPr>
                <w:sz w:val="20"/>
                <w:szCs w:val="20"/>
                <w:color w:val="auto"/>
              </w:rPr>
            </w:pPr>
            <w:r>
              <w:rPr>
                <w:rFonts w:ascii="Arial" w:cs="Arial" w:eastAsia="Arial" w:hAnsi="Arial"/>
                <w:sz w:val="12"/>
                <w:szCs w:val="12"/>
                <w:color w:val="auto"/>
                <w:w w:val="81"/>
              </w:rPr>
              <w:t>(5)</w:t>
            </w:r>
          </w:p>
        </w:tc>
        <w:tc>
          <w:tcPr>
            <w:tcW w:w="1340" w:type="dxa"/>
            <w:vAlign w:val="bottom"/>
          </w:tcPr>
          <w:p>
            <w:pPr>
              <w:jc w:val="right"/>
              <w:spacing w:after="0"/>
              <w:rPr>
                <w:sz w:val="20"/>
                <w:szCs w:val="20"/>
                <w:color w:val="auto"/>
              </w:rPr>
            </w:pPr>
            <w:r>
              <w:rPr>
                <w:rFonts w:ascii="Arial" w:cs="Arial" w:eastAsia="Arial" w:hAnsi="Arial"/>
                <w:sz w:val="14"/>
                <w:szCs w:val="14"/>
                <w:color w:val="auto"/>
              </w:rPr>
              <w:t>426,369</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(5)</w:t>
            </w:r>
          </w:p>
        </w:tc>
      </w:tr>
      <w:tr>
        <w:trPr>
          <w:trHeight w:val="199"/>
        </w:trPr>
        <w:tc>
          <w:tcPr>
            <w:tcW w:w="3640" w:type="dxa"/>
            <w:vAlign w:val="bottom"/>
          </w:tcPr>
          <w:p>
            <w:pPr>
              <w:ind w:left="240"/>
              <w:spacing w:after="0" w:line="199" w:lineRule="exact"/>
              <w:rPr>
                <w:sz w:val="20"/>
                <w:szCs w:val="20"/>
                <w:color w:val="auto"/>
              </w:rPr>
            </w:pPr>
            <w:r>
              <w:rPr>
                <w:rFonts w:ascii="Arial" w:cs="Arial" w:eastAsia="Arial" w:hAnsi="Arial"/>
                <w:sz w:val="14"/>
                <w:szCs w:val="14"/>
                <w:color w:val="auto"/>
              </w:rPr>
              <w:t>Welfare Plan Benefits</w:t>
            </w:r>
            <w:r>
              <w:rPr>
                <w:rFonts w:ascii="Arial" w:cs="Arial" w:eastAsia="Arial" w:hAnsi="Arial"/>
                <w:sz w:val="23"/>
                <w:szCs w:val="23"/>
                <w:color w:val="auto"/>
                <w:vertAlign w:val="superscript"/>
              </w:rPr>
              <w:t>(6)</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60,657</w:t>
            </w:r>
          </w:p>
        </w:tc>
        <w:tc>
          <w:tcPr>
            <w:tcW w:w="180" w:type="dxa"/>
            <w:vAlign w:val="bottom"/>
          </w:tcPr>
          <w:p>
            <w:pPr>
              <w:spacing w:after="0"/>
              <w:rPr>
                <w:sz w:val="17"/>
                <w:szCs w:val="17"/>
                <w:color w:val="auto"/>
              </w:rPr>
            </w:pPr>
          </w:p>
        </w:tc>
      </w:tr>
      <w:tr>
        <w:trPr>
          <w:trHeight w:val="199"/>
        </w:trPr>
        <w:tc>
          <w:tcPr>
            <w:tcW w:w="3640" w:type="dxa"/>
            <w:vAlign w:val="bottom"/>
          </w:tcPr>
          <w:p>
            <w:pPr>
              <w:ind w:left="240"/>
              <w:spacing w:after="0" w:line="199" w:lineRule="exact"/>
              <w:rPr>
                <w:sz w:val="20"/>
                <w:szCs w:val="20"/>
                <w:color w:val="auto"/>
              </w:rPr>
            </w:pPr>
            <w:r>
              <w:rPr>
                <w:rFonts w:ascii="Arial" w:cs="Arial" w:eastAsia="Arial" w:hAnsi="Arial"/>
                <w:sz w:val="14"/>
                <w:szCs w:val="14"/>
                <w:color w:val="auto"/>
              </w:rPr>
              <w:t>Outplacement Services</w:t>
            </w:r>
            <w:r>
              <w:rPr>
                <w:rFonts w:ascii="Arial" w:cs="Arial" w:eastAsia="Arial" w:hAnsi="Arial"/>
                <w:sz w:val="23"/>
                <w:szCs w:val="23"/>
                <w:color w:val="auto"/>
                <w:vertAlign w:val="superscript"/>
              </w:rPr>
              <w:t>(7)</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30,000</w:t>
            </w:r>
          </w:p>
        </w:tc>
        <w:tc>
          <w:tcPr>
            <w:tcW w:w="180" w:type="dxa"/>
            <w:vAlign w:val="bottom"/>
          </w:tcPr>
          <w:p>
            <w:pPr>
              <w:spacing w:after="0"/>
              <w:rPr>
                <w:sz w:val="17"/>
                <w:szCs w:val="17"/>
                <w:color w:val="auto"/>
              </w:rPr>
            </w:pPr>
          </w:p>
        </w:tc>
      </w:tr>
      <w:tr>
        <w:trPr>
          <w:trHeight w:val="189"/>
        </w:trPr>
        <w:tc>
          <w:tcPr>
            <w:tcW w:w="3640" w:type="dxa"/>
            <w:vAlign w:val="bottom"/>
          </w:tcPr>
          <w:p>
            <w:pPr>
              <w:ind w:left="240"/>
              <w:spacing w:after="0" w:line="189" w:lineRule="exact"/>
              <w:rPr>
                <w:sz w:val="20"/>
                <w:szCs w:val="20"/>
                <w:color w:val="auto"/>
              </w:rPr>
            </w:pPr>
            <w:r>
              <w:rPr>
                <w:rFonts w:ascii="Arial" w:cs="Arial" w:eastAsia="Arial" w:hAnsi="Arial"/>
                <w:sz w:val="13"/>
                <w:szCs w:val="13"/>
                <w:color w:val="auto"/>
              </w:rPr>
              <w:t>Perquisites</w:t>
            </w:r>
            <w:r>
              <w:rPr>
                <w:rFonts w:ascii="Arial" w:cs="Arial" w:eastAsia="Arial" w:hAnsi="Arial"/>
                <w:sz w:val="21"/>
                <w:szCs w:val="21"/>
                <w:color w:val="auto"/>
                <w:vertAlign w:val="superscript"/>
              </w:rPr>
              <w:t>(8)</w:t>
            </w: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24,794</w:t>
            </w:r>
          </w:p>
        </w:tc>
        <w:tc>
          <w:tcPr>
            <w:tcW w:w="18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6"/>
                <w:szCs w:val="16"/>
                <w:color w:val="auto"/>
              </w:rPr>
            </w:pPr>
          </w:p>
        </w:tc>
      </w:tr>
      <w:tr>
        <w:trPr>
          <w:trHeight w:val="208"/>
        </w:trPr>
        <w:tc>
          <w:tcPr>
            <w:tcW w:w="364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511,691</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1,083,816</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0</w:t>
            </w: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rPr>
              <w:t>0</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1,023,288</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2,512,345</w:t>
            </w:r>
          </w:p>
        </w:tc>
        <w:tc>
          <w:tcPr>
            <w:tcW w:w="1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-5125720</wp:posOffset>
            </wp:positionV>
            <wp:extent cx="173101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73101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24130</wp:posOffset>
            </wp:positionV>
            <wp:extent cx="203454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034540" cy="8255"/>
                    </a:xfrm>
                    <a:prstGeom prst="rect">
                      <a:avLst/>
                    </a:prstGeom>
                    <a:noFill/>
                  </pic:spPr>
                </pic:pic>
              </a:graphicData>
            </a:graphic>
          </wp:anchor>
        </w:drawing>
      </w:r>
    </w:p>
    <w:p>
      <w:pPr>
        <w:spacing w:after="0" w:line="83" w:lineRule="exact"/>
        <w:rPr>
          <w:sz w:val="20"/>
          <w:szCs w:val="20"/>
          <w:color w:val="auto"/>
        </w:rPr>
      </w:pPr>
    </w:p>
    <w:p>
      <w:pPr>
        <w:ind w:left="5520" w:right="2300" w:hanging="5514"/>
        <w:spacing w:after="0" w:line="484" w:lineRule="auto"/>
        <w:tabs>
          <w:tab w:leader="none" w:pos="4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Each of Messrs. Olson, Hamilton and Rodier and Ms. Peterson met the retirement criteria on October 31, 2021.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-85725</wp:posOffset>
            </wp:positionV>
            <wp:extent cx="717677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98" w:lineRule="exact"/>
        <w:rPr>
          <w:sz w:val="20"/>
          <w:szCs w:val="20"/>
          <w:color w:val="auto"/>
        </w:rPr>
      </w:pPr>
    </w:p>
    <w:p>
      <w:pPr>
        <w:ind w:left="400" w:right="780" w:hanging="394"/>
        <w:spacing w:after="0" w:line="238" w:lineRule="auto"/>
        <w:tabs>
          <w:tab w:leader="none" w:pos="4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Amount reported represents two times (three times for Mr. Olson since he was CEO on October 31, 2021) the sum of the named executive officer’s (a) then current annual base salary and (b) then target annual cash incentive award for fiscal 2020.</w:t>
      </w:r>
    </w:p>
    <w:p>
      <w:pPr>
        <w:spacing w:after="0" w:line="41" w:lineRule="exact"/>
        <w:rPr>
          <w:rFonts w:ascii="Arial" w:cs="Arial" w:eastAsia="Arial" w:hAnsi="Arial"/>
          <w:sz w:val="18"/>
          <w:szCs w:val="18"/>
          <w:color w:val="auto"/>
        </w:rPr>
      </w:pPr>
    </w:p>
    <w:p>
      <w:pPr>
        <w:ind w:left="400" w:right="280" w:hanging="394"/>
        <w:spacing w:after="0" w:line="233" w:lineRule="auto"/>
        <w:tabs>
          <w:tab w:leader="none" w:pos="4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Amount reported represents the value of the automatic acceleration of vesting of unvested stock options. All amounts are based on the difference between: (a) the market price of our common stock underlying the unvested stock options as of October 29, 2021, the last trading day preceding October 31, 2021, and (b) the exercise price of the stock options. Because each of Messrs. Olson, Hamilton and Rodier and Ms. Peterson met the retirement criteria on October 31, 2021, upon such event any unvested stock options held would continue to vest for four additional years, but such extended vesting is not quantified in the above table, “Voluntary Resignation / Retirement” column.</w:t>
      </w:r>
    </w:p>
    <w:p>
      <w:pPr>
        <w:spacing w:after="0" w:line="44" w:lineRule="exact"/>
        <w:rPr>
          <w:rFonts w:ascii="Arial" w:cs="Arial" w:eastAsia="Arial" w:hAnsi="Arial"/>
          <w:sz w:val="18"/>
          <w:szCs w:val="18"/>
          <w:color w:val="auto"/>
        </w:rPr>
      </w:pPr>
    </w:p>
    <w:p>
      <w:pPr>
        <w:ind w:left="400" w:right="80" w:hanging="394"/>
        <w:spacing w:after="0" w:line="234" w:lineRule="auto"/>
        <w:tabs>
          <w:tab w:leader="none" w:pos="4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Amount reported represents the value of the future payout of two-thirds of the named executive officer’s fiscal 2020 to fiscal 2022 performance share awards (based on two years of the three-year performance period completed as of October 31, 2020) and one-third of the named executive officer’s fiscal 2021 to fiscal 2023 performance share awards (based on one year of the three-year performance period completed as of October 31, 2021), assuming that the Compensation &amp; Human Resources Committee approves the payout at financial plan levels of performance.</w:t>
      </w:r>
    </w:p>
    <w:p>
      <w:pPr>
        <w:spacing w:after="0" w:line="41" w:lineRule="exact"/>
        <w:rPr>
          <w:rFonts w:ascii="Arial" w:cs="Arial" w:eastAsia="Arial" w:hAnsi="Arial"/>
          <w:sz w:val="18"/>
          <w:szCs w:val="18"/>
          <w:color w:val="auto"/>
        </w:rPr>
      </w:pPr>
    </w:p>
    <w:p>
      <w:pPr>
        <w:ind w:left="400" w:right="100" w:hanging="394"/>
        <w:spacing w:after="0" w:line="234" w:lineRule="auto"/>
        <w:tabs>
          <w:tab w:leader="none" w:pos="4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Amount reported represents the value of the immediate payout of the applicable number of shares of our common stock that the named executive officer would have been entitled to receive as payout for performance share awards for each of the fiscal 2020 to fiscal 2022 performance period and the fiscal 2021 to fiscal 2023 performance period. The value is based on: (a) the number of outstanding performance share awards at target as of October 31, 2021, multiplied by (b) the market price of our common stock on October 29, 2021, the last trading day preceding October 31, 2021.</w:t>
      </w:r>
    </w:p>
    <w:p>
      <w:pPr>
        <w:spacing w:after="0" w:line="41" w:lineRule="exact"/>
        <w:rPr>
          <w:rFonts w:ascii="Arial" w:cs="Arial" w:eastAsia="Arial" w:hAnsi="Arial"/>
          <w:sz w:val="18"/>
          <w:szCs w:val="18"/>
          <w:color w:val="auto"/>
        </w:rPr>
      </w:pPr>
    </w:p>
    <w:p>
      <w:pPr>
        <w:ind w:left="400" w:right="80" w:hanging="394"/>
        <w:spacing w:after="0" w:line="238" w:lineRule="auto"/>
        <w:tabs>
          <w:tab w:leader="none" w:pos="4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Amount reported represents the estimated value of the welfare plan benefits for a three-year period based on our premium levels in effect on October 31, 2021.</w:t>
      </w:r>
    </w:p>
    <w:p>
      <w:pPr>
        <w:spacing w:after="0" w:line="41" w:lineRule="exact"/>
        <w:rPr>
          <w:rFonts w:ascii="Arial" w:cs="Arial" w:eastAsia="Arial" w:hAnsi="Arial"/>
          <w:sz w:val="18"/>
          <w:szCs w:val="18"/>
          <w:color w:val="auto"/>
        </w:rPr>
      </w:pPr>
    </w:p>
    <w:p>
      <w:pPr>
        <w:ind w:left="400" w:hanging="394"/>
        <w:spacing w:after="0" w:line="238" w:lineRule="auto"/>
        <w:tabs>
          <w:tab w:leader="none" w:pos="4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Amount reported is based on the assumption that we would incur a $30,000 one-time cost for outplacement services to be provided for the two-year period.</w:t>
      </w:r>
    </w:p>
    <w:p>
      <w:pPr>
        <w:spacing w:after="0" w:line="34" w:lineRule="exact"/>
        <w:rPr>
          <w:rFonts w:ascii="Arial" w:cs="Arial" w:eastAsia="Arial" w:hAnsi="Arial"/>
          <w:sz w:val="18"/>
          <w:szCs w:val="18"/>
          <w:color w:val="auto"/>
        </w:rPr>
      </w:pPr>
    </w:p>
    <w:p>
      <w:pPr>
        <w:ind w:left="400" w:hanging="394"/>
        <w:spacing w:after="0"/>
        <w:tabs>
          <w:tab w:leader="none" w:pos="4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Amount reported represents the value of (a) one additional year of financial planning services, (b) one additional executive physical, and</w:t>
      </w:r>
    </w:p>
    <w:p>
      <w:pPr>
        <w:ind w:left="400"/>
        <w:spacing w:after="0"/>
        <w:rPr>
          <w:rFonts w:ascii="Arial" w:cs="Arial" w:eastAsia="Arial" w:hAnsi="Arial"/>
          <w:sz w:val="18"/>
          <w:szCs w:val="18"/>
          <w:color w:val="auto"/>
        </w:rPr>
      </w:pPr>
      <w:r>
        <w:rPr>
          <w:rFonts w:ascii="Arial" w:cs="Arial" w:eastAsia="Arial" w:hAnsi="Arial"/>
          <w:sz w:val="18"/>
          <w:szCs w:val="18"/>
          <w:color w:val="auto"/>
        </w:rPr>
        <w:t>(c) twelve additional months of automobile lease payments.</w:t>
      </w:r>
    </w:p>
    <w:p>
      <w:pPr>
        <w:spacing w:after="0" w:line="45" w:lineRule="exact"/>
        <w:rPr>
          <w:rFonts w:ascii="Arial" w:cs="Arial" w:eastAsia="Arial" w:hAnsi="Arial"/>
          <w:sz w:val="18"/>
          <w:szCs w:val="18"/>
          <w:color w:val="auto"/>
        </w:rPr>
      </w:pPr>
    </w:p>
    <w:p>
      <w:pPr>
        <w:jc w:val="both"/>
        <w:ind w:left="400" w:right="180" w:hanging="394"/>
        <w:spacing w:after="0" w:line="236" w:lineRule="auto"/>
        <w:tabs>
          <w:tab w:leader="none" w:pos="4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Amount reported represents the value of the automatic acceleration of the vesting of unvested restricted stock units and is based on the number of shares of common stock underlying the unvested restricted stock units multiplied by the market price of our common stock on October 29, 2021, the last trading day preceding October 31, 2021.</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Pay Ratio Disclosure</w:t>
      </w:r>
    </w:p>
    <w:p>
      <w:pPr>
        <w:spacing w:after="0" w:line="127" w:lineRule="exact"/>
        <w:rPr>
          <w:sz w:val="20"/>
          <w:szCs w:val="20"/>
          <w:color w:val="auto"/>
        </w:rPr>
      </w:pPr>
    </w:p>
    <w:p>
      <w:pPr>
        <w:ind w:right="280" w:firstLine="401"/>
        <w:spacing w:after="0" w:line="238" w:lineRule="auto"/>
        <w:rPr>
          <w:sz w:val="20"/>
          <w:szCs w:val="20"/>
          <w:color w:val="auto"/>
        </w:rPr>
      </w:pPr>
      <w:r>
        <w:rPr>
          <w:rFonts w:ascii="Arial" w:cs="Arial" w:eastAsia="Arial" w:hAnsi="Arial"/>
          <w:sz w:val="18"/>
          <w:szCs w:val="18"/>
          <w:color w:val="auto"/>
        </w:rPr>
        <w:t>In accordance with Item 402(u) of Regulation S-K, passed as part of the Dodd-Frank Wall Street Reform and Consumer Protection Act, we calculated the ratio of annual total compensation of Mr. Olson relative to the annual total compensation of our median employee.</w:t>
      </w:r>
    </w:p>
    <w:p>
      <w:pPr>
        <w:spacing w:after="0" w:line="95" w:lineRule="exact"/>
        <w:rPr>
          <w:sz w:val="20"/>
          <w:szCs w:val="20"/>
          <w:color w:val="auto"/>
        </w:rPr>
      </w:pPr>
    </w:p>
    <w:p>
      <w:pPr>
        <w:ind w:right="20" w:firstLine="401"/>
        <w:spacing w:after="0" w:line="235" w:lineRule="auto"/>
        <w:rPr>
          <w:sz w:val="20"/>
          <w:szCs w:val="20"/>
          <w:color w:val="auto"/>
        </w:rPr>
      </w:pPr>
      <w:r>
        <w:rPr>
          <w:rFonts w:ascii="Arial" w:cs="Arial" w:eastAsia="Arial" w:hAnsi="Arial"/>
          <w:sz w:val="18"/>
          <w:szCs w:val="18"/>
          <w:color w:val="auto"/>
        </w:rPr>
        <w:t>Under SEC rules, the median employee is only required to be identified once every three years if there has been no change in our employee population or compensation arrangements or in the median employee’s circumstances that we reasonably believe would significantly affect our pay ratio disclosure. Because there were no such changes, we did not re-identify a new median employee for fiscal 2021, but rather used the same median employee from last fiscal year.</w:t>
      </w:r>
    </w:p>
    <w:p>
      <w:pPr>
        <w:spacing w:after="0" w:line="93" w:lineRule="exact"/>
        <w:rPr>
          <w:sz w:val="20"/>
          <w:szCs w:val="20"/>
          <w:color w:val="auto"/>
        </w:rPr>
      </w:pPr>
    </w:p>
    <w:p>
      <w:pPr>
        <w:jc w:val="both"/>
        <w:ind w:right="100" w:firstLine="401"/>
        <w:spacing w:after="0" w:line="236" w:lineRule="auto"/>
        <w:rPr>
          <w:sz w:val="20"/>
          <w:szCs w:val="20"/>
          <w:color w:val="auto"/>
        </w:rPr>
      </w:pPr>
      <w:r>
        <w:rPr>
          <w:rFonts w:ascii="Arial" w:cs="Arial" w:eastAsia="Arial" w:hAnsi="Arial"/>
          <w:sz w:val="18"/>
          <w:szCs w:val="18"/>
          <w:color w:val="auto"/>
        </w:rPr>
        <w:t>To determine the median employee last fiscal year, we identified that, as of October 31, 2020, our total employee population was 10,103 employees, which included employees from all our subsidiaries. We identified our median employee from this population (excluding Mr. Olson) by using base salary as our consistently applied compensation measure.</w:t>
      </w:r>
    </w:p>
    <w:p>
      <w:pPr>
        <w:spacing w:after="0" w:line="94" w:lineRule="exact"/>
        <w:rPr>
          <w:sz w:val="20"/>
          <w:szCs w:val="20"/>
          <w:color w:val="auto"/>
        </w:rPr>
      </w:pPr>
    </w:p>
    <w:p>
      <w:pPr>
        <w:ind w:right="40" w:firstLine="401"/>
        <w:spacing w:after="0" w:line="234" w:lineRule="auto"/>
        <w:rPr>
          <w:sz w:val="20"/>
          <w:szCs w:val="20"/>
          <w:color w:val="auto"/>
        </w:rPr>
      </w:pPr>
      <w:r>
        <w:rPr>
          <w:rFonts w:ascii="Arial" w:cs="Arial" w:eastAsia="Arial" w:hAnsi="Arial"/>
          <w:sz w:val="18"/>
          <w:szCs w:val="18"/>
          <w:color w:val="auto"/>
        </w:rPr>
        <w:t>We calculated the annual total compensation of our median employee for fiscal 2021 using the same methodology that we used to calculate the annual total compensation of our named executive officers, including Mr. Olson, for fiscal 2021, as set forth in the Summary Compensation Table. Mr. Olson’s annual total compensation for fiscal 2021, as set forth in the Summary Compensation Table, was $8,629,851. Annual total compensation for our median employee for fiscal 2021 was $47,443. The ratio of annual total compensation of Mr. Olson to the annual total compensation of our median employee for fiscal 2021 is 182:1.</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98" w:lineRule="exact"/>
        <w:rPr>
          <w:sz w:val="20"/>
          <w:szCs w:val="20"/>
          <w:color w:val="auto"/>
        </w:rPr>
      </w:pPr>
    </w:p>
    <w:p>
      <w:pPr>
        <w:ind w:right="60" w:firstLine="401"/>
        <w:spacing w:after="0" w:line="234" w:lineRule="auto"/>
        <w:rPr>
          <w:sz w:val="20"/>
          <w:szCs w:val="20"/>
          <w:color w:val="auto"/>
        </w:rPr>
      </w:pPr>
      <w:r>
        <w:rPr>
          <w:rFonts w:ascii="Arial" w:cs="Arial" w:eastAsia="Arial" w:hAnsi="Arial"/>
          <w:sz w:val="18"/>
          <w:szCs w:val="18"/>
          <w:color w:val="auto"/>
        </w:rPr>
        <w:t>We believe the pay ratio presented above is a reasonable estimate calculated in a manner consistent with applicable SEC rules. 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may not be comparable to the pay ratio reported above.</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C00000"/>
        </w:rPr>
        <w:t>Compensation Committee Interlocks and Insider Participation</w:t>
      </w:r>
    </w:p>
    <w:p>
      <w:pPr>
        <w:spacing w:after="0" w:line="127" w:lineRule="exact"/>
        <w:rPr>
          <w:sz w:val="20"/>
          <w:szCs w:val="20"/>
          <w:color w:val="auto"/>
        </w:rPr>
      </w:pPr>
    </w:p>
    <w:p>
      <w:pPr>
        <w:jc w:val="both"/>
        <w:ind w:firstLine="401"/>
        <w:spacing w:after="0" w:line="236" w:lineRule="auto"/>
        <w:rPr>
          <w:sz w:val="20"/>
          <w:szCs w:val="20"/>
          <w:color w:val="auto"/>
        </w:rPr>
      </w:pPr>
      <w:r>
        <w:rPr>
          <w:rFonts w:ascii="Arial" w:cs="Arial" w:eastAsia="Arial" w:hAnsi="Arial"/>
          <w:sz w:val="18"/>
          <w:szCs w:val="18"/>
          <w:color w:val="auto"/>
        </w:rPr>
        <w:t>No member of the Compensation &amp; Human Resources Committee was an officer or employee of TTC during fiscal year 2021 or in any prior year, and no member of the Compensation &amp; Human Resources Committee had a relationship that would require disclosure under Item 404(a) of Regulation S-K. There were no compensation committee interlocks as described in Item 407(e)(4) of Regulation S-K.</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62865</wp:posOffset>
            </wp:positionV>
            <wp:extent cx="7134225" cy="2025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4225" cy="202565"/>
                    </a:xfrm>
                    <a:prstGeom prst="rect">
                      <a:avLst/>
                    </a:prstGeom>
                    <a:noFill/>
                  </pic:spPr>
                </pic:pic>
              </a:graphicData>
            </a:graphic>
          </wp:anchor>
        </w:drawing>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STOCK OWNERSHIP</w:t>
      </w:r>
    </w:p>
    <w:p>
      <w:pPr>
        <w:spacing w:after="0" w:line="267"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Significant Beneficial Owners</w:t>
      </w:r>
    </w:p>
    <w:p>
      <w:pPr>
        <w:spacing w:after="0" w:line="127" w:lineRule="exact"/>
        <w:rPr>
          <w:sz w:val="20"/>
          <w:szCs w:val="20"/>
          <w:color w:val="auto"/>
        </w:rPr>
      </w:pPr>
    </w:p>
    <w:p>
      <w:pPr>
        <w:ind w:right="680" w:firstLine="401"/>
        <w:spacing w:after="0" w:line="236" w:lineRule="auto"/>
        <w:rPr>
          <w:sz w:val="20"/>
          <w:szCs w:val="20"/>
          <w:color w:val="auto"/>
        </w:rPr>
      </w:pPr>
      <w:r>
        <w:rPr>
          <w:rFonts w:ascii="Arial" w:cs="Arial" w:eastAsia="Arial" w:hAnsi="Arial"/>
          <w:sz w:val="18"/>
          <w:szCs w:val="18"/>
          <w:color w:val="auto"/>
        </w:rPr>
        <w:t>The following table sets forth information known to us as of January 18, 2022, as to entities that have reported to the SEC or have otherwise advised us that they are a beneficial owner, as defined by the SEC’s rules and regulations, of more than five percent of our outstanding common stock.</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shd w:val="clear" w:color="auto" w:fill="C00000"/>
          </w:tcPr>
          <w:p>
            <w:pPr>
              <w:spacing w:after="0"/>
              <w:rPr>
                <w:sz w:val="14"/>
                <w:szCs w:val="14"/>
                <w:color w:val="auto"/>
              </w:rPr>
            </w:pPr>
          </w:p>
        </w:tc>
        <w:tc>
          <w:tcPr>
            <w:tcW w:w="4480" w:type="dxa"/>
            <w:vAlign w:val="bottom"/>
            <w:shd w:val="clear" w:color="auto" w:fill="C00000"/>
          </w:tcPr>
          <w:p>
            <w:pPr>
              <w:ind w:left="920"/>
              <w:spacing w:after="0"/>
              <w:rPr>
                <w:sz w:val="20"/>
                <w:szCs w:val="20"/>
                <w:color w:val="auto"/>
              </w:rPr>
            </w:pPr>
            <w:r>
              <w:rPr>
                <w:rFonts w:ascii="Arial" w:cs="Arial" w:eastAsia="Arial" w:hAnsi="Arial"/>
                <w:sz w:val="14"/>
                <w:szCs w:val="14"/>
                <w:b w:val="1"/>
                <w:bCs w:val="1"/>
                <w:color w:val="FFFFFF"/>
              </w:rPr>
              <w:t>Name and Address</w:t>
            </w:r>
          </w:p>
        </w:tc>
        <w:tc>
          <w:tcPr>
            <w:tcW w:w="3420" w:type="dxa"/>
            <w:vAlign w:val="bottom"/>
            <w:shd w:val="clear" w:color="auto" w:fill="C00000"/>
          </w:tcPr>
          <w:p>
            <w:pPr>
              <w:jc w:val="center"/>
              <w:ind w:left="1088"/>
              <w:spacing w:after="0"/>
              <w:rPr>
                <w:sz w:val="20"/>
                <w:szCs w:val="20"/>
                <w:color w:val="auto"/>
              </w:rPr>
            </w:pPr>
            <w:r>
              <w:rPr>
                <w:rFonts w:ascii="Arial" w:cs="Arial" w:eastAsia="Arial" w:hAnsi="Arial"/>
                <w:sz w:val="14"/>
                <w:szCs w:val="14"/>
                <w:b w:val="1"/>
                <w:bCs w:val="1"/>
                <w:color w:val="FFFFFF"/>
              </w:rPr>
              <w:t>Amount and Nature</w:t>
            </w:r>
          </w:p>
        </w:tc>
        <w:tc>
          <w:tcPr>
            <w:tcW w:w="1320" w:type="dxa"/>
            <w:vAlign w:val="bottom"/>
            <w:shd w:val="clear" w:color="auto" w:fill="C00000"/>
          </w:tcPr>
          <w:p>
            <w:pPr>
              <w:jc w:val="center"/>
              <w:ind w:left="6"/>
              <w:spacing w:after="0"/>
              <w:rPr>
                <w:sz w:val="20"/>
                <w:szCs w:val="20"/>
                <w:color w:val="auto"/>
              </w:rPr>
            </w:pPr>
            <w:r>
              <w:rPr>
                <w:rFonts w:ascii="Arial" w:cs="Arial" w:eastAsia="Arial" w:hAnsi="Arial"/>
                <w:sz w:val="14"/>
                <w:szCs w:val="14"/>
                <w:b w:val="1"/>
                <w:bCs w:val="1"/>
                <w:color w:val="FFFFFF"/>
              </w:rPr>
              <w:t>Percent</w:t>
            </w:r>
          </w:p>
        </w:tc>
      </w:tr>
      <w:tr>
        <w:trPr>
          <w:trHeight w:val="176"/>
        </w:trPr>
        <w:tc>
          <w:tcPr>
            <w:tcW w:w="202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Title of Class</w:t>
            </w:r>
          </w:p>
        </w:tc>
        <w:tc>
          <w:tcPr>
            <w:tcW w:w="4480" w:type="dxa"/>
            <w:vAlign w:val="bottom"/>
            <w:shd w:val="clear" w:color="auto" w:fill="C00000"/>
          </w:tcPr>
          <w:p>
            <w:pPr>
              <w:ind w:left="920"/>
              <w:spacing w:after="0"/>
              <w:rPr>
                <w:sz w:val="20"/>
                <w:szCs w:val="20"/>
                <w:color w:val="auto"/>
              </w:rPr>
            </w:pPr>
            <w:r>
              <w:rPr>
                <w:rFonts w:ascii="Arial" w:cs="Arial" w:eastAsia="Arial" w:hAnsi="Arial"/>
                <w:sz w:val="14"/>
                <w:szCs w:val="14"/>
                <w:b w:val="1"/>
                <w:bCs w:val="1"/>
                <w:color w:val="FFFFFF"/>
              </w:rPr>
              <w:t>of Beneficial Owner</w:t>
            </w:r>
          </w:p>
        </w:tc>
        <w:tc>
          <w:tcPr>
            <w:tcW w:w="3420" w:type="dxa"/>
            <w:vAlign w:val="bottom"/>
            <w:shd w:val="clear" w:color="auto" w:fill="C00000"/>
          </w:tcPr>
          <w:p>
            <w:pPr>
              <w:jc w:val="center"/>
              <w:ind w:left="1088"/>
              <w:spacing w:after="0"/>
              <w:rPr>
                <w:sz w:val="20"/>
                <w:szCs w:val="20"/>
                <w:color w:val="auto"/>
              </w:rPr>
            </w:pPr>
            <w:r>
              <w:rPr>
                <w:rFonts w:ascii="Arial" w:cs="Arial" w:eastAsia="Arial" w:hAnsi="Arial"/>
                <w:sz w:val="14"/>
                <w:szCs w:val="14"/>
                <w:b w:val="1"/>
                <w:bCs w:val="1"/>
                <w:color w:val="FFFFFF"/>
              </w:rPr>
              <w:t>of Beneficial Ownership</w:t>
            </w:r>
          </w:p>
        </w:tc>
        <w:tc>
          <w:tcPr>
            <w:tcW w:w="1320" w:type="dxa"/>
            <w:vAlign w:val="bottom"/>
            <w:shd w:val="clear" w:color="auto" w:fill="C00000"/>
          </w:tcPr>
          <w:p>
            <w:pPr>
              <w:jc w:val="center"/>
              <w:spacing w:after="0" w:line="176" w:lineRule="exact"/>
              <w:rPr>
                <w:sz w:val="20"/>
                <w:szCs w:val="20"/>
                <w:color w:val="auto"/>
              </w:rPr>
            </w:pPr>
            <w:r>
              <w:rPr>
                <w:rFonts w:ascii="Arial" w:cs="Arial" w:eastAsia="Arial" w:hAnsi="Arial"/>
                <w:sz w:val="12"/>
                <w:szCs w:val="12"/>
                <w:b w:val="1"/>
                <w:bCs w:val="1"/>
                <w:color w:val="FFFFFF"/>
              </w:rPr>
              <w:t>of Class</w:t>
            </w:r>
            <w:r>
              <w:rPr>
                <w:rFonts w:ascii="Arial" w:cs="Arial" w:eastAsia="Arial" w:hAnsi="Arial"/>
                <w:sz w:val="20"/>
                <w:szCs w:val="20"/>
                <w:b w:val="1"/>
                <w:bCs w:val="1"/>
                <w:color w:val="FFFFFF"/>
                <w:vertAlign w:val="superscript"/>
              </w:rPr>
              <w:t>(1)</w:t>
            </w:r>
          </w:p>
        </w:tc>
      </w:tr>
      <w:tr>
        <w:trPr>
          <w:trHeight w:val="215"/>
        </w:trPr>
        <w:tc>
          <w:tcPr>
            <w:tcW w:w="2020" w:type="dxa"/>
            <w:vAlign w:val="bottom"/>
          </w:tcPr>
          <w:p>
            <w:pPr>
              <w:spacing w:after="0"/>
              <w:rPr>
                <w:sz w:val="20"/>
                <w:szCs w:val="20"/>
                <w:color w:val="auto"/>
              </w:rPr>
            </w:pPr>
            <w:r>
              <w:rPr>
                <w:rFonts w:ascii="Arial" w:cs="Arial" w:eastAsia="Arial" w:hAnsi="Arial"/>
                <w:sz w:val="16"/>
                <w:szCs w:val="16"/>
                <w:color w:val="auto"/>
              </w:rPr>
              <w:t>Common Stock</w:t>
            </w:r>
          </w:p>
        </w:tc>
        <w:tc>
          <w:tcPr>
            <w:tcW w:w="4480" w:type="dxa"/>
            <w:vAlign w:val="bottom"/>
          </w:tcPr>
          <w:p>
            <w:pPr>
              <w:ind w:left="920"/>
              <w:spacing w:after="0"/>
              <w:rPr>
                <w:sz w:val="20"/>
                <w:szCs w:val="20"/>
                <w:color w:val="auto"/>
              </w:rPr>
            </w:pPr>
            <w:r>
              <w:rPr>
                <w:rFonts w:ascii="Arial" w:cs="Arial" w:eastAsia="Arial" w:hAnsi="Arial"/>
                <w:sz w:val="16"/>
                <w:szCs w:val="16"/>
                <w:color w:val="auto"/>
              </w:rPr>
              <w:t>The Vanguard Group, Inc.</w:t>
            </w:r>
          </w:p>
        </w:tc>
        <w:tc>
          <w:tcPr>
            <w:tcW w:w="3420" w:type="dxa"/>
            <w:vAlign w:val="bottom"/>
          </w:tcPr>
          <w:p>
            <w:pPr>
              <w:jc w:val="center"/>
              <w:ind w:left="1088"/>
              <w:spacing w:after="0" w:line="214" w:lineRule="exact"/>
              <w:rPr>
                <w:sz w:val="20"/>
                <w:szCs w:val="20"/>
                <w:color w:val="auto"/>
              </w:rPr>
            </w:pPr>
            <w:r>
              <w:rPr>
                <w:rFonts w:ascii="Arial" w:cs="Arial" w:eastAsia="Arial" w:hAnsi="Arial"/>
                <w:sz w:val="15"/>
                <w:szCs w:val="15"/>
                <w:color w:val="auto"/>
              </w:rPr>
              <w:t>10,580,971</w:t>
            </w:r>
            <w:r>
              <w:rPr>
                <w:rFonts w:ascii="Arial" w:cs="Arial" w:eastAsia="Arial" w:hAnsi="Arial"/>
                <w:sz w:val="24"/>
                <w:szCs w:val="24"/>
                <w:color w:val="auto"/>
                <w:vertAlign w:val="superscript"/>
              </w:rPr>
              <w:t>(2)</w:t>
            </w:r>
          </w:p>
        </w:tc>
        <w:tc>
          <w:tcPr>
            <w:tcW w:w="1320" w:type="dxa"/>
            <w:vAlign w:val="bottom"/>
          </w:tcPr>
          <w:p>
            <w:pPr>
              <w:jc w:val="center"/>
              <w:spacing w:after="0"/>
              <w:rPr>
                <w:sz w:val="20"/>
                <w:szCs w:val="20"/>
                <w:color w:val="auto"/>
              </w:rPr>
            </w:pPr>
            <w:r>
              <w:rPr>
                <w:rFonts w:ascii="Arial" w:cs="Arial" w:eastAsia="Arial" w:hAnsi="Arial"/>
                <w:sz w:val="16"/>
                <w:szCs w:val="16"/>
                <w:color w:val="auto"/>
                <w:w w:val="99"/>
              </w:rPr>
              <w:t>10.09%</w:t>
            </w:r>
          </w:p>
        </w:tc>
      </w:tr>
      <w:tr>
        <w:trPr>
          <w:trHeight w:val="186"/>
        </w:trPr>
        <w:tc>
          <w:tcPr>
            <w:tcW w:w="2020" w:type="dxa"/>
            <w:vAlign w:val="bottom"/>
          </w:tcPr>
          <w:p>
            <w:pPr>
              <w:spacing w:after="0"/>
              <w:rPr>
                <w:sz w:val="16"/>
                <w:szCs w:val="16"/>
                <w:color w:val="auto"/>
              </w:rPr>
            </w:pPr>
          </w:p>
        </w:tc>
        <w:tc>
          <w:tcPr>
            <w:tcW w:w="4480" w:type="dxa"/>
            <w:vAlign w:val="bottom"/>
          </w:tcPr>
          <w:p>
            <w:pPr>
              <w:ind w:left="920"/>
              <w:spacing w:after="0"/>
              <w:rPr>
                <w:sz w:val="20"/>
                <w:szCs w:val="20"/>
                <w:color w:val="auto"/>
              </w:rPr>
            </w:pPr>
            <w:r>
              <w:rPr>
                <w:rFonts w:ascii="Arial" w:cs="Arial" w:eastAsia="Arial" w:hAnsi="Arial"/>
                <w:sz w:val="16"/>
                <w:szCs w:val="16"/>
                <w:color w:val="auto"/>
              </w:rPr>
              <w:t>100 Vanguard Blvd.</w:t>
            </w:r>
          </w:p>
        </w:tc>
        <w:tc>
          <w:tcPr>
            <w:tcW w:w="34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2"/>
        </w:trPr>
        <w:tc>
          <w:tcPr>
            <w:tcW w:w="2020" w:type="dxa"/>
            <w:vAlign w:val="bottom"/>
          </w:tcPr>
          <w:p>
            <w:pPr>
              <w:spacing w:after="0"/>
              <w:rPr>
                <w:sz w:val="17"/>
                <w:szCs w:val="17"/>
                <w:color w:val="auto"/>
              </w:rPr>
            </w:pPr>
          </w:p>
        </w:tc>
        <w:tc>
          <w:tcPr>
            <w:tcW w:w="4480" w:type="dxa"/>
            <w:vAlign w:val="bottom"/>
          </w:tcPr>
          <w:p>
            <w:pPr>
              <w:ind w:left="920"/>
              <w:spacing w:after="0"/>
              <w:rPr>
                <w:sz w:val="20"/>
                <w:szCs w:val="20"/>
                <w:color w:val="auto"/>
              </w:rPr>
            </w:pPr>
            <w:r>
              <w:rPr>
                <w:rFonts w:ascii="Arial" w:cs="Arial" w:eastAsia="Arial" w:hAnsi="Arial"/>
                <w:sz w:val="16"/>
                <w:szCs w:val="16"/>
                <w:color w:val="auto"/>
              </w:rPr>
              <w:t>Malvern, PA 19355</w:t>
            </w:r>
          </w:p>
        </w:tc>
        <w:tc>
          <w:tcPr>
            <w:tcW w:w="3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24"/>
        </w:trPr>
        <w:tc>
          <w:tcPr>
            <w:tcW w:w="2020" w:type="dxa"/>
            <w:vAlign w:val="bottom"/>
            <w:shd w:val="clear" w:color="auto" w:fill="D9D9D9"/>
          </w:tcPr>
          <w:p>
            <w:pPr>
              <w:spacing w:after="0"/>
              <w:rPr>
                <w:sz w:val="20"/>
                <w:szCs w:val="20"/>
                <w:color w:val="auto"/>
              </w:rPr>
            </w:pPr>
            <w:r>
              <w:rPr>
                <w:rFonts w:ascii="Arial" w:cs="Arial" w:eastAsia="Arial" w:hAnsi="Arial"/>
                <w:sz w:val="16"/>
                <w:szCs w:val="16"/>
                <w:color w:val="auto"/>
              </w:rPr>
              <w:t>Common Stock</w:t>
            </w:r>
          </w:p>
        </w:tc>
        <w:tc>
          <w:tcPr>
            <w:tcW w:w="4480" w:type="dxa"/>
            <w:vAlign w:val="bottom"/>
            <w:shd w:val="clear" w:color="auto" w:fill="D9D9D9"/>
          </w:tcPr>
          <w:p>
            <w:pPr>
              <w:ind w:left="920"/>
              <w:spacing w:after="0"/>
              <w:rPr>
                <w:sz w:val="20"/>
                <w:szCs w:val="20"/>
                <w:color w:val="auto"/>
              </w:rPr>
            </w:pPr>
            <w:r>
              <w:rPr>
                <w:rFonts w:ascii="Arial" w:cs="Arial" w:eastAsia="Arial" w:hAnsi="Arial"/>
                <w:sz w:val="16"/>
                <w:szCs w:val="16"/>
                <w:color w:val="auto"/>
              </w:rPr>
              <w:t>BlackRock, Inc.</w:t>
            </w:r>
          </w:p>
        </w:tc>
        <w:tc>
          <w:tcPr>
            <w:tcW w:w="3420" w:type="dxa"/>
            <w:vAlign w:val="bottom"/>
            <w:shd w:val="clear" w:color="auto" w:fill="D9D9D9"/>
          </w:tcPr>
          <w:p>
            <w:pPr>
              <w:jc w:val="center"/>
              <w:ind w:left="1088"/>
              <w:spacing w:after="0" w:line="223" w:lineRule="exact"/>
              <w:rPr>
                <w:sz w:val="20"/>
                <w:szCs w:val="20"/>
                <w:color w:val="auto"/>
              </w:rPr>
            </w:pPr>
            <w:r>
              <w:rPr>
                <w:rFonts w:ascii="Arial" w:cs="Arial" w:eastAsia="Arial" w:hAnsi="Arial"/>
                <w:sz w:val="15"/>
                <w:szCs w:val="15"/>
                <w:color w:val="auto"/>
                <w:w w:val="98"/>
              </w:rPr>
              <w:t>8,979,035</w:t>
            </w:r>
            <w:r>
              <w:rPr>
                <w:rFonts w:ascii="Arial" w:cs="Arial" w:eastAsia="Arial" w:hAnsi="Arial"/>
                <w:sz w:val="25"/>
                <w:szCs w:val="25"/>
                <w:color w:val="auto"/>
                <w:w w:val="98"/>
                <w:vertAlign w:val="superscript"/>
              </w:rPr>
              <w:t>(3)</w:t>
            </w:r>
          </w:p>
        </w:tc>
        <w:tc>
          <w:tcPr>
            <w:tcW w:w="1320" w:type="dxa"/>
            <w:vAlign w:val="bottom"/>
            <w:shd w:val="clear" w:color="auto" w:fill="D9D9D9"/>
          </w:tcPr>
          <w:p>
            <w:pPr>
              <w:jc w:val="center"/>
              <w:spacing w:after="0"/>
              <w:rPr>
                <w:sz w:val="20"/>
                <w:szCs w:val="20"/>
                <w:color w:val="auto"/>
              </w:rPr>
            </w:pPr>
            <w:r>
              <w:rPr>
                <w:rFonts w:ascii="Arial" w:cs="Arial" w:eastAsia="Arial" w:hAnsi="Arial"/>
                <w:sz w:val="16"/>
                <w:szCs w:val="16"/>
                <w:color w:val="auto"/>
              </w:rPr>
              <w:t>8.56%</w:t>
            </w:r>
          </w:p>
        </w:tc>
      </w:tr>
      <w:tr>
        <w:trPr>
          <w:trHeight w:val="186"/>
        </w:trPr>
        <w:tc>
          <w:tcPr>
            <w:tcW w:w="2020" w:type="dxa"/>
            <w:vAlign w:val="bottom"/>
            <w:shd w:val="clear" w:color="auto" w:fill="D9D9D9"/>
          </w:tcPr>
          <w:p>
            <w:pPr>
              <w:spacing w:after="0"/>
              <w:rPr>
                <w:sz w:val="16"/>
                <w:szCs w:val="16"/>
                <w:color w:val="auto"/>
              </w:rPr>
            </w:pPr>
          </w:p>
        </w:tc>
        <w:tc>
          <w:tcPr>
            <w:tcW w:w="4480" w:type="dxa"/>
            <w:vAlign w:val="bottom"/>
            <w:shd w:val="clear" w:color="auto" w:fill="D9D9D9"/>
          </w:tcPr>
          <w:p>
            <w:pPr>
              <w:ind w:left="920"/>
              <w:spacing w:after="0"/>
              <w:rPr>
                <w:sz w:val="20"/>
                <w:szCs w:val="20"/>
                <w:color w:val="auto"/>
              </w:rPr>
            </w:pPr>
            <w:r>
              <w:rPr>
                <w:rFonts w:ascii="Arial" w:cs="Arial" w:eastAsia="Arial" w:hAnsi="Arial"/>
                <w:sz w:val="16"/>
                <w:szCs w:val="16"/>
                <w:color w:val="auto"/>
              </w:rPr>
              <w:t>55 East 52nd St.</w:t>
            </w:r>
          </w:p>
        </w:tc>
        <w:tc>
          <w:tcPr>
            <w:tcW w:w="3420" w:type="dxa"/>
            <w:vAlign w:val="bottom"/>
            <w:shd w:val="clear" w:color="auto" w:fill="D9D9D9"/>
          </w:tcPr>
          <w:p>
            <w:pPr>
              <w:spacing w:after="0"/>
              <w:rPr>
                <w:sz w:val="16"/>
                <w:szCs w:val="16"/>
                <w:color w:val="auto"/>
              </w:rPr>
            </w:pPr>
          </w:p>
        </w:tc>
        <w:tc>
          <w:tcPr>
            <w:tcW w:w="1320" w:type="dxa"/>
            <w:vAlign w:val="bottom"/>
            <w:shd w:val="clear" w:color="auto" w:fill="D9D9D9"/>
          </w:tcPr>
          <w:p>
            <w:pPr>
              <w:spacing w:after="0"/>
              <w:rPr>
                <w:sz w:val="16"/>
                <w:szCs w:val="16"/>
                <w:color w:val="auto"/>
              </w:rPr>
            </w:pPr>
          </w:p>
        </w:tc>
      </w:tr>
      <w:tr>
        <w:trPr>
          <w:trHeight w:val="211"/>
        </w:trPr>
        <w:tc>
          <w:tcPr>
            <w:tcW w:w="2020" w:type="dxa"/>
            <w:vAlign w:val="bottom"/>
            <w:shd w:val="clear" w:color="auto" w:fill="D9D9D9"/>
          </w:tcPr>
          <w:p>
            <w:pPr>
              <w:spacing w:after="0"/>
              <w:rPr>
                <w:sz w:val="18"/>
                <w:szCs w:val="18"/>
                <w:color w:val="auto"/>
              </w:rPr>
            </w:pPr>
          </w:p>
        </w:tc>
        <w:tc>
          <w:tcPr>
            <w:tcW w:w="4480" w:type="dxa"/>
            <w:vAlign w:val="bottom"/>
            <w:shd w:val="clear" w:color="auto" w:fill="D9D9D9"/>
          </w:tcPr>
          <w:p>
            <w:pPr>
              <w:ind w:left="920"/>
              <w:spacing w:after="0"/>
              <w:rPr>
                <w:sz w:val="20"/>
                <w:szCs w:val="20"/>
                <w:color w:val="auto"/>
              </w:rPr>
            </w:pPr>
            <w:r>
              <w:rPr>
                <w:rFonts w:ascii="Arial" w:cs="Arial" w:eastAsia="Arial" w:hAnsi="Arial"/>
                <w:sz w:val="16"/>
                <w:szCs w:val="16"/>
                <w:color w:val="auto"/>
              </w:rPr>
              <w:t>New York, NY 10055</w:t>
            </w:r>
          </w:p>
        </w:tc>
        <w:tc>
          <w:tcPr>
            <w:tcW w:w="3420" w:type="dxa"/>
            <w:vAlign w:val="bottom"/>
            <w:shd w:val="clear" w:color="auto" w:fill="D9D9D9"/>
          </w:tcPr>
          <w:p>
            <w:pPr>
              <w:spacing w:after="0"/>
              <w:rPr>
                <w:sz w:val="18"/>
                <w:szCs w:val="18"/>
                <w:color w:val="auto"/>
              </w:rPr>
            </w:pPr>
          </w:p>
        </w:tc>
        <w:tc>
          <w:tcPr>
            <w:tcW w:w="1320" w:type="dxa"/>
            <w:vAlign w:val="bottom"/>
            <w:shd w:val="clear" w:color="auto" w:fill="D9D9D9"/>
          </w:tcPr>
          <w:p>
            <w:pPr>
              <w:spacing w:after="0"/>
              <w:rPr>
                <w:sz w:val="18"/>
                <w:szCs w:val="18"/>
                <w:color w:val="auto"/>
              </w:rPr>
            </w:pPr>
          </w:p>
        </w:tc>
      </w:tr>
      <w:tr>
        <w:trPr>
          <w:trHeight w:val="215"/>
        </w:trPr>
        <w:tc>
          <w:tcPr>
            <w:tcW w:w="2020" w:type="dxa"/>
            <w:vAlign w:val="bottom"/>
          </w:tcPr>
          <w:p>
            <w:pPr>
              <w:spacing w:after="0"/>
              <w:rPr>
                <w:sz w:val="20"/>
                <w:szCs w:val="20"/>
                <w:color w:val="auto"/>
              </w:rPr>
            </w:pPr>
            <w:r>
              <w:rPr>
                <w:rFonts w:ascii="Arial" w:cs="Arial" w:eastAsia="Arial" w:hAnsi="Arial"/>
                <w:sz w:val="16"/>
                <w:szCs w:val="16"/>
                <w:color w:val="auto"/>
              </w:rPr>
              <w:t>Common Stock</w:t>
            </w:r>
          </w:p>
        </w:tc>
        <w:tc>
          <w:tcPr>
            <w:tcW w:w="4480" w:type="dxa"/>
            <w:vAlign w:val="bottom"/>
          </w:tcPr>
          <w:p>
            <w:pPr>
              <w:ind w:left="920"/>
              <w:spacing w:after="0"/>
              <w:rPr>
                <w:sz w:val="20"/>
                <w:szCs w:val="20"/>
                <w:color w:val="auto"/>
              </w:rPr>
            </w:pPr>
            <w:r>
              <w:rPr>
                <w:rFonts w:ascii="Arial" w:cs="Arial" w:eastAsia="Arial" w:hAnsi="Arial"/>
                <w:sz w:val="16"/>
                <w:szCs w:val="16"/>
                <w:color w:val="auto"/>
              </w:rPr>
              <w:t>T Rowe Price Associates Inc.</w:t>
            </w:r>
          </w:p>
        </w:tc>
        <w:tc>
          <w:tcPr>
            <w:tcW w:w="3420" w:type="dxa"/>
            <w:vAlign w:val="bottom"/>
          </w:tcPr>
          <w:p>
            <w:pPr>
              <w:jc w:val="center"/>
              <w:ind w:left="1088"/>
              <w:spacing w:after="0" w:line="214" w:lineRule="exact"/>
              <w:rPr>
                <w:sz w:val="20"/>
                <w:szCs w:val="20"/>
                <w:color w:val="auto"/>
              </w:rPr>
            </w:pPr>
            <w:r>
              <w:rPr>
                <w:rFonts w:ascii="Arial" w:cs="Arial" w:eastAsia="Arial" w:hAnsi="Arial"/>
                <w:sz w:val="15"/>
                <w:szCs w:val="15"/>
                <w:color w:val="auto"/>
                <w:w w:val="99"/>
              </w:rPr>
              <w:t>7,130,115</w:t>
            </w:r>
            <w:r>
              <w:rPr>
                <w:rFonts w:ascii="Arial" w:cs="Arial" w:eastAsia="Arial" w:hAnsi="Arial"/>
                <w:sz w:val="24"/>
                <w:szCs w:val="24"/>
                <w:color w:val="auto"/>
                <w:w w:val="99"/>
                <w:vertAlign w:val="superscript"/>
              </w:rPr>
              <w:t>(4)</w:t>
            </w:r>
          </w:p>
        </w:tc>
        <w:tc>
          <w:tcPr>
            <w:tcW w:w="1320" w:type="dxa"/>
            <w:vAlign w:val="bottom"/>
          </w:tcPr>
          <w:p>
            <w:pPr>
              <w:jc w:val="center"/>
              <w:spacing w:after="0"/>
              <w:rPr>
                <w:sz w:val="20"/>
                <w:szCs w:val="20"/>
                <w:color w:val="auto"/>
              </w:rPr>
            </w:pPr>
            <w:r>
              <w:rPr>
                <w:rFonts w:ascii="Arial" w:cs="Arial" w:eastAsia="Arial" w:hAnsi="Arial"/>
                <w:sz w:val="16"/>
                <w:szCs w:val="16"/>
                <w:color w:val="auto"/>
              </w:rPr>
              <w:t>6.80%</w:t>
            </w:r>
          </w:p>
        </w:tc>
      </w:tr>
      <w:tr>
        <w:trPr>
          <w:trHeight w:val="186"/>
        </w:trPr>
        <w:tc>
          <w:tcPr>
            <w:tcW w:w="2020" w:type="dxa"/>
            <w:vAlign w:val="bottom"/>
          </w:tcPr>
          <w:p>
            <w:pPr>
              <w:spacing w:after="0"/>
              <w:rPr>
                <w:sz w:val="16"/>
                <w:szCs w:val="16"/>
                <w:color w:val="auto"/>
              </w:rPr>
            </w:pPr>
          </w:p>
        </w:tc>
        <w:tc>
          <w:tcPr>
            <w:tcW w:w="4480" w:type="dxa"/>
            <w:vAlign w:val="bottom"/>
          </w:tcPr>
          <w:p>
            <w:pPr>
              <w:ind w:left="920"/>
              <w:spacing w:after="0"/>
              <w:rPr>
                <w:sz w:val="20"/>
                <w:szCs w:val="20"/>
                <w:color w:val="auto"/>
              </w:rPr>
            </w:pPr>
            <w:r>
              <w:rPr>
                <w:rFonts w:ascii="Arial" w:cs="Arial" w:eastAsia="Arial" w:hAnsi="Arial"/>
                <w:sz w:val="16"/>
                <w:szCs w:val="16"/>
                <w:color w:val="auto"/>
              </w:rPr>
              <w:t>100 East Pratt St.</w:t>
            </w:r>
          </w:p>
        </w:tc>
        <w:tc>
          <w:tcPr>
            <w:tcW w:w="34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2"/>
        </w:trPr>
        <w:tc>
          <w:tcPr>
            <w:tcW w:w="2020" w:type="dxa"/>
            <w:vAlign w:val="bottom"/>
          </w:tcPr>
          <w:p>
            <w:pPr>
              <w:spacing w:after="0"/>
              <w:rPr>
                <w:sz w:val="16"/>
                <w:szCs w:val="16"/>
                <w:color w:val="auto"/>
              </w:rPr>
            </w:pPr>
          </w:p>
        </w:tc>
        <w:tc>
          <w:tcPr>
            <w:tcW w:w="4480" w:type="dxa"/>
            <w:vAlign w:val="bottom"/>
          </w:tcPr>
          <w:p>
            <w:pPr>
              <w:ind w:left="920"/>
              <w:spacing w:after="0"/>
              <w:rPr>
                <w:sz w:val="20"/>
                <w:szCs w:val="20"/>
                <w:color w:val="auto"/>
              </w:rPr>
            </w:pPr>
            <w:r>
              <w:rPr>
                <w:rFonts w:ascii="Arial" w:cs="Arial" w:eastAsia="Arial" w:hAnsi="Arial"/>
                <w:sz w:val="16"/>
                <w:szCs w:val="16"/>
                <w:color w:val="auto"/>
              </w:rPr>
              <w:t>Baltimore, MD 21202</w:t>
            </w:r>
          </w:p>
        </w:tc>
        <w:tc>
          <w:tcPr>
            <w:tcW w:w="3420" w:type="dxa"/>
            <w:vAlign w:val="bottom"/>
          </w:tcPr>
          <w:p>
            <w:pPr>
              <w:spacing w:after="0"/>
              <w:rPr>
                <w:sz w:val="16"/>
                <w:szCs w:val="16"/>
                <w:color w:val="auto"/>
              </w:rPr>
            </w:pPr>
          </w:p>
        </w:tc>
        <w:tc>
          <w:tcPr>
            <w:tcW w:w="13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203454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034540" cy="8255"/>
                    </a:xfrm>
                    <a:prstGeom prst="rect">
                      <a:avLst/>
                    </a:prstGeom>
                    <a:noFill/>
                  </pic:spPr>
                </pic:pic>
              </a:graphicData>
            </a:graphic>
          </wp:anchor>
        </w:drawing>
      </w:r>
    </w:p>
    <w:p>
      <w:pPr>
        <w:spacing w:after="0" w:line="170" w:lineRule="exact"/>
        <w:rPr>
          <w:sz w:val="20"/>
          <w:szCs w:val="20"/>
          <w:color w:val="auto"/>
        </w:rPr>
      </w:pPr>
    </w:p>
    <w:p>
      <w:pPr>
        <w:ind w:left="400" w:hanging="394"/>
        <w:spacing w:after="0"/>
        <w:tabs>
          <w:tab w:leader="none" w:pos="4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Percent of class is based on 104,908,637 shares outstanding as of our record date.</w:t>
      </w:r>
    </w:p>
    <w:p>
      <w:pPr>
        <w:spacing w:after="0" w:line="45" w:lineRule="exact"/>
        <w:rPr>
          <w:rFonts w:ascii="Arial" w:cs="Arial" w:eastAsia="Arial" w:hAnsi="Arial"/>
          <w:sz w:val="18"/>
          <w:szCs w:val="18"/>
          <w:color w:val="auto"/>
        </w:rPr>
      </w:pPr>
    </w:p>
    <w:p>
      <w:pPr>
        <w:ind w:left="400" w:right="80" w:hanging="394"/>
        <w:spacing w:after="0" w:line="234" w:lineRule="auto"/>
        <w:tabs>
          <w:tab w:leader="none" w:pos="4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solely on information contained in the most recently filed Schedule 13F of The Vanguard Group, Inc., an investment adviser, filed with the SEC on November 12, 2021, reflecting beneficial ownership as of September 30, 2021, with sole investment discretion but no voting authority with respect to 10,411,649 shares, sole investment discretion and shared voting authority with respect to 503 shares, shared investment discretion but no voting authority with respect to 93,187 shares and shared discretion and voting authority with respect to 75,632 shares. The Vanguard Group, Inc. does not have sole voting authority over any of the shares.</w:t>
      </w:r>
    </w:p>
    <w:p>
      <w:pPr>
        <w:spacing w:after="0" w:line="41" w:lineRule="exact"/>
        <w:rPr>
          <w:rFonts w:ascii="Arial" w:cs="Arial" w:eastAsia="Arial" w:hAnsi="Arial"/>
          <w:sz w:val="18"/>
          <w:szCs w:val="18"/>
          <w:color w:val="auto"/>
        </w:rPr>
      </w:pPr>
    </w:p>
    <w:p>
      <w:pPr>
        <w:jc w:val="both"/>
        <w:ind w:left="400" w:right="20" w:hanging="394"/>
        <w:spacing w:after="0" w:line="235" w:lineRule="auto"/>
        <w:tabs>
          <w:tab w:leader="none" w:pos="4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solely on information contained in the most recently filed Schedule 13F of BlackRock, Inc., a parent holding company, filed with the SEC on November 9, 2021, reflecting beneficial ownership as of September 30, 2021, with sole investment discretion and voting authority with respect to 8,605,953 shares and sole investment discretion but no voting authority with respect 373,082 shares. BlackRock, Inc. does not have shared voting or dispositive power over any of the shares.</w:t>
      </w:r>
    </w:p>
    <w:p>
      <w:pPr>
        <w:spacing w:after="0" w:line="40" w:lineRule="exact"/>
        <w:rPr>
          <w:rFonts w:ascii="Arial" w:cs="Arial" w:eastAsia="Arial" w:hAnsi="Arial"/>
          <w:sz w:val="18"/>
          <w:szCs w:val="18"/>
          <w:color w:val="auto"/>
        </w:rPr>
      </w:pPr>
    </w:p>
    <w:p>
      <w:pPr>
        <w:ind w:left="400" w:right="40" w:hanging="394"/>
        <w:spacing w:after="0" w:line="255" w:lineRule="auto"/>
        <w:tabs>
          <w:tab w:leader="none" w:pos="4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Based solely on information contained in the most recently filed Schedule 13F of T Rowe Price Associates, Inc., an investment adviser, filed with the SEC on November 15, 2021, reflecting beneficial ownership as of September 30, 2021, with sole investment discretion with respect to all such shares, sole voting authority with respect to 1,287,617 shares and no voting authority with respect to 5,842,498 shares.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Directors, Director Nominees and Executive Officers</w:t>
      </w:r>
    </w:p>
    <w:p>
      <w:pPr>
        <w:spacing w:after="0" w:line="122" w:lineRule="exact"/>
        <w:rPr>
          <w:sz w:val="20"/>
          <w:szCs w:val="20"/>
          <w:color w:val="auto"/>
        </w:rPr>
      </w:pPr>
    </w:p>
    <w:p>
      <w:pPr>
        <w:ind w:right="200" w:firstLine="401"/>
        <w:spacing w:after="0" w:line="241" w:lineRule="auto"/>
        <w:rPr>
          <w:sz w:val="20"/>
          <w:szCs w:val="20"/>
          <w:color w:val="auto"/>
        </w:rPr>
      </w:pPr>
      <w:r>
        <w:rPr>
          <w:rFonts w:ascii="Arial" w:cs="Arial" w:eastAsia="Arial" w:hAnsi="Arial"/>
          <w:sz w:val="21"/>
          <w:szCs w:val="21"/>
          <w:color w:val="auto"/>
        </w:rPr>
        <w:t xml:space="preserve">The following table sets forth information known to us regarding the beneficial ownership of our common stock as of </w:t>
      </w:r>
      <w:r>
        <w:rPr>
          <w:rFonts w:ascii="Arial" w:cs="Arial" w:eastAsia="Arial" w:hAnsi="Arial"/>
          <w:sz w:val="17"/>
          <w:szCs w:val="17"/>
          <w:color w:val="auto"/>
        </w:rPr>
        <w:t>January 18, 2022</w:t>
      </w:r>
      <w:r>
        <w:rPr>
          <w:rFonts w:ascii="Arial" w:cs="Arial" w:eastAsia="Arial" w:hAnsi="Arial"/>
          <w:sz w:val="21"/>
          <w:szCs w:val="21"/>
          <w:color w:val="auto"/>
        </w:rPr>
        <w:t>, by (i) each of our current non-employee directors and director nominees, (ii) individuals who served as our “principal executive officer” or “principal financial officer” during fiscal 2021 and the next three most highly compensated executive officers named in the “Summary Compensation Table,” and (iii) all current directors and executive officers as a group.</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shd w:val="clear" w:color="auto" w:fill="C00000"/>
          </w:tcPr>
          <w:p>
            <w:pPr>
              <w:spacing w:after="0"/>
              <w:rPr>
                <w:sz w:val="14"/>
                <w:szCs w:val="14"/>
                <w:color w:val="auto"/>
              </w:rPr>
            </w:pPr>
          </w:p>
        </w:tc>
        <w:tc>
          <w:tcPr>
            <w:tcW w:w="5000" w:type="dxa"/>
            <w:vAlign w:val="bottom"/>
            <w:shd w:val="clear" w:color="auto" w:fill="C00000"/>
          </w:tcPr>
          <w:p>
            <w:pPr>
              <w:spacing w:after="0"/>
              <w:rPr>
                <w:sz w:val="14"/>
                <w:szCs w:val="14"/>
                <w:color w:val="auto"/>
              </w:rPr>
            </w:pPr>
          </w:p>
        </w:tc>
        <w:tc>
          <w:tcPr>
            <w:tcW w:w="3020" w:type="dxa"/>
            <w:vAlign w:val="bottom"/>
            <w:shd w:val="clear" w:color="auto" w:fill="C00000"/>
          </w:tcPr>
          <w:p>
            <w:pPr>
              <w:jc w:val="center"/>
              <w:ind w:left="282"/>
              <w:spacing w:after="0"/>
              <w:rPr>
                <w:sz w:val="20"/>
                <w:szCs w:val="20"/>
                <w:color w:val="auto"/>
              </w:rPr>
            </w:pPr>
            <w:r>
              <w:rPr>
                <w:rFonts w:ascii="Arial" w:cs="Arial" w:eastAsia="Arial" w:hAnsi="Arial"/>
                <w:sz w:val="14"/>
                <w:szCs w:val="14"/>
                <w:b w:val="1"/>
                <w:bCs w:val="1"/>
                <w:color w:val="FFFFFF"/>
              </w:rPr>
              <w:t>Amount and Nature of</w:t>
            </w:r>
          </w:p>
        </w:tc>
        <w:tc>
          <w:tcPr>
            <w:tcW w:w="1540" w:type="dxa"/>
            <w:vAlign w:val="bottom"/>
            <w:vMerge w:val="restart"/>
            <w:shd w:val="clear" w:color="auto" w:fill="C00000"/>
          </w:tcPr>
          <w:p>
            <w:pPr>
              <w:jc w:val="center"/>
              <w:ind w:right="102"/>
              <w:spacing w:after="0"/>
              <w:rPr>
                <w:sz w:val="20"/>
                <w:szCs w:val="20"/>
                <w:color w:val="auto"/>
              </w:rPr>
            </w:pPr>
            <w:r>
              <w:rPr>
                <w:rFonts w:ascii="Arial" w:cs="Arial" w:eastAsia="Arial" w:hAnsi="Arial"/>
                <w:sz w:val="14"/>
                <w:szCs w:val="14"/>
                <w:b w:val="1"/>
                <w:bCs w:val="1"/>
                <w:color w:val="FFFFFF"/>
                <w:w w:val="99"/>
              </w:rPr>
              <w:t>Percent of</w:t>
            </w:r>
          </w:p>
        </w:tc>
        <w:tc>
          <w:tcPr>
            <w:tcW w:w="0" w:type="dxa"/>
            <w:vAlign w:val="bottom"/>
          </w:tcPr>
          <w:p>
            <w:pPr>
              <w:spacing w:after="0"/>
              <w:rPr>
                <w:sz w:val="1"/>
                <w:szCs w:val="1"/>
                <w:color w:val="auto"/>
              </w:rPr>
            </w:pPr>
          </w:p>
        </w:tc>
      </w:tr>
      <w:tr>
        <w:trPr>
          <w:trHeight w:val="146"/>
        </w:trPr>
        <w:tc>
          <w:tcPr>
            <w:tcW w:w="1680" w:type="dxa"/>
            <w:vAlign w:val="bottom"/>
            <w:vMerge w:val="restart"/>
            <w:shd w:val="clear" w:color="auto" w:fill="C00000"/>
          </w:tcPr>
          <w:p>
            <w:pPr>
              <w:spacing w:after="0"/>
              <w:rPr>
                <w:sz w:val="20"/>
                <w:szCs w:val="20"/>
                <w:color w:val="auto"/>
              </w:rPr>
            </w:pPr>
            <w:r>
              <w:rPr>
                <w:rFonts w:ascii="Arial" w:cs="Arial" w:eastAsia="Arial" w:hAnsi="Arial"/>
                <w:sz w:val="14"/>
                <w:szCs w:val="14"/>
                <w:b w:val="1"/>
                <w:bCs w:val="1"/>
                <w:color w:val="FFFFFF"/>
              </w:rPr>
              <w:t>Title of Class</w:t>
            </w:r>
          </w:p>
        </w:tc>
        <w:tc>
          <w:tcPr>
            <w:tcW w:w="5000" w:type="dxa"/>
            <w:vAlign w:val="bottom"/>
            <w:vMerge w:val="restart"/>
            <w:shd w:val="clear" w:color="auto" w:fill="C00000"/>
          </w:tcPr>
          <w:p>
            <w:pPr>
              <w:ind w:left="600"/>
              <w:spacing w:after="0"/>
              <w:rPr>
                <w:sz w:val="20"/>
                <w:szCs w:val="20"/>
                <w:color w:val="auto"/>
              </w:rPr>
            </w:pPr>
            <w:r>
              <w:rPr>
                <w:rFonts w:ascii="Arial" w:cs="Arial" w:eastAsia="Arial" w:hAnsi="Arial"/>
                <w:sz w:val="14"/>
                <w:szCs w:val="14"/>
                <w:b w:val="1"/>
                <w:bCs w:val="1"/>
                <w:color w:val="FFFFFF"/>
              </w:rPr>
              <w:t>Name of Beneficial Owner</w:t>
            </w:r>
          </w:p>
        </w:tc>
        <w:tc>
          <w:tcPr>
            <w:tcW w:w="3020" w:type="dxa"/>
            <w:vAlign w:val="bottom"/>
            <w:shd w:val="clear" w:color="auto" w:fill="C00000"/>
          </w:tcPr>
          <w:p>
            <w:pPr>
              <w:jc w:val="center"/>
              <w:ind w:left="282"/>
              <w:spacing w:after="0" w:line="147" w:lineRule="exact"/>
              <w:rPr>
                <w:sz w:val="20"/>
                <w:szCs w:val="20"/>
                <w:color w:val="auto"/>
              </w:rPr>
            </w:pPr>
            <w:r>
              <w:rPr>
                <w:rFonts w:ascii="Arial" w:cs="Arial" w:eastAsia="Arial" w:hAnsi="Arial"/>
                <w:sz w:val="14"/>
                <w:szCs w:val="14"/>
                <w:b w:val="1"/>
                <w:bCs w:val="1"/>
                <w:color w:val="FFFFFF"/>
              </w:rPr>
              <w:t>Beneficial Ownership</w:t>
            </w:r>
          </w:p>
        </w:tc>
        <w:tc>
          <w:tcPr>
            <w:tcW w:w="1540" w:type="dxa"/>
            <w:vAlign w:val="bottom"/>
            <w:vMerge w:val="continue"/>
            <w:shd w:val="clear" w:color="auto" w:fill="C00000"/>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680" w:type="dxa"/>
            <w:vAlign w:val="bottom"/>
            <w:vMerge w:val="continue"/>
            <w:shd w:val="clear" w:color="auto" w:fill="C00000"/>
          </w:tcPr>
          <w:p>
            <w:pPr>
              <w:spacing w:after="0"/>
              <w:rPr>
                <w:sz w:val="13"/>
                <w:szCs w:val="13"/>
                <w:color w:val="auto"/>
              </w:rPr>
            </w:pPr>
          </w:p>
        </w:tc>
        <w:tc>
          <w:tcPr>
            <w:tcW w:w="5000" w:type="dxa"/>
            <w:vAlign w:val="bottom"/>
            <w:vMerge w:val="continue"/>
            <w:shd w:val="clear" w:color="auto" w:fill="C00000"/>
          </w:tcPr>
          <w:p>
            <w:pPr>
              <w:spacing w:after="0"/>
              <w:rPr>
                <w:sz w:val="13"/>
                <w:szCs w:val="13"/>
                <w:color w:val="auto"/>
              </w:rPr>
            </w:pPr>
          </w:p>
        </w:tc>
        <w:tc>
          <w:tcPr>
            <w:tcW w:w="3020" w:type="dxa"/>
            <w:vAlign w:val="bottom"/>
            <w:shd w:val="clear" w:color="auto" w:fill="C00000"/>
          </w:tcPr>
          <w:p>
            <w:pPr>
              <w:jc w:val="center"/>
              <w:ind w:left="282"/>
              <w:spacing w:after="0"/>
              <w:rPr>
                <w:sz w:val="20"/>
                <w:szCs w:val="20"/>
                <w:color w:val="auto"/>
              </w:rPr>
            </w:pPr>
            <w:r>
              <w:rPr>
                <w:rFonts w:ascii="Arial" w:cs="Arial" w:eastAsia="Arial" w:hAnsi="Arial"/>
                <w:sz w:val="12"/>
                <w:szCs w:val="12"/>
                <w:b w:val="1"/>
                <w:bCs w:val="1"/>
                <w:color w:val="FFFFFF"/>
              </w:rPr>
              <w:t>(1)(2)(3)</w:t>
            </w:r>
          </w:p>
        </w:tc>
        <w:tc>
          <w:tcPr>
            <w:tcW w:w="1540" w:type="dxa"/>
            <w:vAlign w:val="bottom"/>
            <w:shd w:val="clear" w:color="auto" w:fill="C00000"/>
          </w:tcPr>
          <w:p>
            <w:pPr>
              <w:jc w:val="center"/>
              <w:ind w:right="102"/>
              <w:spacing w:after="0" w:line="160" w:lineRule="exact"/>
              <w:rPr>
                <w:sz w:val="20"/>
                <w:szCs w:val="20"/>
                <w:color w:val="auto"/>
              </w:rPr>
            </w:pPr>
            <w:r>
              <w:rPr>
                <w:rFonts w:ascii="Arial" w:cs="Arial" w:eastAsia="Arial" w:hAnsi="Arial"/>
                <w:sz w:val="11"/>
                <w:szCs w:val="11"/>
                <w:b w:val="1"/>
                <w:bCs w:val="1"/>
                <w:color w:val="FFFFFF"/>
              </w:rPr>
              <w:t>Class</w:t>
            </w:r>
            <w:r>
              <w:rPr>
                <w:rFonts w:ascii="Arial" w:cs="Arial" w:eastAsia="Arial" w:hAnsi="Arial"/>
                <w:sz w:val="18"/>
                <w:szCs w:val="18"/>
                <w:b w:val="1"/>
                <w:bCs w:val="1"/>
                <w:color w:val="FFFFFF"/>
                <w:vertAlign w:val="superscript"/>
              </w:rPr>
              <w:t>(4)</w:t>
            </w: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p>
        </w:tc>
        <w:tc>
          <w:tcPr>
            <w:tcW w:w="5000" w:type="dxa"/>
            <w:vAlign w:val="bottom"/>
          </w:tcPr>
          <w:p>
            <w:pPr>
              <w:ind w:left="600"/>
              <w:spacing w:after="0"/>
              <w:rPr>
                <w:sz w:val="20"/>
                <w:szCs w:val="20"/>
                <w:color w:val="auto"/>
              </w:rPr>
            </w:pPr>
            <w:r>
              <w:rPr>
                <w:rFonts w:ascii="Arial" w:cs="Arial" w:eastAsia="Arial" w:hAnsi="Arial"/>
                <w:sz w:val="16"/>
                <w:szCs w:val="16"/>
                <w:color w:val="auto"/>
              </w:rPr>
              <w:t>Non-Employee Directors and Director Nominees:</w:t>
            </w:r>
          </w:p>
        </w:tc>
        <w:tc>
          <w:tcPr>
            <w:tcW w:w="30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680" w:type="dxa"/>
            <w:vAlign w:val="bottom"/>
            <w:shd w:val="clear" w:color="auto" w:fill="D9D9D9"/>
          </w:tcPr>
          <w:p>
            <w:pPr>
              <w:spacing w:after="0"/>
              <w:rPr>
                <w:sz w:val="20"/>
                <w:szCs w:val="20"/>
                <w:color w:val="auto"/>
              </w:rPr>
            </w:pPr>
            <w:r>
              <w:rPr>
                <w:rFonts w:ascii="Arial" w:cs="Arial" w:eastAsia="Arial" w:hAnsi="Arial"/>
                <w:sz w:val="16"/>
                <w:szCs w:val="16"/>
                <w:color w:val="auto"/>
              </w:rPr>
              <w:t>Common Stock</w:t>
            </w:r>
          </w:p>
        </w:tc>
        <w:tc>
          <w:tcPr>
            <w:tcW w:w="5000" w:type="dxa"/>
            <w:vAlign w:val="bottom"/>
            <w:shd w:val="clear" w:color="auto" w:fill="D9D9D9"/>
          </w:tcPr>
          <w:p>
            <w:pPr>
              <w:ind w:left="840"/>
              <w:spacing w:after="0"/>
              <w:rPr>
                <w:sz w:val="20"/>
                <w:szCs w:val="20"/>
                <w:color w:val="auto"/>
              </w:rPr>
            </w:pPr>
            <w:r>
              <w:rPr>
                <w:rFonts w:ascii="Arial" w:cs="Arial" w:eastAsia="Arial" w:hAnsi="Arial"/>
                <w:sz w:val="16"/>
                <w:szCs w:val="16"/>
                <w:color w:val="auto"/>
              </w:rPr>
              <w:t>Janet K. Cooper</w:t>
            </w:r>
          </w:p>
        </w:tc>
        <w:tc>
          <w:tcPr>
            <w:tcW w:w="3020" w:type="dxa"/>
            <w:vAlign w:val="bottom"/>
            <w:shd w:val="clear" w:color="auto" w:fill="D9D9D9"/>
          </w:tcPr>
          <w:p>
            <w:pPr>
              <w:jc w:val="right"/>
              <w:ind w:right="262"/>
              <w:spacing w:after="0"/>
              <w:rPr>
                <w:sz w:val="20"/>
                <w:szCs w:val="20"/>
                <w:color w:val="auto"/>
              </w:rPr>
            </w:pPr>
            <w:r>
              <w:rPr>
                <w:rFonts w:ascii="Arial" w:cs="Arial" w:eastAsia="Arial" w:hAnsi="Arial"/>
                <w:sz w:val="16"/>
                <w:szCs w:val="16"/>
                <w:color w:val="auto"/>
              </w:rPr>
              <w:t>99,575</w:t>
            </w:r>
          </w:p>
        </w:tc>
        <w:tc>
          <w:tcPr>
            <w:tcW w:w="1540" w:type="dxa"/>
            <w:vAlign w:val="bottom"/>
            <w:shd w:val="clear" w:color="auto" w:fill="D9D9D9"/>
          </w:tcPr>
          <w:p>
            <w:pPr>
              <w:jc w:val="center"/>
              <w:ind w:right="122"/>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r>
              <w:rPr>
                <w:rFonts w:ascii="Arial" w:cs="Arial" w:eastAsia="Arial" w:hAnsi="Arial"/>
                <w:sz w:val="16"/>
                <w:szCs w:val="16"/>
                <w:color w:val="auto"/>
              </w:rPr>
              <w:t>Common Stock</w:t>
            </w:r>
          </w:p>
        </w:tc>
        <w:tc>
          <w:tcPr>
            <w:tcW w:w="5000" w:type="dxa"/>
            <w:vAlign w:val="bottom"/>
          </w:tcPr>
          <w:p>
            <w:pPr>
              <w:ind w:left="840"/>
              <w:spacing w:after="0"/>
              <w:rPr>
                <w:sz w:val="20"/>
                <w:szCs w:val="20"/>
                <w:color w:val="auto"/>
              </w:rPr>
            </w:pPr>
            <w:r>
              <w:rPr>
                <w:rFonts w:ascii="Arial" w:cs="Arial" w:eastAsia="Arial" w:hAnsi="Arial"/>
                <w:sz w:val="16"/>
                <w:szCs w:val="16"/>
                <w:color w:val="auto"/>
              </w:rPr>
              <w:t>Gary L. Ellis</w:t>
            </w:r>
          </w:p>
        </w:tc>
        <w:tc>
          <w:tcPr>
            <w:tcW w:w="3020" w:type="dxa"/>
            <w:vAlign w:val="bottom"/>
          </w:tcPr>
          <w:p>
            <w:pPr>
              <w:jc w:val="right"/>
              <w:ind w:right="262"/>
              <w:spacing w:after="0"/>
              <w:rPr>
                <w:sz w:val="20"/>
                <w:szCs w:val="20"/>
                <w:color w:val="auto"/>
              </w:rPr>
            </w:pPr>
            <w:r>
              <w:rPr>
                <w:rFonts w:ascii="Arial" w:cs="Arial" w:eastAsia="Arial" w:hAnsi="Arial"/>
                <w:sz w:val="16"/>
                <w:szCs w:val="16"/>
                <w:color w:val="auto"/>
              </w:rPr>
              <w:t>73,951</w:t>
            </w:r>
          </w:p>
        </w:tc>
        <w:tc>
          <w:tcPr>
            <w:tcW w:w="1540" w:type="dxa"/>
            <w:vAlign w:val="bottom"/>
          </w:tcPr>
          <w:p>
            <w:pPr>
              <w:jc w:val="center"/>
              <w:ind w:right="122"/>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49"/>
        </w:trPr>
        <w:tc>
          <w:tcPr>
            <w:tcW w:w="1680" w:type="dxa"/>
            <w:vAlign w:val="bottom"/>
            <w:shd w:val="clear" w:color="auto" w:fill="D9D9D9"/>
          </w:tcPr>
          <w:p>
            <w:pPr>
              <w:spacing w:after="0"/>
              <w:rPr>
                <w:sz w:val="20"/>
                <w:szCs w:val="20"/>
                <w:color w:val="auto"/>
              </w:rPr>
            </w:pPr>
            <w:r>
              <w:rPr>
                <w:rFonts w:ascii="Arial" w:cs="Arial" w:eastAsia="Arial" w:hAnsi="Arial"/>
                <w:sz w:val="16"/>
                <w:szCs w:val="16"/>
                <w:color w:val="auto"/>
              </w:rPr>
              <w:t>Common Stock</w:t>
            </w:r>
          </w:p>
        </w:tc>
        <w:tc>
          <w:tcPr>
            <w:tcW w:w="5000" w:type="dxa"/>
            <w:vAlign w:val="bottom"/>
            <w:shd w:val="clear" w:color="auto" w:fill="D9D9D9"/>
          </w:tcPr>
          <w:p>
            <w:pPr>
              <w:ind w:left="840"/>
              <w:spacing w:after="0"/>
              <w:rPr>
                <w:sz w:val="20"/>
                <w:szCs w:val="20"/>
                <w:color w:val="auto"/>
              </w:rPr>
            </w:pPr>
            <w:r>
              <w:rPr>
                <w:rFonts w:ascii="Arial" w:cs="Arial" w:eastAsia="Arial" w:hAnsi="Arial"/>
                <w:sz w:val="16"/>
                <w:szCs w:val="16"/>
                <w:color w:val="auto"/>
              </w:rPr>
              <w:t>Jeffrey M. Ettinger</w:t>
            </w:r>
          </w:p>
        </w:tc>
        <w:tc>
          <w:tcPr>
            <w:tcW w:w="3020" w:type="dxa"/>
            <w:vAlign w:val="bottom"/>
            <w:shd w:val="clear" w:color="auto" w:fill="D9D9D9"/>
          </w:tcPr>
          <w:p>
            <w:pPr>
              <w:jc w:val="right"/>
              <w:ind w:right="262"/>
              <w:spacing w:after="0"/>
              <w:rPr>
                <w:sz w:val="20"/>
                <w:szCs w:val="20"/>
                <w:color w:val="auto"/>
              </w:rPr>
            </w:pPr>
            <w:r>
              <w:rPr>
                <w:rFonts w:ascii="Arial" w:cs="Arial" w:eastAsia="Arial" w:hAnsi="Arial"/>
                <w:sz w:val="16"/>
                <w:szCs w:val="16"/>
                <w:color w:val="auto"/>
              </w:rPr>
              <w:t>99,661</w:t>
            </w:r>
          </w:p>
        </w:tc>
        <w:tc>
          <w:tcPr>
            <w:tcW w:w="1540" w:type="dxa"/>
            <w:vAlign w:val="bottom"/>
            <w:shd w:val="clear" w:color="auto" w:fill="D9D9D9"/>
          </w:tcPr>
          <w:p>
            <w:pPr>
              <w:jc w:val="center"/>
              <w:ind w:right="122"/>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r>
              <w:rPr>
                <w:rFonts w:ascii="Arial" w:cs="Arial" w:eastAsia="Arial" w:hAnsi="Arial"/>
                <w:sz w:val="16"/>
                <w:szCs w:val="16"/>
                <w:color w:val="auto"/>
              </w:rPr>
              <w:t>Common Stock</w:t>
            </w:r>
          </w:p>
        </w:tc>
        <w:tc>
          <w:tcPr>
            <w:tcW w:w="5000" w:type="dxa"/>
            <w:vAlign w:val="bottom"/>
          </w:tcPr>
          <w:p>
            <w:pPr>
              <w:ind w:left="840"/>
              <w:spacing w:after="0"/>
              <w:rPr>
                <w:sz w:val="20"/>
                <w:szCs w:val="20"/>
                <w:color w:val="auto"/>
              </w:rPr>
            </w:pPr>
            <w:r>
              <w:rPr>
                <w:rFonts w:ascii="Arial" w:cs="Arial" w:eastAsia="Arial" w:hAnsi="Arial"/>
                <w:sz w:val="16"/>
                <w:szCs w:val="16"/>
                <w:color w:val="auto"/>
              </w:rPr>
              <w:t>Eric P. Hansotia</w:t>
            </w:r>
          </w:p>
        </w:tc>
        <w:tc>
          <w:tcPr>
            <w:tcW w:w="3020" w:type="dxa"/>
            <w:vAlign w:val="bottom"/>
          </w:tcPr>
          <w:p>
            <w:pPr>
              <w:jc w:val="right"/>
              <w:ind w:right="262"/>
              <w:spacing w:after="0"/>
              <w:rPr>
                <w:sz w:val="20"/>
                <w:szCs w:val="20"/>
                <w:color w:val="auto"/>
              </w:rPr>
            </w:pPr>
            <w:r>
              <w:rPr>
                <w:rFonts w:ascii="Arial" w:cs="Arial" w:eastAsia="Arial" w:hAnsi="Arial"/>
                <w:sz w:val="16"/>
                <w:szCs w:val="16"/>
                <w:color w:val="auto"/>
              </w:rPr>
              <w:t>0</w:t>
            </w:r>
          </w:p>
        </w:tc>
        <w:tc>
          <w:tcPr>
            <w:tcW w:w="1540" w:type="dxa"/>
            <w:vAlign w:val="bottom"/>
          </w:tcPr>
          <w:p>
            <w:pPr>
              <w:jc w:val="center"/>
              <w:ind w:right="122"/>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49"/>
        </w:trPr>
        <w:tc>
          <w:tcPr>
            <w:tcW w:w="1680" w:type="dxa"/>
            <w:vAlign w:val="bottom"/>
            <w:shd w:val="clear" w:color="auto" w:fill="D9D9D9"/>
          </w:tcPr>
          <w:p>
            <w:pPr>
              <w:spacing w:after="0"/>
              <w:rPr>
                <w:sz w:val="20"/>
                <w:szCs w:val="20"/>
                <w:color w:val="auto"/>
              </w:rPr>
            </w:pPr>
            <w:r>
              <w:rPr>
                <w:rFonts w:ascii="Arial" w:cs="Arial" w:eastAsia="Arial" w:hAnsi="Arial"/>
                <w:sz w:val="16"/>
                <w:szCs w:val="16"/>
                <w:color w:val="auto"/>
              </w:rPr>
              <w:t>Common Stock</w:t>
            </w:r>
          </w:p>
        </w:tc>
        <w:tc>
          <w:tcPr>
            <w:tcW w:w="5000" w:type="dxa"/>
            <w:vAlign w:val="bottom"/>
            <w:shd w:val="clear" w:color="auto" w:fill="D9D9D9"/>
          </w:tcPr>
          <w:p>
            <w:pPr>
              <w:ind w:left="840"/>
              <w:spacing w:after="0"/>
              <w:rPr>
                <w:sz w:val="20"/>
                <w:szCs w:val="20"/>
                <w:color w:val="auto"/>
              </w:rPr>
            </w:pPr>
            <w:r>
              <w:rPr>
                <w:rFonts w:ascii="Arial" w:cs="Arial" w:eastAsia="Arial" w:hAnsi="Arial"/>
                <w:sz w:val="16"/>
                <w:szCs w:val="16"/>
                <w:color w:val="auto"/>
              </w:rPr>
              <w:t>Katherine J. Harless</w:t>
            </w:r>
          </w:p>
        </w:tc>
        <w:tc>
          <w:tcPr>
            <w:tcW w:w="3020" w:type="dxa"/>
            <w:vAlign w:val="bottom"/>
            <w:shd w:val="clear" w:color="auto" w:fill="D9D9D9"/>
          </w:tcPr>
          <w:p>
            <w:pPr>
              <w:jc w:val="right"/>
              <w:ind w:right="262"/>
              <w:spacing w:after="0"/>
              <w:rPr>
                <w:sz w:val="20"/>
                <w:szCs w:val="20"/>
                <w:color w:val="auto"/>
              </w:rPr>
            </w:pPr>
            <w:r>
              <w:rPr>
                <w:rFonts w:ascii="Arial" w:cs="Arial" w:eastAsia="Arial" w:hAnsi="Arial"/>
                <w:sz w:val="16"/>
                <w:szCs w:val="16"/>
                <w:color w:val="auto"/>
              </w:rPr>
              <w:t>90,675</w:t>
            </w:r>
          </w:p>
        </w:tc>
        <w:tc>
          <w:tcPr>
            <w:tcW w:w="1540" w:type="dxa"/>
            <w:vAlign w:val="bottom"/>
            <w:shd w:val="clear" w:color="auto" w:fill="D9D9D9"/>
          </w:tcPr>
          <w:p>
            <w:pPr>
              <w:jc w:val="center"/>
              <w:ind w:right="122"/>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r>
              <w:rPr>
                <w:rFonts w:ascii="Arial" w:cs="Arial" w:eastAsia="Arial" w:hAnsi="Arial"/>
                <w:sz w:val="16"/>
                <w:szCs w:val="16"/>
                <w:color w:val="auto"/>
              </w:rPr>
              <w:t>Common Stock</w:t>
            </w:r>
          </w:p>
        </w:tc>
        <w:tc>
          <w:tcPr>
            <w:tcW w:w="5000" w:type="dxa"/>
            <w:vAlign w:val="bottom"/>
          </w:tcPr>
          <w:p>
            <w:pPr>
              <w:ind w:left="840"/>
              <w:spacing w:after="0"/>
              <w:rPr>
                <w:sz w:val="20"/>
                <w:szCs w:val="20"/>
                <w:color w:val="auto"/>
              </w:rPr>
            </w:pPr>
            <w:r>
              <w:rPr>
                <w:rFonts w:ascii="Arial" w:cs="Arial" w:eastAsia="Arial" w:hAnsi="Arial"/>
                <w:sz w:val="16"/>
                <w:szCs w:val="16"/>
                <w:color w:val="auto"/>
              </w:rPr>
              <w:t>Jeffrey L. Harmening</w:t>
            </w:r>
          </w:p>
        </w:tc>
        <w:tc>
          <w:tcPr>
            <w:tcW w:w="3020" w:type="dxa"/>
            <w:vAlign w:val="bottom"/>
          </w:tcPr>
          <w:p>
            <w:pPr>
              <w:jc w:val="right"/>
              <w:ind w:right="262"/>
              <w:spacing w:after="0"/>
              <w:rPr>
                <w:sz w:val="20"/>
                <w:szCs w:val="20"/>
                <w:color w:val="auto"/>
              </w:rPr>
            </w:pPr>
            <w:r>
              <w:rPr>
                <w:rFonts w:ascii="Arial" w:cs="Arial" w:eastAsia="Arial" w:hAnsi="Arial"/>
                <w:sz w:val="16"/>
                <w:szCs w:val="16"/>
                <w:color w:val="auto"/>
              </w:rPr>
              <w:t>8,544</w:t>
            </w:r>
          </w:p>
        </w:tc>
        <w:tc>
          <w:tcPr>
            <w:tcW w:w="1540" w:type="dxa"/>
            <w:vAlign w:val="bottom"/>
          </w:tcPr>
          <w:p>
            <w:pPr>
              <w:jc w:val="center"/>
              <w:ind w:right="122"/>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49"/>
        </w:trPr>
        <w:tc>
          <w:tcPr>
            <w:tcW w:w="1680" w:type="dxa"/>
            <w:vAlign w:val="bottom"/>
            <w:shd w:val="clear" w:color="auto" w:fill="D9D9D9"/>
          </w:tcPr>
          <w:p>
            <w:pPr>
              <w:spacing w:after="0"/>
              <w:rPr>
                <w:sz w:val="20"/>
                <w:szCs w:val="20"/>
                <w:color w:val="auto"/>
              </w:rPr>
            </w:pPr>
            <w:r>
              <w:rPr>
                <w:rFonts w:ascii="Arial" w:cs="Arial" w:eastAsia="Arial" w:hAnsi="Arial"/>
                <w:sz w:val="16"/>
                <w:szCs w:val="16"/>
                <w:color w:val="auto"/>
              </w:rPr>
              <w:t>Common Stock</w:t>
            </w:r>
          </w:p>
        </w:tc>
        <w:tc>
          <w:tcPr>
            <w:tcW w:w="5000" w:type="dxa"/>
            <w:vAlign w:val="bottom"/>
            <w:shd w:val="clear" w:color="auto" w:fill="D9D9D9"/>
          </w:tcPr>
          <w:p>
            <w:pPr>
              <w:ind w:left="840"/>
              <w:spacing w:after="0"/>
              <w:rPr>
                <w:sz w:val="20"/>
                <w:szCs w:val="20"/>
                <w:color w:val="auto"/>
              </w:rPr>
            </w:pPr>
            <w:r>
              <w:rPr>
                <w:rFonts w:ascii="Arial" w:cs="Arial" w:eastAsia="Arial" w:hAnsi="Arial"/>
                <w:sz w:val="16"/>
                <w:szCs w:val="16"/>
                <w:color w:val="auto"/>
              </w:rPr>
              <w:t>D. Christian Koch</w:t>
            </w:r>
          </w:p>
        </w:tc>
        <w:tc>
          <w:tcPr>
            <w:tcW w:w="3020" w:type="dxa"/>
            <w:vAlign w:val="bottom"/>
            <w:shd w:val="clear" w:color="auto" w:fill="D9D9D9"/>
          </w:tcPr>
          <w:p>
            <w:pPr>
              <w:jc w:val="right"/>
              <w:ind w:right="262"/>
              <w:spacing w:after="0"/>
              <w:rPr>
                <w:sz w:val="20"/>
                <w:szCs w:val="20"/>
                <w:color w:val="auto"/>
              </w:rPr>
            </w:pPr>
            <w:r>
              <w:rPr>
                <w:rFonts w:ascii="Arial" w:cs="Arial" w:eastAsia="Arial" w:hAnsi="Arial"/>
                <w:sz w:val="16"/>
                <w:szCs w:val="16"/>
                <w:color w:val="auto"/>
              </w:rPr>
              <w:t>23,317</w:t>
            </w:r>
          </w:p>
        </w:tc>
        <w:tc>
          <w:tcPr>
            <w:tcW w:w="1540" w:type="dxa"/>
            <w:vAlign w:val="bottom"/>
            <w:shd w:val="clear" w:color="auto" w:fill="D9D9D9"/>
          </w:tcPr>
          <w:p>
            <w:pPr>
              <w:jc w:val="center"/>
              <w:ind w:right="122"/>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r>
              <w:rPr>
                <w:rFonts w:ascii="Arial" w:cs="Arial" w:eastAsia="Arial" w:hAnsi="Arial"/>
                <w:sz w:val="16"/>
                <w:szCs w:val="16"/>
                <w:color w:val="auto"/>
              </w:rPr>
              <w:t>Common Stock</w:t>
            </w:r>
          </w:p>
        </w:tc>
        <w:tc>
          <w:tcPr>
            <w:tcW w:w="5000" w:type="dxa"/>
            <w:vAlign w:val="bottom"/>
          </w:tcPr>
          <w:p>
            <w:pPr>
              <w:ind w:left="840"/>
              <w:spacing w:after="0"/>
              <w:rPr>
                <w:sz w:val="20"/>
                <w:szCs w:val="20"/>
                <w:color w:val="auto"/>
              </w:rPr>
            </w:pPr>
            <w:r>
              <w:rPr>
                <w:rFonts w:ascii="Arial" w:cs="Arial" w:eastAsia="Arial" w:hAnsi="Arial"/>
                <w:sz w:val="16"/>
                <w:szCs w:val="16"/>
                <w:color w:val="auto"/>
              </w:rPr>
              <w:t>Joyce A. Mullen</w:t>
            </w:r>
          </w:p>
        </w:tc>
        <w:tc>
          <w:tcPr>
            <w:tcW w:w="3020" w:type="dxa"/>
            <w:vAlign w:val="bottom"/>
          </w:tcPr>
          <w:p>
            <w:pPr>
              <w:jc w:val="right"/>
              <w:ind w:right="262"/>
              <w:spacing w:after="0"/>
              <w:rPr>
                <w:sz w:val="20"/>
                <w:szCs w:val="20"/>
                <w:color w:val="auto"/>
              </w:rPr>
            </w:pPr>
            <w:r>
              <w:rPr>
                <w:rFonts w:ascii="Arial" w:cs="Arial" w:eastAsia="Arial" w:hAnsi="Arial"/>
                <w:sz w:val="16"/>
                <w:szCs w:val="16"/>
                <w:color w:val="auto"/>
              </w:rPr>
              <w:t>5,867</w:t>
            </w:r>
          </w:p>
        </w:tc>
        <w:tc>
          <w:tcPr>
            <w:tcW w:w="1540" w:type="dxa"/>
            <w:vAlign w:val="bottom"/>
          </w:tcPr>
          <w:p>
            <w:pPr>
              <w:jc w:val="center"/>
              <w:ind w:right="122"/>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49"/>
        </w:trPr>
        <w:tc>
          <w:tcPr>
            <w:tcW w:w="1680" w:type="dxa"/>
            <w:vAlign w:val="bottom"/>
            <w:shd w:val="clear" w:color="auto" w:fill="D9D9D9"/>
          </w:tcPr>
          <w:p>
            <w:pPr>
              <w:spacing w:after="0"/>
              <w:rPr>
                <w:sz w:val="20"/>
                <w:szCs w:val="20"/>
                <w:color w:val="auto"/>
              </w:rPr>
            </w:pPr>
            <w:r>
              <w:rPr>
                <w:rFonts w:ascii="Arial" w:cs="Arial" w:eastAsia="Arial" w:hAnsi="Arial"/>
                <w:sz w:val="16"/>
                <w:szCs w:val="16"/>
                <w:color w:val="auto"/>
              </w:rPr>
              <w:t>Common Stock</w:t>
            </w:r>
          </w:p>
        </w:tc>
        <w:tc>
          <w:tcPr>
            <w:tcW w:w="5000" w:type="dxa"/>
            <w:vAlign w:val="bottom"/>
            <w:shd w:val="clear" w:color="auto" w:fill="D9D9D9"/>
          </w:tcPr>
          <w:p>
            <w:pPr>
              <w:ind w:left="840"/>
              <w:spacing w:after="0"/>
              <w:rPr>
                <w:sz w:val="20"/>
                <w:szCs w:val="20"/>
                <w:color w:val="auto"/>
              </w:rPr>
            </w:pPr>
            <w:r>
              <w:rPr>
                <w:rFonts w:ascii="Arial" w:cs="Arial" w:eastAsia="Arial" w:hAnsi="Arial"/>
                <w:sz w:val="16"/>
                <w:szCs w:val="16"/>
                <w:color w:val="auto"/>
              </w:rPr>
              <w:t>James C. O’Rourke</w:t>
            </w:r>
          </w:p>
        </w:tc>
        <w:tc>
          <w:tcPr>
            <w:tcW w:w="3020" w:type="dxa"/>
            <w:vAlign w:val="bottom"/>
            <w:shd w:val="clear" w:color="auto" w:fill="D9D9D9"/>
          </w:tcPr>
          <w:p>
            <w:pPr>
              <w:jc w:val="right"/>
              <w:ind w:right="262"/>
              <w:spacing w:after="0"/>
              <w:rPr>
                <w:sz w:val="20"/>
                <w:szCs w:val="20"/>
                <w:color w:val="auto"/>
              </w:rPr>
            </w:pPr>
            <w:r>
              <w:rPr>
                <w:rFonts w:ascii="Arial" w:cs="Arial" w:eastAsia="Arial" w:hAnsi="Arial"/>
                <w:sz w:val="16"/>
                <w:szCs w:val="16"/>
                <w:color w:val="auto"/>
              </w:rPr>
              <w:t>33,765</w:t>
            </w:r>
          </w:p>
        </w:tc>
        <w:tc>
          <w:tcPr>
            <w:tcW w:w="1540" w:type="dxa"/>
            <w:vAlign w:val="bottom"/>
            <w:shd w:val="clear" w:color="auto" w:fill="D9D9D9"/>
          </w:tcPr>
          <w:p>
            <w:pPr>
              <w:jc w:val="center"/>
              <w:ind w:right="122"/>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r>
              <w:rPr>
                <w:rFonts w:ascii="Arial" w:cs="Arial" w:eastAsia="Arial" w:hAnsi="Arial"/>
                <w:sz w:val="16"/>
                <w:szCs w:val="16"/>
                <w:color w:val="auto"/>
              </w:rPr>
              <w:t>Common Stock</w:t>
            </w:r>
          </w:p>
        </w:tc>
        <w:tc>
          <w:tcPr>
            <w:tcW w:w="5000" w:type="dxa"/>
            <w:vAlign w:val="bottom"/>
          </w:tcPr>
          <w:p>
            <w:pPr>
              <w:ind w:left="840"/>
              <w:spacing w:after="0"/>
              <w:rPr>
                <w:sz w:val="20"/>
                <w:szCs w:val="20"/>
                <w:color w:val="auto"/>
              </w:rPr>
            </w:pPr>
            <w:r>
              <w:rPr>
                <w:rFonts w:ascii="Arial" w:cs="Arial" w:eastAsia="Arial" w:hAnsi="Arial"/>
                <w:sz w:val="16"/>
                <w:szCs w:val="16"/>
                <w:color w:val="auto"/>
              </w:rPr>
              <w:t>Jill M. Pemberton</w:t>
            </w:r>
          </w:p>
        </w:tc>
        <w:tc>
          <w:tcPr>
            <w:tcW w:w="3020" w:type="dxa"/>
            <w:vAlign w:val="bottom"/>
          </w:tcPr>
          <w:p>
            <w:pPr>
              <w:jc w:val="right"/>
              <w:ind w:right="262"/>
              <w:spacing w:after="0"/>
              <w:rPr>
                <w:sz w:val="20"/>
                <w:szCs w:val="20"/>
                <w:color w:val="auto"/>
              </w:rPr>
            </w:pPr>
            <w:r>
              <w:rPr>
                <w:rFonts w:ascii="Arial" w:cs="Arial" w:eastAsia="Arial" w:hAnsi="Arial"/>
                <w:sz w:val="16"/>
                <w:szCs w:val="16"/>
                <w:color w:val="auto"/>
              </w:rPr>
              <w:t>0</w:t>
            </w:r>
          </w:p>
        </w:tc>
        <w:tc>
          <w:tcPr>
            <w:tcW w:w="1540" w:type="dxa"/>
            <w:vAlign w:val="bottom"/>
          </w:tcPr>
          <w:p>
            <w:pPr>
              <w:jc w:val="center"/>
              <w:ind w:right="122"/>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49"/>
        </w:trPr>
        <w:tc>
          <w:tcPr>
            <w:tcW w:w="1680" w:type="dxa"/>
            <w:vAlign w:val="bottom"/>
            <w:shd w:val="clear" w:color="auto" w:fill="D9D9D9"/>
          </w:tcPr>
          <w:p>
            <w:pPr>
              <w:spacing w:after="0"/>
              <w:rPr>
                <w:sz w:val="20"/>
                <w:szCs w:val="20"/>
                <w:color w:val="auto"/>
              </w:rPr>
            </w:pPr>
            <w:r>
              <w:rPr>
                <w:rFonts w:ascii="Arial" w:cs="Arial" w:eastAsia="Arial" w:hAnsi="Arial"/>
                <w:sz w:val="16"/>
                <w:szCs w:val="16"/>
                <w:color w:val="auto"/>
              </w:rPr>
              <w:t>Common Stock</w:t>
            </w:r>
          </w:p>
        </w:tc>
        <w:tc>
          <w:tcPr>
            <w:tcW w:w="5000" w:type="dxa"/>
            <w:vAlign w:val="bottom"/>
            <w:shd w:val="clear" w:color="auto" w:fill="D9D9D9"/>
          </w:tcPr>
          <w:p>
            <w:pPr>
              <w:ind w:left="840"/>
              <w:spacing w:after="0"/>
              <w:rPr>
                <w:sz w:val="20"/>
                <w:szCs w:val="20"/>
                <w:color w:val="auto"/>
              </w:rPr>
            </w:pPr>
            <w:r>
              <w:rPr>
                <w:rFonts w:ascii="Arial" w:cs="Arial" w:eastAsia="Arial" w:hAnsi="Arial"/>
                <w:sz w:val="16"/>
                <w:szCs w:val="16"/>
                <w:color w:val="auto"/>
              </w:rPr>
              <w:t>Michael G. Vale</w:t>
            </w:r>
          </w:p>
        </w:tc>
        <w:tc>
          <w:tcPr>
            <w:tcW w:w="3020" w:type="dxa"/>
            <w:vAlign w:val="bottom"/>
            <w:shd w:val="clear" w:color="auto" w:fill="D9D9D9"/>
          </w:tcPr>
          <w:p>
            <w:pPr>
              <w:jc w:val="right"/>
              <w:ind w:right="262"/>
              <w:spacing w:after="0"/>
              <w:rPr>
                <w:sz w:val="20"/>
                <w:szCs w:val="20"/>
                <w:color w:val="auto"/>
              </w:rPr>
            </w:pPr>
            <w:r>
              <w:rPr>
                <w:rFonts w:ascii="Arial" w:cs="Arial" w:eastAsia="Arial" w:hAnsi="Arial"/>
                <w:sz w:val="16"/>
                <w:szCs w:val="16"/>
                <w:color w:val="auto"/>
              </w:rPr>
              <w:t>11,399</w:t>
            </w:r>
          </w:p>
        </w:tc>
        <w:tc>
          <w:tcPr>
            <w:tcW w:w="1540" w:type="dxa"/>
            <w:vAlign w:val="bottom"/>
            <w:shd w:val="clear" w:color="auto" w:fill="D9D9D9"/>
          </w:tcPr>
          <w:p>
            <w:pPr>
              <w:jc w:val="center"/>
              <w:ind w:right="122"/>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p>
        </w:tc>
        <w:tc>
          <w:tcPr>
            <w:tcW w:w="5000" w:type="dxa"/>
            <w:vAlign w:val="bottom"/>
          </w:tcPr>
          <w:p>
            <w:pPr>
              <w:ind w:left="600"/>
              <w:spacing w:after="0"/>
              <w:rPr>
                <w:sz w:val="20"/>
                <w:szCs w:val="20"/>
                <w:color w:val="auto"/>
              </w:rPr>
            </w:pPr>
            <w:r>
              <w:rPr>
                <w:rFonts w:ascii="Arial" w:cs="Arial" w:eastAsia="Arial" w:hAnsi="Arial"/>
                <w:sz w:val="16"/>
                <w:szCs w:val="16"/>
                <w:color w:val="auto"/>
              </w:rPr>
              <w:t>Named Executive Officers:</w:t>
            </w:r>
          </w:p>
        </w:tc>
        <w:tc>
          <w:tcPr>
            <w:tcW w:w="30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680" w:type="dxa"/>
            <w:vAlign w:val="bottom"/>
            <w:shd w:val="clear" w:color="auto" w:fill="D9D9D9"/>
          </w:tcPr>
          <w:p>
            <w:pPr>
              <w:spacing w:after="0"/>
              <w:rPr>
                <w:sz w:val="20"/>
                <w:szCs w:val="20"/>
                <w:color w:val="auto"/>
              </w:rPr>
            </w:pPr>
            <w:r>
              <w:rPr>
                <w:rFonts w:ascii="Arial" w:cs="Arial" w:eastAsia="Arial" w:hAnsi="Arial"/>
                <w:sz w:val="16"/>
                <w:szCs w:val="16"/>
                <w:color w:val="auto"/>
              </w:rPr>
              <w:t>Common Stock</w:t>
            </w:r>
          </w:p>
        </w:tc>
        <w:tc>
          <w:tcPr>
            <w:tcW w:w="5000" w:type="dxa"/>
            <w:vAlign w:val="bottom"/>
            <w:shd w:val="clear" w:color="auto" w:fill="D9D9D9"/>
          </w:tcPr>
          <w:p>
            <w:pPr>
              <w:ind w:left="840"/>
              <w:spacing w:after="0"/>
              <w:rPr>
                <w:sz w:val="20"/>
                <w:szCs w:val="20"/>
                <w:color w:val="auto"/>
              </w:rPr>
            </w:pPr>
            <w:r>
              <w:rPr>
                <w:rFonts w:ascii="Arial" w:cs="Arial" w:eastAsia="Arial" w:hAnsi="Arial"/>
                <w:sz w:val="16"/>
                <w:szCs w:val="16"/>
                <w:color w:val="auto"/>
              </w:rPr>
              <w:t>Richard M. Olson</w:t>
            </w:r>
          </w:p>
        </w:tc>
        <w:tc>
          <w:tcPr>
            <w:tcW w:w="3020" w:type="dxa"/>
            <w:vAlign w:val="bottom"/>
            <w:shd w:val="clear" w:color="auto" w:fill="D9D9D9"/>
          </w:tcPr>
          <w:p>
            <w:pPr>
              <w:jc w:val="right"/>
              <w:ind w:right="262"/>
              <w:spacing w:after="0"/>
              <w:rPr>
                <w:sz w:val="20"/>
                <w:szCs w:val="20"/>
                <w:color w:val="auto"/>
              </w:rPr>
            </w:pPr>
            <w:r>
              <w:rPr>
                <w:rFonts w:ascii="Arial" w:cs="Arial" w:eastAsia="Arial" w:hAnsi="Arial"/>
                <w:sz w:val="16"/>
                <w:szCs w:val="16"/>
                <w:color w:val="auto"/>
              </w:rPr>
              <w:t>745,283</w:t>
            </w:r>
          </w:p>
        </w:tc>
        <w:tc>
          <w:tcPr>
            <w:tcW w:w="1540" w:type="dxa"/>
            <w:vAlign w:val="bottom"/>
            <w:shd w:val="clear" w:color="auto" w:fill="D9D9D9"/>
          </w:tcPr>
          <w:p>
            <w:pPr>
              <w:jc w:val="center"/>
              <w:ind w:right="122"/>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r>
              <w:rPr>
                <w:rFonts w:ascii="Arial" w:cs="Arial" w:eastAsia="Arial" w:hAnsi="Arial"/>
                <w:sz w:val="16"/>
                <w:szCs w:val="16"/>
                <w:color w:val="auto"/>
              </w:rPr>
              <w:t>Common Stock</w:t>
            </w:r>
          </w:p>
        </w:tc>
        <w:tc>
          <w:tcPr>
            <w:tcW w:w="5000" w:type="dxa"/>
            <w:vAlign w:val="bottom"/>
          </w:tcPr>
          <w:p>
            <w:pPr>
              <w:ind w:left="840"/>
              <w:spacing w:after="0"/>
              <w:rPr>
                <w:sz w:val="20"/>
                <w:szCs w:val="20"/>
                <w:color w:val="auto"/>
              </w:rPr>
            </w:pPr>
            <w:r>
              <w:rPr>
                <w:rFonts w:ascii="Arial" w:cs="Arial" w:eastAsia="Arial" w:hAnsi="Arial"/>
                <w:sz w:val="16"/>
                <w:szCs w:val="16"/>
                <w:color w:val="auto"/>
              </w:rPr>
              <w:t>Renee J. Peterson</w:t>
            </w:r>
          </w:p>
        </w:tc>
        <w:tc>
          <w:tcPr>
            <w:tcW w:w="3020" w:type="dxa"/>
            <w:vAlign w:val="bottom"/>
          </w:tcPr>
          <w:p>
            <w:pPr>
              <w:jc w:val="right"/>
              <w:ind w:right="262"/>
              <w:spacing w:after="0"/>
              <w:rPr>
                <w:sz w:val="20"/>
                <w:szCs w:val="20"/>
                <w:color w:val="auto"/>
              </w:rPr>
            </w:pPr>
            <w:r>
              <w:rPr>
                <w:rFonts w:ascii="Arial" w:cs="Arial" w:eastAsia="Arial" w:hAnsi="Arial"/>
                <w:sz w:val="16"/>
                <w:szCs w:val="16"/>
                <w:color w:val="auto"/>
              </w:rPr>
              <w:t>319,060</w:t>
            </w:r>
          </w:p>
        </w:tc>
        <w:tc>
          <w:tcPr>
            <w:tcW w:w="1540" w:type="dxa"/>
            <w:vAlign w:val="bottom"/>
          </w:tcPr>
          <w:p>
            <w:pPr>
              <w:jc w:val="center"/>
              <w:ind w:right="122"/>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49"/>
        </w:trPr>
        <w:tc>
          <w:tcPr>
            <w:tcW w:w="1680" w:type="dxa"/>
            <w:vAlign w:val="bottom"/>
            <w:shd w:val="clear" w:color="auto" w:fill="D9D9D9"/>
          </w:tcPr>
          <w:p>
            <w:pPr>
              <w:spacing w:after="0"/>
              <w:rPr>
                <w:sz w:val="20"/>
                <w:szCs w:val="20"/>
                <w:color w:val="auto"/>
              </w:rPr>
            </w:pPr>
            <w:r>
              <w:rPr>
                <w:rFonts w:ascii="Arial" w:cs="Arial" w:eastAsia="Arial" w:hAnsi="Arial"/>
                <w:sz w:val="16"/>
                <w:szCs w:val="16"/>
                <w:color w:val="auto"/>
              </w:rPr>
              <w:t>Common Stock</w:t>
            </w:r>
          </w:p>
        </w:tc>
        <w:tc>
          <w:tcPr>
            <w:tcW w:w="5000" w:type="dxa"/>
            <w:vAlign w:val="bottom"/>
            <w:shd w:val="clear" w:color="auto" w:fill="D9D9D9"/>
          </w:tcPr>
          <w:p>
            <w:pPr>
              <w:ind w:left="840"/>
              <w:spacing w:after="0"/>
              <w:rPr>
                <w:sz w:val="20"/>
                <w:szCs w:val="20"/>
                <w:color w:val="auto"/>
              </w:rPr>
            </w:pPr>
            <w:r>
              <w:rPr>
                <w:rFonts w:ascii="Arial" w:cs="Arial" w:eastAsia="Arial" w:hAnsi="Arial"/>
                <w:sz w:val="16"/>
                <w:szCs w:val="16"/>
                <w:color w:val="auto"/>
              </w:rPr>
              <w:t>Richard W. Rodier</w:t>
            </w:r>
          </w:p>
        </w:tc>
        <w:tc>
          <w:tcPr>
            <w:tcW w:w="3020" w:type="dxa"/>
            <w:vAlign w:val="bottom"/>
            <w:shd w:val="clear" w:color="auto" w:fill="D9D9D9"/>
          </w:tcPr>
          <w:p>
            <w:pPr>
              <w:jc w:val="right"/>
              <w:ind w:right="262"/>
              <w:spacing w:after="0"/>
              <w:rPr>
                <w:sz w:val="20"/>
                <w:szCs w:val="20"/>
                <w:color w:val="auto"/>
              </w:rPr>
            </w:pPr>
            <w:r>
              <w:rPr>
                <w:rFonts w:ascii="Arial" w:cs="Arial" w:eastAsia="Arial" w:hAnsi="Arial"/>
                <w:sz w:val="16"/>
                <w:szCs w:val="16"/>
                <w:color w:val="auto"/>
              </w:rPr>
              <w:t>105,261</w:t>
            </w:r>
          </w:p>
        </w:tc>
        <w:tc>
          <w:tcPr>
            <w:tcW w:w="1540" w:type="dxa"/>
            <w:vAlign w:val="bottom"/>
            <w:shd w:val="clear" w:color="auto" w:fill="D9D9D9"/>
          </w:tcPr>
          <w:p>
            <w:pPr>
              <w:jc w:val="center"/>
              <w:ind w:right="122"/>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r>
              <w:rPr>
                <w:rFonts w:ascii="Arial" w:cs="Arial" w:eastAsia="Arial" w:hAnsi="Arial"/>
                <w:sz w:val="16"/>
                <w:szCs w:val="16"/>
                <w:color w:val="auto"/>
              </w:rPr>
              <w:t>Common Stock</w:t>
            </w:r>
          </w:p>
        </w:tc>
        <w:tc>
          <w:tcPr>
            <w:tcW w:w="5000" w:type="dxa"/>
            <w:vAlign w:val="bottom"/>
          </w:tcPr>
          <w:p>
            <w:pPr>
              <w:ind w:left="840"/>
              <w:spacing w:after="0"/>
              <w:rPr>
                <w:sz w:val="20"/>
                <w:szCs w:val="20"/>
                <w:color w:val="auto"/>
              </w:rPr>
            </w:pPr>
            <w:r>
              <w:rPr>
                <w:rFonts w:ascii="Arial" w:cs="Arial" w:eastAsia="Arial" w:hAnsi="Arial"/>
                <w:sz w:val="16"/>
                <w:szCs w:val="16"/>
                <w:color w:val="auto"/>
              </w:rPr>
              <w:t>Amy E. Dahl</w:t>
            </w:r>
          </w:p>
        </w:tc>
        <w:tc>
          <w:tcPr>
            <w:tcW w:w="3020" w:type="dxa"/>
            <w:vAlign w:val="bottom"/>
          </w:tcPr>
          <w:p>
            <w:pPr>
              <w:jc w:val="right"/>
              <w:ind w:right="262"/>
              <w:spacing w:after="0"/>
              <w:rPr>
                <w:sz w:val="20"/>
                <w:szCs w:val="20"/>
                <w:color w:val="auto"/>
              </w:rPr>
            </w:pPr>
            <w:r>
              <w:rPr>
                <w:rFonts w:ascii="Arial" w:cs="Arial" w:eastAsia="Arial" w:hAnsi="Arial"/>
                <w:sz w:val="16"/>
                <w:szCs w:val="16"/>
                <w:color w:val="auto"/>
              </w:rPr>
              <w:t>126,542</w:t>
            </w:r>
          </w:p>
        </w:tc>
        <w:tc>
          <w:tcPr>
            <w:tcW w:w="1540" w:type="dxa"/>
            <w:vAlign w:val="bottom"/>
          </w:tcPr>
          <w:p>
            <w:pPr>
              <w:jc w:val="center"/>
              <w:ind w:right="122"/>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49"/>
        </w:trPr>
        <w:tc>
          <w:tcPr>
            <w:tcW w:w="1680" w:type="dxa"/>
            <w:vAlign w:val="bottom"/>
            <w:shd w:val="clear" w:color="auto" w:fill="D9D9D9"/>
          </w:tcPr>
          <w:p>
            <w:pPr>
              <w:spacing w:after="0"/>
              <w:rPr>
                <w:sz w:val="20"/>
                <w:szCs w:val="20"/>
                <w:color w:val="auto"/>
              </w:rPr>
            </w:pPr>
            <w:r>
              <w:rPr>
                <w:rFonts w:ascii="Arial" w:cs="Arial" w:eastAsia="Arial" w:hAnsi="Arial"/>
                <w:sz w:val="16"/>
                <w:szCs w:val="16"/>
                <w:color w:val="auto"/>
              </w:rPr>
              <w:t>Common Stock</w:t>
            </w:r>
          </w:p>
        </w:tc>
        <w:tc>
          <w:tcPr>
            <w:tcW w:w="5000" w:type="dxa"/>
            <w:vAlign w:val="bottom"/>
            <w:shd w:val="clear" w:color="auto" w:fill="D9D9D9"/>
          </w:tcPr>
          <w:p>
            <w:pPr>
              <w:ind w:left="840"/>
              <w:spacing w:after="0"/>
              <w:rPr>
                <w:sz w:val="20"/>
                <w:szCs w:val="20"/>
                <w:color w:val="auto"/>
              </w:rPr>
            </w:pPr>
            <w:r>
              <w:rPr>
                <w:rFonts w:ascii="Arial" w:cs="Arial" w:eastAsia="Arial" w:hAnsi="Arial"/>
                <w:sz w:val="16"/>
                <w:szCs w:val="16"/>
                <w:color w:val="auto"/>
              </w:rPr>
              <w:t>Bradley A. Hamilton</w:t>
            </w:r>
          </w:p>
        </w:tc>
        <w:tc>
          <w:tcPr>
            <w:tcW w:w="3020" w:type="dxa"/>
            <w:vAlign w:val="bottom"/>
            <w:shd w:val="clear" w:color="auto" w:fill="D9D9D9"/>
          </w:tcPr>
          <w:p>
            <w:pPr>
              <w:jc w:val="right"/>
              <w:ind w:right="262"/>
              <w:spacing w:after="0"/>
              <w:rPr>
                <w:sz w:val="20"/>
                <w:szCs w:val="20"/>
                <w:color w:val="auto"/>
              </w:rPr>
            </w:pPr>
            <w:r>
              <w:rPr>
                <w:rFonts w:ascii="Arial" w:cs="Arial" w:eastAsia="Arial" w:hAnsi="Arial"/>
                <w:sz w:val="16"/>
                <w:szCs w:val="16"/>
                <w:color w:val="auto"/>
              </w:rPr>
              <w:t>96,759</w:t>
            </w:r>
          </w:p>
        </w:tc>
        <w:tc>
          <w:tcPr>
            <w:tcW w:w="1540" w:type="dxa"/>
            <w:vAlign w:val="bottom"/>
            <w:shd w:val="clear" w:color="auto" w:fill="D9D9D9"/>
          </w:tcPr>
          <w:p>
            <w:pPr>
              <w:jc w:val="center"/>
              <w:ind w:right="122"/>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21"/>
        </w:trPr>
        <w:tc>
          <w:tcPr>
            <w:tcW w:w="6680" w:type="dxa"/>
            <w:vAlign w:val="bottom"/>
            <w:gridSpan w:val="2"/>
          </w:tcPr>
          <w:p>
            <w:pPr>
              <w:spacing w:after="0"/>
              <w:rPr>
                <w:sz w:val="20"/>
                <w:szCs w:val="20"/>
                <w:color w:val="auto"/>
              </w:rPr>
            </w:pPr>
            <w:r>
              <w:rPr>
                <w:rFonts w:ascii="Arial" w:cs="Arial" w:eastAsia="Arial" w:hAnsi="Arial"/>
                <w:sz w:val="16"/>
                <w:szCs w:val="16"/>
                <w:color w:val="auto"/>
              </w:rPr>
              <w:t>All Current Directors, Director Nominees and Executive Officers as a Group (25)</w:t>
            </w:r>
          </w:p>
        </w:tc>
        <w:tc>
          <w:tcPr>
            <w:tcW w:w="3020" w:type="dxa"/>
            <w:vAlign w:val="bottom"/>
          </w:tcPr>
          <w:p>
            <w:pPr>
              <w:jc w:val="right"/>
              <w:ind w:right="262"/>
              <w:spacing w:after="0"/>
              <w:rPr>
                <w:sz w:val="20"/>
                <w:szCs w:val="20"/>
                <w:color w:val="auto"/>
              </w:rPr>
            </w:pPr>
            <w:r>
              <w:rPr>
                <w:rFonts w:ascii="Arial" w:cs="Arial" w:eastAsia="Arial" w:hAnsi="Arial"/>
                <w:sz w:val="16"/>
                <w:szCs w:val="16"/>
                <w:color w:val="auto"/>
              </w:rPr>
              <w:t>2,230,991</w:t>
            </w:r>
          </w:p>
        </w:tc>
        <w:tc>
          <w:tcPr>
            <w:tcW w:w="1540" w:type="dxa"/>
            <w:vAlign w:val="bottom"/>
          </w:tcPr>
          <w:p>
            <w:pPr>
              <w:jc w:val="center"/>
              <w:ind w:right="102"/>
              <w:spacing w:after="0"/>
              <w:rPr>
                <w:sz w:val="20"/>
                <w:szCs w:val="20"/>
                <w:color w:val="auto"/>
              </w:rPr>
            </w:pPr>
            <w:r>
              <w:rPr>
                <w:rFonts w:ascii="Arial" w:cs="Arial" w:eastAsia="Arial" w:hAnsi="Arial"/>
                <w:sz w:val="16"/>
                <w:szCs w:val="16"/>
                <w:color w:val="auto"/>
                <w:w w:val="96"/>
              </w:rPr>
              <w:t>2.10%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203454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034540" cy="8255"/>
                    </a:xfrm>
                    <a:prstGeom prst="rect">
                      <a:avLst/>
                    </a:prstGeom>
                    <a:noFill/>
                  </pic:spPr>
                </pic:pic>
              </a:graphicData>
            </a:graphic>
          </wp:anchor>
        </w:drawing>
      </w:r>
    </w:p>
    <w:p>
      <w:pPr>
        <w:spacing w:after="0" w:line="170" w:lineRule="exact"/>
        <w:rPr>
          <w:sz w:val="20"/>
          <w:szCs w:val="20"/>
          <w:color w:val="auto"/>
        </w:rPr>
      </w:pPr>
    </w:p>
    <w:p>
      <w:pPr>
        <w:ind w:left="400" w:hanging="394"/>
        <w:spacing w:after="0"/>
        <w:tabs>
          <w:tab w:leader="none" w:pos="4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Less than one percent of the outstanding shares of our common stock.</w:t>
      </w:r>
    </w:p>
    <w:p>
      <w:pPr>
        <w:spacing w:after="0" w:line="46" w:lineRule="exact"/>
        <w:rPr>
          <w:sz w:val="20"/>
          <w:szCs w:val="20"/>
          <w:color w:val="auto"/>
        </w:rPr>
      </w:pPr>
    </w:p>
    <w:p>
      <w:pPr>
        <w:ind w:left="400" w:right="180" w:hanging="394"/>
        <w:spacing w:after="0" w:line="235" w:lineRule="auto"/>
        <w:tabs>
          <w:tab w:leader="none" w:pos="4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Shares are deemed to be “beneficially owned” by a person if such person, directly or indirectly, has or shares: (a) the power to vote or direct the voting of such shares, or (b) the power to dispose or direct the disposition of such shares. Except as otherwise indicated in the footnotes to this table, the persons in this table have sole voting and investment power with respect to all shares of our common stock shown as beneficially owned by them, subject to community property laws, where applicable.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98" w:lineRule="exact"/>
        <w:rPr>
          <w:sz w:val="20"/>
          <w:szCs w:val="20"/>
          <w:color w:val="auto"/>
        </w:rPr>
      </w:pPr>
    </w:p>
    <w:p>
      <w:pPr>
        <w:ind w:left="400" w:hanging="394"/>
        <w:spacing w:after="0" w:line="233" w:lineRule="auto"/>
        <w:tabs>
          <w:tab w:leader="none" w:pos="4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“Beneficial ownership” also includes: (a) shares that a person has the right to acquire within 60 days of January 18, 2022, and, as such, includes shares that may be acquired upon exercise of stock options within 60 days of January 18, 2022; (b) shares allocated to executive officers under the Retirement Plan; and (c) common stock units and performance share units, collectively referred to as units, credited under the Deferred Plan for Directors and Deferred Plan for Officers. The following table reflects the beneficial ownership by type of security held by our non-employee directors, director nominees, named executive officers, and all current directors, director nominees and executive officers as a group:</w:t>
      </w:r>
    </w:p>
    <w:p>
      <w:pPr>
        <w:spacing w:after="0" w:line="44"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4700" w:type="dxa"/>
            <w:vAlign w:val="bottom"/>
            <w:shd w:val="clear" w:color="auto" w:fill="C00000"/>
          </w:tcPr>
          <w:p>
            <w:pPr>
              <w:spacing w:after="0"/>
              <w:rPr>
                <w:sz w:val="14"/>
                <w:szCs w:val="14"/>
                <w:color w:val="auto"/>
              </w:rPr>
            </w:pPr>
          </w:p>
        </w:tc>
        <w:tc>
          <w:tcPr>
            <w:tcW w:w="1400" w:type="dxa"/>
            <w:vAlign w:val="bottom"/>
            <w:shd w:val="clear" w:color="auto" w:fill="C00000"/>
          </w:tcPr>
          <w:p>
            <w:pPr>
              <w:spacing w:after="0"/>
              <w:rPr>
                <w:sz w:val="14"/>
                <w:szCs w:val="14"/>
                <w:color w:val="auto"/>
              </w:rPr>
            </w:pPr>
          </w:p>
        </w:tc>
        <w:tc>
          <w:tcPr>
            <w:tcW w:w="1440" w:type="dxa"/>
            <w:vAlign w:val="bottom"/>
            <w:shd w:val="clear" w:color="auto" w:fill="C00000"/>
          </w:tcPr>
          <w:p>
            <w:pPr>
              <w:spacing w:after="0"/>
              <w:rPr>
                <w:sz w:val="14"/>
                <w:szCs w:val="14"/>
                <w:color w:val="auto"/>
              </w:rPr>
            </w:pPr>
          </w:p>
        </w:tc>
        <w:tc>
          <w:tcPr>
            <w:tcW w:w="1440" w:type="dxa"/>
            <w:vAlign w:val="bottom"/>
            <w:shd w:val="clear" w:color="auto" w:fill="C00000"/>
          </w:tcPr>
          <w:p>
            <w:pPr>
              <w:jc w:val="center"/>
              <w:ind w:right="2"/>
              <w:spacing w:after="0"/>
              <w:rPr>
                <w:sz w:val="20"/>
                <w:szCs w:val="20"/>
                <w:color w:val="auto"/>
              </w:rPr>
            </w:pPr>
            <w:r>
              <w:rPr>
                <w:rFonts w:ascii="Arial" w:cs="Arial" w:eastAsia="Arial" w:hAnsi="Arial"/>
                <w:sz w:val="14"/>
                <w:szCs w:val="14"/>
                <w:b w:val="1"/>
                <w:bCs w:val="1"/>
                <w:color w:val="FFFFFF"/>
              </w:rPr>
              <w:t>Units under the</w:t>
            </w:r>
          </w:p>
        </w:tc>
        <w:tc>
          <w:tcPr>
            <w:tcW w:w="140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Units under the</w:t>
            </w:r>
          </w:p>
        </w:tc>
      </w:tr>
      <w:tr>
        <w:trPr>
          <w:trHeight w:val="160"/>
        </w:trPr>
        <w:tc>
          <w:tcPr>
            <w:tcW w:w="4700" w:type="dxa"/>
            <w:vAlign w:val="bottom"/>
            <w:shd w:val="clear" w:color="auto" w:fill="C00000"/>
          </w:tcPr>
          <w:p>
            <w:pPr>
              <w:spacing w:after="0"/>
              <w:rPr>
                <w:sz w:val="13"/>
                <w:szCs w:val="13"/>
                <w:color w:val="auto"/>
              </w:rPr>
            </w:pPr>
          </w:p>
        </w:tc>
        <w:tc>
          <w:tcPr>
            <w:tcW w:w="1400" w:type="dxa"/>
            <w:vAlign w:val="bottom"/>
            <w:shd w:val="clear" w:color="auto" w:fill="C00000"/>
          </w:tcPr>
          <w:p>
            <w:pPr>
              <w:spacing w:after="0"/>
              <w:rPr>
                <w:sz w:val="13"/>
                <w:szCs w:val="13"/>
                <w:color w:val="auto"/>
              </w:rPr>
            </w:pPr>
          </w:p>
        </w:tc>
        <w:tc>
          <w:tcPr>
            <w:tcW w:w="1440" w:type="dxa"/>
            <w:vAlign w:val="bottom"/>
            <w:shd w:val="clear" w:color="auto" w:fill="C00000"/>
          </w:tcPr>
          <w:p>
            <w:pPr>
              <w:spacing w:after="0"/>
              <w:rPr>
                <w:sz w:val="13"/>
                <w:szCs w:val="13"/>
                <w:color w:val="auto"/>
              </w:rPr>
            </w:pPr>
          </w:p>
        </w:tc>
        <w:tc>
          <w:tcPr>
            <w:tcW w:w="1440" w:type="dxa"/>
            <w:vAlign w:val="bottom"/>
            <w:shd w:val="clear" w:color="auto" w:fill="C00000"/>
          </w:tcPr>
          <w:p>
            <w:pPr>
              <w:jc w:val="center"/>
              <w:ind w:right="2"/>
              <w:spacing w:after="0" w:line="159" w:lineRule="exact"/>
              <w:rPr>
                <w:sz w:val="20"/>
                <w:szCs w:val="20"/>
                <w:color w:val="auto"/>
              </w:rPr>
            </w:pPr>
            <w:r>
              <w:rPr>
                <w:rFonts w:ascii="Arial" w:cs="Arial" w:eastAsia="Arial" w:hAnsi="Arial"/>
                <w:sz w:val="14"/>
                <w:szCs w:val="14"/>
                <w:b w:val="1"/>
                <w:bCs w:val="1"/>
                <w:color w:val="FFFFFF"/>
              </w:rPr>
              <w:t>Deferred Plan</w:t>
            </w:r>
          </w:p>
        </w:tc>
        <w:tc>
          <w:tcPr>
            <w:tcW w:w="1400" w:type="dxa"/>
            <w:vAlign w:val="bottom"/>
            <w:shd w:val="clear" w:color="auto" w:fill="C00000"/>
          </w:tcPr>
          <w:p>
            <w:pPr>
              <w:jc w:val="center"/>
              <w:spacing w:after="0" w:line="159" w:lineRule="exact"/>
              <w:rPr>
                <w:sz w:val="20"/>
                <w:szCs w:val="20"/>
                <w:color w:val="auto"/>
              </w:rPr>
            </w:pPr>
            <w:r>
              <w:rPr>
                <w:rFonts w:ascii="Arial" w:cs="Arial" w:eastAsia="Arial" w:hAnsi="Arial"/>
                <w:sz w:val="14"/>
                <w:szCs w:val="14"/>
                <w:b w:val="1"/>
                <w:bCs w:val="1"/>
                <w:color w:val="FFFFFF"/>
              </w:rPr>
              <w:t>Deferred Plan</w:t>
            </w:r>
          </w:p>
        </w:tc>
      </w:tr>
      <w:tr>
        <w:trPr>
          <w:trHeight w:val="173"/>
        </w:trPr>
        <w:tc>
          <w:tcPr>
            <w:tcW w:w="470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Name</w:t>
            </w:r>
          </w:p>
        </w:tc>
        <w:tc>
          <w:tcPr>
            <w:tcW w:w="1400" w:type="dxa"/>
            <w:vAlign w:val="bottom"/>
            <w:shd w:val="clear" w:color="auto" w:fill="C00000"/>
          </w:tcPr>
          <w:p>
            <w:pPr>
              <w:jc w:val="right"/>
              <w:ind w:right="141"/>
              <w:spacing w:after="0"/>
              <w:rPr>
                <w:sz w:val="20"/>
                <w:szCs w:val="20"/>
                <w:color w:val="auto"/>
              </w:rPr>
            </w:pPr>
            <w:r>
              <w:rPr>
                <w:rFonts w:ascii="Arial" w:cs="Arial" w:eastAsia="Arial" w:hAnsi="Arial"/>
                <w:sz w:val="14"/>
                <w:szCs w:val="14"/>
                <w:b w:val="1"/>
                <w:bCs w:val="1"/>
                <w:color w:val="FFFFFF"/>
              </w:rPr>
              <w:t>Stock Options</w:t>
            </w:r>
          </w:p>
        </w:tc>
        <w:tc>
          <w:tcPr>
            <w:tcW w:w="1440" w:type="dxa"/>
            <w:vAlign w:val="bottom"/>
            <w:shd w:val="clear" w:color="auto" w:fill="C00000"/>
          </w:tcPr>
          <w:p>
            <w:pPr>
              <w:jc w:val="right"/>
              <w:ind w:right="141"/>
              <w:spacing w:after="0"/>
              <w:rPr>
                <w:sz w:val="20"/>
                <w:szCs w:val="20"/>
                <w:color w:val="auto"/>
              </w:rPr>
            </w:pPr>
            <w:r>
              <w:rPr>
                <w:rFonts w:ascii="Arial" w:cs="Arial" w:eastAsia="Arial" w:hAnsi="Arial"/>
                <w:sz w:val="14"/>
                <w:szCs w:val="14"/>
                <w:b w:val="1"/>
                <w:bCs w:val="1"/>
                <w:color w:val="FFFFFF"/>
              </w:rPr>
              <w:t>Retirement Plan</w:t>
            </w:r>
          </w:p>
        </w:tc>
        <w:tc>
          <w:tcPr>
            <w:tcW w:w="1440" w:type="dxa"/>
            <w:vAlign w:val="bottom"/>
            <w:shd w:val="clear" w:color="auto" w:fill="C00000"/>
          </w:tcPr>
          <w:p>
            <w:pPr>
              <w:jc w:val="center"/>
              <w:ind w:right="2"/>
              <w:spacing w:after="0"/>
              <w:rPr>
                <w:sz w:val="20"/>
                <w:szCs w:val="20"/>
                <w:color w:val="auto"/>
              </w:rPr>
            </w:pPr>
            <w:r>
              <w:rPr>
                <w:rFonts w:ascii="Arial" w:cs="Arial" w:eastAsia="Arial" w:hAnsi="Arial"/>
                <w:sz w:val="14"/>
                <w:szCs w:val="14"/>
                <w:b w:val="1"/>
                <w:bCs w:val="1"/>
                <w:color w:val="FFFFFF"/>
                <w:w w:val="99"/>
              </w:rPr>
              <w:t>for Directors</w:t>
            </w:r>
          </w:p>
        </w:tc>
        <w:tc>
          <w:tcPr>
            <w:tcW w:w="140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for Officers</w:t>
            </w:r>
          </w:p>
        </w:tc>
      </w:tr>
      <w:tr>
        <w:trPr>
          <w:trHeight w:val="221"/>
        </w:trPr>
        <w:tc>
          <w:tcPr>
            <w:tcW w:w="4700" w:type="dxa"/>
            <w:vAlign w:val="bottom"/>
          </w:tcPr>
          <w:p>
            <w:pPr>
              <w:spacing w:after="0"/>
              <w:rPr>
                <w:sz w:val="20"/>
                <w:szCs w:val="20"/>
                <w:color w:val="auto"/>
              </w:rPr>
            </w:pPr>
            <w:r>
              <w:rPr>
                <w:rFonts w:ascii="Arial" w:cs="Arial" w:eastAsia="Arial" w:hAnsi="Arial"/>
                <w:sz w:val="16"/>
                <w:szCs w:val="16"/>
                <w:color w:val="auto"/>
              </w:rPr>
              <w:t>Non-Employee Directors and Director Nominees:</w:t>
            </w:r>
          </w:p>
        </w:tc>
        <w:tc>
          <w:tcPr>
            <w:tcW w:w="14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2"/>
        </w:trPr>
        <w:tc>
          <w:tcPr>
            <w:tcW w:w="47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9"/>
        </w:trPr>
        <w:tc>
          <w:tcPr>
            <w:tcW w:w="4700" w:type="dxa"/>
            <w:vAlign w:val="bottom"/>
            <w:shd w:val="clear" w:color="auto" w:fill="D9D9D9"/>
          </w:tcPr>
          <w:p>
            <w:pPr>
              <w:ind w:left="260"/>
              <w:spacing w:after="0"/>
              <w:rPr>
                <w:sz w:val="20"/>
                <w:szCs w:val="20"/>
                <w:color w:val="auto"/>
              </w:rPr>
            </w:pPr>
            <w:r>
              <w:rPr>
                <w:rFonts w:ascii="Arial" w:cs="Arial" w:eastAsia="Arial" w:hAnsi="Arial"/>
                <w:sz w:val="16"/>
                <w:szCs w:val="16"/>
                <w:color w:val="auto"/>
              </w:rPr>
              <w:t>Janet K. Cooper</w:t>
            </w:r>
          </w:p>
        </w:tc>
        <w:tc>
          <w:tcPr>
            <w:tcW w:w="1400" w:type="dxa"/>
            <w:vAlign w:val="bottom"/>
            <w:shd w:val="clear" w:color="auto" w:fill="D9D9D9"/>
          </w:tcPr>
          <w:p>
            <w:pPr>
              <w:jc w:val="right"/>
              <w:ind w:right="81"/>
              <w:spacing w:after="0"/>
              <w:rPr>
                <w:sz w:val="20"/>
                <w:szCs w:val="20"/>
                <w:color w:val="auto"/>
              </w:rPr>
            </w:pPr>
            <w:r>
              <w:rPr>
                <w:rFonts w:ascii="Arial" w:cs="Arial" w:eastAsia="Arial" w:hAnsi="Arial"/>
                <w:sz w:val="16"/>
                <w:szCs w:val="16"/>
                <w:color w:val="auto"/>
              </w:rPr>
              <w:t>26,923</w:t>
            </w:r>
          </w:p>
        </w:tc>
        <w:tc>
          <w:tcPr>
            <w:tcW w:w="1440" w:type="dxa"/>
            <w:vAlign w:val="bottom"/>
            <w:shd w:val="clear" w:color="auto" w:fill="D9D9D9"/>
          </w:tcPr>
          <w:p>
            <w:pPr>
              <w:jc w:val="right"/>
              <w:ind w:right="621"/>
              <w:spacing w:after="0"/>
              <w:rPr>
                <w:sz w:val="20"/>
                <w:szCs w:val="20"/>
                <w:color w:val="auto"/>
              </w:rPr>
            </w:pPr>
            <w:r>
              <w:rPr>
                <w:rFonts w:ascii="Arial" w:cs="Arial" w:eastAsia="Arial" w:hAnsi="Arial"/>
                <w:sz w:val="16"/>
                <w:szCs w:val="16"/>
                <w:color w:val="auto"/>
              </w:rPr>
              <w:t>‒</w:t>
            </w:r>
          </w:p>
        </w:tc>
        <w:tc>
          <w:tcPr>
            <w:tcW w:w="1440" w:type="dxa"/>
            <w:vAlign w:val="bottom"/>
            <w:shd w:val="clear" w:color="auto" w:fill="D9D9D9"/>
          </w:tcPr>
          <w:p>
            <w:pPr>
              <w:jc w:val="right"/>
              <w:ind w:right="82"/>
              <w:spacing w:after="0"/>
              <w:rPr>
                <w:sz w:val="20"/>
                <w:szCs w:val="20"/>
                <w:color w:val="auto"/>
              </w:rPr>
            </w:pPr>
            <w:r>
              <w:rPr>
                <w:rFonts w:ascii="Arial" w:cs="Arial" w:eastAsia="Arial" w:hAnsi="Arial"/>
                <w:sz w:val="16"/>
                <w:szCs w:val="16"/>
                <w:color w:val="auto"/>
              </w:rPr>
              <w:t>47,038</w:t>
            </w:r>
          </w:p>
        </w:tc>
        <w:tc>
          <w:tcPr>
            <w:tcW w:w="1400" w:type="dxa"/>
            <w:vAlign w:val="bottom"/>
            <w:shd w:val="clear" w:color="auto" w:fill="D9D9D9"/>
          </w:tcPr>
          <w:p>
            <w:pPr>
              <w:jc w:val="center"/>
              <w:spacing w:after="0"/>
              <w:rPr>
                <w:sz w:val="20"/>
                <w:szCs w:val="20"/>
                <w:color w:val="auto"/>
              </w:rPr>
            </w:pPr>
            <w:r>
              <w:rPr>
                <w:rFonts w:ascii="Arial" w:cs="Arial" w:eastAsia="Arial" w:hAnsi="Arial"/>
                <w:sz w:val="16"/>
                <w:szCs w:val="16"/>
                <w:color w:val="auto"/>
              </w:rPr>
              <w:t>‒</w:t>
            </w:r>
          </w:p>
        </w:tc>
      </w:tr>
      <w:tr>
        <w:trPr>
          <w:trHeight w:val="239"/>
        </w:trPr>
        <w:tc>
          <w:tcPr>
            <w:tcW w:w="4700" w:type="dxa"/>
            <w:vAlign w:val="bottom"/>
          </w:tcPr>
          <w:p>
            <w:pPr>
              <w:ind w:left="260"/>
              <w:spacing w:after="0"/>
              <w:rPr>
                <w:sz w:val="20"/>
                <w:szCs w:val="20"/>
                <w:color w:val="auto"/>
              </w:rPr>
            </w:pPr>
            <w:r>
              <w:rPr>
                <w:rFonts w:ascii="Arial" w:cs="Arial" w:eastAsia="Arial" w:hAnsi="Arial"/>
                <w:sz w:val="16"/>
                <w:szCs w:val="16"/>
                <w:color w:val="auto"/>
              </w:rPr>
              <w:t>Gary L. Ellis</w:t>
            </w:r>
          </w:p>
        </w:tc>
        <w:tc>
          <w:tcPr>
            <w:tcW w:w="1400" w:type="dxa"/>
            <w:vAlign w:val="bottom"/>
          </w:tcPr>
          <w:p>
            <w:pPr>
              <w:jc w:val="right"/>
              <w:ind w:right="81"/>
              <w:spacing w:after="0"/>
              <w:rPr>
                <w:sz w:val="20"/>
                <w:szCs w:val="20"/>
                <w:color w:val="auto"/>
              </w:rPr>
            </w:pPr>
            <w:r>
              <w:rPr>
                <w:rFonts w:ascii="Arial" w:cs="Arial" w:eastAsia="Arial" w:hAnsi="Arial"/>
                <w:sz w:val="16"/>
                <w:szCs w:val="16"/>
                <w:color w:val="auto"/>
              </w:rPr>
              <w:t>38,869</w:t>
            </w:r>
          </w:p>
        </w:tc>
        <w:tc>
          <w:tcPr>
            <w:tcW w:w="1440" w:type="dxa"/>
            <w:vAlign w:val="bottom"/>
          </w:tcPr>
          <w:p>
            <w:pPr>
              <w:jc w:val="right"/>
              <w:ind w:right="621"/>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82"/>
              <w:spacing w:after="0"/>
              <w:rPr>
                <w:sz w:val="20"/>
                <w:szCs w:val="20"/>
                <w:color w:val="auto"/>
              </w:rPr>
            </w:pPr>
            <w:r>
              <w:rPr>
                <w:rFonts w:ascii="Arial" w:cs="Arial" w:eastAsia="Arial" w:hAnsi="Arial"/>
                <w:sz w:val="16"/>
                <w:szCs w:val="16"/>
                <w:color w:val="auto"/>
              </w:rPr>
              <w:t>3,913</w:t>
            </w:r>
          </w:p>
        </w:tc>
        <w:tc>
          <w:tcPr>
            <w:tcW w:w="140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239"/>
        </w:trPr>
        <w:tc>
          <w:tcPr>
            <w:tcW w:w="4700" w:type="dxa"/>
            <w:vAlign w:val="bottom"/>
            <w:shd w:val="clear" w:color="auto" w:fill="D9D9D9"/>
          </w:tcPr>
          <w:p>
            <w:pPr>
              <w:ind w:left="260"/>
              <w:spacing w:after="0"/>
              <w:rPr>
                <w:sz w:val="20"/>
                <w:szCs w:val="20"/>
                <w:color w:val="auto"/>
              </w:rPr>
            </w:pPr>
            <w:r>
              <w:rPr>
                <w:rFonts w:ascii="Arial" w:cs="Arial" w:eastAsia="Arial" w:hAnsi="Arial"/>
                <w:sz w:val="16"/>
                <w:szCs w:val="16"/>
                <w:color w:val="auto"/>
              </w:rPr>
              <w:t>Jeffrey M. Ettinger</w:t>
            </w:r>
          </w:p>
        </w:tc>
        <w:tc>
          <w:tcPr>
            <w:tcW w:w="1400" w:type="dxa"/>
            <w:vAlign w:val="bottom"/>
            <w:shd w:val="clear" w:color="auto" w:fill="D9D9D9"/>
          </w:tcPr>
          <w:p>
            <w:pPr>
              <w:jc w:val="right"/>
              <w:ind w:right="81"/>
              <w:spacing w:after="0"/>
              <w:rPr>
                <w:sz w:val="20"/>
                <w:szCs w:val="20"/>
                <w:color w:val="auto"/>
              </w:rPr>
            </w:pPr>
            <w:r>
              <w:rPr>
                <w:rFonts w:ascii="Arial" w:cs="Arial" w:eastAsia="Arial" w:hAnsi="Arial"/>
                <w:sz w:val="16"/>
                <w:szCs w:val="16"/>
                <w:color w:val="auto"/>
              </w:rPr>
              <w:t>38,869</w:t>
            </w:r>
          </w:p>
        </w:tc>
        <w:tc>
          <w:tcPr>
            <w:tcW w:w="1440" w:type="dxa"/>
            <w:vAlign w:val="bottom"/>
            <w:shd w:val="clear" w:color="auto" w:fill="D9D9D9"/>
          </w:tcPr>
          <w:p>
            <w:pPr>
              <w:jc w:val="right"/>
              <w:ind w:right="621"/>
              <w:spacing w:after="0"/>
              <w:rPr>
                <w:sz w:val="20"/>
                <w:szCs w:val="20"/>
                <w:color w:val="auto"/>
              </w:rPr>
            </w:pPr>
            <w:r>
              <w:rPr>
                <w:rFonts w:ascii="Arial" w:cs="Arial" w:eastAsia="Arial" w:hAnsi="Arial"/>
                <w:sz w:val="16"/>
                <w:szCs w:val="16"/>
                <w:color w:val="auto"/>
              </w:rPr>
              <w:t>‒</w:t>
            </w:r>
          </w:p>
        </w:tc>
        <w:tc>
          <w:tcPr>
            <w:tcW w:w="1440" w:type="dxa"/>
            <w:vAlign w:val="bottom"/>
            <w:shd w:val="clear" w:color="auto" w:fill="D9D9D9"/>
          </w:tcPr>
          <w:p>
            <w:pPr>
              <w:jc w:val="right"/>
              <w:ind w:right="82"/>
              <w:spacing w:after="0"/>
              <w:rPr>
                <w:sz w:val="20"/>
                <w:szCs w:val="20"/>
                <w:color w:val="auto"/>
              </w:rPr>
            </w:pPr>
            <w:r>
              <w:rPr>
                <w:rFonts w:ascii="Arial" w:cs="Arial" w:eastAsia="Arial" w:hAnsi="Arial"/>
                <w:sz w:val="16"/>
                <w:szCs w:val="16"/>
                <w:color w:val="auto"/>
              </w:rPr>
              <w:t>0</w:t>
            </w:r>
          </w:p>
        </w:tc>
        <w:tc>
          <w:tcPr>
            <w:tcW w:w="1400" w:type="dxa"/>
            <w:vAlign w:val="bottom"/>
            <w:shd w:val="clear" w:color="auto" w:fill="D9D9D9"/>
          </w:tcPr>
          <w:p>
            <w:pPr>
              <w:jc w:val="center"/>
              <w:spacing w:after="0"/>
              <w:rPr>
                <w:sz w:val="20"/>
                <w:szCs w:val="20"/>
                <w:color w:val="auto"/>
              </w:rPr>
            </w:pPr>
            <w:r>
              <w:rPr>
                <w:rFonts w:ascii="Arial" w:cs="Arial" w:eastAsia="Arial" w:hAnsi="Arial"/>
                <w:sz w:val="16"/>
                <w:szCs w:val="16"/>
                <w:color w:val="auto"/>
              </w:rPr>
              <w:t>‒</w:t>
            </w:r>
          </w:p>
        </w:tc>
      </w:tr>
      <w:tr>
        <w:trPr>
          <w:trHeight w:val="239"/>
        </w:trPr>
        <w:tc>
          <w:tcPr>
            <w:tcW w:w="4700" w:type="dxa"/>
            <w:vAlign w:val="bottom"/>
          </w:tcPr>
          <w:p>
            <w:pPr>
              <w:ind w:left="260"/>
              <w:spacing w:after="0"/>
              <w:rPr>
                <w:sz w:val="20"/>
                <w:szCs w:val="20"/>
                <w:color w:val="auto"/>
              </w:rPr>
            </w:pPr>
            <w:r>
              <w:rPr>
                <w:rFonts w:ascii="Arial" w:cs="Arial" w:eastAsia="Arial" w:hAnsi="Arial"/>
                <w:sz w:val="16"/>
                <w:szCs w:val="16"/>
                <w:color w:val="auto"/>
              </w:rPr>
              <w:t>Eric P. Hansotia</w:t>
            </w:r>
          </w:p>
        </w:tc>
        <w:tc>
          <w:tcPr>
            <w:tcW w:w="1400" w:type="dxa"/>
            <w:vAlign w:val="bottom"/>
          </w:tcPr>
          <w:p>
            <w:pPr>
              <w:jc w:val="right"/>
              <w:ind w:right="81"/>
              <w:spacing w:after="0"/>
              <w:rPr>
                <w:sz w:val="20"/>
                <w:szCs w:val="20"/>
                <w:color w:val="auto"/>
              </w:rPr>
            </w:pPr>
            <w:r>
              <w:rPr>
                <w:rFonts w:ascii="Arial" w:cs="Arial" w:eastAsia="Arial" w:hAnsi="Arial"/>
                <w:sz w:val="16"/>
                <w:szCs w:val="16"/>
                <w:color w:val="auto"/>
              </w:rPr>
              <w:t>0</w:t>
            </w:r>
          </w:p>
        </w:tc>
        <w:tc>
          <w:tcPr>
            <w:tcW w:w="1440" w:type="dxa"/>
            <w:vAlign w:val="bottom"/>
          </w:tcPr>
          <w:p>
            <w:pPr>
              <w:jc w:val="right"/>
              <w:ind w:right="621"/>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82"/>
              <w:spacing w:after="0"/>
              <w:rPr>
                <w:sz w:val="20"/>
                <w:szCs w:val="20"/>
                <w:color w:val="auto"/>
              </w:rPr>
            </w:pPr>
            <w:r>
              <w:rPr>
                <w:rFonts w:ascii="Arial" w:cs="Arial" w:eastAsia="Arial" w:hAnsi="Arial"/>
                <w:sz w:val="16"/>
                <w:szCs w:val="16"/>
                <w:color w:val="auto"/>
              </w:rPr>
              <w:t>0</w:t>
            </w:r>
          </w:p>
        </w:tc>
        <w:tc>
          <w:tcPr>
            <w:tcW w:w="140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239"/>
        </w:trPr>
        <w:tc>
          <w:tcPr>
            <w:tcW w:w="4700" w:type="dxa"/>
            <w:vAlign w:val="bottom"/>
            <w:shd w:val="clear" w:color="auto" w:fill="D9D9D9"/>
          </w:tcPr>
          <w:p>
            <w:pPr>
              <w:ind w:left="260"/>
              <w:spacing w:after="0"/>
              <w:rPr>
                <w:sz w:val="20"/>
                <w:szCs w:val="20"/>
                <w:color w:val="auto"/>
              </w:rPr>
            </w:pPr>
            <w:r>
              <w:rPr>
                <w:rFonts w:ascii="Arial" w:cs="Arial" w:eastAsia="Arial" w:hAnsi="Arial"/>
                <w:sz w:val="16"/>
                <w:szCs w:val="16"/>
                <w:color w:val="auto"/>
              </w:rPr>
              <w:t>Katherine J. Harless</w:t>
            </w:r>
          </w:p>
        </w:tc>
        <w:tc>
          <w:tcPr>
            <w:tcW w:w="1400" w:type="dxa"/>
            <w:vAlign w:val="bottom"/>
            <w:shd w:val="clear" w:color="auto" w:fill="D9D9D9"/>
          </w:tcPr>
          <w:p>
            <w:pPr>
              <w:jc w:val="right"/>
              <w:ind w:right="81"/>
              <w:spacing w:after="0"/>
              <w:rPr>
                <w:sz w:val="20"/>
                <w:szCs w:val="20"/>
                <w:color w:val="auto"/>
              </w:rPr>
            </w:pPr>
            <w:r>
              <w:rPr>
                <w:rFonts w:ascii="Arial" w:cs="Arial" w:eastAsia="Arial" w:hAnsi="Arial"/>
                <w:sz w:val="16"/>
                <w:szCs w:val="16"/>
                <w:color w:val="auto"/>
              </w:rPr>
              <w:t>32,027</w:t>
            </w:r>
          </w:p>
        </w:tc>
        <w:tc>
          <w:tcPr>
            <w:tcW w:w="1440" w:type="dxa"/>
            <w:vAlign w:val="bottom"/>
            <w:shd w:val="clear" w:color="auto" w:fill="D9D9D9"/>
          </w:tcPr>
          <w:p>
            <w:pPr>
              <w:jc w:val="right"/>
              <w:ind w:right="621"/>
              <w:spacing w:after="0"/>
              <w:rPr>
                <w:sz w:val="20"/>
                <w:szCs w:val="20"/>
                <w:color w:val="auto"/>
              </w:rPr>
            </w:pPr>
            <w:r>
              <w:rPr>
                <w:rFonts w:ascii="Arial" w:cs="Arial" w:eastAsia="Arial" w:hAnsi="Arial"/>
                <w:sz w:val="16"/>
                <w:szCs w:val="16"/>
                <w:color w:val="auto"/>
              </w:rPr>
              <w:t>‒</w:t>
            </w:r>
          </w:p>
        </w:tc>
        <w:tc>
          <w:tcPr>
            <w:tcW w:w="1440" w:type="dxa"/>
            <w:vAlign w:val="bottom"/>
            <w:shd w:val="clear" w:color="auto" w:fill="D9D9D9"/>
          </w:tcPr>
          <w:p>
            <w:pPr>
              <w:jc w:val="right"/>
              <w:ind w:right="82"/>
              <w:spacing w:after="0"/>
              <w:rPr>
                <w:sz w:val="20"/>
                <w:szCs w:val="20"/>
                <w:color w:val="auto"/>
              </w:rPr>
            </w:pPr>
            <w:r>
              <w:rPr>
                <w:rFonts w:ascii="Arial" w:cs="Arial" w:eastAsia="Arial" w:hAnsi="Arial"/>
                <w:sz w:val="16"/>
                <w:szCs w:val="16"/>
                <w:color w:val="auto"/>
              </w:rPr>
              <w:t>4,486</w:t>
            </w:r>
          </w:p>
        </w:tc>
        <w:tc>
          <w:tcPr>
            <w:tcW w:w="1400" w:type="dxa"/>
            <w:vAlign w:val="bottom"/>
            <w:shd w:val="clear" w:color="auto" w:fill="D9D9D9"/>
          </w:tcPr>
          <w:p>
            <w:pPr>
              <w:jc w:val="center"/>
              <w:spacing w:after="0"/>
              <w:rPr>
                <w:sz w:val="20"/>
                <w:szCs w:val="20"/>
                <w:color w:val="auto"/>
              </w:rPr>
            </w:pPr>
            <w:r>
              <w:rPr>
                <w:rFonts w:ascii="Arial" w:cs="Arial" w:eastAsia="Arial" w:hAnsi="Arial"/>
                <w:sz w:val="16"/>
                <w:szCs w:val="16"/>
                <w:color w:val="auto"/>
              </w:rPr>
              <w:t>‒</w:t>
            </w:r>
          </w:p>
        </w:tc>
      </w:tr>
      <w:tr>
        <w:trPr>
          <w:trHeight w:val="239"/>
        </w:trPr>
        <w:tc>
          <w:tcPr>
            <w:tcW w:w="4700" w:type="dxa"/>
            <w:vAlign w:val="bottom"/>
          </w:tcPr>
          <w:p>
            <w:pPr>
              <w:ind w:left="260"/>
              <w:spacing w:after="0"/>
              <w:rPr>
                <w:sz w:val="20"/>
                <w:szCs w:val="20"/>
                <w:color w:val="auto"/>
              </w:rPr>
            </w:pPr>
            <w:r>
              <w:rPr>
                <w:rFonts w:ascii="Arial" w:cs="Arial" w:eastAsia="Arial" w:hAnsi="Arial"/>
                <w:sz w:val="16"/>
                <w:szCs w:val="16"/>
                <w:color w:val="auto"/>
              </w:rPr>
              <w:t>Jeffrey L. Harmening</w:t>
            </w:r>
          </w:p>
        </w:tc>
        <w:tc>
          <w:tcPr>
            <w:tcW w:w="1400" w:type="dxa"/>
            <w:vAlign w:val="bottom"/>
          </w:tcPr>
          <w:p>
            <w:pPr>
              <w:jc w:val="right"/>
              <w:ind w:right="81"/>
              <w:spacing w:after="0"/>
              <w:rPr>
                <w:sz w:val="20"/>
                <w:szCs w:val="20"/>
                <w:color w:val="auto"/>
              </w:rPr>
            </w:pPr>
            <w:r>
              <w:rPr>
                <w:rFonts w:ascii="Arial" w:cs="Arial" w:eastAsia="Arial" w:hAnsi="Arial"/>
                <w:sz w:val="16"/>
                <w:szCs w:val="16"/>
                <w:color w:val="auto"/>
              </w:rPr>
              <w:t>3,414</w:t>
            </w:r>
          </w:p>
        </w:tc>
        <w:tc>
          <w:tcPr>
            <w:tcW w:w="1440" w:type="dxa"/>
            <w:vAlign w:val="bottom"/>
          </w:tcPr>
          <w:p>
            <w:pPr>
              <w:jc w:val="right"/>
              <w:ind w:right="621"/>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82"/>
              <w:spacing w:after="0"/>
              <w:rPr>
                <w:sz w:val="20"/>
                <w:szCs w:val="20"/>
                <w:color w:val="auto"/>
              </w:rPr>
            </w:pPr>
            <w:r>
              <w:rPr>
                <w:rFonts w:ascii="Arial" w:cs="Arial" w:eastAsia="Arial" w:hAnsi="Arial"/>
                <w:sz w:val="16"/>
                <w:szCs w:val="16"/>
                <w:color w:val="auto"/>
              </w:rPr>
              <w:t>0</w:t>
            </w:r>
          </w:p>
        </w:tc>
        <w:tc>
          <w:tcPr>
            <w:tcW w:w="140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239"/>
        </w:trPr>
        <w:tc>
          <w:tcPr>
            <w:tcW w:w="4700" w:type="dxa"/>
            <w:vAlign w:val="bottom"/>
            <w:shd w:val="clear" w:color="auto" w:fill="D9D9D9"/>
          </w:tcPr>
          <w:p>
            <w:pPr>
              <w:ind w:left="260"/>
              <w:spacing w:after="0"/>
              <w:rPr>
                <w:sz w:val="20"/>
                <w:szCs w:val="20"/>
                <w:color w:val="auto"/>
              </w:rPr>
            </w:pPr>
            <w:r>
              <w:rPr>
                <w:rFonts w:ascii="Arial" w:cs="Arial" w:eastAsia="Arial" w:hAnsi="Arial"/>
                <w:sz w:val="16"/>
                <w:szCs w:val="16"/>
                <w:color w:val="auto"/>
              </w:rPr>
              <w:t>D. Christian Koch</w:t>
            </w:r>
          </w:p>
        </w:tc>
        <w:tc>
          <w:tcPr>
            <w:tcW w:w="1400" w:type="dxa"/>
            <w:vAlign w:val="bottom"/>
            <w:shd w:val="clear" w:color="auto" w:fill="D9D9D9"/>
          </w:tcPr>
          <w:p>
            <w:pPr>
              <w:jc w:val="right"/>
              <w:ind w:right="81"/>
              <w:spacing w:after="0"/>
              <w:rPr>
                <w:sz w:val="20"/>
                <w:szCs w:val="20"/>
                <w:color w:val="auto"/>
              </w:rPr>
            </w:pPr>
            <w:r>
              <w:rPr>
                <w:rFonts w:ascii="Arial" w:cs="Arial" w:eastAsia="Arial" w:hAnsi="Arial"/>
                <w:sz w:val="16"/>
                <w:szCs w:val="16"/>
                <w:color w:val="auto"/>
              </w:rPr>
              <w:t>16,693</w:t>
            </w:r>
          </w:p>
        </w:tc>
        <w:tc>
          <w:tcPr>
            <w:tcW w:w="1440" w:type="dxa"/>
            <w:vAlign w:val="bottom"/>
            <w:shd w:val="clear" w:color="auto" w:fill="D9D9D9"/>
          </w:tcPr>
          <w:p>
            <w:pPr>
              <w:jc w:val="right"/>
              <w:ind w:right="621"/>
              <w:spacing w:after="0"/>
              <w:rPr>
                <w:sz w:val="20"/>
                <w:szCs w:val="20"/>
                <w:color w:val="auto"/>
              </w:rPr>
            </w:pPr>
            <w:r>
              <w:rPr>
                <w:rFonts w:ascii="Arial" w:cs="Arial" w:eastAsia="Arial" w:hAnsi="Arial"/>
                <w:sz w:val="16"/>
                <w:szCs w:val="16"/>
                <w:color w:val="auto"/>
              </w:rPr>
              <w:t>‒</w:t>
            </w:r>
          </w:p>
        </w:tc>
        <w:tc>
          <w:tcPr>
            <w:tcW w:w="1440" w:type="dxa"/>
            <w:vAlign w:val="bottom"/>
            <w:shd w:val="clear" w:color="auto" w:fill="D9D9D9"/>
          </w:tcPr>
          <w:p>
            <w:pPr>
              <w:jc w:val="right"/>
              <w:ind w:right="82"/>
              <w:spacing w:after="0"/>
              <w:rPr>
                <w:sz w:val="20"/>
                <w:szCs w:val="20"/>
                <w:color w:val="auto"/>
              </w:rPr>
            </w:pPr>
            <w:r>
              <w:rPr>
                <w:rFonts w:ascii="Arial" w:cs="Arial" w:eastAsia="Arial" w:hAnsi="Arial"/>
                <w:sz w:val="16"/>
                <w:szCs w:val="16"/>
                <w:color w:val="auto"/>
              </w:rPr>
              <w:t>0</w:t>
            </w:r>
          </w:p>
        </w:tc>
        <w:tc>
          <w:tcPr>
            <w:tcW w:w="1400" w:type="dxa"/>
            <w:vAlign w:val="bottom"/>
            <w:shd w:val="clear" w:color="auto" w:fill="D9D9D9"/>
          </w:tcPr>
          <w:p>
            <w:pPr>
              <w:jc w:val="center"/>
              <w:spacing w:after="0"/>
              <w:rPr>
                <w:sz w:val="20"/>
                <w:szCs w:val="20"/>
                <w:color w:val="auto"/>
              </w:rPr>
            </w:pPr>
            <w:r>
              <w:rPr>
                <w:rFonts w:ascii="Arial" w:cs="Arial" w:eastAsia="Arial" w:hAnsi="Arial"/>
                <w:sz w:val="16"/>
                <w:szCs w:val="16"/>
                <w:color w:val="auto"/>
              </w:rPr>
              <w:t>‒</w:t>
            </w:r>
          </w:p>
        </w:tc>
      </w:tr>
      <w:tr>
        <w:trPr>
          <w:trHeight w:val="239"/>
        </w:trPr>
        <w:tc>
          <w:tcPr>
            <w:tcW w:w="4700" w:type="dxa"/>
            <w:vAlign w:val="bottom"/>
          </w:tcPr>
          <w:p>
            <w:pPr>
              <w:ind w:left="260"/>
              <w:spacing w:after="0"/>
              <w:rPr>
                <w:sz w:val="20"/>
                <w:szCs w:val="20"/>
                <w:color w:val="auto"/>
              </w:rPr>
            </w:pPr>
            <w:r>
              <w:rPr>
                <w:rFonts w:ascii="Arial" w:cs="Arial" w:eastAsia="Arial" w:hAnsi="Arial"/>
                <w:sz w:val="16"/>
                <w:szCs w:val="16"/>
                <w:color w:val="auto"/>
              </w:rPr>
              <w:t>Joyce A. Mullen</w:t>
            </w:r>
          </w:p>
        </w:tc>
        <w:tc>
          <w:tcPr>
            <w:tcW w:w="1400" w:type="dxa"/>
            <w:vAlign w:val="bottom"/>
          </w:tcPr>
          <w:p>
            <w:pPr>
              <w:jc w:val="right"/>
              <w:ind w:right="81"/>
              <w:spacing w:after="0"/>
              <w:rPr>
                <w:sz w:val="20"/>
                <w:szCs w:val="20"/>
                <w:color w:val="auto"/>
              </w:rPr>
            </w:pPr>
            <w:r>
              <w:rPr>
                <w:rFonts w:ascii="Arial" w:cs="Arial" w:eastAsia="Arial" w:hAnsi="Arial"/>
                <w:sz w:val="16"/>
                <w:szCs w:val="16"/>
                <w:color w:val="auto"/>
              </w:rPr>
              <w:t>3,414</w:t>
            </w:r>
          </w:p>
        </w:tc>
        <w:tc>
          <w:tcPr>
            <w:tcW w:w="1440" w:type="dxa"/>
            <w:vAlign w:val="bottom"/>
          </w:tcPr>
          <w:p>
            <w:pPr>
              <w:jc w:val="right"/>
              <w:ind w:right="621"/>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82"/>
              <w:spacing w:after="0"/>
              <w:rPr>
                <w:sz w:val="20"/>
                <w:szCs w:val="20"/>
                <w:color w:val="auto"/>
              </w:rPr>
            </w:pPr>
            <w:r>
              <w:rPr>
                <w:rFonts w:ascii="Arial" w:cs="Arial" w:eastAsia="Arial" w:hAnsi="Arial"/>
                <w:sz w:val="16"/>
                <w:szCs w:val="16"/>
                <w:color w:val="auto"/>
              </w:rPr>
              <w:t>2,453</w:t>
            </w:r>
          </w:p>
        </w:tc>
        <w:tc>
          <w:tcPr>
            <w:tcW w:w="140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239"/>
        </w:trPr>
        <w:tc>
          <w:tcPr>
            <w:tcW w:w="4700" w:type="dxa"/>
            <w:vAlign w:val="bottom"/>
            <w:shd w:val="clear" w:color="auto" w:fill="D9D9D9"/>
          </w:tcPr>
          <w:p>
            <w:pPr>
              <w:ind w:left="260"/>
              <w:spacing w:after="0"/>
              <w:rPr>
                <w:sz w:val="20"/>
                <w:szCs w:val="20"/>
                <w:color w:val="auto"/>
              </w:rPr>
            </w:pPr>
            <w:r>
              <w:rPr>
                <w:rFonts w:ascii="Arial" w:cs="Arial" w:eastAsia="Arial" w:hAnsi="Arial"/>
                <w:sz w:val="16"/>
                <w:szCs w:val="16"/>
                <w:color w:val="auto"/>
              </w:rPr>
              <w:t>James C. O’Rourke</w:t>
            </w:r>
          </w:p>
        </w:tc>
        <w:tc>
          <w:tcPr>
            <w:tcW w:w="1400" w:type="dxa"/>
            <w:vAlign w:val="bottom"/>
            <w:shd w:val="clear" w:color="auto" w:fill="D9D9D9"/>
          </w:tcPr>
          <w:p>
            <w:pPr>
              <w:jc w:val="right"/>
              <w:ind w:right="81"/>
              <w:spacing w:after="0"/>
              <w:rPr>
                <w:sz w:val="20"/>
                <w:szCs w:val="20"/>
                <w:color w:val="auto"/>
              </w:rPr>
            </w:pPr>
            <w:r>
              <w:rPr>
                <w:rFonts w:ascii="Arial" w:cs="Arial" w:eastAsia="Arial" w:hAnsi="Arial"/>
                <w:sz w:val="16"/>
                <w:szCs w:val="16"/>
                <w:color w:val="auto"/>
              </w:rPr>
              <w:t>21,731</w:t>
            </w:r>
          </w:p>
        </w:tc>
        <w:tc>
          <w:tcPr>
            <w:tcW w:w="1440" w:type="dxa"/>
            <w:vAlign w:val="bottom"/>
            <w:shd w:val="clear" w:color="auto" w:fill="D9D9D9"/>
          </w:tcPr>
          <w:p>
            <w:pPr>
              <w:jc w:val="right"/>
              <w:ind w:right="621"/>
              <w:spacing w:after="0"/>
              <w:rPr>
                <w:sz w:val="20"/>
                <w:szCs w:val="20"/>
                <w:color w:val="auto"/>
              </w:rPr>
            </w:pPr>
            <w:r>
              <w:rPr>
                <w:rFonts w:ascii="Arial" w:cs="Arial" w:eastAsia="Arial" w:hAnsi="Arial"/>
                <w:sz w:val="16"/>
                <w:szCs w:val="16"/>
                <w:color w:val="auto"/>
              </w:rPr>
              <w:t>‒</w:t>
            </w:r>
          </w:p>
        </w:tc>
        <w:tc>
          <w:tcPr>
            <w:tcW w:w="1440" w:type="dxa"/>
            <w:vAlign w:val="bottom"/>
            <w:shd w:val="clear" w:color="auto" w:fill="D9D9D9"/>
          </w:tcPr>
          <w:p>
            <w:pPr>
              <w:jc w:val="right"/>
              <w:ind w:right="82"/>
              <w:spacing w:after="0"/>
              <w:rPr>
                <w:sz w:val="20"/>
                <w:szCs w:val="20"/>
                <w:color w:val="auto"/>
              </w:rPr>
            </w:pPr>
            <w:r>
              <w:rPr>
                <w:rFonts w:ascii="Arial" w:cs="Arial" w:eastAsia="Arial" w:hAnsi="Arial"/>
                <w:sz w:val="16"/>
                <w:szCs w:val="16"/>
                <w:color w:val="auto"/>
              </w:rPr>
              <w:t>0</w:t>
            </w:r>
          </w:p>
        </w:tc>
        <w:tc>
          <w:tcPr>
            <w:tcW w:w="1400" w:type="dxa"/>
            <w:vAlign w:val="bottom"/>
            <w:shd w:val="clear" w:color="auto" w:fill="D9D9D9"/>
          </w:tcPr>
          <w:p>
            <w:pPr>
              <w:jc w:val="center"/>
              <w:spacing w:after="0"/>
              <w:rPr>
                <w:sz w:val="20"/>
                <w:szCs w:val="20"/>
                <w:color w:val="auto"/>
              </w:rPr>
            </w:pPr>
            <w:r>
              <w:rPr>
                <w:rFonts w:ascii="Arial" w:cs="Arial" w:eastAsia="Arial" w:hAnsi="Arial"/>
                <w:sz w:val="16"/>
                <w:szCs w:val="16"/>
                <w:color w:val="auto"/>
              </w:rPr>
              <w:t>‒</w:t>
            </w:r>
          </w:p>
        </w:tc>
      </w:tr>
      <w:tr>
        <w:trPr>
          <w:trHeight w:val="239"/>
        </w:trPr>
        <w:tc>
          <w:tcPr>
            <w:tcW w:w="4700" w:type="dxa"/>
            <w:vAlign w:val="bottom"/>
          </w:tcPr>
          <w:p>
            <w:pPr>
              <w:ind w:left="260"/>
              <w:spacing w:after="0"/>
              <w:rPr>
                <w:sz w:val="20"/>
                <w:szCs w:val="20"/>
                <w:color w:val="auto"/>
              </w:rPr>
            </w:pPr>
            <w:r>
              <w:rPr>
                <w:rFonts w:ascii="Arial" w:cs="Arial" w:eastAsia="Arial" w:hAnsi="Arial"/>
                <w:sz w:val="16"/>
                <w:szCs w:val="16"/>
                <w:color w:val="auto"/>
              </w:rPr>
              <w:t>Jill M. Pemberton</w:t>
            </w:r>
          </w:p>
        </w:tc>
        <w:tc>
          <w:tcPr>
            <w:tcW w:w="1400" w:type="dxa"/>
            <w:vAlign w:val="bottom"/>
          </w:tcPr>
          <w:p>
            <w:pPr>
              <w:jc w:val="right"/>
              <w:ind w:right="81"/>
              <w:spacing w:after="0"/>
              <w:rPr>
                <w:sz w:val="20"/>
                <w:szCs w:val="20"/>
                <w:color w:val="auto"/>
              </w:rPr>
            </w:pPr>
            <w:r>
              <w:rPr>
                <w:rFonts w:ascii="Arial" w:cs="Arial" w:eastAsia="Arial" w:hAnsi="Arial"/>
                <w:sz w:val="16"/>
                <w:szCs w:val="16"/>
                <w:color w:val="auto"/>
              </w:rPr>
              <w:t>0</w:t>
            </w:r>
          </w:p>
        </w:tc>
        <w:tc>
          <w:tcPr>
            <w:tcW w:w="1440" w:type="dxa"/>
            <w:vAlign w:val="bottom"/>
          </w:tcPr>
          <w:p>
            <w:pPr>
              <w:jc w:val="right"/>
              <w:ind w:right="621"/>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82"/>
              <w:spacing w:after="0"/>
              <w:rPr>
                <w:sz w:val="20"/>
                <w:szCs w:val="20"/>
                <w:color w:val="auto"/>
              </w:rPr>
            </w:pPr>
            <w:r>
              <w:rPr>
                <w:rFonts w:ascii="Arial" w:cs="Arial" w:eastAsia="Arial" w:hAnsi="Arial"/>
                <w:sz w:val="16"/>
                <w:szCs w:val="16"/>
                <w:color w:val="auto"/>
              </w:rPr>
              <w:t>0</w:t>
            </w:r>
          </w:p>
        </w:tc>
        <w:tc>
          <w:tcPr>
            <w:tcW w:w="140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239"/>
        </w:trPr>
        <w:tc>
          <w:tcPr>
            <w:tcW w:w="4700" w:type="dxa"/>
            <w:vAlign w:val="bottom"/>
            <w:shd w:val="clear" w:color="auto" w:fill="D9D9D9"/>
          </w:tcPr>
          <w:p>
            <w:pPr>
              <w:ind w:left="260"/>
              <w:spacing w:after="0"/>
              <w:rPr>
                <w:sz w:val="20"/>
                <w:szCs w:val="20"/>
                <w:color w:val="auto"/>
              </w:rPr>
            </w:pPr>
            <w:r>
              <w:rPr>
                <w:rFonts w:ascii="Arial" w:cs="Arial" w:eastAsia="Arial" w:hAnsi="Arial"/>
                <w:sz w:val="16"/>
                <w:szCs w:val="16"/>
                <w:color w:val="auto"/>
              </w:rPr>
              <w:t>Michael G. Vale</w:t>
            </w:r>
          </w:p>
        </w:tc>
        <w:tc>
          <w:tcPr>
            <w:tcW w:w="1400" w:type="dxa"/>
            <w:vAlign w:val="bottom"/>
            <w:shd w:val="clear" w:color="auto" w:fill="D9D9D9"/>
          </w:tcPr>
          <w:p>
            <w:pPr>
              <w:jc w:val="right"/>
              <w:ind w:right="81"/>
              <w:spacing w:after="0"/>
              <w:rPr>
                <w:sz w:val="20"/>
                <w:szCs w:val="20"/>
                <w:color w:val="auto"/>
              </w:rPr>
            </w:pPr>
            <w:r>
              <w:rPr>
                <w:rFonts w:ascii="Arial" w:cs="Arial" w:eastAsia="Arial" w:hAnsi="Arial"/>
                <w:sz w:val="16"/>
                <w:szCs w:val="16"/>
                <w:color w:val="auto"/>
              </w:rPr>
              <w:t>7,896</w:t>
            </w:r>
          </w:p>
        </w:tc>
        <w:tc>
          <w:tcPr>
            <w:tcW w:w="1440" w:type="dxa"/>
            <w:vAlign w:val="bottom"/>
            <w:shd w:val="clear" w:color="auto" w:fill="D9D9D9"/>
          </w:tcPr>
          <w:p>
            <w:pPr>
              <w:jc w:val="right"/>
              <w:ind w:right="621"/>
              <w:spacing w:after="0"/>
              <w:rPr>
                <w:sz w:val="20"/>
                <w:szCs w:val="20"/>
                <w:color w:val="auto"/>
              </w:rPr>
            </w:pPr>
            <w:r>
              <w:rPr>
                <w:rFonts w:ascii="Arial" w:cs="Arial" w:eastAsia="Arial" w:hAnsi="Arial"/>
                <w:sz w:val="16"/>
                <w:szCs w:val="16"/>
                <w:color w:val="auto"/>
              </w:rPr>
              <w:t>‒</w:t>
            </w:r>
          </w:p>
        </w:tc>
        <w:tc>
          <w:tcPr>
            <w:tcW w:w="1440" w:type="dxa"/>
            <w:vAlign w:val="bottom"/>
            <w:shd w:val="clear" w:color="auto" w:fill="D9D9D9"/>
          </w:tcPr>
          <w:p>
            <w:pPr>
              <w:jc w:val="right"/>
              <w:ind w:right="82"/>
              <w:spacing w:after="0"/>
              <w:rPr>
                <w:sz w:val="20"/>
                <w:szCs w:val="20"/>
                <w:color w:val="auto"/>
              </w:rPr>
            </w:pPr>
            <w:r>
              <w:rPr>
                <w:rFonts w:ascii="Arial" w:cs="Arial" w:eastAsia="Arial" w:hAnsi="Arial"/>
                <w:sz w:val="16"/>
                <w:szCs w:val="16"/>
                <w:color w:val="auto"/>
              </w:rPr>
              <w:t>3,492</w:t>
            </w:r>
          </w:p>
        </w:tc>
        <w:tc>
          <w:tcPr>
            <w:tcW w:w="1400" w:type="dxa"/>
            <w:vAlign w:val="bottom"/>
            <w:shd w:val="clear" w:color="auto" w:fill="D9D9D9"/>
          </w:tcPr>
          <w:p>
            <w:pPr>
              <w:jc w:val="center"/>
              <w:spacing w:after="0"/>
              <w:rPr>
                <w:sz w:val="20"/>
                <w:szCs w:val="20"/>
                <w:color w:val="auto"/>
              </w:rPr>
            </w:pPr>
            <w:r>
              <w:rPr>
                <w:rFonts w:ascii="Arial" w:cs="Arial" w:eastAsia="Arial" w:hAnsi="Arial"/>
                <w:sz w:val="16"/>
                <w:szCs w:val="16"/>
                <w:color w:val="auto"/>
              </w:rPr>
              <w:t>‒</w:t>
            </w:r>
          </w:p>
        </w:tc>
      </w:tr>
      <w:tr>
        <w:trPr>
          <w:trHeight w:val="230"/>
        </w:trPr>
        <w:tc>
          <w:tcPr>
            <w:tcW w:w="4700" w:type="dxa"/>
            <w:vAlign w:val="bottom"/>
          </w:tcPr>
          <w:p>
            <w:pPr>
              <w:spacing w:after="0"/>
              <w:rPr>
                <w:sz w:val="20"/>
                <w:szCs w:val="20"/>
                <w:color w:val="auto"/>
              </w:rPr>
            </w:pPr>
            <w:r>
              <w:rPr>
                <w:rFonts w:ascii="Arial" w:cs="Arial" w:eastAsia="Arial" w:hAnsi="Arial"/>
                <w:sz w:val="16"/>
                <w:szCs w:val="16"/>
                <w:color w:val="auto"/>
              </w:rPr>
              <w:t>Named Executive Officers:</w:t>
            </w:r>
          </w:p>
        </w:tc>
        <w:tc>
          <w:tcPr>
            <w:tcW w:w="14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49"/>
        </w:trPr>
        <w:tc>
          <w:tcPr>
            <w:tcW w:w="4700" w:type="dxa"/>
            <w:vAlign w:val="bottom"/>
            <w:shd w:val="clear" w:color="auto" w:fill="D9D9D9"/>
          </w:tcPr>
          <w:p>
            <w:pPr>
              <w:ind w:left="260"/>
              <w:spacing w:after="0"/>
              <w:rPr>
                <w:sz w:val="20"/>
                <w:szCs w:val="20"/>
                <w:color w:val="auto"/>
              </w:rPr>
            </w:pPr>
            <w:r>
              <w:rPr>
                <w:rFonts w:ascii="Arial" w:cs="Arial" w:eastAsia="Arial" w:hAnsi="Arial"/>
                <w:sz w:val="16"/>
                <w:szCs w:val="16"/>
                <w:color w:val="auto"/>
              </w:rPr>
              <w:t>Richard M. Olson</w:t>
            </w:r>
          </w:p>
        </w:tc>
        <w:tc>
          <w:tcPr>
            <w:tcW w:w="1400" w:type="dxa"/>
            <w:vAlign w:val="bottom"/>
            <w:shd w:val="clear" w:color="auto" w:fill="D9D9D9"/>
          </w:tcPr>
          <w:p>
            <w:pPr>
              <w:jc w:val="right"/>
              <w:ind w:right="81"/>
              <w:spacing w:after="0"/>
              <w:rPr>
                <w:sz w:val="20"/>
                <w:szCs w:val="20"/>
                <w:color w:val="auto"/>
              </w:rPr>
            </w:pPr>
            <w:r>
              <w:rPr>
                <w:rFonts w:ascii="Arial" w:cs="Arial" w:eastAsia="Arial" w:hAnsi="Arial"/>
                <w:sz w:val="16"/>
                <w:szCs w:val="16"/>
                <w:color w:val="auto"/>
              </w:rPr>
              <w:t>594,599</w:t>
            </w:r>
          </w:p>
        </w:tc>
        <w:tc>
          <w:tcPr>
            <w:tcW w:w="1440" w:type="dxa"/>
            <w:vAlign w:val="bottom"/>
            <w:shd w:val="clear" w:color="auto" w:fill="D9D9D9"/>
          </w:tcPr>
          <w:p>
            <w:pPr>
              <w:jc w:val="right"/>
              <w:ind w:right="81"/>
              <w:spacing w:after="0"/>
              <w:rPr>
                <w:sz w:val="20"/>
                <w:szCs w:val="20"/>
                <w:color w:val="auto"/>
              </w:rPr>
            </w:pPr>
            <w:r>
              <w:rPr>
                <w:rFonts w:ascii="Arial" w:cs="Arial" w:eastAsia="Arial" w:hAnsi="Arial"/>
                <w:sz w:val="16"/>
                <w:szCs w:val="16"/>
                <w:color w:val="auto"/>
              </w:rPr>
              <w:t>16,689</w:t>
            </w:r>
          </w:p>
        </w:tc>
        <w:tc>
          <w:tcPr>
            <w:tcW w:w="1440" w:type="dxa"/>
            <w:vAlign w:val="bottom"/>
            <w:shd w:val="clear" w:color="auto" w:fill="D9D9D9"/>
          </w:tcPr>
          <w:p>
            <w:pPr>
              <w:jc w:val="center"/>
              <w:spacing w:after="0"/>
              <w:rPr>
                <w:sz w:val="20"/>
                <w:szCs w:val="20"/>
                <w:color w:val="auto"/>
              </w:rPr>
            </w:pPr>
            <w:r>
              <w:rPr>
                <w:rFonts w:ascii="Arial" w:cs="Arial" w:eastAsia="Arial" w:hAnsi="Arial"/>
                <w:sz w:val="16"/>
                <w:szCs w:val="16"/>
                <w:color w:val="auto"/>
              </w:rPr>
              <w:t>‒</w:t>
            </w:r>
          </w:p>
        </w:tc>
        <w:tc>
          <w:tcPr>
            <w:tcW w:w="1400" w:type="dxa"/>
            <w:vAlign w:val="bottom"/>
            <w:shd w:val="clear" w:color="auto" w:fill="D9D9D9"/>
          </w:tcPr>
          <w:p>
            <w:pPr>
              <w:jc w:val="right"/>
              <w:ind w:right="22"/>
              <w:spacing w:after="0"/>
              <w:rPr>
                <w:sz w:val="20"/>
                <w:szCs w:val="20"/>
                <w:color w:val="auto"/>
              </w:rPr>
            </w:pPr>
            <w:r>
              <w:rPr>
                <w:rFonts w:ascii="Arial" w:cs="Arial" w:eastAsia="Arial" w:hAnsi="Arial"/>
                <w:sz w:val="16"/>
                <w:szCs w:val="16"/>
                <w:color w:val="auto"/>
              </w:rPr>
              <w:t>124,419</w:t>
            </w:r>
          </w:p>
        </w:tc>
      </w:tr>
      <w:tr>
        <w:trPr>
          <w:trHeight w:val="239"/>
        </w:trPr>
        <w:tc>
          <w:tcPr>
            <w:tcW w:w="4700" w:type="dxa"/>
            <w:vAlign w:val="bottom"/>
          </w:tcPr>
          <w:p>
            <w:pPr>
              <w:ind w:left="260"/>
              <w:spacing w:after="0"/>
              <w:rPr>
                <w:sz w:val="20"/>
                <w:szCs w:val="20"/>
                <w:color w:val="auto"/>
              </w:rPr>
            </w:pPr>
            <w:r>
              <w:rPr>
                <w:rFonts w:ascii="Arial" w:cs="Arial" w:eastAsia="Arial" w:hAnsi="Arial"/>
                <w:sz w:val="16"/>
                <w:szCs w:val="16"/>
                <w:color w:val="auto"/>
              </w:rPr>
              <w:t>Renee J. Peterson</w:t>
            </w:r>
          </w:p>
        </w:tc>
        <w:tc>
          <w:tcPr>
            <w:tcW w:w="1400" w:type="dxa"/>
            <w:vAlign w:val="bottom"/>
          </w:tcPr>
          <w:p>
            <w:pPr>
              <w:jc w:val="right"/>
              <w:ind w:right="81"/>
              <w:spacing w:after="0"/>
              <w:rPr>
                <w:sz w:val="20"/>
                <w:szCs w:val="20"/>
                <w:color w:val="auto"/>
              </w:rPr>
            </w:pPr>
            <w:r>
              <w:rPr>
                <w:rFonts w:ascii="Arial" w:cs="Arial" w:eastAsia="Arial" w:hAnsi="Arial"/>
                <w:sz w:val="16"/>
                <w:szCs w:val="16"/>
                <w:color w:val="auto"/>
              </w:rPr>
              <w:t>171,300</w:t>
            </w:r>
          </w:p>
        </w:tc>
        <w:tc>
          <w:tcPr>
            <w:tcW w:w="1440" w:type="dxa"/>
            <w:vAlign w:val="bottom"/>
          </w:tcPr>
          <w:p>
            <w:pPr>
              <w:jc w:val="right"/>
              <w:ind w:right="81"/>
              <w:spacing w:after="0"/>
              <w:rPr>
                <w:sz w:val="20"/>
                <w:szCs w:val="20"/>
                <w:color w:val="auto"/>
              </w:rPr>
            </w:pPr>
            <w:r>
              <w:rPr>
                <w:rFonts w:ascii="Arial" w:cs="Arial" w:eastAsia="Arial" w:hAnsi="Arial"/>
                <w:sz w:val="16"/>
                <w:szCs w:val="16"/>
                <w:color w:val="auto"/>
              </w:rPr>
              <w:t>735</w:t>
            </w:r>
          </w:p>
        </w:tc>
        <w:tc>
          <w:tcPr>
            <w:tcW w:w="1440" w:type="dxa"/>
            <w:vAlign w:val="bottom"/>
          </w:tcPr>
          <w:p>
            <w:pPr>
              <w:jc w:val="center"/>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2"/>
              <w:spacing w:after="0"/>
              <w:rPr>
                <w:sz w:val="20"/>
                <w:szCs w:val="20"/>
                <w:color w:val="auto"/>
              </w:rPr>
            </w:pPr>
            <w:r>
              <w:rPr>
                <w:rFonts w:ascii="Arial" w:cs="Arial" w:eastAsia="Arial" w:hAnsi="Arial"/>
                <w:sz w:val="16"/>
                <w:szCs w:val="16"/>
                <w:color w:val="auto"/>
              </w:rPr>
              <w:t>86,103</w:t>
            </w:r>
          </w:p>
        </w:tc>
      </w:tr>
      <w:tr>
        <w:trPr>
          <w:trHeight w:val="239"/>
        </w:trPr>
        <w:tc>
          <w:tcPr>
            <w:tcW w:w="4700" w:type="dxa"/>
            <w:vAlign w:val="bottom"/>
            <w:shd w:val="clear" w:color="auto" w:fill="D9D9D9"/>
          </w:tcPr>
          <w:p>
            <w:pPr>
              <w:ind w:left="260"/>
              <w:spacing w:after="0"/>
              <w:rPr>
                <w:sz w:val="20"/>
                <w:szCs w:val="20"/>
                <w:color w:val="auto"/>
              </w:rPr>
            </w:pPr>
            <w:r>
              <w:rPr>
                <w:rFonts w:ascii="Arial" w:cs="Arial" w:eastAsia="Arial" w:hAnsi="Arial"/>
                <w:sz w:val="16"/>
                <w:szCs w:val="16"/>
                <w:color w:val="auto"/>
              </w:rPr>
              <w:t>Richard W. Rodier</w:t>
            </w:r>
          </w:p>
        </w:tc>
        <w:tc>
          <w:tcPr>
            <w:tcW w:w="1400" w:type="dxa"/>
            <w:vAlign w:val="bottom"/>
            <w:shd w:val="clear" w:color="auto" w:fill="D9D9D9"/>
          </w:tcPr>
          <w:p>
            <w:pPr>
              <w:jc w:val="right"/>
              <w:ind w:right="81"/>
              <w:spacing w:after="0"/>
              <w:rPr>
                <w:sz w:val="20"/>
                <w:szCs w:val="20"/>
                <w:color w:val="auto"/>
              </w:rPr>
            </w:pPr>
            <w:r>
              <w:rPr>
                <w:rFonts w:ascii="Arial" w:cs="Arial" w:eastAsia="Arial" w:hAnsi="Arial"/>
                <w:sz w:val="16"/>
                <w:szCs w:val="16"/>
                <w:color w:val="auto"/>
              </w:rPr>
              <w:t>75,832</w:t>
            </w:r>
          </w:p>
        </w:tc>
        <w:tc>
          <w:tcPr>
            <w:tcW w:w="1440" w:type="dxa"/>
            <w:vAlign w:val="bottom"/>
            <w:shd w:val="clear" w:color="auto" w:fill="D9D9D9"/>
          </w:tcPr>
          <w:p>
            <w:pPr>
              <w:jc w:val="right"/>
              <w:ind w:right="81"/>
              <w:spacing w:after="0"/>
              <w:rPr>
                <w:sz w:val="20"/>
                <w:szCs w:val="20"/>
                <w:color w:val="auto"/>
              </w:rPr>
            </w:pPr>
            <w:r>
              <w:rPr>
                <w:rFonts w:ascii="Arial" w:cs="Arial" w:eastAsia="Arial" w:hAnsi="Arial"/>
                <w:sz w:val="16"/>
                <w:szCs w:val="16"/>
                <w:color w:val="auto"/>
              </w:rPr>
              <w:t>2,796</w:t>
            </w:r>
          </w:p>
        </w:tc>
        <w:tc>
          <w:tcPr>
            <w:tcW w:w="1440" w:type="dxa"/>
            <w:vAlign w:val="bottom"/>
            <w:shd w:val="clear" w:color="auto" w:fill="D9D9D9"/>
          </w:tcPr>
          <w:p>
            <w:pPr>
              <w:jc w:val="center"/>
              <w:spacing w:after="0"/>
              <w:rPr>
                <w:sz w:val="20"/>
                <w:szCs w:val="20"/>
                <w:color w:val="auto"/>
              </w:rPr>
            </w:pPr>
            <w:r>
              <w:rPr>
                <w:rFonts w:ascii="Arial" w:cs="Arial" w:eastAsia="Arial" w:hAnsi="Arial"/>
                <w:sz w:val="16"/>
                <w:szCs w:val="16"/>
                <w:color w:val="auto"/>
              </w:rPr>
              <w:t>‒</w:t>
            </w:r>
          </w:p>
        </w:tc>
        <w:tc>
          <w:tcPr>
            <w:tcW w:w="1400" w:type="dxa"/>
            <w:vAlign w:val="bottom"/>
            <w:shd w:val="clear" w:color="auto" w:fill="D9D9D9"/>
          </w:tcPr>
          <w:p>
            <w:pPr>
              <w:jc w:val="right"/>
              <w:ind w:right="22"/>
              <w:spacing w:after="0"/>
              <w:rPr>
                <w:sz w:val="20"/>
                <w:szCs w:val="20"/>
                <w:color w:val="auto"/>
              </w:rPr>
            </w:pPr>
            <w:r>
              <w:rPr>
                <w:rFonts w:ascii="Arial" w:cs="Arial" w:eastAsia="Arial" w:hAnsi="Arial"/>
                <w:sz w:val="16"/>
                <w:szCs w:val="16"/>
                <w:color w:val="auto"/>
              </w:rPr>
              <w:t>6,077</w:t>
            </w:r>
          </w:p>
        </w:tc>
      </w:tr>
      <w:tr>
        <w:trPr>
          <w:trHeight w:val="239"/>
        </w:trPr>
        <w:tc>
          <w:tcPr>
            <w:tcW w:w="4700" w:type="dxa"/>
            <w:vAlign w:val="bottom"/>
          </w:tcPr>
          <w:p>
            <w:pPr>
              <w:ind w:left="260"/>
              <w:spacing w:after="0"/>
              <w:rPr>
                <w:sz w:val="20"/>
                <w:szCs w:val="20"/>
                <w:color w:val="auto"/>
              </w:rPr>
            </w:pPr>
            <w:r>
              <w:rPr>
                <w:rFonts w:ascii="Arial" w:cs="Arial" w:eastAsia="Arial" w:hAnsi="Arial"/>
                <w:sz w:val="16"/>
                <w:szCs w:val="16"/>
                <w:color w:val="auto"/>
              </w:rPr>
              <w:t>Amy E. Dahl</w:t>
            </w:r>
          </w:p>
        </w:tc>
        <w:tc>
          <w:tcPr>
            <w:tcW w:w="1400" w:type="dxa"/>
            <w:vAlign w:val="bottom"/>
          </w:tcPr>
          <w:p>
            <w:pPr>
              <w:jc w:val="right"/>
              <w:ind w:right="81"/>
              <w:spacing w:after="0"/>
              <w:rPr>
                <w:sz w:val="20"/>
                <w:szCs w:val="20"/>
                <w:color w:val="auto"/>
              </w:rPr>
            </w:pPr>
            <w:r>
              <w:rPr>
                <w:rFonts w:ascii="Arial" w:cs="Arial" w:eastAsia="Arial" w:hAnsi="Arial"/>
                <w:sz w:val="16"/>
                <w:szCs w:val="16"/>
                <w:color w:val="auto"/>
              </w:rPr>
              <w:t>98,286</w:t>
            </w:r>
          </w:p>
        </w:tc>
        <w:tc>
          <w:tcPr>
            <w:tcW w:w="1440" w:type="dxa"/>
            <w:vAlign w:val="bottom"/>
          </w:tcPr>
          <w:p>
            <w:pPr>
              <w:jc w:val="right"/>
              <w:ind w:right="81"/>
              <w:spacing w:after="0"/>
              <w:rPr>
                <w:sz w:val="20"/>
                <w:szCs w:val="20"/>
                <w:color w:val="auto"/>
              </w:rPr>
            </w:pPr>
            <w:r>
              <w:rPr>
                <w:rFonts w:ascii="Arial" w:cs="Arial" w:eastAsia="Arial" w:hAnsi="Arial"/>
                <w:sz w:val="16"/>
                <w:szCs w:val="16"/>
                <w:color w:val="auto"/>
              </w:rPr>
              <w:t>3,734</w:t>
            </w:r>
          </w:p>
        </w:tc>
        <w:tc>
          <w:tcPr>
            <w:tcW w:w="1440" w:type="dxa"/>
            <w:vAlign w:val="bottom"/>
          </w:tcPr>
          <w:p>
            <w:pPr>
              <w:jc w:val="center"/>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2"/>
              <w:spacing w:after="0"/>
              <w:rPr>
                <w:sz w:val="20"/>
                <w:szCs w:val="20"/>
                <w:color w:val="auto"/>
              </w:rPr>
            </w:pPr>
            <w:r>
              <w:rPr>
                <w:rFonts w:ascii="Arial" w:cs="Arial" w:eastAsia="Arial" w:hAnsi="Arial"/>
                <w:sz w:val="16"/>
                <w:szCs w:val="16"/>
                <w:color w:val="auto"/>
              </w:rPr>
              <w:t>7,162</w:t>
            </w:r>
          </w:p>
        </w:tc>
      </w:tr>
      <w:tr>
        <w:trPr>
          <w:trHeight w:val="239"/>
        </w:trPr>
        <w:tc>
          <w:tcPr>
            <w:tcW w:w="4700" w:type="dxa"/>
            <w:vAlign w:val="bottom"/>
            <w:shd w:val="clear" w:color="auto" w:fill="D9D9D9"/>
          </w:tcPr>
          <w:p>
            <w:pPr>
              <w:ind w:left="260"/>
              <w:spacing w:after="0"/>
              <w:rPr>
                <w:sz w:val="20"/>
                <w:szCs w:val="20"/>
                <w:color w:val="auto"/>
              </w:rPr>
            </w:pPr>
            <w:r>
              <w:rPr>
                <w:rFonts w:ascii="Arial" w:cs="Arial" w:eastAsia="Arial" w:hAnsi="Arial"/>
                <w:sz w:val="16"/>
                <w:szCs w:val="16"/>
                <w:color w:val="auto"/>
              </w:rPr>
              <w:t>Bradley A. Hamilton</w:t>
            </w:r>
          </w:p>
        </w:tc>
        <w:tc>
          <w:tcPr>
            <w:tcW w:w="1400" w:type="dxa"/>
            <w:vAlign w:val="bottom"/>
            <w:shd w:val="clear" w:color="auto" w:fill="D9D9D9"/>
          </w:tcPr>
          <w:p>
            <w:pPr>
              <w:jc w:val="right"/>
              <w:ind w:right="81"/>
              <w:spacing w:after="0"/>
              <w:rPr>
                <w:sz w:val="20"/>
                <w:szCs w:val="20"/>
                <w:color w:val="auto"/>
              </w:rPr>
            </w:pPr>
            <w:r>
              <w:rPr>
                <w:rFonts w:ascii="Arial" w:cs="Arial" w:eastAsia="Arial" w:hAnsi="Arial"/>
                <w:sz w:val="16"/>
                <w:szCs w:val="16"/>
                <w:color w:val="auto"/>
              </w:rPr>
              <w:t>81,196</w:t>
            </w:r>
          </w:p>
        </w:tc>
        <w:tc>
          <w:tcPr>
            <w:tcW w:w="1440" w:type="dxa"/>
            <w:vAlign w:val="bottom"/>
            <w:shd w:val="clear" w:color="auto" w:fill="D9D9D9"/>
          </w:tcPr>
          <w:p>
            <w:pPr>
              <w:jc w:val="right"/>
              <w:ind w:right="81"/>
              <w:spacing w:after="0"/>
              <w:rPr>
                <w:sz w:val="20"/>
                <w:szCs w:val="20"/>
                <w:color w:val="auto"/>
              </w:rPr>
            </w:pPr>
            <w:r>
              <w:rPr>
                <w:rFonts w:ascii="Arial" w:cs="Arial" w:eastAsia="Arial" w:hAnsi="Arial"/>
                <w:sz w:val="16"/>
                <w:szCs w:val="16"/>
                <w:color w:val="auto"/>
              </w:rPr>
              <w:t>1,021</w:t>
            </w:r>
          </w:p>
        </w:tc>
        <w:tc>
          <w:tcPr>
            <w:tcW w:w="1440" w:type="dxa"/>
            <w:vAlign w:val="bottom"/>
            <w:shd w:val="clear" w:color="auto" w:fill="D9D9D9"/>
          </w:tcPr>
          <w:p>
            <w:pPr>
              <w:jc w:val="center"/>
              <w:spacing w:after="0"/>
              <w:rPr>
                <w:sz w:val="20"/>
                <w:szCs w:val="20"/>
                <w:color w:val="auto"/>
              </w:rPr>
            </w:pPr>
            <w:r>
              <w:rPr>
                <w:rFonts w:ascii="Arial" w:cs="Arial" w:eastAsia="Arial" w:hAnsi="Arial"/>
                <w:sz w:val="16"/>
                <w:szCs w:val="16"/>
                <w:color w:val="auto"/>
              </w:rPr>
              <w:t>‒</w:t>
            </w:r>
          </w:p>
        </w:tc>
        <w:tc>
          <w:tcPr>
            <w:tcW w:w="1400" w:type="dxa"/>
            <w:vAlign w:val="bottom"/>
            <w:shd w:val="clear" w:color="auto" w:fill="D9D9D9"/>
          </w:tcPr>
          <w:p>
            <w:pPr>
              <w:jc w:val="right"/>
              <w:ind w:right="22"/>
              <w:spacing w:after="0"/>
              <w:rPr>
                <w:sz w:val="20"/>
                <w:szCs w:val="20"/>
                <w:color w:val="auto"/>
              </w:rPr>
            </w:pPr>
            <w:r>
              <w:rPr>
                <w:rFonts w:ascii="Arial" w:cs="Arial" w:eastAsia="Arial" w:hAnsi="Arial"/>
                <w:sz w:val="16"/>
                <w:szCs w:val="16"/>
                <w:color w:val="auto"/>
              </w:rPr>
              <w:t>12,691</w:t>
            </w:r>
          </w:p>
        </w:tc>
      </w:tr>
      <w:tr>
        <w:trPr>
          <w:trHeight w:val="215"/>
        </w:trPr>
        <w:tc>
          <w:tcPr>
            <w:tcW w:w="4700" w:type="dxa"/>
            <w:vAlign w:val="bottom"/>
          </w:tcPr>
          <w:p>
            <w:pPr>
              <w:spacing w:after="0"/>
              <w:rPr>
                <w:sz w:val="20"/>
                <w:szCs w:val="20"/>
                <w:color w:val="auto"/>
              </w:rPr>
            </w:pPr>
            <w:r>
              <w:rPr>
                <w:rFonts w:ascii="Arial" w:cs="Arial" w:eastAsia="Arial" w:hAnsi="Arial"/>
                <w:sz w:val="16"/>
                <w:szCs w:val="16"/>
                <w:color w:val="auto"/>
              </w:rPr>
              <w:t>All Current Directors, Director Nominees and Executive Officers</w:t>
            </w:r>
          </w:p>
        </w:tc>
        <w:tc>
          <w:tcPr>
            <w:tcW w:w="1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92"/>
        </w:trPr>
        <w:tc>
          <w:tcPr>
            <w:tcW w:w="4700" w:type="dxa"/>
            <w:vAlign w:val="bottom"/>
          </w:tcPr>
          <w:p>
            <w:pPr>
              <w:spacing w:after="0"/>
              <w:rPr>
                <w:sz w:val="20"/>
                <w:szCs w:val="20"/>
                <w:color w:val="auto"/>
              </w:rPr>
            </w:pPr>
            <w:r>
              <w:rPr>
                <w:rFonts w:ascii="Arial" w:cs="Arial" w:eastAsia="Arial" w:hAnsi="Arial"/>
                <w:sz w:val="16"/>
                <w:szCs w:val="16"/>
                <w:color w:val="auto"/>
              </w:rPr>
              <w:t>as a Group (25)</w:t>
            </w:r>
          </w:p>
        </w:tc>
        <w:tc>
          <w:tcPr>
            <w:tcW w:w="1400" w:type="dxa"/>
            <w:vAlign w:val="bottom"/>
          </w:tcPr>
          <w:p>
            <w:pPr>
              <w:jc w:val="right"/>
              <w:ind w:right="81"/>
              <w:spacing w:after="0"/>
              <w:rPr>
                <w:sz w:val="20"/>
                <w:szCs w:val="20"/>
                <w:color w:val="auto"/>
              </w:rPr>
            </w:pPr>
            <w:r>
              <w:rPr>
                <w:rFonts w:ascii="Arial" w:cs="Arial" w:eastAsia="Arial" w:hAnsi="Arial"/>
                <w:sz w:val="16"/>
                <w:szCs w:val="16"/>
                <w:color w:val="auto"/>
              </w:rPr>
              <w:t>1,458,204</w:t>
            </w:r>
          </w:p>
        </w:tc>
        <w:tc>
          <w:tcPr>
            <w:tcW w:w="1440" w:type="dxa"/>
            <w:vAlign w:val="bottom"/>
          </w:tcPr>
          <w:p>
            <w:pPr>
              <w:jc w:val="right"/>
              <w:ind w:right="81"/>
              <w:spacing w:after="0"/>
              <w:rPr>
                <w:sz w:val="20"/>
                <w:szCs w:val="20"/>
                <w:color w:val="auto"/>
              </w:rPr>
            </w:pPr>
            <w:r>
              <w:rPr>
                <w:rFonts w:ascii="Arial" w:cs="Arial" w:eastAsia="Arial" w:hAnsi="Arial"/>
                <w:sz w:val="16"/>
                <w:szCs w:val="16"/>
                <w:color w:val="auto"/>
              </w:rPr>
              <w:t>78,699</w:t>
            </w:r>
          </w:p>
        </w:tc>
        <w:tc>
          <w:tcPr>
            <w:tcW w:w="1440" w:type="dxa"/>
            <w:vAlign w:val="bottom"/>
          </w:tcPr>
          <w:p>
            <w:pPr>
              <w:jc w:val="right"/>
              <w:ind w:right="82"/>
              <w:spacing w:after="0"/>
              <w:rPr>
                <w:sz w:val="20"/>
                <w:szCs w:val="20"/>
                <w:color w:val="auto"/>
              </w:rPr>
            </w:pPr>
            <w:r>
              <w:rPr>
                <w:rFonts w:ascii="Arial" w:cs="Arial" w:eastAsia="Arial" w:hAnsi="Arial"/>
                <w:sz w:val="16"/>
                <w:szCs w:val="16"/>
                <w:color w:val="auto"/>
              </w:rPr>
              <w:t>61,382</w:t>
            </w:r>
          </w:p>
        </w:tc>
        <w:tc>
          <w:tcPr>
            <w:tcW w:w="1400" w:type="dxa"/>
            <w:vAlign w:val="bottom"/>
          </w:tcPr>
          <w:p>
            <w:pPr>
              <w:jc w:val="right"/>
              <w:ind w:right="22"/>
              <w:spacing w:after="0"/>
              <w:rPr>
                <w:sz w:val="20"/>
                <w:szCs w:val="20"/>
                <w:color w:val="auto"/>
              </w:rPr>
            </w:pPr>
            <w:r>
              <w:rPr>
                <w:rFonts w:ascii="Arial" w:cs="Arial" w:eastAsia="Arial" w:hAnsi="Arial"/>
                <w:sz w:val="16"/>
                <w:szCs w:val="16"/>
                <w:color w:val="auto"/>
              </w:rPr>
              <w:t>300,950</w:t>
            </w:r>
          </w:p>
        </w:tc>
      </w:tr>
    </w:tbl>
    <w:p>
      <w:pPr>
        <w:spacing w:after="0" w:line="71" w:lineRule="exact"/>
        <w:rPr>
          <w:sz w:val="20"/>
          <w:szCs w:val="20"/>
          <w:color w:val="auto"/>
        </w:rPr>
      </w:pPr>
    </w:p>
    <w:p>
      <w:pPr>
        <w:ind w:left="400" w:hanging="394"/>
        <w:spacing w:after="0" w:line="251" w:lineRule="auto"/>
        <w:tabs>
          <w:tab w:leader="none" w:pos="4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Includes shares held in trust for estate planning purposes as follows: 24,897 shares for Ms. Cooper, 60,792 shares for Mr. Ettinger, 48,744 shares for Ms. Harless, 6,624 shares for Mr. Koch, 11,317 shares for Mr. O’Rourke, 40,698 shares for Ms. Peterson and 193,072 shares for all current directors and executive officers as a group. Ms. Cooper’s spouse is sole trustee of the trust and has sole voting and investment power with respect to the shares held in trust; and accordingly, Ms. Cooper disclaims beneficial ownership of such shares.</w:t>
      </w:r>
    </w:p>
    <w:p>
      <w:pPr>
        <w:spacing w:after="0" w:line="33" w:lineRule="exact"/>
        <w:rPr>
          <w:rFonts w:ascii="Arial" w:cs="Arial" w:eastAsia="Arial" w:hAnsi="Arial"/>
          <w:sz w:val="17"/>
          <w:szCs w:val="17"/>
          <w:color w:val="auto"/>
        </w:rPr>
      </w:pPr>
    </w:p>
    <w:p>
      <w:pPr>
        <w:ind w:left="400" w:right="40" w:hanging="394"/>
        <w:spacing w:after="0" w:line="233" w:lineRule="auto"/>
        <w:tabs>
          <w:tab w:leader="none" w:pos="4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Percentages are based on our shares outstanding as of our record date and are calculated pursuant to Rule 13d-3 under the Exchange Act. Percentage calculations assume, for each person and the group, that all shares that may be acquired by such person or by the group pursuant to stock options or other rights currently exercisable or that become exercisable or issuable within 60 days following January 18, 2022, are outstanding for the purpose of computing the percentage of common stock owned by such person or by the group. However, those unissued shares of our common stock described above are not deemed to be outstanding for the purpose of calculating the percentage of common stock owned by any other person.</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rPr>
          <w:sz w:val="20"/>
          <w:szCs w:val="20"/>
          <w:color w:val="auto"/>
        </w:rPr>
      </w:pPr>
      <w:r>
        <w:rPr>
          <w:rFonts w:ascii="Arial" w:cs="Arial" w:eastAsia="Arial" w:hAnsi="Arial"/>
          <w:sz w:val="19"/>
          <w:szCs w:val="19"/>
          <w:b w:val="1"/>
          <w:bCs w:val="1"/>
          <w:color w:val="C00000"/>
        </w:rPr>
        <w:t>Stock Ownership Guidelines</w:t>
      </w:r>
    </w:p>
    <w:p>
      <w:pPr>
        <w:spacing w:after="0" w:line="103" w:lineRule="exact"/>
        <w:rPr>
          <w:sz w:val="20"/>
          <w:szCs w:val="20"/>
          <w:color w:val="auto"/>
        </w:rPr>
      </w:pPr>
    </w:p>
    <w:p>
      <w:pPr>
        <w:ind w:right="260" w:firstLine="401"/>
        <w:spacing w:after="0" w:line="235" w:lineRule="auto"/>
        <w:rPr>
          <w:sz w:val="20"/>
          <w:szCs w:val="20"/>
          <w:color w:val="auto"/>
        </w:rPr>
      </w:pPr>
      <w:r>
        <w:rPr>
          <w:rFonts w:ascii="Arial" w:cs="Arial" w:eastAsia="Arial" w:hAnsi="Arial"/>
          <w:sz w:val="18"/>
          <w:szCs w:val="18"/>
          <w:color w:val="auto"/>
        </w:rPr>
        <w:t>We maintain stock ownership guidelines described in the table below to align the interests of our non-employee directors and executive officers with those of our shareholders. Non-employee directors are expected to meet this guideline within five years of joining the Board. Executive officers are expected to meet the guideline within five years of the date of hire or promotion. As of January 18, 2022, each of our non-employee directors and executive officers who is required to meet a stock ownership guideline met such guideline.</w:t>
      </w:r>
    </w:p>
    <w:p>
      <w:pPr>
        <w:spacing w:after="0" w:line="81"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080" w:type="dxa"/>
            <w:vAlign w:val="bottom"/>
            <w:shd w:val="clear" w:color="auto" w:fill="C00000"/>
          </w:tcPr>
          <w:p>
            <w:pPr>
              <w:spacing w:after="0"/>
              <w:rPr>
                <w:sz w:val="20"/>
                <w:szCs w:val="20"/>
                <w:color w:val="auto"/>
              </w:rPr>
            </w:pPr>
          </w:p>
        </w:tc>
        <w:tc>
          <w:tcPr>
            <w:tcW w:w="3960" w:type="dxa"/>
            <w:vAlign w:val="bottom"/>
            <w:shd w:val="clear" w:color="auto" w:fill="C00000"/>
          </w:tcPr>
          <w:p>
            <w:pPr>
              <w:ind w:left="460"/>
              <w:spacing w:after="0"/>
              <w:rPr>
                <w:sz w:val="20"/>
                <w:szCs w:val="20"/>
                <w:color w:val="auto"/>
              </w:rPr>
            </w:pPr>
            <w:r>
              <w:rPr>
                <w:rFonts w:ascii="Arial" w:cs="Arial" w:eastAsia="Arial" w:hAnsi="Arial"/>
                <w:sz w:val="16"/>
                <w:szCs w:val="16"/>
                <w:b w:val="1"/>
                <w:bCs w:val="1"/>
                <w:color w:val="FFFFFF"/>
              </w:rPr>
              <w:t>Stock Ownership Guidelines by Position</w:t>
            </w:r>
          </w:p>
        </w:tc>
        <w:tc>
          <w:tcPr>
            <w:tcW w:w="3060" w:type="dxa"/>
            <w:vAlign w:val="bottom"/>
            <w:shd w:val="clear" w:color="auto" w:fill="C00000"/>
          </w:tcPr>
          <w:p>
            <w:pPr>
              <w:spacing w:after="0"/>
              <w:rPr>
                <w:sz w:val="20"/>
                <w:szCs w:val="20"/>
                <w:color w:val="auto"/>
              </w:rPr>
            </w:pPr>
          </w:p>
        </w:tc>
      </w:tr>
      <w:tr>
        <w:trPr>
          <w:trHeight w:val="271"/>
        </w:trPr>
        <w:tc>
          <w:tcPr>
            <w:tcW w:w="3080" w:type="dxa"/>
            <w:vAlign w:val="bottom"/>
            <w:shd w:val="clear" w:color="auto" w:fill="C00000"/>
          </w:tcPr>
          <w:p>
            <w:pPr>
              <w:jc w:val="center"/>
              <w:ind w:left="260"/>
              <w:spacing w:after="0"/>
              <w:rPr>
                <w:sz w:val="20"/>
                <w:szCs w:val="20"/>
                <w:color w:val="auto"/>
              </w:rPr>
            </w:pPr>
            <w:r>
              <w:rPr>
                <w:rFonts w:ascii="Arial" w:cs="Arial" w:eastAsia="Arial" w:hAnsi="Arial"/>
                <w:sz w:val="16"/>
                <w:szCs w:val="16"/>
                <w:b w:val="1"/>
                <w:bCs w:val="1"/>
                <w:color w:val="FFFFFF"/>
                <w:w w:val="99"/>
              </w:rPr>
              <w:t>Non-Employee Directors</w:t>
            </w:r>
          </w:p>
        </w:tc>
        <w:tc>
          <w:tcPr>
            <w:tcW w:w="3960" w:type="dxa"/>
            <w:vAlign w:val="bottom"/>
            <w:shd w:val="clear" w:color="auto" w:fill="C00000"/>
          </w:tcPr>
          <w:p>
            <w:pPr>
              <w:jc w:val="center"/>
              <w:ind w:left="40"/>
              <w:spacing w:after="0"/>
              <w:rPr>
                <w:sz w:val="20"/>
                <w:szCs w:val="20"/>
                <w:color w:val="auto"/>
              </w:rPr>
            </w:pPr>
            <w:r>
              <w:rPr>
                <w:rFonts w:ascii="Arial" w:cs="Arial" w:eastAsia="Arial" w:hAnsi="Arial"/>
                <w:sz w:val="16"/>
                <w:szCs w:val="16"/>
                <w:b w:val="1"/>
                <w:bCs w:val="1"/>
                <w:color w:val="FFFFFF"/>
                <w:w w:val="98"/>
              </w:rPr>
              <w:t>Chairman and CEO</w:t>
            </w:r>
          </w:p>
        </w:tc>
        <w:tc>
          <w:tcPr>
            <w:tcW w:w="3060" w:type="dxa"/>
            <w:vAlign w:val="bottom"/>
            <w:shd w:val="clear" w:color="auto" w:fill="C00000"/>
          </w:tcPr>
          <w:p>
            <w:pPr>
              <w:jc w:val="center"/>
              <w:ind w:right="160"/>
              <w:spacing w:after="0"/>
              <w:rPr>
                <w:sz w:val="20"/>
                <w:szCs w:val="20"/>
                <w:color w:val="auto"/>
              </w:rPr>
            </w:pPr>
            <w:r>
              <w:rPr>
                <w:rFonts w:ascii="Arial" w:cs="Arial" w:eastAsia="Arial" w:hAnsi="Arial"/>
                <w:sz w:val="16"/>
                <w:szCs w:val="16"/>
                <w:b w:val="1"/>
                <w:bCs w:val="1"/>
                <w:color w:val="FFFFFF"/>
                <w:w w:val="99"/>
              </w:rPr>
              <w:t>Other Executive Officers</w:t>
            </w:r>
          </w:p>
        </w:tc>
      </w:tr>
      <w:tr>
        <w:trPr>
          <w:trHeight w:val="208"/>
        </w:trPr>
        <w:tc>
          <w:tcPr>
            <w:tcW w:w="3080" w:type="dxa"/>
            <w:vAlign w:val="bottom"/>
          </w:tcPr>
          <w:p>
            <w:pPr>
              <w:jc w:val="center"/>
              <w:ind w:left="260"/>
              <w:spacing w:after="0"/>
              <w:rPr>
                <w:sz w:val="20"/>
                <w:szCs w:val="20"/>
                <w:color w:val="auto"/>
              </w:rPr>
            </w:pPr>
            <w:r>
              <w:rPr>
                <w:rFonts w:ascii="Arial" w:cs="Arial" w:eastAsia="Arial" w:hAnsi="Arial"/>
                <w:sz w:val="16"/>
                <w:szCs w:val="16"/>
                <w:color w:val="auto"/>
              </w:rPr>
              <w:t>5x annual board retainer</w:t>
            </w:r>
          </w:p>
        </w:tc>
        <w:tc>
          <w:tcPr>
            <w:tcW w:w="3960" w:type="dxa"/>
            <w:vAlign w:val="bottom"/>
          </w:tcPr>
          <w:p>
            <w:pPr>
              <w:jc w:val="center"/>
              <w:ind w:left="40"/>
              <w:spacing w:after="0"/>
              <w:rPr>
                <w:sz w:val="20"/>
                <w:szCs w:val="20"/>
                <w:color w:val="auto"/>
              </w:rPr>
            </w:pPr>
            <w:r>
              <w:rPr>
                <w:rFonts w:ascii="Arial" w:cs="Arial" w:eastAsia="Arial" w:hAnsi="Arial"/>
                <w:sz w:val="16"/>
                <w:szCs w:val="16"/>
                <w:color w:val="auto"/>
              </w:rPr>
              <w:t>5x annual base salary</w:t>
            </w:r>
          </w:p>
        </w:tc>
        <w:tc>
          <w:tcPr>
            <w:tcW w:w="3060" w:type="dxa"/>
            <w:vAlign w:val="bottom"/>
          </w:tcPr>
          <w:p>
            <w:pPr>
              <w:jc w:val="center"/>
              <w:ind w:right="160"/>
              <w:spacing w:after="0"/>
              <w:rPr>
                <w:sz w:val="20"/>
                <w:szCs w:val="20"/>
                <w:color w:val="auto"/>
              </w:rPr>
            </w:pPr>
            <w:r>
              <w:rPr>
                <w:rFonts w:ascii="Arial" w:cs="Arial" w:eastAsia="Arial" w:hAnsi="Arial"/>
                <w:sz w:val="16"/>
                <w:szCs w:val="16"/>
                <w:color w:val="auto"/>
                <w:w w:val="99"/>
              </w:rPr>
              <w:t>2x or 3x annual base salary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2583180</wp:posOffset>
            </wp:positionH>
            <wp:positionV relativeFrom="paragraph">
              <wp:posOffset>-325120</wp:posOffset>
            </wp:positionV>
            <wp:extent cx="197612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976120" cy="825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Anti-Hedging and Anti-Pledging Policies</w:t>
      </w:r>
    </w:p>
    <w:p>
      <w:pPr>
        <w:spacing w:after="0" w:line="127" w:lineRule="exact"/>
        <w:rPr>
          <w:sz w:val="20"/>
          <w:szCs w:val="20"/>
          <w:color w:val="auto"/>
        </w:rPr>
      </w:pPr>
    </w:p>
    <w:p>
      <w:pPr>
        <w:ind w:firstLine="401"/>
        <w:spacing w:after="0" w:line="233" w:lineRule="auto"/>
        <w:rPr>
          <w:sz w:val="20"/>
          <w:szCs w:val="20"/>
          <w:color w:val="auto"/>
        </w:rPr>
      </w:pPr>
      <w:r>
        <w:rPr>
          <w:rFonts w:ascii="Arial" w:cs="Arial" w:eastAsia="Arial" w:hAnsi="Arial"/>
          <w:sz w:val="18"/>
          <w:szCs w:val="18"/>
          <w:color w:val="auto"/>
        </w:rPr>
        <w:t>Our Insider Trading Policy addresses hedging, pledging and other transactions which might give the appearance of impropriety. Under the Insider Trading Policy, we consider it inappropriate for any person subject to the policy, including all directors, officers and employees of TTC, to engage in speculative transactions in TTC securities or other transactions which might give the appearance of impropriety. In addition, we discourage any person subject to the Insider Trading Policy from engaging in frequent trading in TTC securities because such trading also may give the appearance that such trades were timed to take advantage of material non-public information. Accordingly, our Insider Trading Policy either prohibits or limits the following types of transactions:</w:t>
      </w:r>
    </w:p>
    <w:p>
      <w:pPr>
        <w:spacing w:after="0" w:line="26" w:lineRule="exact"/>
        <w:rPr>
          <w:sz w:val="20"/>
          <w:szCs w:val="20"/>
          <w:color w:val="auto"/>
        </w:rPr>
      </w:pPr>
    </w:p>
    <w:p>
      <w:pPr>
        <w:ind w:left="800" w:right="340" w:hanging="395"/>
        <w:spacing w:after="0" w:line="244" w:lineRule="auto"/>
        <w:tabs>
          <w:tab w:leader="none" w:pos="800"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Short sales</w:t>
      </w:r>
      <w:r>
        <w:rPr>
          <w:rFonts w:ascii="Arial" w:cs="Arial" w:eastAsia="Arial" w:hAnsi="Arial"/>
          <w:sz w:val="18"/>
          <w:szCs w:val="18"/>
          <w:color w:val="auto"/>
        </w:rPr>
        <w:t>. All directors, officers and employees of TTC are prohibited from engaging in short sales of TTC securities since such</w:t>
      </w:r>
      <w:r>
        <w:rPr>
          <w:rFonts w:ascii="Arial" w:cs="Arial" w:eastAsia="Arial" w:hAnsi="Arial"/>
          <w:sz w:val="18"/>
          <w:szCs w:val="18"/>
          <w:i w:val="1"/>
          <w:iCs w:val="1"/>
          <w:color w:val="auto"/>
        </w:rPr>
        <w:t xml:space="preserve"> </w:t>
      </w:r>
      <w:r>
        <w:rPr>
          <w:rFonts w:ascii="Arial" w:cs="Arial" w:eastAsia="Arial" w:hAnsi="Arial"/>
          <w:sz w:val="18"/>
          <w:szCs w:val="18"/>
          <w:color w:val="auto"/>
        </w:rPr>
        <w:t>sales are intended to reward a person for downward changes in price, and as such, may appear to have resulted from the possession of material non-public information.</w:t>
      </w:r>
    </w:p>
    <w:p>
      <w:pPr>
        <w:spacing w:after="0" w:line="20" w:lineRule="exact"/>
        <w:rPr>
          <w:rFonts w:ascii="Arial" w:cs="Arial" w:eastAsia="Arial" w:hAnsi="Arial"/>
          <w:sz w:val="18"/>
          <w:szCs w:val="18"/>
          <w:color w:val="auto"/>
        </w:rPr>
      </w:pPr>
    </w:p>
    <w:p>
      <w:pPr>
        <w:ind w:left="800" w:right="140" w:hanging="395"/>
        <w:spacing w:after="0"/>
        <w:tabs>
          <w:tab w:leader="none" w:pos="800"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Publicly-traded options</w:t>
      </w:r>
      <w:r>
        <w:rPr>
          <w:rFonts w:ascii="Arial" w:cs="Arial" w:eastAsia="Arial" w:hAnsi="Arial"/>
          <w:sz w:val="18"/>
          <w:szCs w:val="18"/>
          <w:color w:val="auto"/>
        </w:rPr>
        <w:t>. All directors, officers and employees of TTC are prohibited from engaging in transactions in put options, call</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or other derivative securities involving TTC stock, whether on an exchange or otherwise, since given the relatively short terms of publicly-traded options, such transactions may create the appearance that they have resulted from possession of material non-public information.</w:t>
      </w:r>
    </w:p>
    <w:p>
      <w:pPr>
        <w:spacing w:after="0" w:line="23" w:lineRule="exact"/>
        <w:rPr>
          <w:rFonts w:ascii="Arial" w:cs="Arial" w:eastAsia="Arial" w:hAnsi="Arial"/>
          <w:sz w:val="18"/>
          <w:szCs w:val="18"/>
          <w:color w:val="auto"/>
        </w:rPr>
      </w:pPr>
    </w:p>
    <w:p>
      <w:pPr>
        <w:ind w:left="800" w:right="100" w:hanging="395"/>
        <w:spacing w:after="0"/>
        <w:tabs>
          <w:tab w:leader="none" w:pos="800"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Hedging transactions</w:t>
      </w:r>
      <w:r>
        <w:rPr>
          <w:rFonts w:ascii="Arial" w:cs="Arial" w:eastAsia="Arial" w:hAnsi="Arial"/>
          <w:sz w:val="18"/>
          <w:szCs w:val="18"/>
          <w:color w:val="auto"/>
        </w:rPr>
        <w:t>. All directors, officers and employees of TTC are prohibited from engaging in hedging transactions involving</w:t>
      </w:r>
      <w:r>
        <w:rPr>
          <w:rFonts w:ascii="Arial" w:cs="Arial" w:eastAsia="Arial" w:hAnsi="Arial"/>
          <w:sz w:val="18"/>
          <w:szCs w:val="18"/>
          <w:i w:val="1"/>
          <w:iCs w:val="1"/>
          <w:color w:val="auto"/>
        </w:rPr>
        <w:t xml:space="preserve"> </w:t>
      </w:r>
      <w:r>
        <w:rPr>
          <w:rFonts w:ascii="Arial" w:cs="Arial" w:eastAsia="Arial" w:hAnsi="Arial"/>
          <w:sz w:val="18"/>
          <w:szCs w:val="18"/>
          <w:color w:val="auto"/>
        </w:rPr>
        <w:t>TTC securities, such as collars, equity swaps, prepaid variable forwards, and exchange funds, since such transactions are designed to hedge or offset any decrease in the market value of securities and when that occurs, the owner may no longer have the same objectives as other TTC security holders.</w:t>
      </w:r>
    </w:p>
    <w:p>
      <w:pPr>
        <w:spacing w:after="0" w:line="23" w:lineRule="exact"/>
        <w:rPr>
          <w:rFonts w:ascii="Arial" w:cs="Arial" w:eastAsia="Arial" w:hAnsi="Arial"/>
          <w:sz w:val="18"/>
          <w:szCs w:val="18"/>
          <w:color w:val="auto"/>
        </w:rPr>
      </w:pPr>
    </w:p>
    <w:p>
      <w:pPr>
        <w:ind w:left="800" w:right="120" w:hanging="395"/>
        <w:spacing w:after="0" w:line="237" w:lineRule="auto"/>
        <w:tabs>
          <w:tab w:leader="none" w:pos="800"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Standing and limit orders</w:t>
      </w:r>
      <w:r>
        <w:rPr>
          <w:rFonts w:ascii="Arial" w:cs="Arial" w:eastAsia="Arial" w:hAnsi="Arial"/>
          <w:sz w:val="18"/>
          <w:szCs w:val="18"/>
          <w:color w:val="auto"/>
        </w:rPr>
        <w:t>. All directors, officers and employees of TTC are restricted in their use of standing and limit orders for TTC</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which are orders placed with a broker to sell or purchase stock at a specified price. Because there is no control over the timing of purchases or sales that result from standing instructions to a broker, a transaction could be executed when such shareholders are aware of material non-public information. Accordingly, the Insider Trading Policy provides that if a TTC director, officer or employee uses a standing order or limit order for TTC securities, the order should be limited in duration and should otherwise comply with the trading requirements outlined in the Insider Trading Policy.</w:t>
      </w:r>
    </w:p>
    <w:p>
      <w:pPr>
        <w:spacing w:after="0" w:line="23" w:lineRule="exact"/>
        <w:rPr>
          <w:rFonts w:ascii="Arial" w:cs="Arial" w:eastAsia="Arial" w:hAnsi="Arial"/>
          <w:sz w:val="18"/>
          <w:szCs w:val="18"/>
          <w:color w:val="auto"/>
        </w:rPr>
      </w:pPr>
    </w:p>
    <w:p>
      <w:pPr>
        <w:ind w:left="800" w:hanging="395"/>
        <w:spacing w:after="0" w:line="258" w:lineRule="auto"/>
        <w:tabs>
          <w:tab w:leader="none" w:pos="800"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Pledging</w:t>
      </w:r>
      <w:r>
        <w:rPr>
          <w:rFonts w:ascii="Arial" w:cs="Arial" w:eastAsia="Arial" w:hAnsi="Arial"/>
          <w:sz w:val="18"/>
          <w:szCs w:val="18"/>
          <w:color w:val="auto"/>
        </w:rPr>
        <w:t>. All directors and officers of TTC are prohibited from purchasing TTC securities on margin, borrowing against any account in</w:t>
      </w:r>
      <w:r>
        <w:rPr>
          <w:rFonts w:ascii="Arial" w:cs="Arial" w:eastAsia="Arial" w:hAnsi="Arial"/>
          <w:sz w:val="18"/>
          <w:szCs w:val="18"/>
          <w:i w:val="1"/>
          <w:iCs w:val="1"/>
          <w:color w:val="auto"/>
        </w:rPr>
        <w:t xml:space="preserve"> </w:t>
      </w:r>
      <w:r>
        <w:rPr>
          <w:rFonts w:ascii="Arial" w:cs="Arial" w:eastAsia="Arial" w:hAnsi="Arial"/>
          <w:sz w:val="18"/>
          <w:szCs w:val="18"/>
          <w:color w:val="auto"/>
        </w:rPr>
        <w:t>which TTC securities are held, or pledging TTC securities as collateral for a loan.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134225" cy="2025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4225" cy="202565"/>
                    </a:xfrm>
                    <a:prstGeom prst="rect">
                      <a:avLst/>
                    </a:prstGeom>
                    <a:noFill/>
                  </pic:spPr>
                </pic:pic>
              </a:graphicData>
            </a:graphic>
          </wp:anchor>
        </w:drawing>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EQUITY COMPENSATION PLAN INFORMATION</w:t>
      </w:r>
    </w:p>
    <w:p>
      <w:pPr>
        <w:spacing w:after="0" w:line="294" w:lineRule="exact"/>
        <w:rPr>
          <w:sz w:val="20"/>
          <w:szCs w:val="20"/>
          <w:color w:val="auto"/>
        </w:rPr>
      </w:pPr>
    </w:p>
    <w:p>
      <w:pPr>
        <w:ind w:right="20" w:firstLine="401"/>
        <w:spacing w:after="0" w:line="238" w:lineRule="auto"/>
        <w:rPr>
          <w:sz w:val="20"/>
          <w:szCs w:val="20"/>
          <w:color w:val="auto"/>
        </w:rPr>
      </w:pPr>
      <w:r>
        <w:rPr>
          <w:rFonts w:ascii="Arial" w:cs="Arial" w:eastAsia="Arial" w:hAnsi="Arial"/>
          <w:sz w:val="18"/>
          <w:szCs w:val="18"/>
          <w:color w:val="auto"/>
        </w:rPr>
        <w:t>The following table provides information about shares of our common stock that may be issued under our equity compensation plans as of October 31, 2021, the last day of fiscal 2021.</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shd w:val="clear" w:color="auto" w:fill="C00000"/>
          </w:tcPr>
          <w:p>
            <w:pPr>
              <w:spacing w:after="0"/>
              <w:rPr>
                <w:sz w:val="14"/>
                <w:szCs w:val="14"/>
                <w:color w:val="auto"/>
              </w:rPr>
            </w:pPr>
          </w:p>
        </w:tc>
        <w:tc>
          <w:tcPr>
            <w:tcW w:w="2780" w:type="dxa"/>
            <w:vAlign w:val="bottom"/>
            <w:shd w:val="clear" w:color="auto" w:fill="C00000"/>
          </w:tcPr>
          <w:p>
            <w:pPr>
              <w:spacing w:after="0"/>
              <w:rPr>
                <w:sz w:val="14"/>
                <w:szCs w:val="14"/>
                <w:color w:val="auto"/>
              </w:rPr>
            </w:pPr>
          </w:p>
        </w:tc>
        <w:tc>
          <w:tcPr>
            <w:tcW w:w="2020" w:type="dxa"/>
            <w:vAlign w:val="bottom"/>
            <w:shd w:val="clear" w:color="auto" w:fill="C00000"/>
          </w:tcPr>
          <w:p>
            <w:pPr>
              <w:spacing w:after="0"/>
              <w:rPr>
                <w:sz w:val="14"/>
                <w:szCs w:val="14"/>
                <w:color w:val="auto"/>
              </w:rPr>
            </w:pPr>
          </w:p>
        </w:tc>
        <w:tc>
          <w:tcPr>
            <w:tcW w:w="26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Number of Securities</w:t>
            </w:r>
          </w:p>
        </w:tc>
        <w:tc>
          <w:tcPr>
            <w:tcW w:w="0" w:type="dxa"/>
            <w:vAlign w:val="bottom"/>
          </w:tcPr>
          <w:p>
            <w:pPr>
              <w:spacing w:after="0"/>
              <w:rPr>
                <w:sz w:val="1"/>
                <w:szCs w:val="1"/>
                <w:color w:val="auto"/>
              </w:rPr>
            </w:pPr>
          </w:p>
        </w:tc>
      </w:tr>
      <w:tr>
        <w:trPr>
          <w:trHeight w:val="160"/>
        </w:trPr>
        <w:tc>
          <w:tcPr>
            <w:tcW w:w="3780" w:type="dxa"/>
            <w:vAlign w:val="bottom"/>
            <w:shd w:val="clear" w:color="auto" w:fill="C00000"/>
          </w:tcPr>
          <w:p>
            <w:pPr>
              <w:spacing w:after="0"/>
              <w:rPr>
                <w:sz w:val="13"/>
                <w:szCs w:val="13"/>
                <w:color w:val="auto"/>
              </w:rPr>
            </w:pPr>
          </w:p>
        </w:tc>
        <w:tc>
          <w:tcPr>
            <w:tcW w:w="2780" w:type="dxa"/>
            <w:vAlign w:val="bottom"/>
            <w:shd w:val="clear" w:color="auto" w:fill="C00000"/>
          </w:tcPr>
          <w:p>
            <w:pPr>
              <w:jc w:val="center"/>
              <w:ind w:left="586"/>
              <w:spacing w:after="0" w:line="159" w:lineRule="exact"/>
              <w:rPr>
                <w:sz w:val="20"/>
                <w:szCs w:val="20"/>
                <w:color w:val="auto"/>
              </w:rPr>
            </w:pPr>
            <w:r>
              <w:rPr>
                <w:rFonts w:ascii="Arial" w:cs="Arial" w:eastAsia="Arial" w:hAnsi="Arial"/>
                <w:sz w:val="14"/>
                <w:szCs w:val="14"/>
                <w:b w:val="1"/>
                <w:bCs w:val="1"/>
                <w:color w:val="FFFFFF"/>
              </w:rPr>
              <w:t>Number of Securities to</w:t>
            </w:r>
          </w:p>
        </w:tc>
        <w:tc>
          <w:tcPr>
            <w:tcW w:w="2020" w:type="dxa"/>
            <w:vAlign w:val="bottom"/>
            <w:shd w:val="clear" w:color="auto" w:fill="C00000"/>
          </w:tcPr>
          <w:p>
            <w:pPr>
              <w:spacing w:after="0"/>
              <w:rPr>
                <w:sz w:val="13"/>
                <w:szCs w:val="13"/>
                <w:color w:val="auto"/>
              </w:rPr>
            </w:pPr>
          </w:p>
        </w:tc>
        <w:tc>
          <w:tcPr>
            <w:tcW w:w="2660" w:type="dxa"/>
            <w:vAlign w:val="bottom"/>
            <w:shd w:val="clear" w:color="auto" w:fill="C00000"/>
          </w:tcPr>
          <w:p>
            <w:pPr>
              <w:jc w:val="center"/>
              <w:spacing w:after="0" w:line="159" w:lineRule="exact"/>
              <w:rPr>
                <w:sz w:val="20"/>
                <w:szCs w:val="20"/>
                <w:color w:val="auto"/>
              </w:rPr>
            </w:pPr>
            <w:r>
              <w:rPr>
                <w:rFonts w:ascii="Arial" w:cs="Arial" w:eastAsia="Arial" w:hAnsi="Arial"/>
                <w:sz w:val="14"/>
                <w:szCs w:val="14"/>
                <w:b w:val="1"/>
                <w:bCs w:val="1"/>
                <w:color w:val="FFFFFF"/>
              </w:rPr>
              <w:t>Remaining Available for</w:t>
            </w:r>
          </w:p>
        </w:tc>
        <w:tc>
          <w:tcPr>
            <w:tcW w:w="0" w:type="dxa"/>
            <w:vAlign w:val="bottom"/>
          </w:tcPr>
          <w:p>
            <w:pPr>
              <w:spacing w:after="0"/>
              <w:rPr>
                <w:sz w:val="1"/>
                <w:szCs w:val="1"/>
                <w:color w:val="auto"/>
              </w:rPr>
            </w:pPr>
          </w:p>
        </w:tc>
      </w:tr>
      <w:tr>
        <w:trPr>
          <w:trHeight w:val="160"/>
        </w:trPr>
        <w:tc>
          <w:tcPr>
            <w:tcW w:w="3780" w:type="dxa"/>
            <w:vAlign w:val="bottom"/>
            <w:shd w:val="clear" w:color="auto" w:fill="C00000"/>
          </w:tcPr>
          <w:p>
            <w:pPr>
              <w:spacing w:after="0"/>
              <w:rPr>
                <w:sz w:val="13"/>
                <w:szCs w:val="13"/>
                <w:color w:val="auto"/>
              </w:rPr>
            </w:pPr>
          </w:p>
        </w:tc>
        <w:tc>
          <w:tcPr>
            <w:tcW w:w="2780" w:type="dxa"/>
            <w:vAlign w:val="bottom"/>
            <w:shd w:val="clear" w:color="auto" w:fill="C00000"/>
          </w:tcPr>
          <w:p>
            <w:pPr>
              <w:jc w:val="center"/>
              <w:ind w:left="606"/>
              <w:spacing w:after="0" w:line="159" w:lineRule="exact"/>
              <w:rPr>
                <w:sz w:val="20"/>
                <w:szCs w:val="20"/>
                <w:color w:val="auto"/>
              </w:rPr>
            </w:pPr>
            <w:r>
              <w:rPr>
                <w:rFonts w:ascii="Arial" w:cs="Arial" w:eastAsia="Arial" w:hAnsi="Arial"/>
                <w:sz w:val="14"/>
                <w:szCs w:val="14"/>
                <w:b w:val="1"/>
                <w:bCs w:val="1"/>
                <w:color w:val="FFFFFF"/>
              </w:rPr>
              <w:t>be Issued Upon</w:t>
            </w:r>
          </w:p>
        </w:tc>
        <w:tc>
          <w:tcPr>
            <w:tcW w:w="2020" w:type="dxa"/>
            <w:vAlign w:val="bottom"/>
            <w:shd w:val="clear" w:color="auto" w:fill="C00000"/>
          </w:tcPr>
          <w:p>
            <w:pPr>
              <w:jc w:val="center"/>
              <w:ind w:right="6"/>
              <w:spacing w:after="0" w:line="159" w:lineRule="exact"/>
              <w:rPr>
                <w:sz w:val="20"/>
                <w:szCs w:val="20"/>
                <w:color w:val="auto"/>
              </w:rPr>
            </w:pPr>
            <w:r>
              <w:rPr>
                <w:rFonts w:ascii="Arial" w:cs="Arial" w:eastAsia="Arial" w:hAnsi="Arial"/>
                <w:sz w:val="14"/>
                <w:szCs w:val="14"/>
                <w:b w:val="1"/>
                <w:bCs w:val="1"/>
                <w:color w:val="FFFFFF"/>
                <w:w w:val="99"/>
              </w:rPr>
              <w:t>Weighted Average</w:t>
            </w:r>
          </w:p>
        </w:tc>
        <w:tc>
          <w:tcPr>
            <w:tcW w:w="2660" w:type="dxa"/>
            <w:vAlign w:val="bottom"/>
            <w:shd w:val="clear" w:color="auto" w:fill="C00000"/>
          </w:tcPr>
          <w:p>
            <w:pPr>
              <w:jc w:val="center"/>
              <w:spacing w:after="0" w:line="159" w:lineRule="exact"/>
              <w:rPr>
                <w:sz w:val="20"/>
                <w:szCs w:val="20"/>
                <w:color w:val="auto"/>
              </w:rPr>
            </w:pPr>
            <w:r>
              <w:rPr>
                <w:rFonts w:ascii="Arial" w:cs="Arial" w:eastAsia="Arial" w:hAnsi="Arial"/>
                <w:sz w:val="14"/>
                <w:szCs w:val="14"/>
                <w:b w:val="1"/>
                <w:bCs w:val="1"/>
                <w:color w:val="FFFFFF"/>
              </w:rPr>
              <w:t>Future Issuance Under</w:t>
            </w:r>
          </w:p>
        </w:tc>
        <w:tc>
          <w:tcPr>
            <w:tcW w:w="0" w:type="dxa"/>
            <w:vAlign w:val="bottom"/>
          </w:tcPr>
          <w:p>
            <w:pPr>
              <w:spacing w:after="0"/>
              <w:rPr>
                <w:sz w:val="1"/>
                <w:szCs w:val="1"/>
                <w:color w:val="auto"/>
              </w:rPr>
            </w:pPr>
          </w:p>
        </w:tc>
      </w:tr>
      <w:tr>
        <w:trPr>
          <w:trHeight w:val="160"/>
        </w:trPr>
        <w:tc>
          <w:tcPr>
            <w:tcW w:w="3780" w:type="dxa"/>
            <w:vAlign w:val="bottom"/>
            <w:shd w:val="clear" w:color="auto" w:fill="C00000"/>
          </w:tcPr>
          <w:p>
            <w:pPr>
              <w:spacing w:after="0"/>
              <w:rPr>
                <w:sz w:val="13"/>
                <w:szCs w:val="13"/>
                <w:color w:val="auto"/>
              </w:rPr>
            </w:pPr>
          </w:p>
        </w:tc>
        <w:tc>
          <w:tcPr>
            <w:tcW w:w="2780" w:type="dxa"/>
            <w:vAlign w:val="bottom"/>
            <w:shd w:val="clear" w:color="auto" w:fill="C00000"/>
          </w:tcPr>
          <w:p>
            <w:pPr>
              <w:jc w:val="center"/>
              <w:ind w:left="586"/>
              <w:spacing w:after="0" w:line="159" w:lineRule="exact"/>
              <w:rPr>
                <w:sz w:val="20"/>
                <w:szCs w:val="20"/>
                <w:color w:val="auto"/>
              </w:rPr>
            </w:pPr>
            <w:r>
              <w:rPr>
                <w:rFonts w:ascii="Arial" w:cs="Arial" w:eastAsia="Arial" w:hAnsi="Arial"/>
                <w:sz w:val="14"/>
                <w:szCs w:val="14"/>
                <w:b w:val="1"/>
                <w:bCs w:val="1"/>
                <w:color w:val="FFFFFF"/>
              </w:rPr>
              <w:t>Exercise of</w:t>
            </w:r>
          </w:p>
        </w:tc>
        <w:tc>
          <w:tcPr>
            <w:tcW w:w="2020" w:type="dxa"/>
            <w:vAlign w:val="bottom"/>
            <w:shd w:val="clear" w:color="auto" w:fill="C00000"/>
          </w:tcPr>
          <w:p>
            <w:pPr>
              <w:jc w:val="center"/>
              <w:ind w:right="6"/>
              <w:spacing w:after="0" w:line="159" w:lineRule="exact"/>
              <w:rPr>
                <w:sz w:val="20"/>
                <w:szCs w:val="20"/>
                <w:color w:val="auto"/>
              </w:rPr>
            </w:pPr>
            <w:r>
              <w:rPr>
                <w:rFonts w:ascii="Arial" w:cs="Arial" w:eastAsia="Arial" w:hAnsi="Arial"/>
                <w:sz w:val="14"/>
                <w:szCs w:val="14"/>
                <w:b w:val="1"/>
                <w:bCs w:val="1"/>
                <w:color w:val="FFFFFF"/>
              </w:rPr>
              <w:t>Exercise Price of</w:t>
            </w:r>
          </w:p>
        </w:tc>
        <w:tc>
          <w:tcPr>
            <w:tcW w:w="2660" w:type="dxa"/>
            <w:vAlign w:val="bottom"/>
            <w:shd w:val="clear" w:color="auto" w:fill="C00000"/>
          </w:tcPr>
          <w:p>
            <w:pPr>
              <w:jc w:val="center"/>
              <w:spacing w:after="0" w:line="159" w:lineRule="exact"/>
              <w:rPr>
                <w:sz w:val="20"/>
                <w:szCs w:val="20"/>
                <w:color w:val="auto"/>
              </w:rPr>
            </w:pPr>
            <w:r>
              <w:rPr>
                <w:rFonts w:ascii="Arial" w:cs="Arial" w:eastAsia="Arial" w:hAnsi="Arial"/>
                <w:sz w:val="14"/>
                <w:szCs w:val="14"/>
                <w:b w:val="1"/>
                <w:bCs w:val="1"/>
                <w:color w:val="FFFFFF"/>
              </w:rPr>
              <w:t>Equity Compensation Plans</w:t>
            </w:r>
          </w:p>
        </w:tc>
        <w:tc>
          <w:tcPr>
            <w:tcW w:w="0" w:type="dxa"/>
            <w:vAlign w:val="bottom"/>
          </w:tcPr>
          <w:p>
            <w:pPr>
              <w:spacing w:after="0"/>
              <w:rPr>
                <w:sz w:val="1"/>
                <w:szCs w:val="1"/>
                <w:color w:val="auto"/>
              </w:rPr>
            </w:pPr>
          </w:p>
        </w:tc>
      </w:tr>
      <w:tr>
        <w:trPr>
          <w:trHeight w:val="160"/>
        </w:trPr>
        <w:tc>
          <w:tcPr>
            <w:tcW w:w="3780" w:type="dxa"/>
            <w:vAlign w:val="bottom"/>
            <w:shd w:val="clear" w:color="auto" w:fill="C00000"/>
          </w:tcPr>
          <w:p>
            <w:pPr>
              <w:spacing w:after="0"/>
              <w:rPr>
                <w:sz w:val="13"/>
                <w:szCs w:val="13"/>
                <w:color w:val="auto"/>
              </w:rPr>
            </w:pPr>
          </w:p>
        </w:tc>
        <w:tc>
          <w:tcPr>
            <w:tcW w:w="2780" w:type="dxa"/>
            <w:vAlign w:val="bottom"/>
            <w:shd w:val="clear" w:color="auto" w:fill="C00000"/>
          </w:tcPr>
          <w:p>
            <w:pPr>
              <w:jc w:val="center"/>
              <w:ind w:left="586"/>
              <w:spacing w:after="0" w:line="159" w:lineRule="exact"/>
              <w:rPr>
                <w:sz w:val="20"/>
                <w:szCs w:val="20"/>
                <w:color w:val="auto"/>
              </w:rPr>
            </w:pPr>
            <w:r>
              <w:rPr>
                <w:rFonts w:ascii="Arial" w:cs="Arial" w:eastAsia="Arial" w:hAnsi="Arial"/>
                <w:sz w:val="14"/>
                <w:szCs w:val="14"/>
                <w:b w:val="1"/>
                <w:bCs w:val="1"/>
                <w:color w:val="FFFFFF"/>
              </w:rPr>
              <w:t>Outstanding Options,</w:t>
            </w:r>
          </w:p>
        </w:tc>
        <w:tc>
          <w:tcPr>
            <w:tcW w:w="2020" w:type="dxa"/>
            <w:vAlign w:val="bottom"/>
            <w:shd w:val="clear" w:color="auto" w:fill="C00000"/>
          </w:tcPr>
          <w:p>
            <w:pPr>
              <w:jc w:val="center"/>
              <w:ind w:right="26"/>
              <w:spacing w:after="0" w:line="159" w:lineRule="exact"/>
              <w:rPr>
                <w:sz w:val="20"/>
                <w:szCs w:val="20"/>
                <w:color w:val="auto"/>
              </w:rPr>
            </w:pPr>
            <w:r>
              <w:rPr>
                <w:rFonts w:ascii="Arial" w:cs="Arial" w:eastAsia="Arial" w:hAnsi="Arial"/>
                <w:sz w:val="14"/>
                <w:szCs w:val="14"/>
                <w:b w:val="1"/>
                <w:bCs w:val="1"/>
                <w:color w:val="FFFFFF"/>
              </w:rPr>
              <w:t>Outstanding Options,</w:t>
            </w:r>
          </w:p>
        </w:tc>
        <w:tc>
          <w:tcPr>
            <w:tcW w:w="2660" w:type="dxa"/>
            <w:vAlign w:val="bottom"/>
            <w:shd w:val="clear" w:color="auto" w:fill="C00000"/>
          </w:tcPr>
          <w:p>
            <w:pPr>
              <w:jc w:val="center"/>
              <w:spacing w:after="0" w:line="159" w:lineRule="exact"/>
              <w:rPr>
                <w:sz w:val="20"/>
                <w:szCs w:val="20"/>
                <w:color w:val="auto"/>
              </w:rPr>
            </w:pPr>
            <w:r>
              <w:rPr>
                <w:rFonts w:ascii="Arial" w:cs="Arial" w:eastAsia="Arial" w:hAnsi="Arial"/>
                <w:sz w:val="14"/>
                <w:szCs w:val="14"/>
                <w:b w:val="1"/>
                <w:bCs w:val="1"/>
                <w:color w:val="FFFFFF"/>
              </w:rPr>
              <w:t>(excluding securities reflected</w:t>
            </w:r>
          </w:p>
        </w:tc>
        <w:tc>
          <w:tcPr>
            <w:tcW w:w="0" w:type="dxa"/>
            <w:vAlign w:val="bottom"/>
          </w:tcPr>
          <w:p>
            <w:pPr>
              <w:spacing w:after="0"/>
              <w:rPr>
                <w:sz w:val="1"/>
                <w:szCs w:val="1"/>
                <w:color w:val="auto"/>
              </w:rPr>
            </w:pPr>
          </w:p>
        </w:tc>
      </w:tr>
      <w:tr>
        <w:trPr>
          <w:trHeight w:val="160"/>
        </w:trPr>
        <w:tc>
          <w:tcPr>
            <w:tcW w:w="3780" w:type="dxa"/>
            <w:vAlign w:val="bottom"/>
            <w:shd w:val="clear" w:color="auto" w:fill="C00000"/>
          </w:tcPr>
          <w:p>
            <w:pPr>
              <w:spacing w:after="0"/>
              <w:rPr>
                <w:sz w:val="13"/>
                <w:szCs w:val="13"/>
                <w:color w:val="auto"/>
              </w:rPr>
            </w:pPr>
          </w:p>
        </w:tc>
        <w:tc>
          <w:tcPr>
            <w:tcW w:w="2780" w:type="dxa"/>
            <w:vAlign w:val="bottom"/>
            <w:shd w:val="clear" w:color="auto" w:fill="C00000"/>
          </w:tcPr>
          <w:p>
            <w:pPr>
              <w:jc w:val="center"/>
              <w:ind w:left="606"/>
              <w:spacing w:after="0" w:line="159" w:lineRule="exact"/>
              <w:rPr>
                <w:sz w:val="20"/>
                <w:szCs w:val="20"/>
                <w:color w:val="auto"/>
              </w:rPr>
            </w:pPr>
            <w:r>
              <w:rPr>
                <w:rFonts w:ascii="Arial" w:cs="Arial" w:eastAsia="Arial" w:hAnsi="Arial"/>
                <w:sz w:val="14"/>
                <w:szCs w:val="14"/>
                <w:b w:val="1"/>
                <w:bCs w:val="1"/>
                <w:color w:val="FFFFFF"/>
              </w:rPr>
              <w:t>Warrants and Rights</w:t>
            </w:r>
          </w:p>
        </w:tc>
        <w:tc>
          <w:tcPr>
            <w:tcW w:w="2020" w:type="dxa"/>
            <w:vAlign w:val="bottom"/>
            <w:shd w:val="clear" w:color="auto" w:fill="C00000"/>
          </w:tcPr>
          <w:p>
            <w:pPr>
              <w:jc w:val="center"/>
              <w:ind w:right="6"/>
              <w:spacing w:after="0" w:line="159" w:lineRule="exact"/>
              <w:rPr>
                <w:sz w:val="20"/>
                <w:szCs w:val="20"/>
                <w:color w:val="auto"/>
              </w:rPr>
            </w:pPr>
            <w:r>
              <w:rPr>
                <w:rFonts w:ascii="Arial" w:cs="Arial" w:eastAsia="Arial" w:hAnsi="Arial"/>
                <w:sz w:val="14"/>
                <w:szCs w:val="14"/>
                <w:b w:val="1"/>
                <w:bCs w:val="1"/>
                <w:color w:val="FFFFFF"/>
              </w:rPr>
              <w:t>Warrants and Rights</w:t>
            </w:r>
          </w:p>
        </w:tc>
        <w:tc>
          <w:tcPr>
            <w:tcW w:w="2660" w:type="dxa"/>
            <w:vAlign w:val="bottom"/>
            <w:shd w:val="clear" w:color="auto" w:fill="C00000"/>
          </w:tcPr>
          <w:p>
            <w:pPr>
              <w:jc w:val="center"/>
              <w:spacing w:after="0" w:line="159" w:lineRule="exact"/>
              <w:rPr>
                <w:sz w:val="20"/>
                <w:szCs w:val="20"/>
                <w:color w:val="auto"/>
              </w:rPr>
            </w:pPr>
            <w:r>
              <w:rPr>
                <w:rFonts w:ascii="Arial" w:cs="Arial" w:eastAsia="Arial" w:hAnsi="Arial"/>
                <w:sz w:val="14"/>
                <w:szCs w:val="14"/>
                <w:b w:val="1"/>
                <w:bCs w:val="1"/>
                <w:color w:val="FFFFFF"/>
              </w:rPr>
              <w:t>in column (a))</w:t>
            </w:r>
          </w:p>
        </w:tc>
        <w:tc>
          <w:tcPr>
            <w:tcW w:w="0" w:type="dxa"/>
            <w:vAlign w:val="bottom"/>
          </w:tcPr>
          <w:p>
            <w:pPr>
              <w:spacing w:after="0"/>
              <w:rPr>
                <w:sz w:val="1"/>
                <w:szCs w:val="1"/>
                <w:color w:val="auto"/>
              </w:rPr>
            </w:pPr>
          </w:p>
        </w:tc>
      </w:tr>
      <w:tr>
        <w:trPr>
          <w:trHeight w:val="173"/>
        </w:trPr>
        <w:tc>
          <w:tcPr>
            <w:tcW w:w="378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Plan Category</w:t>
            </w:r>
          </w:p>
        </w:tc>
        <w:tc>
          <w:tcPr>
            <w:tcW w:w="2780" w:type="dxa"/>
            <w:vAlign w:val="bottom"/>
            <w:shd w:val="clear" w:color="auto" w:fill="C00000"/>
          </w:tcPr>
          <w:p>
            <w:pPr>
              <w:jc w:val="center"/>
              <w:ind w:left="606"/>
              <w:spacing w:after="0"/>
              <w:rPr>
                <w:sz w:val="20"/>
                <w:szCs w:val="20"/>
                <w:color w:val="auto"/>
              </w:rPr>
            </w:pPr>
            <w:r>
              <w:rPr>
                <w:rFonts w:ascii="Arial" w:cs="Arial" w:eastAsia="Arial" w:hAnsi="Arial"/>
                <w:sz w:val="14"/>
                <w:szCs w:val="14"/>
                <w:b w:val="1"/>
                <w:bCs w:val="1"/>
                <w:color w:val="FFFFFF"/>
              </w:rPr>
              <w:t>(a)</w:t>
            </w:r>
          </w:p>
        </w:tc>
        <w:tc>
          <w:tcPr>
            <w:tcW w:w="2020" w:type="dxa"/>
            <w:vAlign w:val="bottom"/>
            <w:shd w:val="clear" w:color="auto" w:fill="C00000"/>
          </w:tcPr>
          <w:p>
            <w:pPr>
              <w:jc w:val="center"/>
              <w:ind w:right="6"/>
              <w:spacing w:after="0"/>
              <w:rPr>
                <w:sz w:val="20"/>
                <w:szCs w:val="20"/>
                <w:color w:val="auto"/>
              </w:rPr>
            </w:pPr>
            <w:r>
              <w:rPr>
                <w:rFonts w:ascii="Arial" w:cs="Arial" w:eastAsia="Arial" w:hAnsi="Arial"/>
                <w:sz w:val="14"/>
                <w:szCs w:val="14"/>
                <w:b w:val="1"/>
                <w:bCs w:val="1"/>
                <w:color w:val="FFFFFF"/>
              </w:rPr>
              <w:t>(b)</w:t>
            </w:r>
          </w:p>
        </w:tc>
        <w:tc>
          <w:tcPr>
            <w:tcW w:w="26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(c)</w:t>
            </w:r>
          </w:p>
        </w:tc>
        <w:tc>
          <w:tcPr>
            <w:tcW w:w="0" w:type="dxa"/>
            <w:vAlign w:val="bottom"/>
          </w:tcPr>
          <w:p>
            <w:pPr>
              <w:spacing w:after="0"/>
              <w:rPr>
                <w:sz w:val="1"/>
                <w:szCs w:val="1"/>
                <w:color w:val="auto"/>
              </w:rPr>
            </w:pPr>
          </w:p>
        </w:tc>
      </w:tr>
      <w:tr>
        <w:trPr>
          <w:trHeight w:val="201"/>
        </w:trPr>
        <w:tc>
          <w:tcPr>
            <w:tcW w:w="3780" w:type="dxa"/>
            <w:vAlign w:val="bottom"/>
          </w:tcPr>
          <w:p>
            <w:pPr>
              <w:spacing w:after="0"/>
              <w:rPr>
                <w:sz w:val="20"/>
                <w:szCs w:val="20"/>
                <w:color w:val="auto"/>
              </w:rPr>
            </w:pPr>
            <w:r>
              <w:rPr>
                <w:rFonts w:ascii="Arial" w:cs="Arial" w:eastAsia="Arial" w:hAnsi="Arial"/>
                <w:sz w:val="16"/>
                <w:szCs w:val="16"/>
                <w:color w:val="auto"/>
              </w:rPr>
              <w:t>Equity compensation plans approved by</w:t>
            </w:r>
          </w:p>
        </w:tc>
        <w:tc>
          <w:tcPr>
            <w:tcW w:w="2780" w:type="dxa"/>
            <w:vAlign w:val="bottom"/>
            <w:vMerge w:val="restart"/>
          </w:tcPr>
          <w:p>
            <w:pPr>
              <w:jc w:val="center"/>
              <w:ind w:left="586"/>
              <w:spacing w:after="0"/>
              <w:rPr>
                <w:sz w:val="20"/>
                <w:szCs w:val="20"/>
                <w:color w:val="auto"/>
              </w:rPr>
            </w:pPr>
            <w:r>
              <w:rPr>
                <w:rFonts w:ascii="Arial" w:cs="Arial" w:eastAsia="Arial" w:hAnsi="Arial"/>
                <w:sz w:val="16"/>
                <w:szCs w:val="16"/>
                <w:color w:val="auto"/>
                <w:w w:val="94"/>
              </w:rPr>
              <w:t>3,099,850</w:t>
            </w:r>
            <w:r>
              <w:rPr>
                <w:rFonts w:ascii="Arial" w:cs="Arial" w:eastAsia="Arial" w:hAnsi="Arial"/>
                <w:sz w:val="27"/>
                <w:szCs w:val="27"/>
                <w:color w:val="auto"/>
                <w:w w:val="94"/>
                <w:vertAlign w:val="superscript"/>
              </w:rPr>
              <w:t>(1)</w:t>
            </w:r>
          </w:p>
        </w:tc>
        <w:tc>
          <w:tcPr>
            <w:tcW w:w="2020" w:type="dxa"/>
            <w:vAlign w:val="bottom"/>
            <w:vMerge w:val="restart"/>
          </w:tcPr>
          <w:p>
            <w:pPr>
              <w:jc w:val="center"/>
              <w:ind w:right="6"/>
              <w:spacing w:after="0"/>
              <w:rPr>
                <w:sz w:val="20"/>
                <w:szCs w:val="20"/>
                <w:color w:val="auto"/>
              </w:rPr>
            </w:pPr>
            <w:r>
              <w:rPr>
                <w:rFonts w:ascii="Arial" w:cs="Arial" w:eastAsia="Arial" w:hAnsi="Arial"/>
                <w:sz w:val="16"/>
                <w:szCs w:val="16"/>
                <w:color w:val="auto"/>
                <w:w w:val="92"/>
              </w:rPr>
              <w:t>$64.60</w:t>
            </w:r>
            <w:r>
              <w:rPr>
                <w:rFonts w:ascii="Arial" w:cs="Arial" w:eastAsia="Arial" w:hAnsi="Arial"/>
                <w:sz w:val="27"/>
                <w:szCs w:val="27"/>
                <w:color w:val="auto"/>
                <w:w w:val="92"/>
                <w:vertAlign w:val="superscript"/>
              </w:rPr>
              <w:t>(2)</w:t>
            </w:r>
          </w:p>
        </w:tc>
        <w:tc>
          <w:tcPr>
            <w:tcW w:w="2660" w:type="dxa"/>
            <w:vAlign w:val="bottom"/>
            <w:vMerge w:val="restart"/>
          </w:tcPr>
          <w:p>
            <w:pPr>
              <w:jc w:val="center"/>
              <w:spacing w:after="0"/>
              <w:rPr>
                <w:sz w:val="20"/>
                <w:szCs w:val="20"/>
                <w:color w:val="auto"/>
              </w:rPr>
            </w:pPr>
            <w:r>
              <w:rPr>
                <w:rFonts w:ascii="Arial" w:cs="Arial" w:eastAsia="Arial" w:hAnsi="Arial"/>
                <w:sz w:val="16"/>
                <w:szCs w:val="16"/>
                <w:color w:val="auto"/>
                <w:w w:val="94"/>
              </w:rPr>
              <w:t>3,062,081</w:t>
            </w:r>
            <w:r>
              <w:rPr>
                <w:rFonts w:ascii="Arial" w:cs="Arial" w:eastAsia="Arial" w:hAnsi="Arial"/>
                <w:sz w:val="27"/>
                <w:szCs w:val="27"/>
                <w:color w:val="auto"/>
                <w:w w:val="94"/>
                <w:vertAlign w:val="superscript"/>
              </w:rPr>
              <w:t>(3)</w:t>
            </w:r>
          </w:p>
        </w:tc>
        <w:tc>
          <w:tcPr>
            <w:tcW w:w="0" w:type="dxa"/>
            <w:vAlign w:val="bottom"/>
          </w:tcPr>
          <w:p>
            <w:pPr>
              <w:spacing w:after="0"/>
              <w:rPr>
                <w:sz w:val="1"/>
                <w:szCs w:val="1"/>
                <w:color w:val="auto"/>
              </w:rPr>
            </w:pPr>
          </w:p>
        </w:tc>
      </w:tr>
      <w:tr>
        <w:trPr>
          <w:trHeight w:val="184"/>
        </w:trPr>
        <w:tc>
          <w:tcPr>
            <w:tcW w:w="3780" w:type="dxa"/>
            <w:vAlign w:val="bottom"/>
          </w:tcPr>
          <w:p>
            <w:pPr>
              <w:ind w:left="140"/>
              <w:spacing w:after="0"/>
              <w:rPr>
                <w:sz w:val="20"/>
                <w:szCs w:val="20"/>
                <w:color w:val="auto"/>
              </w:rPr>
            </w:pPr>
            <w:r>
              <w:rPr>
                <w:rFonts w:ascii="Arial" w:cs="Arial" w:eastAsia="Arial" w:hAnsi="Arial"/>
                <w:sz w:val="16"/>
                <w:szCs w:val="16"/>
                <w:color w:val="auto"/>
              </w:rPr>
              <w:t>security holders</w:t>
            </w:r>
          </w:p>
        </w:tc>
        <w:tc>
          <w:tcPr>
            <w:tcW w:w="2780" w:type="dxa"/>
            <w:vAlign w:val="bottom"/>
            <w:vMerge w:val="continue"/>
          </w:tcPr>
          <w:p>
            <w:pPr>
              <w:spacing w:after="0"/>
              <w:rPr>
                <w:sz w:val="16"/>
                <w:szCs w:val="16"/>
                <w:color w:val="auto"/>
              </w:rPr>
            </w:pPr>
          </w:p>
        </w:tc>
        <w:tc>
          <w:tcPr>
            <w:tcW w:w="2020" w:type="dxa"/>
            <w:vAlign w:val="bottom"/>
            <w:vMerge w:val="continue"/>
          </w:tcPr>
          <w:p>
            <w:pPr>
              <w:spacing w:after="0"/>
              <w:rPr>
                <w:sz w:val="16"/>
                <w:szCs w:val="16"/>
                <w:color w:val="auto"/>
              </w:rPr>
            </w:pPr>
          </w:p>
        </w:tc>
        <w:tc>
          <w:tcPr>
            <w:tcW w:w="2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780" w:type="dxa"/>
            <w:vAlign w:val="bottom"/>
            <w:shd w:val="clear" w:color="auto" w:fill="D9D9D9"/>
          </w:tcPr>
          <w:p>
            <w:pPr>
              <w:spacing w:after="0"/>
              <w:rPr>
                <w:sz w:val="20"/>
                <w:szCs w:val="20"/>
                <w:color w:val="auto"/>
              </w:rPr>
            </w:pPr>
            <w:r>
              <w:rPr>
                <w:rFonts w:ascii="Arial" w:cs="Arial" w:eastAsia="Arial" w:hAnsi="Arial"/>
                <w:sz w:val="16"/>
                <w:szCs w:val="16"/>
                <w:color w:val="auto"/>
              </w:rPr>
              <w:t>Equity compensation plans not</w:t>
            </w:r>
          </w:p>
        </w:tc>
        <w:tc>
          <w:tcPr>
            <w:tcW w:w="2780" w:type="dxa"/>
            <w:vAlign w:val="bottom"/>
            <w:shd w:val="clear" w:color="auto" w:fill="D9D9D9"/>
          </w:tcPr>
          <w:p>
            <w:pPr>
              <w:spacing w:after="0"/>
              <w:rPr>
                <w:sz w:val="17"/>
                <w:szCs w:val="17"/>
                <w:color w:val="auto"/>
              </w:rPr>
            </w:pPr>
          </w:p>
        </w:tc>
        <w:tc>
          <w:tcPr>
            <w:tcW w:w="2020" w:type="dxa"/>
            <w:vAlign w:val="bottom"/>
            <w:shd w:val="clear" w:color="auto" w:fill="D9D9D9"/>
          </w:tcPr>
          <w:p>
            <w:pPr>
              <w:spacing w:after="0"/>
              <w:rPr>
                <w:sz w:val="17"/>
                <w:szCs w:val="17"/>
                <w:color w:val="auto"/>
              </w:rPr>
            </w:pPr>
          </w:p>
        </w:tc>
        <w:tc>
          <w:tcPr>
            <w:tcW w:w="266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780" w:type="dxa"/>
            <w:vAlign w:val="bottom"/>
            <w:shd w:val="clear" w:color="auto" w:fill="D9D9D9"/>
          </w:tcPr>
          <w:p>
            <w:pPr>
              <w:ind w:left="140"/>
              <w:spacing w:after="0"/>
              <w:rPr>
                <w:sz w:val="20"/>
                <w:szCs w:val="20"/>
                <w:color w:val="auto"/>
              </w:rPr>
            </w:pPr>
            <w:r>
              <w:rPr>
                <w:rFonts w:ascii="Arial" w:cs="Arial" w:eastAsia="Arial" w:hAnsi="Arial"/>
                <w:sz w:val="16"/>
                <w:szCs w:val="16"/>
                <w:color w:val="auto"/>
              </w:rPr>
              <w:t>approved by security holders</w:t>
            </w:r>
          </w:p>
        </w:tc>
        <w:tc>
          <w:tcPr>
            <w:tcW w:w="2780" w:type="dxa"/>
            <w:vAlign w:val="bottom"/>
            <w:shd w:val="clear" w:color="auto" w:fill="D9D9D9"/>
          </w:tcPr>
          <w:p>
            <w:pPr>
              <w:jc w:val="center"/>
              <w:ind w:left="606"/>
              <w:spacing w:after="0"/>
              <w:rPr>
                <w:sz w:val="20"/>
                <w:szCs w:val="20"/>
                <w:color w:val="auto"/>
              </w:rPr>
            </w:pPr>
            <w:r>
              <w:rPr>
                <w:rFonts w:ascii="Arial" w:cs="Arial" w:eastAsia="Arial" w:hAnsi="Arial"/>
                <w:sz w:val="16"/>
                <w:szCs w:val="16"/>
                <w:color w:val="auto"/>
                <w:w w:val="97"/>
              </w:rPr>
              <w:t>N/A</w:t>
            </w:r>
          </w:p>
        </w:tc>
        <w:tc>
          <w:tcPr>
            <w:tcW w:w="2020" w:type="dxa"/>
            <w:vAlign w:val="bottom"/>
            <w:shd w:val="clear" w:color="auto" w:fill="D9D9D9"/>
          </w:tcPr>
          <w:p>
            <w:pPr>
              <w:jc w:val="center"/>
              <w:ind w:right="6"/>
              <w:spacing w:after="0"/>
              <w:rPr>
                <w:sz w:val="20"/>
                <w:szCs w:val="20"/>
                <w:color w:val="auto"/>
              </w:rPr>
            </w:pPr>
            <w:r>
              <w:rPr>
                <w:rFonts w:ascii="Arial" w:cs="Arial" w:eastAsia="Arial" w:hAnsi="Arial"/>
                <w:sz w:val="16"/>
                <w:szCs w:val="16"/>
                <w:color w:val="auto"/>
                <w:w w:val="97"/>
              </w:rPr>
              <w:t>N/A</w:t>
            </w:r>
          </w:p>
        </w:tc>
        <w:tc>
          <w:tcPr>
            <w:tcW w:w="2660" w:type="dxa"/>
            <w:vAlign w:val="bottom"/>
            <w:shd w:val="clear" w:color="auto" w:fill="D9D9D9"/>
          </w:tcPr>
          <w:p>
            <w:pPr>
              <w:jc w:val="center"/>
              <w:spacing w:after="0"/>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r>
        <w:trPr>
          <w:trHeight w:val="357"/>
        </w:trPr>
        <w:tc>
          <w:tcPr>
            <w:tcW w:w="3780" w:type="dxa"/>
            <w:vAlign w:val="bottom"/>
          </w:tcPr>
          <w:p>
            <w:pPr>
              <w:spacing w:after="0"/>
              <w:rPr>
                <w:sz w:val="20"/>
                <w:szCs w:val="20"/>
                <w:color w:val="auto"/>
              </w:rPr>
            </w:pPr>
            <w:r>
              <w:rPr>
                <w:rFonts w:ascii="Arial" w:cs="Arial" w:eastAsia="Arial" w:hAnsi="Arial"/>
                <w:sz w:val="16"/>
                <w:szCs w:val="16"/>
                <w:color w:val="auto"/>
              </w:rPr>
              <w:t>Total</w:t>
            </w:r>
          </w:p>
        </w:tc>
        <w:tc>
          <w:tcPr>
            <w:tcW w:w="2780" w:type="dxa"/>
            <w:vAlign w:val="bottom"/>
          </w:tcPr>
          <w:p>
            <w:pPr>
              <w:jc w:val="center"/>
              <w:ind w:left="586"/>
              <w:spacing w:after="0"/>
              <w:rPr>
                <w:sz w:val="20"/>
                <w:szCs w:val="20"/>
                <w:color w:val="auto"/>
              </w:rPr>
            </w:pPr>
            <w:r>
              <w:rPr>
                <w:rFonts w:ascii="Arial" w:cs="Arial" w:eastAsia="Arial" w:hAnsi="Arial"/>
                <w:sz w:val="16"/>
                <w:szCs w:val="16"/>
                <w:color w:val="auto"/>
                <w:w w:val="94"/>
              </w:rPr>
              <w:t>3,099,850</w:t>
            </w:r>
            <w:r>
              <w:rPr>
                <w:rFonts w:ascii="Arial" w:cs="Arial" w:eastAsia="Arial" w:hAnsi="Arial"/>
                <w:sz w:val="27"/>
                <w:szCs w:val="27"/>
                <w:color w:val="auto"/>
                <w:w w:val="94"/>
                <w:vertAlign w:val="superscript"/>
              </w:rPr>
              <w:t>(1)</w:t>
            </w:r>
          </w:p>
        </w:tc>
        <w:tc>
          <w:tcPr>
            <w:tcW w:w="2020" w:type="dxa"/>
            <w:vAlign w:val="bottom"/>
          </w:tcPr>
          <w:p>
            <w:pPr>
              <w:jc w:val="center"/>
              <w:ind w:right="6"/>
              <w:spacing w:after="0"/>
              <w:rPr>
                <w:sz w:val="20"/>
                <w:szCs w:val="20"/>
                <w:color w:val="auto"/>
              </w:rPr>
            </w:pPr>
            <w:r>
              <w:rPr>
                <w:rFonts w:ascii="Arial" w:cs="Arial" w:eastAsia="Arial" w:hAnsi="Arial"/>
                <w:sz w:val="16"/>
                <w:szCs w:val="16"/>
                <w:color w:val="auto"/>
                <w:w w:val="92"/>
              </w:rPr>
              <w:t>$64.60</w:t>
            </w:r>
            <w:r>
              <w:rPr>
                <w:rFonts w:ascii="Arial" w:cs="Arial" w:eastAsia="Arial" w:hAnsi="Arial"/>
                <w:sz w:val="27"/>
                <w:szCs w:val="27"/>
                <w:color w:val="auto"/>
                <w:w w:val="92"/>
                <w:vertAlign w:val="superscript"/>
              </w:rPr>
              <w:t>(2)</w:t>
            </w:r>
          </w:p>
        </w:tc>
        <w:tc>
          <w:tcPr>
            <w:tcW w:w="2660" w:type="dxa"/>
            <w:vAlign w:val="bottom"/>
          </w:tcPr>
          <w:p>
            <w:pPr>
              <w:jc w:val="center"/>
              <w:spacing w:after="0"/>
              <w:rPr>
                <w:sz w:val="20"/>
                <w:szCs w:val="20"/>
                <w:color w:val="auto"/>
              </w:rPr>
            </w:pPr>
            <w:r>
              <w:rPr>
                <w:rFonts w:ascii="Arial" w:cs="Arial" w:eastAsia="Arial" w:hAnsi="Arial"/>
                <w:sz w:val="16"/>
                <w:szCs w:val="16"/>
                <w:color w:val="auto"/>
                <w:w w:val="94"/>
              </w:rPr>
              <w:t>3,062,081</w:t>
            </w:r>
            <w:r>
              <w:rPr>
                <w:rFonts w:ascii="Arial" w:cs="Arial" w:eastAsia="Arial" w:hAnsi="Arial"/>
                <w:sz w:val="27"/>
                <w:szCs w:val="27"/>
                <w:color w:val="auto"/>
                <w:w w:val="94"/>
                <w:vertAlign w:val="superscript"/>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203454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034540" cy="8255"/>
                    </a:xfrm>
                    <a:prstGeom prst="rect">
                      <a:avLst/>
                    </a:prstGeom>
                    <a:noFill/>
                  </pic:spPr>
                </pic:pic>
              </a:graphicData>
            </a:graphic>
          </wp:anchor>
        </w:drawing>
      </w:r>
    </w:p>
    <w:p>
      <w:pPr>
        <w:ind w:left="400" w:right="240" w:hanging="394"/>
        <w:spacing w:after="0" w:line="235" w:lineRule="auto"/>
        <w:tabs>
          <w:tab w:leader="none" w:pos="4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Amount includes: 2,771,354 outstanding stock options under the 2010 Plan; 124,252 outstanding restricted stock unit awards under the 2010 Plan, including share dividend equivalents that have been issued on such outstanding restricted stock units; and 204,244 outstanding performance share awards under the 2010 Plan, assuming a maximum level of achievement. The actual number of shares that will be issued under the performance share awards is determined by the level of achievement of performance goals.</w:t>
      </w:r>
    </w:p>
    <w:p>
      <w:pPr>
        <w:spacing w:after="0" w:line="42" w:lineRule="exact"/>
        <w:rPr>
          <w:rFonts w:ascii="Arial" w:cs="Arial" w:eastAsia="Arial" w:hAnsi="Arial"/>
          <w:sz w:val="18"/>
          <w:szCs w:val="18"/>
          <w:color w:val="auto"/>
        </w:rPr>
      </w:pPr>
    </w:p>
    <w:p>
      <w:pPr>
        <w:ind w:left="400" w:right="620" w:hanging="394"/>
        <w:spacing w:after="0" w:line="253" w:lineRule="auto"/>
        <w:tabs>
          <w:tab w:leader="none" w:pos="4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Performance share awards and restricted stock units do not have exercise prices and, therefore, have been excluded from the weighted-average exercise price calculation in column (b).</w:t>
      </w:r>
    </w:p>
    <w:p>
      <w:pPr>
        <w:spacing w:after="0" w:line="37" w:lineRule="exact"/>
        <w:rPr>
          <w:rFonts w:ascii="Arial" w:cs="Arial" w:eastAsia="Arial" w:hAnsi="Arial"/>
          <w:sz w:val="16"/>
          <w:szCs w:val="16"/>
          <w:color w:val="auto"/>
        </w:rPr>
      </w:pPr>
    </w:p>
    <w:p>
      <w:pPr>
        <w:ind w:left="400" w:hanging="394"/>
        <w:spacing w:after="0"/>
        <w:tabs>
          <w:tab w:leader="none" w:pos="4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Amount represents shares available for future issuance upon awards that may be granted under the 2010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168910</wp:posOffset>
            </wp:positionV>
            <wp:extent cx="7134225" cy="2025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4225" cy="202565"/>
                    </a:xfrm>
                    <a:prstGeom prst="rect">
                      <a:avLst/>
                    </a:prstGeom>
                    <a:noFill/>
                  </pic:spPr>
                </pic:pic>
              </a:graphicData>
            </a:graphic>
          </wp:anchor>
        </w:drawing>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OTHER INFORMATION</w:t>
      </w:r>
    </w:p>
    <w:p>
      <w:pPr>
        <w:spacing w:after="0" w:line="267"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Shareholder Proposals and Director Nominations for the 2023 Annual Meeting</w:t>
      </w:r>
    </w:p>
    <w:p>
      <w:pPr>
        <w:spacing w:after="0" w:line="127" w:lineRule="exact"/>
        <w:rPr>
          <w:sz w:val="20"/>
          <w:szCs w:val="20"/>
          <w:color w:val="auto"/>
        </w:rPr>
      </w:pPr>
    </w:p>
    <w:p>
      <w:pPr>
        <w:ind w:right="40" w:firstLine="401"/>
        <w:spacing w:after="0" w:line="234" w:lineRule="auto"/>
        <w:rPr>
          <w:sz w:val="20"/>
          <w:szCs w:val="20"/>
          <w:color w:val="auto"/>
        </w:rPr>
      </w:pPr>
      <w:r>
        <w:rPr>
          <w:rFonts w:ascii="Arial" w:cs="Arial" w:eastAsia="Arial" w:hAnsi="Arial"/>
          <w:sz w:val="18"/>
          <w:szCs w:val="18"/>
          <w:color w:val="auto"/>
        </w:rPr>
        <w:t>The 2023 Annual Meeting of Shareholders is expected to be held on March 21, 2023. In order for a shareholder proposal to be included in our proxy statement for the 2023 Annual Meeting, (i) our General Counsel must receive such proposal no later than the close of business on October 4, 2022, unless the date of the 2023 Annual Meeting is delayed by more than 30 calendar days; and (ii) such proposal must satisfy all of the requirements of, and not otherwise be permitted to be excluded under, Rule 14a-8 promulgated by the SEC and our Amended and Restated Bylaws.</w:t>
      </w:r>
    </w:p>
    <w:p>
      <w:pPr>
        <w:spacing w:after="0" w:line="95" w:lineRule="exact"/>
        <w:rPr>
          <w:sz w:val="20"/>
          <w:szCs w:val="20"/>
          <w:color w:val="auto"/>
        </w:rPr>
      </w:pPr>
    </w:p>
    <w:p>
      <w:pPr>
        <w:ind w:right="20" w:firstLine="401"/>
        <w:spacing w:after="0" w:line="246" w:lineRule="auto"/>
        <w:rPr>
          <w:sz w:val="20"/>
          <w:szCs w:val="20"/>
          <w:color w:val="auto"/>
        </w:rPr>
      </w:pPr>
      <w:r>
        <w:rPr>
          <w:rFonts w:ascii="Arial" w:cs="Arial" w:eastAsia="Arial" w:hAnsi="Arial"/>
          <w:sz w:val="17"/>
          <w:szCs w:val="17"/>
          <w:color w:val="auto"/>
        </w:rPr>
        <w:t>Under our current Amended and Restated Bylaws, in order for a shareholder to nominate one or more persons for election to the Board at the 2023 Annual Meeting of Shareholders or propose any other business to be brought before the 2023 Annual Meeting, complete and timely notice must be given in writing and in proper form to our General Counsel not later than December 15, 2022, nor earlier than November 15, 2022. However, if the date of the 2023 Annual Meeting is advanced by more than 30 days or delayed by more than 60 days from the first anniversary date of the 2022 Annual Meeting of Shareholders, such notice must be delivered not earlier than the 120th day prior to the date of the rescheduled 2023 Annual Meeting and not later than the close of business on the later of the 90th day prior to the date of the rescheduled 2023 Annual Meeting or the 10th day following the day on which we first make a public announcement of the date of the rescheduled 2023 Annual Meeting. Any notice must contain the specific information required by our Amended and Restated Bylaws, including, among other things, information about: any proposed nominee and his or her relationships with the shareholder submitting the nomination; any agreements, arrangements or understandings the shareholder may have with any proposed nominee or other parties relating to the nomination or other proposal; and the interests that the shareholder has related to our Company and its shares, including as a result of, among other things, derivative securities, voting arrangements or short positions. Such information must be updated as of the record date for the 2023 Annual Meeting and as of the date that is 10 business days prior to the date of the 2023 Annual Meeting. This summary information regarding our Amended and Restated Bylaws is qualified in its entirety by reference to the full text of the Amended and Restated Bylaws, a copy of which can be found on our website at www.thetorocompany.com/corporategovernance. If a nomination or proposal is not timely and properly made in accordance with the procedures set forth in our Amended and Restated Bylaws, or does not contain the specific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98"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information required by our Amended and Restated Bylaws, such nomination or proposal will be defective and will not be brought before the 2023 Annual Meeting. If a nomination or proposal is nonetheless brought before the 2023 Annual Meeting and the Chairman does not exercise the power and duty to declare the nomination or proposal defective, the persons named in the proxy may use their discretionary voting with respect to such nomination or proposal.</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Householding of Annual Meeting Materials</w:t>
      </w:r>
    </w:p>
    <w:p>
      <w:pPr>
        <w:spacing w:after="0" w:line="127" w:lineRule="exact"/>
        <w:rPr>
          <w:sz w:val="20"/>
          <w:szCs w:val="20"/>
          <w:color w:val="auto"/>
        </w:rPr>
      </w:pPr>
    </w:p>
    <w:p>
      <w:pPr>
        <w:ind w:right="80" w:firstLine="401"/>
        <w:spacing w:after="0" w:line="248" w:lineRule="auto"/>
        <w:rPr>
          <w:sz w:val="20"/>
          <w:szCs w:val="20"/>
          <w:color w:val="auto"/>
        </w:rPr>
      </w:pPr>
      <w:r>
        <w:rPr>
          <w:rFonts w:ascii="Arial" w:cs="Arial" w:eastAsia="Arial" w:hAnsi="Arial"/>
          <w:sz w:val="17"/>
          <w:szCs w:val="17"/>
          <w:color w:val="auto"/>
        </w:rPr>
        <w:t>Some banks, brokers and other nominee record holders may be participating in the practice of “householding” proxy statements and annual reports. This means that only one set of these documents may have been sent to multiple shareholders at a shared address. Additional copies of this proxy statement and our Annual Report on Form 10-K are available upon request to our General Counsel at 8111 Lyndale Avenue South, Bloomington, Minnesota, 55420-1196, by telephone at (952) 888-8801, or by e-mail to invest@thetorocompany.com. These documents also may be downloaded and printed from our website at www.thetorocompany.com/proxy. Any shareholder who wants to receive separate copies of our proxy statement and annual report in the future, or any shareholder who is receiving multiple copies and would like to receive only one copy per household, should contact his, her or its bank, broker or other nominee record holder.</w:t>
      </w:r>
    </w:p>
    <w:p>
      <w:pPr>
        <w:spacing w:after="0" w:line="115"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Annual Report</w:t>
      </w:r>
    </w:p>
    <w:p>
      <w:pPr>
        <w:spacing w:after="0" w:line="105" w:lineRule="exact"/>
        <w:rPr>
          <w:sz w:val="20"/>
          <w:szCs w:val="20"/>
          <w:color w:val="auto"/>
        </w:rPr>
      </w:pPr>
    </w:p>
    <w:p>
      <w:pPr>
        <w:ind w:firstLine="401"/>
        <w:spacing w:after="0" w:line="256" w:lineRule="auto"/>
        <w:rPr>
          <w:sz w:val="20"/>
          <w:szCs w:val="20"/>
          <w:color w:val="auto"/>
        </w:rPr>
      </w:pPr>
      <w:r>
        <w:rPr>
          <w:rFonts w:ascii="Arial" w:cs="Arial" w:eastAsia="Arial" w:hAnsi="Arial"/>
          <w:sz w:val="17"/>
          <w:szCs w:val="17"/>
          <w:b w:val="1"/>
          <w:bCs w:val="1"/>
          <w:color w:val="auto"/>
        </w:rPr>
        <w:t>A copy of TTC’s Annual Report on Form 10-K for the fiscal year ended October 31, 2021, as filed with the SEC, will be sent to any shareholder, without charge, upon written request to our General Counsel at 8111 Lyndale Avenue South, Bloomington, Minnesota, 55420-1196. You also may obtain our Annual Report on Form 10-K on the Internet at the SEC’s website, www.sec.gov, or on our website at www.thetorocompany.com/proxy. Our Fiscal Year 2021 Annual Report, which contains information about our business but is not part of our disclosure deemed to be filed with the SEC, also is available on our website at www.thetorocompany.com/proxy.</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color w:val="C00000"/>
        </w:rPr>
        <w:t>Cost and Method of Solicitation</w:t>
      </w:r>
    </w:p>
    <w:p>
      <w:pPr>
        <w:spacing w:after="0" w:line="127" w:lineRule="exact"/>
        <w:rPr>
          <w:sz w:val="20"/>
          <w:szCs w:val="20"/>
          <w:color w:val="auto"/>
        </w:rPr>
      </w:pPr>
    </w:p>
    <w:p>
      <w:pPr>
        <w:ind w:firstLine="401"/>
        <w:spacing w:after="0" w:line="233" w:lineRule="auto"/>
        <w:rPr>
          <w:sz w:val="20"/>
          <w:szCs w:val="20"/>
          <w:color w:val="auto"/>
        </w:rPr>
      </w:pPr>
      <w:r>
        <w:rPr>
          <w:rFonts w:ascii="Arial" w:cs="Arial" w:eastAsia="Arial" w:hAnsi="Arial"/>
          <w:sz w:val="18"/>
          <w:szCs w:val="18"/>
          <w:color w:val="auto"/>
        </w:rPr>
        <w:t>We will pay the cost of soliciting proxies and may make arrangements with brokerage houses, custodians, nominees and other fiduciaries to send proxy materials to beneficial owners of our common stock. We will reimburse these third-parties for reasonable out-of-pocket expenses. In addition to solicitation by mail, our non-employee directors, executive officers and other employees may solicit proxies by telephone, electronic transmission and personally. Our non-employee directors, executive officers and other employees will not receive compensation for such services other than regular non-employee director or employee compensation. We have retained Morrow Sodali LLC, 333 Ludlow Street, 5</w:t>
      </w:r>
      <w:r>
        <w:rPr>
          <w:rFonts w:ascii="Arial" w:cs="Arial" w:eastAsia="Arial" w:hAnsi="Arial"/>
          <w:sz w:val="15"/>
          <w:szCs w:val="15"/>
          <w:color w:val="auto"/>
        </w:rPr>
        <w:t>th</w:t>
      </w:r>
      <w:r>
        <w:rPr>
          <w:rFonts w:ascii="Arial" w:cs="Arial" w:eastAsia="Arial" w:hAnsi="Arial"/>
          <w:sz w:val="18"/>
          <w:szCs w:val="18"/>
          <w:color w:val="auto"/>
        </w:rPr>
        <w:t xml:space="preserve"> Floor, South Tower, Stamford, Connecticut, 06902, for an estimated fee of $8,000, plus out of pocket expenses, to assist in distributing proxy materials and soliciting proxies in connection with our 2022 Annual Meeting of Shareholders.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 2022</w:t>
      </w:r>
    </w:p>
    <w:p>
      <w:pPr>
        <w:spacing w:after="0" w:line="312"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4267835</wp:posOffset>
            </wp:positionH>
            <wp:positionV relativeFrom="paragraph">
              <wp:posOffset>71755</wp:posOffset>
            </wp:positionV>
            <wp:extent cx="1612900" cy="5486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61290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left="4860"/>
        <w:spacing w:after="0"/>
        <w:rPr>
          <w:sz w:val="20"/>
          <w:szCs w:val="20"/>
          <w:color w:val="auto"/>
        </w:rPr>
      </w:pPr>
      <w:r>
        <w:rPr>
          <w:rFonts w:ascii="Arial" w:cs="Arial" w:eastAsia="Arial" w:hAnsi="Arial"/>
          <w:sz w:val="18"/>
          <w:szCs w:val="18"/>
          <w:color w:val="auto"/>
        </w:rPr>
        <w:t>Amy E. Dahl</w:t>
      </w:r>
    </w:p>
    <w:p>
      <w:pPr>
        <w:jc w:val="center"/>
        <w:ind w:left="4920"/>
        <w:spacing w:after="0" w:line="231" w:lineRule="auto"/>
        <w:rPr>
          <w:sz w:val="20"/>
          <w:szCs w:val="20"/>
          <w:color w:val="auto"/>
        </w:rPr>
      </w:pPr>
      <w:r>
        <w:rPr>
          <w:rFonts w:ascii="Arial" w:cs="Arial" w:eastAsia="Arial" w:hAnsi="Arial"/>
          <w:sz w:val="18"/>
          <w:szCs w:val="18"/>
          <w:color w:val="auto"/>
        </w:rPr>
        <w:t>Vice President, Human Resources and General Counsel</w:t>
      </w:r>
    </w:p>
    <w:p>
      <w:pPr>
        <w:jc w:val="center"/>
        <w:ind w:left="4920"/>
        <w:spacing w:after="0"/>
        <w:rPr>
          <w:sz w:val="20"/>
          <w:szCs w:val="20"/>
          <w:color w:val="auto"/>
        </w:rPr>
      </w:pPr>
      <w:r>
        <w:rPr>
          <w:rFonts w:ascii="Arial" w:cs="Arial" w:eastAsia="Arial" w:hAnsi="Arial"/>
          <w:sz w:val="18"/>
          <w:szCs w:val="18"/>
          <w:color w:val="auto"/>
        </w:rPr>
        <w:t>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173"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APPENDIX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The Toro Company</w:t>
      </w:r>
    </w:p>
    <w:p>
      <w:pPr>
        <w:jc w:val="center"/>
        <w:spacing w:after="0"/>
        <w:rPr>
          <w:sz w:val="20"/>
          <w:szCs w:val="20"/>
          <w:color w:val="auto"/>
        </w:rPr>
      </w:pPr>
      <w:r>
        <w:rPr>
          <w:rFonts w:ascii="Arial" w:cs="Arial" w:eastAsia="Arial" w:hAnsi="Arial"/>
          <w:sz w:val="32"/>
          <w:szCs w:val="32"/>
          <w:b w:val="1"/>
          <w:bCs w:val="1"/>
          <w:color w:val="auto"/>
        </w:rPr>
        <w:t>2022 Equity and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1254125</wp:posOffset>
            </wp:positionV>
            <wp:extent cx="717677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165"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440" w:type="dxa"/>
            <w:vAlign w:val="bottom"/>
          </w:tcPr>
          <w:p>
            <w:pPr>
              <w:spacing w:after="0"/>
              <w:rPr>
                <w:sz w:val="20"/>
                <w:szCs w:val="20"/>
                <w:color w:val="auto"/>
              </w:rPr>
            </w:pPr>
            <w:r>
              <w:rPr>
                <w:rFonts w:ascii="Arial" w:cs="Arial" w:eastAsia="Arial" w:hAnsi="Arial"/>
                <w:sz w:val="21"/>
                <w:szCs w:val="21"/>
                <w:color w:val="auto"/>
              </w:rPr>
              <w:t>Article 1. Establishment, Purpose and Duration</w:t>
            </w:r>
          </w:p>
        </w:tc>
        <w:tc>
          <w:tcPr>
            <w:tcW w:w="2820" w:type="dxa"/>
            <w:vAlign w:val="bottom"/>
          </w:tcPr>
          <w:p>
            <w:pPr>
              <w:jc w:val="right"/>
              <w:ind w:right="2214"/>
              <w:spacing w:after="0"/>
              <w:rPr>
                <w:sz w:val="20"/>
                <w:szCs w:val="20"/>
                <w:color w:val="auto"/>
              </w:rPr>
            </w:pPr>
            <w:r>
              <w:rPr>
                <w:rFonts w:ascii="Arial" w:cs="Arial" w:eastAsia="Arial" w:hAnsi="Arial"/>
                <w:sz w:val="21"/>
                <w:szCs w:val="21"/>
                <w:color w:val="auto"/>
              </w:rPr>
              <w:t>1</w:t>
            </w:r>
          </w:p>
        </w:tc>
      </w:tr>
      <w:tr>
        <w:trPr>
          <w:trHeight w:val="239"/>
        </w:trPr>
        <w:tc>
          <w:tcPr>
            <w:tcW w:w="8440" w:type="dxa"/>
            <w:vAlign w:val="bottom"/>
          </w:tcPr>
          <w:p>
            <w:pPr>
              <w:spacing w:after="0" w:line="239" w:lineRule="exact"/>
              <w:rPr>
                <w:sz w:val="20"/>
                <w:szCs w:val="20"/>
                <w:color w:val="auto"/>
              </w:rPr>
            </w:pPr>
            <w:r>
              <w:rPr>
                <w:rFonts w:ascii="Arial" w:cs="Arial" w:eastAsia="Arial" w:hAnsi="Arial"/>
                <w:sz w:val="21"/>
                <w:szCs w:val="21"/>
                <w:color w:val="auto"/>
              </w:rPr>
              <w:t>Article 2. Definitions</w:t>
            </w:r>
          </w:p>
        </w:tc>
        <w:tc>
          <w:tcPr>
            <w:tcW w:w="2820" w:type="dxa"/>
            <w:vAlign w:val="bottom"/>
          </w:tcPr>
          <w:p>
            <w:pPr>
              <w:jc w:val="right"/>
              <w:ind w:right="2214"/>
              <w:spacing w:after="0" w:line="239" w:lineRule="exact"/>
              <w:rPr>
                <w:sz w:val="20"/>
                <w:szCs w:val="20"/>
                <w:color w:val="auto"/>
              </w:rPr>
            </w:pPr>
            <w:r>
              <w:rPr>
                <w:rFonts w:ascii="Arial" w:cs="Arial" w:eastAsia="Arial" w:hAnsi="Arial"/>
                <w:sz w:val="21"/>
                <w:szCs w:val="21"/>
                <w:color w:val="auto"/>
              </w:rPr>
              <w:t>1</w:t>
            </w:r>
          </w:p>
        </w:tc>
      </w:tr>
      <w:tr>
        <w:trPr>
          <w:trHeight w:val="239"/>
        </w:trPr>
        <w:tc>
          <w:tcPr>
            <w:tcW w:w="8440" w:type="dxa"/>
            <w:vAlign w:val="bottom"/>
          </w:tcPr>
          <w:p>
            <w:pPr>
              <w:spacing w:after="0" w:line="239" w:lineRule="exact"/>
              <w:rPr>
                <w:sz w:val="20"/>
                <w:szCs w:val="20"/>
                <w:color w:val="auto"/>
              </w:rPr>
            </w:pPr>
            <w:r>
              <w:rPr>
                <w:rFonts w:ascii="Arial" w:cs="Arial" w:eastAsia="Arial" w:hAnsi="Arial"/>
                <w:sz w:val="21"/>
                <w:szCs w:val="21"/>
                <w:color w:val="auto"/>
              </w:rPr>
              <w:t>Article 3. Administration</w:t>
            </w:r>
          </w:p>
        </w:tc>
        <w:tc>
          <w:tcPr>
            <w:tcW w:w="2820" w:type="dxa"/>
            <w:vAlign w:val="bottom"/>
          </w:tcPr>
          <w:p>
            <w:pPr>
              <w:jc w:val="right"/>
              <w:ind w:right="2214"/>
              <w:spacing w:after="0" w:line="239" w:lineRule="exact"/>
              <w:rPr>
                <w:sz w:val="20"/>
                <w:szCs w:val="20"/>
                <w:color w:val="auto"/>
              </w:rPr>
            </w:pPr>
            <w:r>
              <w:rPr>
                <w:rFonts w:ascii="Arial" w:cs="Arial" w:eastAsia="Arial" w:hAnsi="Arial"/>
                <w:sz w:val="21"/>
                <w:szCs w:val="21"/>
                <w:color w:val="auto"/>
              </w:rPr>
              <w:t>7</w:t>
            </w:r>
          </w:p>
        </w:tc>
      </w:tr>
      <w:tr>
        <w:trPr>
          <w:trHeight w:val="239"/>
        </w:trPr>
        <w:tc>
          <w:tcPr>
            <w:tcW w:w="8440" w:type="dxa"/>
            <w:vAlign w:val="bottom"/>
          </w:tcPr>
          <w:p>
            <w:pPr>
              <w:spacing w:after="0" w:line="239" w:lineRule="exact"/>
              <w:rPr>
                <w:sz w:val="20"/>
                <w:szCs w:val="20"/>
                <w:color w:val="auto"/>
              </w:rPr>
            </w:pPr>
            <w:r>
              <w:rPr>
                <w:rFonts w:ascii="Arial" w:cs="Arial" w:eastAsia="Arial" w:hAnsi="Arial"/>
                <w:sz w:val="21"/>
                <w:szCs w:val="21"/>
                <w:color w:val="auto"/>
              </w:rPr>
              <w:t>Article 4. Shares Subject to This Plan and Available for Awards; Adjustments; Minimum</w:t>
            </w:r>
          </w:p>
        </w:tc>
        <w:tc>
          <w:tcPr>
            <w:tcW w:w="2820" w:type="dxa"/>
            <w:vAlign w:val="bottom"/>
          </w:tcPr>
          <w:p>
            <w:pPr>
              <w:spacing w:after="0"/>
              <w:rPr>
                <w:sz w:val="20"/>
                <w:szCs w:val="20"/>
                <w:color w:val="auto"/>
              </w:rPr>
            </w:pPr>
          </w:p>
        </w:tc>
      </w:tr>
      <w:tr>
        <w:trPr>
          <w:trHeight w:val="239"/>
        </w:trPr>
        <w:tc>
          <w:tcPr>
            <w:tcW w:w="8440" w:type="dxa"/>
            <w:vAlign w:val="bottom"/>
          </w:tcPr>
          <w:p>
            <w:pPr>
              <w:ind w:left="240"/>
              <w:spacing w:after="0" w:line="239" w:lineRule="exact"/>
              <w:rPr>
                <w:sz w:val="20"/>
                <w:szCs w:val="20"/>
                <w:color w:val="auto"/>
              </w:rPr>
            </w:pPr>
            <w:r>
              <w:rPr>
                <w:rFonts w:ascii="Arial" w:cs="Arial" w:eastAsia="Arial" w:hAnsi="Arial"/>
                <w:sz w:val="21"/>
                <w:szCs w:val="21"/>
                <w:color w:val="auto"/>
              </w:rPr>
              <w:t>Vesting Periods</w:t>
            </w:r>
          </w:p>
        </w:tc>
        <w:tc>
          <w:tcPr>
            <w:tcW w:w="2820" w:type="dxa"/>
            <w:vAlign w:val="bottom"/>
          </w:tcPr>
          <w:p>
            <w:pPr>
              <w:jc w:val="right"/>
              <w:ind w:right="2214"/>
              <w:spacing w:after="0" w:line="239" w:lineRule="exact"/>
              <w:rPr>
                <w:sz w:val="20"/>
                <w:szCs w:val="20"/>
                <w:color w:val="auto"/>
              </w:rPr>
            </w:pPr>
            <w:r>
              <w:rPr>
                <w:rFonts w:ascii="Arial" w:cs="Arial" w:eastAsia="Arial" w:hAnsi="Arial"/>
                <w:sz w:val="21"/>
                <w:szCs w:val="21"/>
                <w:color w:val="auto"/>
              </w:rPr>
              <w:t>8</w:t>
            </w:r>
          </w:p>
        </w:tc>
      </w:tr>
      <w:tr>
        <w:trPr>
          <w:trHeight w:val="239"/>
        </w:trPr>
        <w:tc>
          <w:tcPr>
            <w:tcW w:w="8440" w:type="dxa"/>
            <w:vAlign w:val="bottom"/>
          </w:tcPr>
          <w:p>
            <w:pPr>
              <w:spacing w:after="0" w:line="239" w:lineRule="exact"/>
              <w:rPr>
                <w:sz w:val="20"/>
                <w:szCs w:val="20"/>
                <w:color w:val="auto"/>
              </w:rPr>
            </w:pPr>
            <w:r>
              <w:rPr>
                <w:rFonts w:ascii="Arial" w:cs="Arial" w:eastAsia="Arial" w:hAnsi="Arial"/>
                <w:sz w:val="21"/>
                <w:szCs w:val="21"/>
                <w:color w:val="auto"/>
              </w:rPr>
              <w:t>Article 5. Eligibility and Participation</w:t>
            </w:r>
          </w:p>
        </w:tc>
        <w:tc>
          <w:tcPr>
            <w:tcW w:w="2820" w:type="dxa"/>
            <w:vAlign w:val="bottom"/>
          </w:tcPr>
          <w:p>
            <w:pPr>
              <w:jc w:val="right"/>
              <w:ind w:right="2214"/>
              <w:spacing w:after="0" w:line="239" w:lineRule="exact"/>
              <w:rPr>
                <w:sz w:val="20"/>
                <w:szCs w:val="20"/>
                <w:color w:val="auto"/>
              </w:rPr>
            </w:pPr>
            <w:r>
              <w:rPr>
                <w:rFonts w:ascii="Arial" w:cs="Arial" w:eastAsia="Arial" w:hAnsi="Arial"/>
                <w:sz w:val="21"/>
                <w:szCs w:val="21"/>
                <w:color w:val="auto"/>
              </w:rPr>
              <w:t>10</w:t>
            </w:r>
          </w:p>
        </w:tc>
      </w:tr>
      <w:tr>
        <w:trPr>
          <w:trHeight w:val="239"/>
        </w:trPr>
        <w:tc>
          <w:tcPr>
            <w:tcW w:w="8440" w:type="dxa"/>
            <w:vAlign w:val="bottom"/>
          </w:tcPr>
          <w:p>
            <w:pPr>
              <w:spacing w:after="0" w:line="239" w:lineRule="exact"/>
              <w:rPr>
                <w:sz w:val="20"/>
                <w:szCs w:val="20"/>
                <w:color w:val="auto"/>
              </w:rPr>
            </w:pPr>
            <w:r>
              <w:rPr>
                <w:rFonts w:ascii="Arial" w:cs="Arial" w:eastAsia="Arial" w:hAnsi="Arial"/>
                <w:sz w:val="21"/>
                <w:szCs w:val="21"/>
                <w:color w:val="auto"/>
              </w:rPr>
              <w:t>Article 6. Stock Options</w:t>
            </w:r>
          </w:p>
        </w:tc>
        <w:tc>
          <w:tcPr>
            <w:tcW w:w="2820" w:type="dxa"/>
            <w:vAlign w:val="bottom"/>
          </w:tcPr>
          <w:p>
            <w:pPr>
              <w:jc w:val="right"/>
              <w:ind w:right="2214"/>
              <w:spacing w:after="0" w:line="239" w:lineRule="exact"/>
              <w:rPr>
                <w:sz w:val="20"/>
                <w:szCs w:val="20"/>
                <w:color w:val="auto"/>
              </w:rPr>
            </w:pPr>
            <w:r>
              <w:rPr>
                <w:rFonts w:ascii="Arial" w:cs="Arial" w:eastAsia="Arial" w:hAnsi="Arial"/>
                <w:sz w:val="21"/>
                <w:szCs w:val="21"/>
                <w:color w:val="auto"/>
              </w:rPr>
              <w:t>10</w:t>
            </w:r>
          </w:p>
        </w:tc>
      </w:tr>
      <w:tr>
        <w:trPr>
          <w:trHeight w:val="239"/>
        </w:trPr>
        <w:tc>
          <w:tcPr>
            <w:tcW w:w="8440" w:type="dxa"/>
            <w:vAlign w:val="bottom"/>
          </w:tcPr>
          <w:p>
            <w:pPr>
              <w:spacing w:after="0" w:line="239" w:lineRule="exact"/>
              <w:rPr>
                <w:sz w:val="20"/>
                <w:szCs w:val="20"/>
                <w:color w:val="auto"/>
              </w:rPr>
            </w:pPr>
            <w:r>
              <w:rPr>
                <w:rFonts w:ascii="Arial" w:cs="Arial" w:eastAsia="Arial" w:hAnsi="Arial"/>
                <w:sz w:val="21"/>
                <w:szCs w:val="21"/>
                <w:color w:val="auto"/>
              </w:rPr>
              <w:t>Article 7. Stock Appreciation Rights</w:t>
            </w:r>
          </w:p>
        </w:tc>
        <w:tc>
          <w:tcPr>
            <w:tcW w:w="2820" w:type="dxa"/>
            <w:vAlign w:val="bottom"/>
          </w:tcPr>
          <w:p>
            <w:pPr>
              <w:jc w:val="right"/>
              <w:ind w:right="2214"/>
              <w:spacing w:after="0" w:line="239" w:lineRule="exact"/>
              <w:rPr>
                <w:sz w:val="20"/>
                <w:szCs w:val="20"/>
                <w:color w:val="auto"/>
              </w:rPr>
            </w:pPr>
            <w:r>
              <w:rPr>
                <w:rFonts w:ascii="Arial" w:cs="Arial" w:eastAsia="Arial" w:hAnsi="Arial"/>
                <w:sz w:val="21"/>
                <w:szCs w:val="21"/>
                <w:color w:val="auto"/>
              </w:rPr>
              <w:t>12</w:t>
            </w:r>
          </w:p>
        </w:tc>
      </w:tr>
      <w:tr>
        <w:trPr>
          <w:trHeight w:val="239"/>
        </w:trPr>
        <w:tc>
          <w:tcPr>
            <w:tcW w:w="8440" w:type="dxa"/>
            <w:vAlign w:val="bottom"/>
          </w:tcPr>
          <w:p>
            <w:pPr>
              <w:spacing w:after="0" w:line="239" w:lineRule="exact"/>
              <w:rPr>
                <w:sz w:val="20"/>
                <w:szCs w:val="20"/>
                <w:color w:val="auto"/>
              </w:rPr>
            </w:pPr>
            <w:r>
              <w:rPr>
                <w:rFonts w:ascii="Arial" w:cs="Arial" w:eastAsia="Arial" w:hAnsi="Arial"/>
                <w:sz w:val="21"/>
                <w:szCs w:val="21"/>
                <w:color w:val="auto"/>
              </w:rPr>
              <w:t>Article 8. Restricted Stock and Restricted Stock Units</w:t>
            </w:r>
          </w:p>
        </w:tc>
        <w:tc>
          <w:tcPr>
            <w:tcW w:w="2820" w:type="dxa"/>
            <w:vAlign w:val="bottom"/>
          </w:tcPr>
          <w:p>
            <w:pPr>
              <w:jc w:val="right"/>
              <w:ind w:right="2214"/>
              <w:spacing w:after="0" w:line="239" w:lineRule="exact"/>
              <w:rPr>
                <w:sz w:val="20"/>
                <w:szCs w:val="20"/>
                <w:color w:val="auto"/>
              </w:rPr>
            </w:pPr>
            <w:r>
              <w:rPr>
                <w:rFonts w:ascii="Arial" w:cs="Arial" w:eastAsia="Arial" w:hAnsi="Arial"/>
                <w:sz w:val="21"/>
                <w:szCs w:val="21"/>
                <w:color w:val="auto"/>
              </w:rPr>
              <w:t>12</w:t>
            </w:r>
          </w:p>
        </w:tc>
      </w:tr>
      <w:tr>
        <w:trPr>
          <w:trHeight w:val="239"/>
        </w:trPr>
        <w:tc>
          <w:tcPr>
            <w:tcW w:w="8440" w:type="dxa"/>
            <w:vAlign w:val="bottom"/>
          </w:tcPr>
          <w:p>
            <w:pPr>
              <w:spacing w:after="0" w:line="239" w:lineRule="exact"/>
              <w:rPr>
                <w:sz w:val="20"/>
                <w:szCs w:val="20"/>
                <w:color w:val="auto"/>
              </w:rPr>
            </w:pPr>
            <w:r>
              <w:rPr>
                <w:rFonts w:ascii="Arial" w:cs="Arial" w:eastAsia="Arial" w:hAnsi="Arial"/>
                <w:sz w:val="21"/>
                <w:szCs w:val="21"/>
                <w:color w:val="auto"/>
              </w:rPr>
              <w:t>Article 9. Performance Units and Performance Shares</w:t>
            </w:r>
          </w:p>
        </w:tc>
        <w:tc>
          <w:tcPr>
            <w:tcW w:w="2820" w:type="dxa"/>
            <w:vAlign w:val="bottom"/>
          </w:tcPr>
          <w:p>
            <w:pPr>
              <w:jc w:val="right"/>
              <w:ind w:right="2214"/>
              <w:spacing w:after="0" w:line="239" w:lineRule="exact"/>
              <w:rPr>
                <w:sz w:val="20"/>
                <w:szCs w:val="20"/>
                <w:color w:val="auto"/>
              </w:rPr>
            </w:pPr>
            <w:r>
              <w:rPr>
                <w:rFonts w:ascii="Arial" w:cs="Arial" w:eastAsia="Arial" w:hAnsi="Arial"/>
                <w:sz w:val="21"/>
                <w:szCs w:val="21"/>
                <w:color w:val="auto"/>
              </w:rPr>
              <w:t>14</w:t>
            </w:r>
          </w:p>
        </w:tc>
      </w:tr>
      <w:tr>
        <w:trPr>
          <w:trHeight w:val="239"/>
        </w:trPr>
        <w:tc>
          <w:tcPr>
            <w:tcW w:w="8440" w:type="dxa"/>
            <w:vAlign w:val="bottom"/>
          </w:tcPr>
          <w:p>
            <w:pPr>
              <w:spacing w:after="0" w:line="239" w:lineRule="exact"/>
              <w:rPr>
                <w:sz w:val="20"/>
                <w:szCs w:val="20"/>
                <w:color w:val="auto"/>
              </w:rPr>
            </w:pPr>
            <w:r>
              <w:rPr>
                <w:rFonts w:ascii="Arial" w:cs="Arial" w:eastAsia="Arial" w:hAnsi="Arial"/>
                <w:sz w:val="21"/>
                <w:szCs w:val="21"/>
                <w:color w:val="auto"/>
              </w:rPr>
              <w:t>Article 10. Annual Performance Awards</w:t>
            </w:r>
          </w:p>
        </w:tc>
        <w:tc>
          <w:tcPr>
            <w:tcW w:w="2820" w:type="dxa"/>
            <w:vAlign w:val="bottom"/>
          </w:tcPr>
          <w:p>
            <w:pPr>
              <w:jc w:val="right"/>
              <w:ind w:right="2214"/>
              <w:spacing w:after="0" w:line="239" w:lineRule="exact"/>
              <w:rPr>
                <w:sz w:val="20"/>
                <w:szCs w:val="20"/>
                <w:color w:val="auto"/>
              </w:rPr>
            </w:pPr>
            <w:r>
              <w:rPr>
                <w:rFonts w:ascii="Arial" w:cs="Arial" w:eastAsia="Arial" w:hAnsi="Arial"/>
                <w:sz w:val="21"/>
                <w:szCs w:val="21"/>
                <w:color w:val="auto"/>
              </w:rPr>
              <w:t>17</w:t>
            </w:r>
          </w:p>
        </w:tc>
      </w:tr>
      <w:tr>
        <w:trPr>
          <w:trHeight w:val="239"/>
        </w:trPr>
        <w:tc>
          <w:tcPr>
            <w:tcW w:w="8440" w:type="dxa"/>
            <w:vAlign w:val="bottom"/>
          </w:tcPr>
          <w:p>
            <w:pPr>
              <w:spacing w:after="0" w:line="239" w:lineRule="exact"/>
              <w:rPr>
                <w:sz w:val="20"/>
                <w:szCs w:val="20"/>
                <w:color w:val="auto"/>
              </w:rPr>
            </w:pPr>
            <w:r>
              <w:rPr>
                <w:rFonts w:ascii="Arial" w:cs="Arial" w:eastAsia="Arial" w:hAnsi="Arial"/>
                <w:sz w:val="21"/>
                <w:szCs w:val="21"/>
                <w:color w:val="auto"/>
              </w:rPr>
              <w:t>Article 11. Nonemployee Director Awards</w:t>
            </w:r>
          </w:p>
        </w:tc>
        <w:tc>
          <w:tcPr>
            <w:tcW w:w="2820" w:type="dxa"/>
            <w:vAlign w:val="bottom"/>
          </w:tcPr>
          <w:p>
            <w:pPr>
              <w:jc w:val="right"/>
              <w:ind w:right="2214"/>
              <w:spacing w:after="0" w:line="239" w:lineRule="exact"/>
              <w:rPr>
                <w:sz w:val="20"/>
                <w:szCs w:val="20"/>
                <w:color w:val="auto"/>
              </w:rPr>
            </w:pPr>
            <w:r>
              <w:rPr>
                <w:rFonts w:ascii="Arial" w:cs="Arial" w:eastAsia="Arial" w:hAnsi="Arial"/>
                <w:sz w:val="21"/>
                <w:szCs w:val="21"/>
                <w:color w:val="auto"/>
              </w:rPr>
              <w:t>18</w:t>
            </w:r>
          </w:p>
        </w:tc>
      </w:tr>
      <w:tr>
        <w:trPr>
          <w:trHeight w:val="239"/>
        </w:trPr>
        <w:tc>
          <w:tcPr>
            <w:tcW w:w="8440" w:type="dxa"/>
            <w:vAlign w:val="bottom"/>
          </w:tcPr>
          <w:p>
            <w:pPr>
              <w:spacing w:after="0" w:line="239" w:lineRule="exact"/>
              <w:rPr>
                <w:sz w:val="20"/>
                <w:szCs w:val="20"/>
                <w:color w:val="auto"/>
              </w:rPr>
            </w:pPr>
            <w:r>
              <w:rPr>
                <w:rFonts w:ascii="Arial" w:cs="Arial" w:eastAsia="Arial" w:hAnsi="Arial"/>
                <w:sz w:val="21"/>
                <w:szCs w:val="21"/>
                <w:color w:val="auto"/>
              </w:rPr>
              <w:t>Article 12. Other Cash-Based Awards and Other Stock-Based Awards</w:t>
            </w:r>
          </w:p>
        </w:tc>
        <w:tc>
          <w:tcPr>
            <w:tcW w:w="2820" w:type="dxa"/>
            <w:vAlign w:val="bottom"/>
          </w:tcPr>
          <w:p>
            <w:pPr>
              <w:jc w:val="right"/>
              <w:ind w:right="2214"/>
              <w:spacing w:after="0" w:line="239" w:lineRule="exact"/>
              <w:rPr>
                <w:sz w:val="20"/>
                <w:szCs w:val="20"/>
                <w:color w:val="auto"/>
              </w:rPr>
            </w:pPr>
            <w:r>
              <w:rPr>
                <w:rFonts w:ascii="Arial" w:cs="Arial" w:eastAsia="Arial" w:hAnsi="Arial"/>
                <w:sz w:val="21"/>
                <w:szCs w:val="21"/>
                <w:color w:val="auto"/>
              </w:rPr>
              <w:t>19</w:t>
            </w:r>
          </w:p>
        </w:tc>
      </w:tr>
      <w:tr>
        <w:trPr>
          <w:trHeight w:val="239"/>
        </w:trPr>
        <w:tc>
          <w:tcPr>
            <w:tcW w:w="8440" w:type="dxa"/>
            <w:vAlign w:val="bottom"/>
          </w:tcPr>
          <w:p>
            <w:pPr>
              <w:spacing w:after="0" w:line="239" w:lineRule="exact"/>
              <w:rPr>
                <w:sz w:val="20"/>
                <w:szCs w:val="20"/>
                <w:color w:val="auto"/>
              </w:rPr>
            </w:pPr>
            <w:r>
              <w:rPr>
                <w:rFonts w:ascii="Arial" w:cs="Arial" w:eastAsia="Arial" w:hAnsi="Arial"/>
                <w:sz w:val="21"/>
                <w:szCs w:val="21"/>
                <w:color w:val="auto"/>
              </w:rPr>
              <w:t>Article 13. Termination of Service</w:t>
            </w:r>
          </w:p>
        </w:tc>
        <w:tc>
          <w:tcPr>
            <w:tcW w:w="2820" w:type="dxa"/>
            <w:vAlign w:val="bottom"/>
          </w:tcPr>
          <w:p>
            <w:pPr>
              <w:jc w:val="right"/>
              <w:ind w:right="2214"/>
              <w:spacing w:after="0" w:line="239" w:lineRule="exact"/>
              <w:rPr>
                <w:sz w:val="20"/>
                <w:szCs w:val="20"/>
                <w:color w:val="auto"/>
              </w:rPr>
            </w:pPr>
            <w:r>
              <w:rPr>
                <w:rFonts w:ascii="Arial" w:cs="Arial" w:eastAsia="Arial" w:hAnsi="Arial"/>
                <w:sz w:val="21"/>
                <w:szCs w:val="21"/>
                <w:color w:val="auto"/>
              </w:rPr>
              <w:t>20</w:t>
            </w:r>
          </w:p>
        </w:tc>
      </w:tr>
      <w:tr>
        <w:trPr>
          <w:trHeight w:val="239"/>
        </w:trPr>
        <w:tc>
          <w:tcPr>
            <w:tcW w:w="8440" w:type="dxa"/>
            <w:vAlign w:val="bottom"/>
          </w:tcPr>
          <w:p>
            <w:pPr>
              <w:spacing w:after="0" w:line="239" w:lineRule="exact"/>
              <w:rPr>
                <w:sz w:val="20"/>
                <w:szCs w:val="20"/>
                <w:color w:val="auto"/>
              </w:rPr>
            </w:pPr>
            <w:r>
              <w:rPr>
                <w:rFonts w:ascii="Arial" w:cs="Arial" w:eastAsia="Arial" w:hAnsi="Arial"/>
                <w:sz w:val="21"/>
                <w:szCs w:val="21"/>
                <w:color w:val="auto"/>
              </w:rPr>
              <w:t>Article 14. Transferability of Awards and Shares</w:t>
            </w:r>
          </w:p>
        </w:tc>
        <w:tc>
          <w:tcPr>
            <w:tcW w:w="2820" w:type="dxa"/>
            <w:vAlign w:val="bottom"/>
          </w:tcPr>
          <w:p>
            <w:pPr>
              <w:jc w:val="right"/>
              <w:ind w:right="2214"/>
              <w:spacing w:after="0" w:line="239" w:lineRule="exact"/>
              <w:rPr>
                <w:sz w:val="20"/>
                <w:szCs w:val="20"/>
                <w:color w:val="auto"/>
              </w:rPr>
            </w:pPr>
            <w:r>
              <w:rPr>
                <w:rFonts w:ascii="Arial" w:cs="Arial" w:eastAsia="Arial" w:hAnsi="Arial"/>
                <w:sz w:val="21"/>
                <w:szCs w:val="21"/>
                <w:color w:val="auto"/>
              </w:rPr>
              <w:t>23</w:t>
            </w:r>
          </w:p>
        </w:tc>
      </w:tr>
      <w:tr>
        <w:trPr>
          <w:trHeight w:val="239"/>
        </w:trPr>
        <w:tc>
          <w:tcPr>
            <w:tcW w:w="8440" w:type="dxa"/>
            <w:vAlign w:val="bottom"/>
          </w:tcPr>
          <w:p>
            <w:pPr>
              <w:spacing w:after="0" w:line="239" w:lineRule="exact"/>
              <w:rPr>
                <w:sz w:val="20"/>
                <w:szCs w:val="20"/>
                <w:color w:val="auto"/>
              </w:rPr>
            </w:pPr>
            <w:r>
              <w:rPr>
                <w:rFonts w:ascii="Arial" w:cs="Arial" w:eastAsia="Arial" w:hAnsi="Arial"/>
                <w:sz w:val="21"/>
                <w:szCs w:val="21"/>
                <w:color w:val="auto"/>
              </w:rPr>
              <w:t>Article 15. Dividend Equivalents</w:t>
            </w:r>
          </w:p>
        </w:tc>
        <w:tc>
          <w:tcPr>
            <w:tcW w:w="2820" w:type="dxa"/>
            <w:vAlign w:val="bottom"/>
          </w:tcPr>
          <w:p>
            <w:pPr>
              <w:jc w:val="right"/>
              <w:ind w:right="2214"/>
              <w:spacing w:after="0" w:line="239" w:lineRule="exact"/>
              <w:rPr>
                <w:sz w:val="20"/>
                <w:szCs w:val="20"/>
                <w:color w:val="auto"/>
              </w:rPr>
            </w:pPr>
            <w:r>
              <w:rPr>
                <w:rFonts w:ascii="Arial" w:cs="Arial" w:eastAsia="Arial" w:hAnsi="Arial"/>
                <w:sz w:val="21"/>
                <w:szCs w:val="21"/>
                <w:color w:val="auto"/>
              </w:rPr>
              <w:t>23</w:t>
            </w:r>
          </w:p>
        </w:tc>
      </w:tr>
      <w:tr>
        <w:trPr>
          <w:trHeight w:val="239"/>
        </w:trPr>
        <w:tc>
          <w:tcPr>
            <w:tcW w:w="8440" w:type="dxa"/>
            <w:vAlign w:val="bottom"/>
          </w:tcPr>
          <w:p>
            <w:pPr>
              <w:spacing w:after="0" w:line="239" w:lineRule="exact"/>
              <w:rPr>
                <w:sz w:val="20"/>
                <w:szCs w:val="20"/>
                <w:color w:val="auto"/>
              </w:rPr>
            </w:pPr>
            <w:r>
              <w:rPr>
                <w:rFonts w:ascii="Arial" w:cs="Arial" w:eastAsia="Arial" w:hAnsi="Arial"/>
                <w:sz w:val="21"/>
                <w:szCs w:val="21"/>
                <w:color w:val="auto"/>
              </w:rPr>
              <w:t>Article 16. Beneficiary Designation</w:t>
            </w:r>
          </w:p>
        </w:tc>
        <w:tc>
          <w:tcPr>
            <w:tcW w:w="2820" w:type="dxa"/>
            <w:vAlign w:val="bottom"/>
          </w:tcPr>
          <w:p>
            <w:pPr>
              <w:jc w:val="right"/>
              <w:ind w:right="2214"/>
              <w:spacing w:after="0" w:line="239" w:lineRule="exact"/>
              <w:rPr>
                <w:sz w:val="20"/>
                <w:szCs w:val="20"/>
                <w:color w:val="auto"/>
              </w:rPr>
            </w:pPr>
            <w:r>
              <w:rPr>
                <w:rFonts w:ascii="Arial" w:cs="Arial" w:eastAsia="Arial" w:hAnsi="Arial"/>
                <w:sz w:val="21"/>
                <w:szCs w:val="21"/>
                <w:color w:val="auto"/>
              </w:rPr>
              <w:t>24</w:t>
            </w:r>
          </w:p>
        </w:tc>
      </w:tr>
      <w:tr>
        <w:trPr>
          <w:trHeight w:val="239"/>
        </w:trPr>
        <w:tc>
          <w:tcPr>
            <w:tcW w:w="8440" w:type="dxa"/>
            <w:vAlign w:val="bottom"/>
          </w:tcPr>
          <w:p>
            <w:pPr>
              <w:spacing w:after="0" w:line="239" w:lineRule="exact"/>
              <w:rPr>
                <w:sz w:val="20"/>
                <w:szCs w:val="20"/>
                <w:color w:val="auto"/>
              </w:rPr>
            </w:pPr>
            <w:r>
              <w:rPr>
                <w:rFonts w:ascii="Arial" w:cs="Arial" w:eastAsia="Arial" w:hAnsi="Arial"/>
                <w:sz w:val="21"/>
                <w:szCs w:val="21"/>
                <w:color w:val="auto"/>
              </w:rPr>
              <w:t>Article 17. Rights of Participants</w:t>
            </w:r>
          </w:p>
        </w:tc>
        <w:tc>
          <w:tcPr>
            <w:tcW w:w="2820" w:type="dxa"/>
            <w:vAlign w:val="bottom"/>
          </w:tcPr>
          <w:p>
            <w:pPr>
              <w:jc w:val="right"/>
              <w:ind w:right="2214"/>
              <w:spacing w:after="0" w:line="239" w:lineRule="exact"/>
              <w:rPr>
                <w:sz w:val="20"/>
                <w:szCs w:val="20"/>
                <w:color w:val="auto"/>
              </w:rPr>
            </w:pPr>
            <w:r>
              <w:rPr>
                <w:rFonts w:ascii="Arial" w:cs="Arial" w:eastAsia="Arial" w:hAnsi="Arial"/>
                <w:sz w:val="21"/>
                <w:szCs w:val="21"/>
                <w:color w:val="auto"/>
              </w:rPr>
              <w:t>24</w:t>
            </w:r>
          </w:p>
        </w:tc>
      </w:tr>
      <w:tr>
        <w:trPr>
          <w:trHeight w:val="239"/>
        </w:trPr>
        <w:tc>
          <w:tcPr>
            <w:tcW w:w="8440" w:type="dxa"/>
            <w:vAlign w:val="bottom"/>
          </w:tcPr>
          <w:p>
            <w:pPr>
              <w:spacing w:after="0" w:line="239" w:lineRule="exact"/>
              <w:rPr>
                <w:sz w:val="20"/>
                <w:szCs w:val="20"/>
                <w:color w:val="auto"/>
              </w:rPr>
            </w:pPr>
            <w:r>
              <w:rPr>
                <w:rFonts w:ascii="Arial" w:cs="Arial" w:eastAsia="Arial" w:hAnsi="Arial"/>
                <w:sz w:val="21"/>
                <w:szCs w:val="21"/>
                <w:color w:val="auto"/>
              </w:rPr>
              <w:t>Article 18. Change of Control</w:t>
            </w:r>
          </w:p>
        </w:tc>
        <w:tc>
          <w:tcPr>
            <w:tcW w:w="2820" w:type="dxa"/>
            <w:vAlign w:val="bottom"/>
          </w:tcPr>
          <w:p>
            <w:pPr>
              <w:jc w:val="right"/>
              <w:ind w:right="2214"/>
              <w:spacing w:after="0" w:line="239" w:lineRule="exact"/>
              <w:rPr>
                <w:sz w:val="20"/>
                <w:szCs w:val="20"/>
                <w:color w:val="auto"/>
              </w:rPr>
            </w:pPr>
            <w:r>
              <w:rPr>
                <w:rFonts w:ascii="Arial" w:cs="Arial" w:eastAsia="Arial" w:hAnsi="Arial"/>
                <w:sz w:val="21"/>
                <w:szCs w:val="21"/>
                <w:color w:val="auto"/>
              </w:rPr>
              <w:t>24</w:t>
            </w:r>
          </w:p>
        </w:tc>
      </w:tr>
      <w:tr>
        <w:trPr>
          <w:trHeight w:val="239"/>
        </w:trPr>
        <w:tc>
          <w:tcPr>
            <w:tcW w:w="8440" w:type="dxa"/>
            <w:vAlign w:val="bottom"/>
          </w:tcPr>
          <w:p>
            <w:pPr>
              <w:spacing w:after="0" w:line="239" w:lineRule="exact"/>
              <w:rPr>
                <w:sz w:val="20"/>
                <w:szCs w:val="20"/>
                <w:color w:val="auto"/>
              </w:rPr>
            </w:pPr>
            <w:r>
              <w:rPr>
                <w:rFonts w:ascii="Arial" w:cs="Arial" w:eastAsia="Arial" w:hAnsi="Arial"/>
                <w:sz w:val="21"/>
                <w:szCs w:val="21"/>
                <w:color w:val="auto"/>
              </w:rPr>
              <w:t>Article 19. Amendment and Termination</w:t>
            </w:r>
          </w:p>
        </w:tc>
        <w:tc>
          <w:tcPr>
            <w:tcW w:w="2820" w:type="dxa"/>
            <w:vAlign w:val="bottom"/>
          </w:tcPr>
          <w:p>
            <w:pPr>
              <w:jc w:val="right"/>
              <w:ind w:right="2214"/>
              <w:spacing w:after="0" w:line="239" w:lineRule="exact"/>
              <w:rPr>
                <w:sz w:val="20"/>
                <w:szCs w:val="20"/>
                <w:color w:val="auto"/>
              </w:rPr>
            </w:pPr>
            <w:r>
              <w:rPr>
                <w:rFonts w:ascii="Arial" w:cs="Arial" w:eastAsia="Arial" w:hAnsi="Arial"/>
                <w:sz w:val="21"/>
                <w:szCs w:val="21"/>
                <w:color w:val="auto"/>
              </w:rPr>
              <w:t>26</w:t>
            </w:r>
          </w:p>
        </w:tc>
      </w:tr>
      <w:tr>
        <w:trPr>
          <w:trHeight w:val="239"/>
        </w:trPr>
        <w:tc>
          <w:tcPr>
            <w:tcW w:w="8440" w:type="dxa"/>
            <w:vAlign w:val="bottom"/>
          </w:tcPr>
          <w:p>
            <w:pPr>
              <w:spacing w:after="0" w:line="239" w:lineRule="exact"/>
              <w:rPr>
                <w:sz w:val="20"/>
                <w:szCs w:val="20"/>
                <w:color w:val="auto"/>
              </w:rPr>
            </w:pPr>
            <w:r>
              <w:rPr>
                <w:rFonts w:ascii="Arial" w:cs="Arial" w:eastAsia="Arial" w:hAnsi="Arial"/>
                <w:sz w:val="21"/>
                <w:szCs w:val="21"/>
                <w:color w:val="auto"/>
              </w:rPr>
              <w:t>Article 20. Withholding</w:t>
            </w:r>
          </w:p>
        </w:tc>
        <w:tc>
          <w:tcPr>
            <w:tcW w:w="2820" w:type="dxa"/>
            <w:vAlign w:val="bottom"/>
          </w:tcPr>
          <w:p>
            <w:pPr>
              <w:jc w:val="right"/>
              <w:ind w:right="2214"/>
              <w:spacing w:after="0" w:line="239" w:lineRule="exact"/>
              <w:rPr>
                <w:sz w:val="20"/>
                <w:szCs w:val="20"/>
                <w:color w:val="auto"/>
              </w:rPr>
            </w:pPr>
            <w:r>
              <w:rPr>
                <w:rFonts w:ascii="Arial" w:cs="Arial" w:eastAsia="Arial" w:hAnsi="Arial"/>
                <w:sz w:val="21"/>
                <w:szCs w:val="21"/>
                <w:color w:val="auto"/>
              </w:rPr>
              <w:t>28</w:t>
            </w:r>
          </w:p>
        </w:tc>
      </w:tr>
      <w:tr>
        <w:trPr>
          <w:trHeight w:val="239"/>
        </w:trPr>
        <w:tc>
          <w:tcPr>
            <w:tcW w:w="8440" w:type="dxa"/>
            <w:vAlign w:val="bottom"/>
          </w:tcPr>
          <w:p>
            <w:pPr>
              <w:spacing w:after="0" w:line="239" w:lineRule="exact"/>
              <w:rPr>
                <w:sz w:val="20"/>
                <w:szCs w:val="20"/>
                <w:color w:val="auto"/>
              </w:rPr>
            </w:pPr>
            <w:r>
              <w:rPr>
                <w:rFonts w:ascii="Arial" w:cs="Arial" w:eastAsia="Arial" w:hAnsi="Arial"/>
                <w:sz w:val="21"/>
                <w:szCs w:val="21"/>
                <w:color w:val="auto"/>
              </w:rPr>
              <w:t>Article 21. Successors</w:t>
            </w:r>
          </w:p>
        </w:tc>
        <w:tc>
          <w:tcPr>
            <w:tcW w:w="2820" w:type="dxa"/>
            <w:vAlign w:val="bottom"/>
          </w:tcPr>
          <w:p>
            <w:pPr>
              <w:jc w:val="right"/>
              <w:ind w:right="2214"/>
              <w:spacing w:after="0" w:line="239" w:lineRule="exact"/>
              <w:rPr>
                <w:sz w:val="20"/>
                <w:szCs w:val="20"/>
                <w:color w:val="auto"/>
              </w:rPr>
            </w:pPr>
            <w:r>
              <w:rPr>
                <w:rFonts w:ascii="Arial" w:cs="Arial" w:eastAsia="Arial" w:hAnsi="Arial"/>
                <w:sz w:val="21"/>
                <w:szCs w:val="21"/>
                <w:color w:val="auto"/>
              </w:rPr>
              <w:t>28</w:t>
            </w:r>
          </w:p>
        </w:tc>
      </w:tr>
      <w:tr>
        <w:trPr>
          <w:trHeight w:val="239"/>
        </w:trPr>
        <w:tc>
          <w:tcPr>
            <w:tcW w:w="8440" w:type="dxa"/>
            <w:vAlign w:val="bottom"/>
          </w:tcPr>
          <w:p>
            <w:pPr>
              <w:spacing w:after="0" w:line="239" w:lineRule="exact"/>
              <w:rPr>
                <w:sz w:val="20"/>
                <w:szCs w:val="20"/>
                <w:color w:val="auto"/>
              </w:rPr>
            </w:pPr>
            <w:r>
              <w:rPr>
                <w:rFonts w:ascii="Arial" w:cs="Arial" w:eastAsia="Arial" w:hAnsi="Arial"/>
                <w:sz w:val="21"/>
                <w:szCs w:val="21"/>
                <w:color w:val="auto"/>
              </w:rPr>
              <w:t>Article 22. Substituted Awards</w:t>
            </w:r>
          </w:p>
        </w:tc>
        <w:tc>
          <w:tcPr>
            <w:tcW w:w="2820" w:type="dxa"/>
            <w:vAlign w:val="bottom"/>
          </w:tcPr>
          <w:p>
            <w:pPr>
              <w:jc w:val="right"/>
              <w:ind w:right="2214"/>
              <w:spacing w:after="0" w:line="239" w:lineRule="exact"/>
              <w:rPr>
                <w:sz w:val="20"/>
                <w:szCs w:val="20"/>
                <w:color w:val="auto"/>
              </w:rPr>
            </w:pPr>
            <w:r>
              <w:rPr>
                <w:rFonts w:ascii="Arial" w:cs="Arial" w:eastAsia="Arial" w:hAnsi="Arial"/>
                <w:sz w:val="21"/>
                <w:szCs w:val="21"/>
                <w:color w:val="auto"/>
              </w:rPr>
              <w:t>28</w:t>
            </w:r>
          </w:p>
        </w:tc>
      </w:tr>
      <w:tr>
        <w:trPr>
          <w:trHeight w:val="257"/>
        </w:trPr>
        <w:tc>
          <w:tcPr>
            <w:tcW w:w="8440" w:type="dxa"/>
            <w:vAlign w:val="bottom"/>
          </w:tcPr>
          <w:p>
            <w:pPr>
              <w:spacing w:after="0"/>
              <w:rPr>
                <w:sz w:val="20"/>
                <w:szCs w:val="20"/>
                <w:color w:val="auto"/>
              </w:rPr>
            </w:pPr>
            <w:r>
              <w:rPr>
                <w:rFonts w:ascii="Arial" w:cs="Arial" w:eastAsia="Arial" w:hAnsi="Arial"/>
                <w:sz w:val="21"/>
                <w:szCs w:val="21"/>
                <w:color w:val="auto"/>
              </w:rPr>
              <w:t>Article 23. General Provisions</w:t>
            </w:r>
          </w:p>
        </w:tc>
        <w:tc>
          <w:tcPr>
            <w:tcW w:w="2820" w:type="dxa"/>
            <w:vAlign w:val="bottom"/>
          </w:tcPr>
          <w:p>
            <w:pPr>
              <w:jc w:val="right"/>
              <w:ind w:right="2214"/>
              <w:spacing w:after="0"/>
              <w:rPr>
                <w:sz w:val="20"/>
                <w:szCs w:val="20"/>
                <w:color w:val="auto"/>
              </w:rPr>
            </w:pPr>
            <w:r>
              <w:rPr>
                <w:rFonts w:ascii="Arial" w:cs="Arial" w:eastAsia="Arial" w:hAnsi="Arial"/>
                <w:sz w:val="21"/>
                <w:szCs w:val="21"/>
                <w:color w:val="auto"/>
              </w:rPr>
              <w:t>28</w:t>
            </w:r>
          </w:p>
        </w:tc>
      </w:tr>
      <w:tr>
        <w:trPr>
          <w:trHeight w:val="1312"/>
        </w:trPr>
        <w:tc>
          <w:tcPr>
            <w:tcW w:w="844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-29210</wp:posOffset>
            </wp:positionV>
            <wp:extent cx="3365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165"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The Toro Company</w:t>
      </w:r>
    </w:p>
    <w:p>
      <w:pPr>
        <w:spacing w:after="0" w:line="46"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2022 Equity and Incentive Plan</w:t>
      </w: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Article 1. Establishment, Purpose and Duration</w:t>
      </w:r>
    </w:p>
    <w:p>
      <w:pPr>
        <w:spacing w:after="0" w:line="205" w:lineRule="exact"/>
        <w:rPr>
          <w:sz w:val="20"/>
          <w:szCs w:val="20"/>
          <w:color w:val="auto"/>
        </w:rPr>
      </w:pPr>
    </w:p>
    <w:p>
      <w:pPr>
        <w:jc w:val="both"/>
        <w:ind w:firstLine="802"/>
        <w:spacing w:after="0" w:line="235" w:lineRule="auto"/>
        <w:rPr>
          <w:sz w:val="20"/>
          <w:szCs w:val="20"/>
          <w:color w:val="auto"/>
        </w:rPr>
      </w:pPr>
      <w:r>
        <w:rPr>
          <w:rFonts w:ascii="Arial" w:cs="Arial" w:eastAsia="Arial" w:hAnsi="Arial"/>
          <w:sz w:val="18"/>
          <w:szCs w:val="18"/>
          <w:b w:val="1"/>
          <w:bCs w:val="1"/>
          <w:color w:val="auto"/>
        </w:rPr>
        <w:t>1.1 Establishment</w:t>
      </w:r>
      <w:r>
        <w:rPr>
          <w:rFonts w:ascii="Arial" w:cs="Arial" w:eastAsia="Arial" w:hAnsi="Arial"/>
          <w:sz w:val="18"/>
          <w:szCs w:val="18"/>
          <w:color w:val="auto"/>
        </w:rPr>
        <w:t>. The Toro Company, a Delaware corporation (the “Company”), has established an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compensation plan known as The Toro Company 2022 Equity and Incentive Plan, as set forth in this document (this “Plan”). This Plan provides for the grant of Nonqualified Stock Options, Incentive Stock Options, Stock Appreciation Rights, Restricted Stock, Restricted Stock Units, Performance Shares, Performance Units, Annual Performance Awards, Nonemployee Director Awards, Other Cash-Based Awards and Other Stock-Based Awards, each as defined below in Article 2. This Plan will become effective upon its approval by the shareholders of the Company (the “Effective Date”) and will remain in effect as provided in Section 1.3. On the Effective Date, this Plan will replace and supersede in its entirety The Toro Company Amended and Restated 2010 Equity and Incentive Plan, as amended (the “Prior Plan”);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awards outstanding under the Prior Plan as of the Effective Date shall remain outstanding in accordance with their terms. After the Effective Date, no more grants of awards shall be made under the Prior Plan.</w:t>
      </w:r>
    </w:p>
    <w:p>
      <w:pPr>
        <w:spacing w:after="0" w:line="184"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b w:val="1"/>
          <w:bCs w:val="1"/>
          <w:color w:val="auto"/>
        </w:rPr>
        <w:t>1.2 Purpose of This Plan</w:t>
      </w:r>
      <w:r>
        <w:rPr>
          <w:rFonts w:ascii="Arial" w:cs="Arial" w:eastAsia="Arial" w:hAnsi="Arial"/>
          <w:sz w:val="18"/>
          <w:szCs w:val="18"/>
          <w:color w:val="auto"/>
        </w:rPr>
        <w:t>. The purpose of this Plan is to provide a means whereby Employees, Directors and Third-Party</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Providers, each as defined below in Article 2, develop a sense of ownership and personal involvement in the development and financial success of the Company, and to encourage them to devote their best efforts to the business of the Company, thereby advancing the interests of the Company and its shareholders. A further purpose of this Plan is to provide a means through which the Company may attract talented and qualified individuals to become Employees or serve as Directors or Third-Party Service Providers, and provide a means for such individuals to acquire and maintain stock ownership, which facilitates alignment of interests with the Company’s shareholders.</w:t>
      </w:r>
    </w:p>
    <w:p>
      <w:pPr>
        <w:spacing w:after="0" w:line="178" w:lineRule="exact"/>
        <w:rPr>
          <w:sz w:val="20"/>
          <w:szCs w:val="20"/>
          <w:color w:val="auto"/>
        </w:rPr>
      </w:pPr>
    </w:p>
    <w:p>
      <w:pPr>
        <w:jc w:val="both"/>
        <w:ind w:firstLine="802"/>
        <w:spacing w:after="0" w:line="247" w:lineRule="auto"/>
        <w:rPr>
          <w:sz w:val="20"/>
          <w:szCs w:val="20"/>
          <w:color w:val="auto"/>
        </w:rPr>
      </w:pPr>
      <w:r>
        <w:rPr>
          <w:rFonts w:ascii="Arial" w:cs="Arial" w:eastAsia="Arial" w:hAnsi="Arial"/>
          <w:sz w:val="18"/>
          <w:szCs w:val="18"/>
          <w:b w:val="1"/>
          <w:bCs w:val="1"/>
          <w:color w:val="auto"/>
        </w:rPr>
        <w:t>1.3 Duration of This Plan</w:t>
      </w:r>
      <w:r>
        <w:rPr>
          <w:rFonts w:ascii="Arial" w:cs="Arial" w:eastAsia="Arial" w:hAnsi="Arial"/>
          <w:sz w:val="18"/>
          <w:szCs w:val="18"/>
          <w:color w:val="auto"/>
        </w:rPr>
        <w:t>. Unless sooner terminated as provided herein, this Plan shall terminate ten (10) years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 After this Plan is terminated, no Awards (as defined below in Article 2) may be granted but Awards previously granted shall remain outstanding in accordance with their applicable terms and conditions and this Plan’s terms and conditions.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Article 2. Definitions</w:t>
      </w:r>
    </w:p>
    <w:p>
      <w:pPr>
        <w:spacing w:after="0" w:line="227"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color w:val="auto"/>
        </w:rPr>
        <w:t>Whenever used in this Plan, the following terms shall have the meanings set forth below, and when the meaning is intended, the initial letter of the word shall be capitalized.</w:t>
      </w:r>
    </w:p>
    <w:p>
      <w:pPr>
        <w:spacing w:after="0" w:line="179"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 corporation or other entity (including a partnership or a limited liability company) that is controlled by,</w:t>
      </w:r>
      <w:r>
        <w:rPr>
          <w:rFonts w:ascii="Arial" w:cs="Arial" w:eastAsia="Arial" w:hAnsi="Arial"/>
          <w:sz w:val="18"/>
          <w:szCs w:val="18"/>
          <w:b w:val="1"/>
          <w:bCs w:val="1"/>
          <w:color w:val="auto"/>
        </w:rPr>
        <w:t xml:space="preserve"> </w:t>
      </w:r>
      <w:r>
        <w:rPr>
          <w:rFonts w:ascii="Arial" w:cs="Arial" w:eastAsia="Arial" w:hAnsi="Arial"/>
          <w:sz w:val="18"/>
          <w:szCs w:val="18"/>
          <w:color w:val="auto"/>
        </w:rPr>
        <w:t>controlling, or under common control with, the Company, and is designated as an Affiliate for purposes of this Plan by the Committee.</w:t>
      </w:r>
    </w:p>
    <w:p>
      <w:pPr>
        <w:spacing w:after="0" w:line="158"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color w:val="auto"/>
        </w:rPr>
        <w:t>“</w:t>
      </w:r>
      <w:r>
        <w:rPr>
          <w:rFonts w:ascii="Arial" w:cs="Arial" w:eastAsia="Arial" w:hAnsi="Arial"/>
          <w:sz w:val="18"/>
          <w:szCs w:val="18"/>
          <w:b w:val="1"/>
          <w:bCs w:val="1"/>
          <w:color w:val="auto"/>
        </w:rPr>
        <w:t>Adverse Action</w:t>
      </w:r>
      <w:r>
        <w:rPr>
          <w:rFonts w:ascii="Arial" w:cs="Arial" w:eastAsia="Arial" w:hAnsi="Arial"/>
          <w:sz w:val="18"/>
          <w:szCs w:val="18"/>
          <w:color w:val="auto"/>
        </w:rPr>
        <w:t>” means any Participant, during or within one (1) year after the termination of employment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with the Company, an Affiliate or a Subsidiary, (a) being employed or retained by or rendering services to any organization that, directly or indirectly, competes with or becomes competitive with the Company or such Affiliate or Subsidiary, or rendering such services that are prejudicial or in conflict with the interests of the Company, an Affiliate or a Subsidiary, as reasonably determined by the Committee, or (b) violating any confidentiality agreement or agreement governing the ownership or assignment of intellectual property rights with the Company, as reasonably determined by the Committee, or (c) engaging in any other misconduct or significant act reasonably determined by the Committee to be injurious, detrimental or prejudicial to any interest of the Company, an Affiliate or a Subsidiary.</w:t>
      </w:r>
    </w:p>
    <w:p>
      <w:pPr>
        <w:spacing w:after="0" w:line="178"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Annual Performance Award</w:t>
      </w:r>
      <w:r>
        <w:rPr>
          <w:rFonts w:ascii="Arial" w:cs="Arial" w:eastAsia="Arial" w:hAnsi="Arial"/>
          <w:sz w:val="17"/>
          <w:szCs w:val="17"/>
          <w:color w:val="auto"/>
        </w:rPr>
        <w:t>” has the meaning set forth in Section 10.1.</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182" w:lineRule="exact"/>
        <w:rPr>
          <w:sz w:val="20"/>
          <w:szCs w:val="20"/>
          <w:color w:val="auto"/>
        </w:rPr>
      </w:pPr>
    </w:p>
    <w:p>
      <w:pPr>
        <w:jc w:val="both"/>
        <w:ind w:firstLine="802"/>
        <w:spacing w:after="0" w:line="242" w:lineRule="auto"/>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color w:val="auto"/>
        </w:rPr>
        <w:t>“</w:t>
      </w:r>
      <w:r>
        <w:rPr>
          <w:rFonts w:ascii="Arial" w:cs="Arial" w:eastAsia="Arial" w:hAnsi="Arial"/>
          <w:sz w:val="18"/>
          <w:szCs w:val="18"/>
          <w:b w:val="1"/>
          <w:bCs w:val="1"/>
          <w:color w:val="auto"/>
        </w:rPr>
        <w:t>Award</w:t>
      </w:r>
      <w:r>
        <w:rPr>
          <w:rFonts w:ascii="Arial" w:cs="Arial" w:eastAsia="Arial" w:hAnsi="Arial"/>
          <w:sz w:val="18"/>
          <w:szCs w:val="18"/>
          <w:color w:val="auto"/>
        </w:rPr>
        <w:t>” means, individually or collectively, a grant under this Plan of Nonqualified Stock Options, Incentive Stock</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Stock Appreciation Rights, Restricted Stock, Restricted Stock Units, Performance Shares, Performance Units, Annual Performance Awards, Nonemployee Director Awards, Other Cash-Based Awards or Other Stock-Based Awards, in each case subject to the terms of this Plan.</w:t>
      </w:r>
    </w:p>
    <w:p>
      <w:pPr>
        <w:spacing w:after="0" w:line="384" w:lineRule="exact"/>
        <w:rPr>
          <w:sz w:val="20"/>
          <w:szCs w:val="20"/>
          <w:color w:val="auto"/>
        </w:rPr>
      </w:pPr>
    </w:p>
    <w:p>
      <w:pPr>
        <w:jc w:val="both"/>
        <w:ind w:firstLine="802"/>
        <w:spacing w:after="0" w:line="239" w:lineRule="auto"/>
        <w:rPr>
          <w:sz w:val="20"/>
          <w:szCs w:val="20"/>
          <w:color w:val="auto"/>
        </w:rPr>
      </w:pPr>
      <w:r>
        <w:rPr>
          <w:rFonts w:ascii="Arial" w:cs="Arial" w:eastAsia="Arial" w:hAnsi="Arial"/>
          <w:sz w:val="18"/>
          <w:szCs w:val="18"/>
          <w:b w:val="1"/>
          <w:bCs w:val="1"/>
          <w:color w:val="auto"/>
        </w:rPr>
        <w:t xml:space="preserve">2.5 </w:t>
      </w:r>
      <w:r>
        <w:rPr>
          <w:rFonts w:ascii="Arial" w:cs="Arial" w:eastAsia="Arial" w:hAnsi="Arial"/>
          <w:sz w:val="18"/>
          <w:szCs w:val="18"/>
          <w:color w:val="auto"/>
        </w:rPr>
        <w:t>“</w:t>
      </w:r>
      <w:r>
        <w:rPr>
          <w:rFonts w:ascii="Arial" w:cs="Arial" w:eastAsia="Arial" w:hAnsi="Arial"/>
          <w:sz w:val="18"/>
          <w:szCs w:val="18"/>
          <w:b w:val="1"/>
          <w:bCs w:val="1"/>
          <w:color w:val="auto"/>
        </w:rPr>
        <w:t>Award Agreement</w:t>
      </w:r>
      <w:r>
        <w:rPr>
          <w:rFonts w:ascii="Arial" w:cs="Arial" w:eastAsia="Arial" w:hAnsi="Arial"/>
          <w:sz w:val="18"/>
          <w:szCs w:val="18"/>
          <w:color w:val="auto"/>
        </w:rPr>
        <w:t>” means either: (a) a written or electronic agreement entered into by the Company and a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setting forth the terms and provisions applicable to an Award granted under this Plan, including any amendment or modification thereof, or (b) a written or electronic statement issued by the Company to a Participant describing the terms and provisions of such Award, including any amendment or modification thereof. The Committee may provide for the use of electronic, Internet, or other non-paper Award Agreements, and the use of electronic, Internet, or other non-paper means for the acceptance thereof and actions thereunder by a Participant.</w:t>
      </w:r>
    </w:p>
    <w:p>
      <w:pPr>
        <w:spacing w:after="0" w:line="179" w:lineRule="exact"/>
        <w:rPr>
          <w:sz w:val="20"/>
          <w:szCs w:val="20"/>
          <w:color w:val="auto"/>
        </w:rPr>
      </w:pPr>
    </w:p>
    <w:p>
      <w:pPr>
        <w:jc w:val="both"/>
        <w:ind w:right="20" w:firstLine="802"/>
        <w:spacing w:after="0" w:line="263" w:lineRule="auto"/>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18"/>
          <w:szCs w:val="18"/>
          <w:color w:val="auto"/>
        </w:rPr>
        <w:t>“</w:t>
      </w:r>
      <w:r>
        <w:rPr>
          <w:rFonts w:ascii="Arial" w:cs="Arial" w:eastAsia="Arial" w:hAnsi="Arial"/>
          <w:sz w:val="18"/>
          <w:szCs w:val="18"/>
          <w:b w:val="1"/>
          <w:bCs w:val="1"/>
          <w:color w:val="auto"/>
        </w:rPr>
        <w:t>Beneficial Owner</w:t>
      </w:r>
      <w:r>
        <w:rPr>
          <w:rFonts w:ascii="Arial" w:cs="Arial" w:eastAsia="Arial" w:hAnsi="Arial"/>
          <w:sz w:val="18"/>
          <w:szCs w:val="18"/>
          <w:color w:val="auto"/>
        </w:rPr>
        <w:t>” or “</w:t>
      </w:r>
      <w:r>
        <w:rPr>
          <w:rFonts w:ascii="Arial" w:cs="Arial" w:eastAsia="Arial" w:hAnsi="Arial"/>
          <w:sz w:val="18"/>
          <w:szCs w:val="18"/>
          <w:b w:val="1"/>
          <w:bCs w:val="1"/>
          <w:color w:val="auto"/>
        </w:rPr>
        <w:t>Beneficial Ownership</w:t>
      </w:r>
      <w:r>
        <w:rPr>
          <w:rFonts w:ascii="Arial" w:cs="Arial" w:eastAsia="Arial" w:hAnsi="Arial"/>
          <w:sz w:val="18"/>
          <w:szCs w:val="18"/>
          <w:color w:val="auto"/>
        </w:rPr>
        <w:t>” shall have the meaning ascribed to such terms in Rule 13d-3 of the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Rules and Regulations under the Exchange Act.</w:t>
      </w:r>
    </w:p>
    <w:p>
      <w:pPr>
        <w:spacing w:after="0" w:line="158"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Board</w:t>
      </w:r>
      <w:r>
        <w:rPr>
          <w:rFonts w:ascii="Arial" w:cs="Arial" w:eastAsia="Arial" w:hAnsi="Arial"/>
          <w:sz w:val="17"/>
          <w:szCs w:val="17"/>
          <w:color w:val="auto"/>
        </w:rPr>
        <w:t>” or “</w:t>
      </w:r>
      <w:r>
        <w:rPr>
          <w:rFonts w:ascii="Arial" w:cs="Arial" w:eastAsia="Arial" w:hAnsi="Arial"/>
          <w:sz w:val="17"/>
          <w:szCs w:val="17"/>
          <w:b w:val="1"/>
          <w:bCs w:val="1"/>
          <w:color w:val="auto"/>
        </w:rPr>
        <w:t>Board of Directors</w:t>
      </w:r>
      <w:r>
        <w:rPr>
          <w:rFonts w:ascii="Arial" w:cs="Arial" w:eastAsia="Arial" w:hAnsi="Arial"/>
          <w:sz w:val="17"/>
          <w:szCs w:val="17"/>
          <w:color w:val="auto"/>
        </w:rPr>
        <w:t>” means the Board of Directors of the Company.</w:t>
      </w:r>
    </w:p>
    <w:p>
      <w:pPr>
        <w:spacing w:after="0" w:line="205"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Business Combination</w:t>
      </w:r>
      <w:r>
        <w:rPr>
          <w:rFonts w:ascii="Arial" w:cs="Arial" w:eastAsia="Arial" w:hAnsi="Arial"/>
          <w:sz w:val="17"/>
          <w:szCs w:val="17"/>
          <w:color w:val="auto"/>
        </w:rPr>
        <w:t>” has the meaning set forth in Section 2.9(c).</w:t>
      </w:r>
    </w:p>
    <w:p>
      <w:pPr>
        <w:spacing w:after="0" w:line="205"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Change of Control</w:t>
      </w:r>
      <w:r>
        <w:rPr>
          <w:rFonts w:ascii="Arial" w:cs="Arial" w:eastAsia="Arial" w:hAnsi="Arial"/>
          <w:sz w:val="17"/>
          <w:szCs w:val="17"/>
          <w:color w:val="auto"/>
        </w:rPr>
        <w:t>” means any of the following events:</w:t>
      </w:r>
    </w:p>
    <w:p>
      <w:pPr>
        <w:spacing w:after="0" w:line="227" w:lineRule="exact"/>
        <w:rPr>
          <w:sz w:val="20"/>
          <w:szCs w:val="20"/>
          <w:color w:val="auto"/>
        </w:rPr>
      </w:pPr>
    </w:p>
    <w:p>
      <w:pPr>
        <w:jc w:val="both"/>
        <w:ind w:left="1600" w:hanging="796"/>
        <w:spacing w:after="0" w:line="231" w:lineRule="auto"/>
        <w:tabs>
          <w:tab w:leader="none" w:pos="16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The acquisition by any Person of Beneficial Ownership of twenty percent (20%) or more of either (i) the then-outstanding Shares of the Company (the “Outstanding Company Common Stock”) or (ii) the combined voting power of the then-outstanding voting securities of the Company entitled to vote generally in the election of directors (the “Outstanding Company Voting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for purposes of this subsection (a), the following acquisitions shall not constitute a Change of Control: (i) any acquisition directly from the Company, (ii) any acquisition by the Company,</w:t>
      </w:r>
    </w:p>
    <w:p>
      <w:pPr>
        <w:spacing w:after="0" w:line="1" w:lineRule="exact"/>
        <w:rPr>
          <w:rFonts w:ascii="Arial" w:cs="Arial" w:eastAsia="Arial" w:hAnsi="Arial"/>
          <w:sz w:val="18"/>
          <w:szCs w:val="18"/>
          <w:color w:val="auto"/>
        </w:rPr>
      </w:pPr>
    </w:p>
    <w:p>
      <w:pPr>
        <w:jc w:val="both"/>
        <w:ind w:left="1600" w:firstLine="2"/>
        <w:spacing w:after="0" w:line="236" w:lineRule="auto"/>
        <w:tabs>
          <w:tab w:leader="none" w:pos="19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acquisition by any employee benefit plan (or related trust) sponsored or maintained by the Company or any corporation controlled by the Company, or (iv) any acquisition by any corporation pursuant to a transaction that complies with clauses (i), (ii) and (iii) of subsection (c) of this Section 2.9; or</w:t>
      </w:r>
    </w:p>
    <w:p>
      <w:pPr>
        <w:spacing w:after="0" w:line="200" w:lineRule="exact"/>
        <w:rPr>
          <w:rFonts w:ascii="Arial" w:cs="Arial" w:eastAsia="Arial" w:hAnsi="Arial"/>
          <w:sz w:val="18"/>
          <w:szCs w:val="18"/>
          <w:color w:val="auto"/>
        </w:rPr>
      </w:pPr>
    </w:p>
    <w:p>
      <w:pPr>
        <w:jc w:val="both"/>
        <w:ind w:left="1600" w:hanging="796"/>
        <w:spacing w:after="0" w:line="233" w:lineRule="auto"/>
        <w:tabs>
          <w:tab w:leader="none" w:pos="16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Individuals who, as of the Effective Date, constitute the Board of Directors (the “Incumbent Board”) cease for any reason to constitute at least a majority of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202" w:lineRule="exact"/>
        <w:rPr>
          <w:rFonts w:ascii="Arial" w:cs="Arial" w:eastAsia="Arial" w:hAnsi="Arial"/>
          <w:sz w:val="18"/>
          <w:szCs w:val="18"/>
          <w:color w:val="auto"/>
        </w:rPr>
      </w:pPr>
    </w:p>
    <w:p>
      <w:pPr>
        <w:jc w:val="both"/>
        <w:ind w:left="1600" w:hanging="796"/>
        <w:spacing w:after="0" w:line="232" w:lineRule="auto"/>
        <w:tabs>
          <w:tab w:leader="none" w:pos="16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Consummation of a reorganization, merger or consolidation of the Company or sale or other disposition of all or substantially all of the assets of the Company or the acquisition by the Company of assets or stock of another entity (a “Business Combination”), in each case, unless, following such Business Combination, (i)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fifty percent (50%) of, respectively, the then-outstanding Shares and the combined voting power of the then-outstanding voting securities entitled to vote generally in the election of directors, as the case may be, of the corporation resulting from such Business Combination (including a corporation which as a result of such transaction owns the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jc w:val="both"/>
        <w:ind w:left="1620"/>
        <w:spacing w:after="0" w:line="247" w:lineRule="auto"/>
        <w:rPr>
          <w:sz w:val="20"/>
          <w:szCs w:val="20"/>
          <w:color w:val="auto"/>
        </w:rPr>
      </w:pPr>
      <w:r>
        <w:rPr>
          <w:rFonts w:ascii="Arial" w:cs="Arial" w:eastAsia="Arial" w:hAnsi="Arial"/>
          <w:sz w:val="17"/>
          <w:szCs w:val="17"/>
          <w:color w:val="auto"/>
        </w:rPr>
        <w:t>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(ii) no Person (excluding any corporation resulting from such Business Combination or any employee benefit plan (or related trust) of the Company or such corporation resulting from such Business Combination) beneficially owns, directly or indirectly, twenty percent (20%)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195" w:lineRule="exact"/>
        <w:rPr>
          <w:sz w:val="20"/>
          <w:szCs w:val="20"/>
          <w:color w:val="auto"/>
        </w:rPr>
      </w:pPr>
    </w:p>
    <w:p>
      <w:pPr>
        <w:ind w:left="1600" w:hanging="796"/>
        <w:spacing w:after="0"/>
        <w:tabs>
          <w:tab w:leader="none" w:pos="16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Approval by the shareholders of the Company of a complete liquidation or dissolution of the Company.</w:t>
      </w:r>
    </w:p>
    <w:p>
      <w:pPr>
        <w:spacing w:after="0" w:line="183" w:lineRule="exact"/>
        <w:rPr>
          <w:sz w:val="20"/>
          <w:szCs w:val="20"/>
          <w:color w:val="auto"/>
        </w:rPr>
      </w:pPr>
    </w:p>
    <w:p>
      <w:pPr>
        <w:jc w:val="both"/>
        <w:ind w:firstLine="802"/>
        <w:spacing w:after="0" w:line="247" w:lineRule="auto"/>
        <w:rPr>
          <w:sz w:val="20"/>
          <w:szCs w:val="20"/>
          <w:color w:val="auto"/>
        </w:rPr>
      </w:pPr>
      <w:r>
        <w:rPr>
          <w:rFonts w:ascii="Arial" w:cs="Arial" w:eastAsia="Arial" w:hAnsi="Arial"/>
          <w:sz w:val="18"/>
          <w:szCs w:val="18"/>
          <w:b w:val="1"/>
          <w:bCs w:val="1"/>
          <w:color w:val="auto"/>
        </w:rPr>
        <w:t xml:space="preserve">2.10 </w:t>
      </w: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U.S. Internal Revenue Code of 1986, as amended from time to time. For purposes of this Plan,</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references to sections of the Code shall be deemed to include references to any applicable regulations thereunder and any successor or similar provision.</w:t>
      </w:r>
    </w:p>
    <w:p>
      <w:pPr>
        <w:spacing w:after="0" w:line="172"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means the Compensation &amp; Human Resources Committee of the Board or a subcommittee thereof, or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committee comprised solely of directors designated by the Board to administer this Plan who are (a) “non-employee directors” within the meaning of Rule 16b-3 under the Exchange Act and (b) “independent directors” (as defined in the rules of The New York Stock Exchange). The members of the Committee shall be appointed from time to time by and shall serve at the discretion of the Board. If the Committee does not exist or cannot function for any reason, the Board may take any action under this Plan that would otherwise be the responsibility of the Committee.</w:t>
      </w:r>
    </w:p>
    <w:p>
      <w:pPr>
        <w:spacing w:after="0" w:line="178" w:lineRule="exact"/>
        <w:rPr>
          <w:sz w:val="20"/>
          <w:szCs w:val="20"/>
          <w:color w:val="auto"/>
        </w:rPr>
      </w:pPr>
    </w:p>
    <w:p>
      <w:pPr>
        <w:ind w:left="800"/>
        <w:spacing w:after="0"/>
        <w:tabs>
          <w:tab w:leader="none" w:pos="178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The Toro Company, a Delaware corporation, and any successor thereto as provided in Article 21</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183" w:lineRule="exact"/>
        <w:rPr>
          <w:sz w:val="20"/>
          <w:szCs w:val="20"/>
          <w:color w:val="auto"/>
        </w:rPr>
      </w:pPr>
    </w:p>
    <w:p>
      <w:pPr>
        <w:ind w:left="800"/>
        <w:spacing w:after="0"/>
        <w:tabs>
          <w:tab w:leader="none" w:pos="178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Director</w:t>
      </w:r>
      <w:r>
        <w:rPr>
          <w:rFonts w:ascii="Arial" w:cs="Arial" w:eastAsia="Arial" w:hAnsi="Arial"/>
          <w:sz w:val="17"/>
          <w:szCs w:val="17"/>
          <w:color w:val="auto"/>
        </w:rPr>
        <w:t>” means any individual who is a member of the Board of Directors of the Company.</w:t>
      </w:r>
    </w:p>
    <w:p>
      <w:pPr>
        <w:spacing w:after="0" w:line="205" w:lineRule="exact"/>
        <w:rPr>
          <w:sz w:val="20"/>
          <w:szCs w:val="20"/>
          <w:color w:val="auto"/>
        </w:rPr>
      </w:pPr>
    </w:p>
    <w:p>
      <w:pPr>
        <w:jc w:val="both"/>
        <w:ind w:firstLine="802"/>
        <w:spacing w:after="0" w:line="247" w:lineRule="auto"/>
        <w:rPr>
          <w:sz w:val="20"/>
          <w:szCs w:val="20"/>
          <w:color w:val="auto"/>
        </w:rPr>
      </w:pPr>
      <w:r>
        <w:rPr>
          <w:rFonts w:ascii="Arial" w:cs="Arial" w:eastAsia="Arial" w:hAnsi="Arial"/>
          <w:sz w:val="18"/>
          <w:szCs w:val="18"/>
          <w:b w:val="1"/>
          <w:bCs w:val="1"/>
          <w:color w:val="auto"/>
        </w:rPr>
        <w:t xml:space="preserve">2.14 </w:t>
      </w: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the disability of the Participant such as would entitle the Participant to receive disability income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pursuant to the long-term disability plan of the Company, Affiliate or Subsidiary then covering the Participant or, if no such plan exists or is applicable to the Participant, the permanent and total disability of the Participant within the meaning of Code Section 22(e)(3).</w:t>
      </w:r>
    </w:p>
    <w:p>
      <w:pPr>
        <w:spacing w:after="0" w:line="172" w:lineRule="exact"/>
        <w:rPr>
          <w:sz w:val="20"/>
          <w:szCs w:val="20"/>
          <w:color w:val="auto"/>
        </w:rPr>
      </w:pPr>
    </w:p>
    <w:tbl>
      <w:tblPr>
        <w:tblLayout w:type="fixed"/>
        <w:tblInd w:w="800" w:type="dxa"/>
        <w:tblCellMar>
          <w:top w:w="0" w:type="dxa"/>
          <w:left w:w="0" w:type="dxa"/>
          <w:bottom w:w="0" w:type="dxa"/>
          <w:right w:w="0" w:type="dxa"/>
        </w:tblCellMar>
      </w:tblPr>
      <w:tr>
        <w:trPr>
          <w:trHeight w:val="234"/>
        </w:trPr>
        <w:tc>
          <w:tcPr>
            <w:tcW w:w="680" w:type="dxa"/>
            <w:vAlign w:val="bottom"/>
          </w:tcPr>
          <w:p>
            <w:pPr>
              <w:jc w:val="right"/>
              <w:ind w:right="231"/>
              <w:spacing w:after="0"/>
              <w:rPr>
                <w:sz w:val="20"/>
                <w:szCs w:val="20"/>
                <w:color w:val="auto"/>
              </w:rPr>
            </w:pPr>
            <w:r>
              <w:rPr>
                <w:rFonts w:ascii="Arial" w:cs="Arial" w:eastAsia="Arial" w:hAnsi="Arial"/>
                <w:sz w:val="18"/>
                <w:szCs w:val="18"/>
                <w:b w:val="1"/>
                <w:bCs w:val="1"/>
                <w:color w:val="auto"/>
                <w:w w:val="96"/>
              </w:rPr>
              <w:t>2.15</w:t>
            </w:r>
          </w:p>
        </w:tc>
        <w:tc>
          <w:tcPr>
            <w:tcW w:w="5600" w:type="dxa"/>
            <w:vAlign w:val="bottom"/>
          </w:tcPr>
          <w:p>
            <w:pPr>
              <w:ind w:left="320"/>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b w:val="1"/>
                <w:bCs w:val="1"/>
                <w:color w:val="auto"/>
                <w:w w:val="97"/>
              </w:rPr>
              <w:t>Dividend Equivalents</w:t>
            </w:r>
            <w:r>
              <w:rPr>
                <w:rFonts w:ascii="Arial" w:cs="Arial" w:eastAsia="Arial" w:hAnsi="Arial"/>
                <w:sz w:val="18"/>
                <w:szCs w:val="18"/>
                <w:color w:val="auto"/>
                <w:w w:val="97"/>
              </w:rPr>
              <w:t>" has the meaning set forth in Section 3.2(i).</w:t>
            </w:r>
          </w:p>
        </w:tc>
      </w:tr>
      <w:tr>
        <w:trPr>
          <w:trHeight w:val="412"/>
        </w:trPr>
        <w:tc>
          <w:tcPr>
            <w:tcW w:w="680" w:type="dxa"/>
            <w:vAlign w:val="bottom"/>
          </w:tcPr>
          <w:p>
            <w:pPr>
              <w:jc w:val="right"/>
              <w:ind w:right="231"/>
              <w:spacing w:after="0"/>
              <w:rPr>
                <w:sz w:val="20"/>
                <w:szCs w:val="20"/>
                <w:color w:val="auto"/>
              </w:rPr>
            </w:pPr>
            <w:r>
              <w:rPr>
                <w:rFonts w:ascii="Arial" w:cs="Arial" w:eastAsia="Arial" w:hAnsi="Arial"/>
                <w:sz w:val="18"/>
                <w:szCs w:val="18"/>
                <w:b w:val="1"/>
                <w:bCs w:val="1"/>
                <w:color w:val="auto"/>
                <w:w w:val="96"/>
              </w:rPr>
              <w:t>2.16</w:t>
            </w:r>
          </w:p>
        </w:tc>
        <w:tc>
          <w:tcPr>
            <w:tcW w:w="560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has the meaning set forth in Section 1.1.</w:t>
            </w:r>
          </w:p>
        </w:tc>
      </w:tr>
    </w:tbl>
    <w:p>
      <w:pPr>
        <w:spacing w:after="0" w:line="178"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b w:val="1"/>
          <w:bCs w:val="1"/>
          <w:color w:val="auto"/>
        </w:rPr>
        <w:t xml:space="preserve">2.17 </w:t>
      </w: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 means any individual performing services for the Company, an Affiliate, or a Subsidiary and designated as</w:t>
      </w:r>
      <w:r>
        <w:rPr>
          <w:rFonts w:ascii="Arial" w:cs="Arial" w:eastAsia="Arial" w:hAnsi="Arial"/>
          <w:sz w:val="18"/>
          <w:szCs w:val="18"/>
          <w:b w:val="1"/>
          <w:bCs w:val="1"/>
          <w:color w:val="auto"/>
        </w:rPr>
        <w:t xml:space="preserve"> </w:t>
      </w:r>
      <w:r>
        <w:rPr>
          <w:rFonts w:ascii="Arial" w:cs="Arial" w:eastAsia="Arial" w:hAnsi="Arial"/>
          <w:sz w:val="18"/>
          <w:szCs w:val="18"/>
          <w:color w:val="auto"/>
        </w:rPr>
        <w:t>an employee of the Company, an Affiliate, or a Subsidiary on the payroll records thereof. An Employee shall not include any individual during any period he or she is classified or treated by the Company, Affiliate, or Subsidiary as an independent contractor, a consultant, or any employee of an employment, consulting, or temporary agency or any other entity other than the Company, Affiliate, or Subsidiary, without regard to whether such individual is subsequently determined to have been, or is subsequently retroactively reclassified as a common-law employee of the Company, Affiliate, or Subsidiary during such period. An individual shall not cease to be an Employee in the case of: (a) any leave of absence approved by the Company, or (b) transfers between locations of the Company or between the Company, any Affiliates, or any Subsidiaries. For purposes of Incentive Stock Options, no</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jc w:val="both"/>
        <w:spacing w:after="0" w:line="234" w:lineRule="auto"/>
        <w:rPr>
          <w:sz w:val="20"/>
          <w:szCs w:val="20"/>
          <w:color w:val="auto"/>
        </w:rPr>
      </w:pPr>
      <w:r>
        <w:rPr>
          <w:rFonts w:ascii="Arial" w:cs="Arial" w:eastAsia="Arial" w:hAnsi="Arial"/>
          <w:sz w:val="18"/>
          <w:szCs w:val="18"/>
          <w:color w:val="auto"/>
        </w:rPr>
        <w:t>such leave may exceed ninety (90) days, unless reemployment upon expiration of such leave is guaranteed by statute or contract. If reemployment upon expiration of a leave of absence approved by the Company, an Affiliate or a Subsidiary, as applicable, is not so guaranteed, then three (3) months following the ninety-first (91</w:t>
      </w:r>
      <w:r>
        <w:rPr>
          <w:rFonts w:ascii="Arial" w:cs="Arial" w:eastAsia="Arial" w:hAnsi="Arial"/>
          <w:sz w:val="15"/>
          <w:szCs w:val="15"/>
          <w:color w:val="auto"/>
        </w:rPr>
        <w:t>st</w:t>
      </w:r>
      <w:r>
        <w:rPr>
          <w:rFonts w:ascii="Arial" w:cs="Arial" w:eastAsia="Arial" w:hAnsi="Arial"/>
          <w:sz w:val="18"/>
          <w:szCs w:val="18"/>
          <w:color w:val="auto"/>
        </w:rPr>
        <w:t>) day of such leave, any Incentive Stock Option held by a Participant shall cease to be treated as an Incentive Stock Option and shall be treated for tax purposes as a Nonqualified Stock Option. Neither service as a Director nor payment of a Director’s fee by the Company shall be sufficient to constitute "employment" by the Company.</w:t>
      </w:r>
    </w:p>
    <w:p>
      <w:pPr>
        <w:spacing w:after="0" w:line="179" w:lineRule="exact"/>
        <w:rPr>
          <w:sz w:val="20"/>
          <w:szCs w:val="20"/>
          <w:color w:val="auto"/>
        </w:rPr>
      </w:pPr>
    </w:p>
    <w:p>
      <w:pPr>
        <w:ind w:left="800"/>
        <w:spacing w:after="0"/>
        <w:tabs>
          <w:tab w:leader="none" w:pos="1780" w:val="left"/>
        </w:tabs>
        <w:rPr>
          <w:sz w:val="20"/>
          <w:szCs w:val="20"/>
          <w:color w:val="auto"/>
        </w:rPr>
      </w:pPr>
      <w:r>
        <w:rPr>
          <w:rFonts w:ascii="Arial" w:cs="Arial" w:eastAsia="Arial" w:hAnsi="Arial"/>
          <w:sz w:val="18"/>
          <w:szCs w:val="18"/>
          <w:b w:val="1"/>
          <w:bCs w:val="1"/>
          <w:color w:val="auto"/>
        </w:rPr>
        <w:t>2.18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 from time to time, or any successor act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183"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b w:val="1"/>
          <w:bCs w:val="1"/>
          <w:color w:val="auto"/>
        </w:rPr>
        <w:t xml:space="preserve">2.19 </w:t>
      </w: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or “</w:t>
      </w:r>
      <w:r>
        <w:rPr>
          <w:rFonts w:ascii="Arial" w:cs="Arial" w:eastAsia="Arial" w:hAnsi="Arial"/>
          <w:sz w:val="18"/>
          <w:szCs w:val="18"/>
          <w:b w:val="1"/>
          <w:bCs w:val="1"/>
          <w:color w:val="auto"/>
        </w:rPr>
        <w:t>FMV</w:t>
      </w:r>
      <w:r>
        <w:rPr>
          <w:rFonts w:ascii="Arial" w:cs="Arial" w:eastAsia="Arial" w:hAnsi="Arial"/>
          <w:sz w:val="18"/>
          <w:szCs w:val="18"/>
          <w:color w:val="auto"/>
        </w:rPr>
        <w:t>” means, with respect to a Share, as of any date: (a) the closing sale price of a Share at</w:t>
      </w:r>
      <w:r>
        <w:rPr>
          <w:rFonts w:ascii="Arial" w:cs="Arial" w:eastAsia="Arial" w:hAnsi="Arial"/>
          <w:sz w:val="18"/>
          <w:szCs w:val="18"/>
          <w:b w:val="1"/>
          <w:bCs w:val="1"/>
          <w:color w:val="auto"/>
        </w:rPr>
        <w:t xml:space="preserve"> </w:t>
      </w:r>
      <w:r>
        <w:rPr>
          <w:rFonts w:ascii="Arial" w:cs="Arial" w:eastAsia="Arial" w:hAnsi="Arial"/>
          <w:sz w:val="18"/>
          <w:szCs w:val="18"/>
          <w:color w:val="auto"/>
        </w:rPr>
        <w:t>the end of the regular trading session, as reported by the New York Stock Exchange LLC, The Nasdaq Stock Market LLC, the NYSE American LLC or any national exchange on which the Shares are then listed or quoted (or, if no Shares were traded on such date, as of the next preceding date on which there was such a trade); or (b) if the Shares are not so listed, admitted to unlisted trading privileges, or reported on any national exchange, the closing sale price as of such date at the end of the regular trading session, as reported by the OTC Markets Group or OTC Bulletin Board, or other comparable service (or, if no Shares were traded or quoted on such date, as of the next preceding date on which there was such a trade or quote); or (c) if Shares are not so listed or reported, such price as the Committee determines in good faith, and consistent with the definition of “fair market value” under Code Section 409A.</w:t>
      </w:r>
    </w:p>
    <w:p>
      <w:pPr>
        <w:spacing w:after="0" w:line="180"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b w:val="1"/>
          <w:bCs w:val="1"/>
          <w:color w:val="auto"/>
        </w:rPr>
        <w:t xml:space="preserve">2.20 </w:t>
      </w:r>
      <w:r>
        <w:rPr>
          <w:rFonts w:ascii="Arial" w:cs="Arial" w:eastAsia="Arial" w:hAnsi="Arial"/>
          <w:sz w:val="18"/>
          <w:szCs w:val="18"/>
          <w:color w:val="auto"/>
        </w:rPr>
        <w:t>“</w:t>
      </w:r>
      <w:r>
        <w:rPr>
          <w:rFonts w:ascii="Arial" w:cs="Arial" w:eastAsia="Arial" w:hAnsi="Arial"/>
          <w:sz w:val="18"/>
          <w:szCs w:val="18"/>
          <w:b w:val="1"/>
          <w:bCs w:val="1"/>
          <w:color w:val="auto"/>
        </w:rPr>
        <w:t>Full-Value Award</w:t>
      </w:r>
      <w:r>
        <w:rPr>
          <w:rFonts w:ascii="Arial" w:cs="Arial" w:eastAsia="Arial" w:hAnsi="Arial"/>
          <w:sz w:val="18"/>
          <w:szCs w:val="18"/>
          <w:color w:val="auto"/>
        </w:rPr>
        <w:t>” means an Award other than in the form of an ISO, NQSO or SAR, and which is settled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issuance of Shares.</w:t>
      </w:r>
    </w:p>
    <w:p>
      <w:pPr>
        <w:spacing w:after="0" w:line="158" w:lineRule="exact"/>
        <w:rPr>
          <w:sz w:val="20"/>
          <w:szCs w:val="20"/>
          <w:color w:val="auto"/>
        </w:rPr>
      </w:pPr>
    </w:p>
    <w:p>
      <w:pPr>
        <w:ind w:left="800"/>
        <w:spacing w:after="0"/>
        <w:tabs>
          <w:tab w:leader="none" w:pos="1780" w:val="left"/>
        </w:tabs>
        <w:rPr>
          <w:sz w:val="20"/>
          <w:szCs w:val="20"/>
          <w:color w:val="auto"/>
        </w:rPr>
      </w:pPr>
      <w:r>
        <w:rPr>
          <w:rFonts w:ascii="Arial" w:cs="Arial" w:eastAsia="Arial" w:hAnsi="Arial"/>
          <w:sz w:val="18"/>
          <w:szCs w:val="18"/>
          <w:b w:val="1"/>
          <w:bCs w:val="1"/>
          <w:color w:val="auto"/>
        </w:rPr>
        <w:t>2.21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Grant Date</w:t>
      </w:r>
      <w:r>
        <w:rPr>
          <w:rFonts w:ascii="Arial" w:cs="Arial" w:eastAsia="Arial" w:hAnsi="Arial"/>
          <w:sz w:val="17"/>
          <w:szCs w:val="17"/>
          <w:color w:val="auto"/>
        </w:rPr>
        <w:t>” means the date an Award is granted to a Participant pursuant to this Plan.</w:t>
      </w:r>
    </w:p>
    <w:p>
      <w:pPr>
        <w:spacing w:after="0" w:line="205"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b w:val="1"/>
          <w:bCs w:val="1"/>
          <w:color w:val="auto"/>
        </w:rPr>
        <w:t xml:space="preserve">2.22 </w:t>
      </w:r>
      <w:r>
        <w:rPr>
          <w:rFonts w:ascii="Arial" w:cs="Arial" w:eastAsia="Arial" w:hAnsi="Arial"/>
          <w:sz w:val="18"/>
          <w:szCs w:val="18"/>
          <w:color w:val="auto"/>
        </w:rPr>
        <w:t>“</w:t>
      </w:r>
      <w:r>
        <w:rPr>
          <w:rFonts w:ascii="Arial" w:cs="Arial" w:eastAsia="Arial" w:hAnsi="Arial"/>
          <w:sz w:val="18"/>
          <w:szCs w:val="18"/>
          <w:b w:val="1"/>
          <w:bCs w:val="1"/>
          <w:color w:val="auto"/>
        </w:rPr>
        <w:t>Grant Price</w:t>
      </w:r>
      <w:r>
        <w:rPr>
          <w:rFonts w:ascii="Arial" w:cs="Arial" w:eastAsia="Arial" w:hAnsi="Arial"/>
          <w:sz w:val="18"/>
          <w:szCs w:val="18"/>
          <w:color w:val="auto"/>
        </w:rPr>
        <w:t>” means the price established at the time of grant of an SAR pursuant to Article 7, used to determine</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there is any payment due upon exercise of the SAR.</w:t>
      </w:r>
    </w:p>
    <w:p>
      <w:pPr>
        <w:spacing w:after="0" w:line="158"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b w:val="1"/>
          <w:bCs w:val="1"/>
          <w:color w:val="auto"/>
        </w:rPr>
        <w:t xml:space="preserve">2.23 </w:t>
      </w:r>
      <w:r>
        <w:rPr>
          <w:rFonts w:ascii="Arial" w:cs="Arial" w:eastAsia="Arial" w:hAnsi="Arial"/>
          <w:sz w:val="18"/>
          <w:szCs w:val="18"/>
          <w:color w:val="auto"/>
        </w:rPr>
        <w:t>“</w:t>
      </w:r>
      <w:r>
        <w:rPr>
          <w:rFonts w:ascii="Arial" w:cs="Arial" w:eastAsia="Arial" w:hAnsi="Arial"/>
          <w:sz w:val="18"/>
          <w:szCs w:val="18"/>
          <w:b w:val="1"/>
          <w:bCs w:val="1"/>
          <w:color w:val="auto"/>
        </w:rPr>
        <w:t>Incentive Stock Option</w:t>
      </w:r>
      <w:r>
        <w:rPr>
          <w:rFonts w:ascii="Arial" w:cs="Arial" w:eastAsia="Arial" w:hAnsi="Arial"/>
          <w:sz w:val="18"/>
          <w:szCs w:val="18"/>
          <w:color w:val="auto"/>
        </w:rPr>
        <w:t>” or “</w:t>
      </w:r>
      <w:r>
        <w:rPr>
          <w:rFonts w:ascii="Arial" w:cs="Arial" w:eastAsia="Arial" w:hAnsi="Arial"/>
          <w:sz w:val="18"/>
          <w:szCs w:val="18"/>
          <w:b w:val="1"/>
          <w:bCs w:val="1"/>
          <w:color w:val="auto"/>
        </w:rPr>
        <w:t>ISO</w:t>
      </w:r>
      <w:r>
        <w:rPr>
          <w:rFonts w:ascii="Arial" w:cs="Arial" w:eastAsia="Arial" w:hAnsi="Arial"/>
          <w:sz w:val="18"/>
          <w:szCs w:val="18"/>
          <w:color w:val="auto"/>
        </w:rPr>
        <w:t>” means an Option to purchase Shares granted pursuant to Article 6 to an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and that is designated as an Incentive Stock Option that is intended to meet the requirements of Code Section 422 or any successor provision.</w:t>
      </w:r>
    </w:p>
    <w:p>
      <w:pPr>
        <w:spacing w:after="0" w:line="158" w:lineRule="exact"/>
        <w:rPr>
          <w:sz w:val="20"/>
          <w:szCs w:val="20"/>
          <w:color w:val="auto"/>
        </w:rPr>
      </w:pPr>
    </w:p>
    <w:p>
      <w:pPr>
        <w:ind w:left="800"/>
        <w:spacing w:after="0"/>
        <w:tabs>
          <w:tab w:leader="none" w:pos="1780" w:val="left"/>
        </w:tabs>
        <w:rPr>
          <w:sz w:val="20"/>
          <w:szCs w:val="20"/>
          <w:color w:val="auto"/>
        </w:rPr>
      </w:pPr>
      <w:r>
        <w:rPr>
          <w:rFonts w:ascii="Arial" w:cs="Arial" w:eastAsia="Arial" w:hAnsi="Arial"/>
          <w:sz w:val="18"/>
          <w:szCs w:val="18"/>
          <w:b w:val="1"/>
          <w:bCs w:val="1"/>
          <w:color w:val="auto"/>
        </w:rPr>
        <w:t>2.24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Incumbent Board</w:t>
      </w:r>
      <w:r>
        <w:rPr>
          <w:rFonts w:ascii="Arial" w:cs="Arial" w:eastAsia="Arial" w:hAnsi="Arial"/>
          <w:sz w:val="17"/>
          <w:szCs w:val="17"/>
          <w:color w:val="auto"/>
        </w:rPr>
        <w:t>” has the meaning set forth in Section 2.9(b).</w:t>
      </w:r>
    </w:p>
    <w:p>
      <w:pPr>
        <w:spacing w:after="0" w:line="205" w:lineRule="exact"/>
        <w:rPr>
          <w:sz w:val="20"/>
          <w:szCs w:val="20"/>
          <w:color w:val="auto"/>
        </w:rPr>
      </w:pPr>
    </w:p>
    <w:p>
      <w:pPr>
        <w:jc w:val="both"/>
        <w:ind w:firstLine="802"/>
        <w:spacing w:after="0" w:line="247" w:lineRule="auto"/>
        <w:rPr>
          <w:sz w:val="20"/>
          <w:szCs w:val="20"/>
          <w:color w:val="auto"/>
        </w:rPr>
      </w:pPr>
      <w:r>
        <w:rPr>
          <w:rFonts w:ascii="Arial" w:cs="Arial" w:eastAsia="Arial" w:hAnsi="Arial"/>
          <w:sz w:val="18"/>
          <w:szCs w:val="18"/>
          <w:b w:val="1"/>
          <w:bCs w:val="1"/>
          <w:color w:val="auto"/>
        </w:rPr>
        <w:t xml:space="preserve">2.25 </w:t>
      </w:r>
      <w:r>
        <w:rPr>
          <w:rFonts w:ascii="Arial" w:cs="Arial" w:eastAsia="Arial" w:hAnsi="Arial"/>
          <w:sz w:val="18"/>
          <w:szCs w:val="18"/>
          <w:color w:val="auto"/>
        </w:rPr>
        <w:t>“</w:t>
      </w:r>
      <w:r>
        <w:rPr>
          <w:rFonts w:ascii="Arial" w:cs="Arial" w:eastAsia="Arial" w:hAnsi="Arial"/>
          <w:sz w:val="18"/>
          <w:szCs w:val="18"/>
          <w:b w:val="1"/>
          <w:bCs w:val="1"/>
          <w:color w:val="auto"/>
        </w:rPr>
        <w:t>Insider</w:t>
      </w:r>
      <w:r>
        <w:rPr>
          <w:rFonts w:ascii="Arial" w:cs="Arial" w:eastAsia="Arial" w:hAnsi="Arial"/>
          <w:sz w:val="18"/>
          <w:szCs w:val="18"/>
          <w:color w:val="auto"/>
        </w:rPr>
        <w:t>” shall mean an individual who is, on the relevant date, an officer or Director of the Company, or a more than ten</w:t>
      </w:r>
      <w:r>
        <w:rPr>
          <w:rFonts w:ascii="Arial" w:cs="Arial" w:eastAsia="Arial" w:hAnsi="Arial"/>
          <w:sz w:val="18"/>
          <w:szCs w:val="18"/>
          <w:b w:val="1"/>
          <w:bCs w:val="1"/>
          <w:color w:val="auto"/>
        </w:rPr>
        <w:t xml:space="preserve"> </w:t>
      </w:r>
      <w:r>
        <w:rPr>
          <w:rFonts w:ascii="Arial" w:cs="Arial" w:eastAsia="Arial" w:hAnsi="Arial"/>
          <w:sz w:val="18"/>
          <w:szCs w:val="18"/>
          <w:color w:val="auto"/>
        </w:rPr>
        <w:t>percent (10%) Beneficial Owner of any class of the Company’s equity securities that is registered pursuant to Section 12 of the Exchange Act, as determined by the Board in accordance with Section 16 of the Exchange Act.</w:t>
      </w:r>
    </w:p>
    <w:p>
      <w:pPr>
        <w:spacing w:after="0" w:line="172" w:lineRule="exact"/>
        <w:rPr>
          <w:sz w:val="20"/>
          <w:szCs w:val="20"/>
          <w:color w:val="auto"/>
        </w:rPr>
      </w:pPr>
    </w:p>
    <w:p>
      <w:pPr>
        <w:ind w:left="800"/>
        <w:spacing w:after="0"/>
        <w:tabs>
          <w:tab w:leader="none" w:pos="1780" w:val="left"/>
        </w:tabs>
        <w:rPr>
          <w:sz w:val="20"/>
          <w:szCs w:val="20"/>
          <w:color w:val="auto"/>
        </w:rPr>
      </w:pPr>
      <w:r>
        <w:rPr>
          <w:rFonts w:ascii="Arial" w:cs="Arial" w:eastAsia="Arial" w:hAnsi="Arial"/>
          <w:sz w:val="18"/>
          <w:szCs w:val="18"/>
          <w:b w:val="1"/>
          <w:bCs w:val="1"/>
          <w:color w:val="auto"/>
        </w:rPr>
        <w:t>2.26</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Maximum Payout</w:t>
      </w:r>
      <w:r>
        <w:rPr>
          <w:rFonts w:ascii="Arial" w:cs="Arial" w:eastAsia="Arial" w:hAnsi="Arial"/>
          <w:sz w:val="17"/>
          <w:szCs w:val="17"/>
          <w:color w:val="auto"/>
        </w:rPr>
        <w:t>” has the meaning set forth in Section 10.3.</w:t>
      </w:r>
    </w:p>
    <w:p>
      <w:pPr>
        <w:spacing w:after="0" w:line="205" w:lineRule="exact"/>
        <w:rPr>
          <w:sz w:val="20"/>
          <w:szCs w:val="20"/>
          <w:color w:val="auto"/>
        </w:rPr>
      </w:pPr>
    </w:p>
    <w:p>
      <w:pPr>
        <w:ind w:left="800"/>
        <w:spacing w:after="0"/>
        <w:tabs>
          <w:tab w:leader="none" w:pos="1780" w:val="left"/>
        </w:tabs>
        <w:rPr>
          <w:sz w:val="20"/>
          <w:szCs w:val="20"/>
          <w:color w:val="auto"/>
        </w:rPr>
      </w:pPr>
      <w:r>
        <w:rPr>
          <w:rFonts w:ascii="Arial" w:cs="Arial" w:eastAsia="Arial" w:hAnsi="Arial"/>
          <w:sz w:val="18"/>
          <w:szCs w:val="18"/>
          <w:b w:val="1"/>
          <w:bCs w:val="1"/>
          <w:color w:val="auto"/>
        </w:rPr>
        <w:t>2.27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Nonemployee Director</w:t>
      </w:r>
      <w:r>
        <w:rPr>
          <w:rFonts w:ascii="Arial" w:cs="Arial" w:eastAsia="Arial" w:hAnsi="Arial"/>
          <w:sz w:val="17"/>
          <w:szCs w:val="17"/>
          <w:color w:val="auto"/>
        </w:rPr>
        <w:t>” means a Director who is not an Employee.</w:t>
      </w:r>
    </w:p>
    <w:p>
      <w:pPr>
        <w:spacing w:after="0" w:line="205" w:lineRule="exact"/>
        <w:rPr>
          <w:sz w:val="20"/>
          <w:szCs w:val="20"/>
          <w:color w:val="auto"/>
        </w:rPr>
      </w:pPr>
    </w:p>
    <w:p>
      <w:pPr>
        <w:jc w:val="both"/>
        <w:ind w:firstLine="802"/>
        <w:spacing w:after="0" w:line="241" w:lineRule="auto"/>
        <w:rPr>
          <w:sz w:val="20"/>
          <w:szCs w:val="20"/>
          <w:color w:val="auto"/>
        </w:rPr>
      </w:pPr>
      <w:r>
        <w:rPr>
          <w:rFonts w:ascii="Arial" w:cs="Arial" w:eastAsia="Arial" w:hAnsi="Arial"/>
          <w:sz w:val="18"/>
          <w:szCs w:val="18"/>
          <w:b w:val="1"/>
          <w:bCs w:val="1"/>
          <w:color w:val="auto"/>
        </w:rPr>
        <w:t xml:space="preserve">2.28 </w:t>
      </w:r>
      <w:r>
        <w:rPr>
          <w:rFonts w:ascii="Arial" w:cs="Arial" w:eastAsia="Arial" w:hAnsi="Arial"/>
          <w:sz w:val="18"/>
          <w:szCs w:val="18"/>
          <w:color w:val="auto"/>
        </w:rPr>
        <w:t>“</w:t>
      </w:r>
      <w:r>
        <w:rPr>
          <w:rFonts w:ascii="Arial" w:cs="Arial" w:eastAsia="Arial" w:hAnsi="Arial"/>
          <w:sz w:val="18"/>
          <w:szCs w:val="18"/>
          <w:b w:val="1"/>
          <w:bCs w:val="1"/>
          <w:color w:val="auto"/>
        </w:rPr>
        <w:t>Nonemployee Director Award</w:t>
      </w:r>
      <w:r>
        <w:rPr>
          <w:rFonts w:ascii="Arial" w:cs="Arial" w:eastAsia="Arial" w:hAnsi="Arial"/>
          <w:sz w:val="18"/>
          <w:szCs w:val="18"/>
          <w:color w:val="auto"/>
        </w:rPr>
        <w:t>” means any NQSO, SAR or Full-Value Award granted, whether singly, in combination,</w:t>
      </w:r>
      <w:r>
        <w:rPr>
          <w:rFonts w:ascii="Arial" w:cs="Arial" w:eastAsia="Arial" w:hAnsi="Arial"/>
          <w:sz w:val="18"/>
          <w:szCs w:val="18"/>
          <w:b w:val="1"/>
          <w:bCs w:val="1"/>
          <w:color w:val="auto"/>
        </w:rPr>
        <w:t xml:space="preserve"> </w:t>
      </w:r>
      <w:r>
        <w:rPr>
          <w:rFonts w:ascii="Arial" w:cs="Arial" w:eastAsia="Arial" w:hAnsi="Arial"/>
          <w:sz w:val="18"/>
          <w:szCs w:val="18"/>
          <w:color w:val="auto"/>
        </w:rPr>
        <w:t>or in tandem, to a Participant who is a Nonemployee Director pursuant to such applicable terms, conditions and limitations as the Board or Committee may establish in accordance with this Plan, including any Nonemployee Director Option or Nonemployee Director Shares granted pursuant to Article 11.</w:t>
      </w:r>
    </w:p>
    <w:p>
      <w:pPr>
        <w:spacing w:after="0" w:line="179" w:lineRule="exact"/>
        <w:rPr>
          <w:sz w:val="20"/>
          <w:szCs w:val="20"/>
          <w:color w:val="auto"/>
        </w:rPr>
      </w:pPr>
    </w:p>
    <w:p>
      <w:pPr>
        <w:ind w:left="800"/>
        <w:spacing w:after="0"/>
        <w:tabs>
          <w:tab w:leader="none" w:pos="1780" w:val="left"/>
        </w:tabs>
        <w:rPr>
          <w:sz w:val="20"/>
          <w:szCs w:val="20"/>
          <w:color w:val="auto"/>
        </w:rPr>
      </w:pPr>
      <w:r>
        <w:rPr>
          <w:rFonts w:ascii="Arial" w:cs="Arial" w:eastAsia="Arial" w:hAnsi="Arial"/>
          <w:sz w:val="18"/>
          <w:szCs w:val="18"/>
          <w:b w:val="1"/>
          <w:bCs w:val="1"/>
          <w:color w:val="auto"/>
        </w:rPr>
        <w:t>2.29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Nonemployee Director Option</w:t>
      </w:r>
      <w:r>
        <w:rPr>
          <w:rFonts w:ascii="Arial" w:cs="Arial" w:eastAsia="Arial" w:hAnsi="Arial"/>
          <w:sz w:val="17"/>
          <w:szCs w:val="17"/>
          <w:color w:val="auto"/>
        </w:rPr>
        <w:t>” has the meaning set forth in Section 11.2(a).</w:t>
      </w:r>
    </w:p>
    <w:p>
      <w:pPr>
        <w:spacing w:after="0" w:line="205" w:lineRule="exact"/>
        <w:rPr>
          <w:sz w:val="20"/>
          <w:szCs w:val="20"/>
          <w:color w:val="auto"/>
        </w:rPr>
      </w:pPr>
    </w:p>
    <w:p>
      <w:pPr>
        <w:ind w:left="800"/>
        <w:spacing w:after="0"/>
        <w:tabs>
          <w:tab w:leader="none" w:pos="1780" w:val="left"/>
        </w:tabs>
        <w:rPr>
          <w:sz w:val="20"/>
          <w:szCs w:val="20"/>
          <w:color w:val="auto"/>
        </w:rPr>
      </w:pPr>
      <w:r>
        <w:rPr>
          <w:rFonts w:ascii="Arial" w:cs="Arial" w:eastAsia="Arial" w:hAnsi="Arial"/>
          <w:sz w:val="18"/>
          <w:szCs w:val="18"/>
          <w:b w:val="1"/>
          <w:bCs w:val="1"/>
          <w:color w:val="auto"/>
        </w:rPr>
        <w:t>2.30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Nonemployee Director Shares</w:t>
      </w:r>
      <w:r>
        <w:rPr>
          <w:rFonts w:ascii="Arial" w:cs="Arial" w:eastAsia="Arial" w:hAnsi="Arial"/>
          <w:sz w:val="17"/>
          <w:szCs w:val="17"/>
          <w:color w:val="auto"/>
        </w:rPr>
        <w:t>” has the meaning set forth in Section 11.1.</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182" w:lineRule="exact"/>
        <w:rPr>
          <w:sz w:val="20"/>
          <w:szCs w:val="20"/>
          <w:color w:val="auto"/>
        </w:rPr>
      </w:pPr>
    </w:p>
    <w:p>
      <w:pPr>
        <w:jc w:val="both"/>
        <w:ind w:firstLine="802"/>
        <w:spacing w:after="0" w:line="247" w:lineRule="auto"/>
        <w:rPr>
          <w:sz w:val="20"/>
          <w:szCs w:val="20"/>
          <w:color w:val="auto"/>
        </w:rPr>
      </w:pPr>
      <w:r>
        <w:rPr>
          <w:rFonts w:ascii="Arial" w:cs="Arial" w:eastAsia="Arial" w:hAnsi="Arial"/>
          <w:sz w:val="18"/>
          <w:szCs w:val="18"/>
          <w:b w:val="1"/>
          <w:bCs w:val="1"/>
          <w:color w:val="auto"/>
        </w:rPr>
        <w:t xml:space="preserve">2.31 </w:t>
      </w:r>
      <w:r>
        <w:rPr>
          <w:rFonts w:ascii="Arial" w:cs="Arial" w:eastAsia="Arial" w:hAnsi="Arial"/>
          <w:sz w:val="18"/>
          <w:szCs w:val="18"/>
          <w:color w:val="auto"/>
        </w:rPr>
        <w:t>“</w:t>
      </w:r>
      <w:r>
        <w:rPr>
          <w:rFonts w:ascii="Arial" w:cs="Arial" w:eastAsia="Arial" w:hAnsi="Arial"/>
          <w:sz w:val="18"/>
          <w:szCs w:val="18"/>
          <w:b w:val="1"/>
          <w:bCs w:val="1"/>
          <w:color w:val="auto"/>
        </w:rPr>
        <w:t>Nonqualified Stock Option</w:t>
      </w:r>
      <w:r>
        <w:rPr>
          <w:rFonts w:ascii="Arial" w:cs="Arial" w:eastAsia="Arial" w:hAnsi="Arial"/>
          <w:sz w:val="18"/>
          <w:szCs w:val="18"/>
          <w:color w:val="auto"/>
        </w:rPr>
        <w:t>” or “</w:t>
      </w:r>
      <w:r>
        <w:rPr>
          <w:rFonts w:ascii="Arial" w:cs="Arial" w:eastAsia="Arial" w:hAnsi="Arial"/>
          <w:sz w:val="18"/>
          <w:szCs w:val="18"/>
          <w:b w:val="1"/>
          <w:bCs w:val="1"/>
          <w:color w:val="auto"/>
        </w:rPr>
        <w:t>NQSO</w:t>
      </w:r>
      <w:r>
        <w:rPr>
          <w:rFonts w:ascii="Arial" w:cs="Arial" w:eastAsia="Arial" w:hAnsi="Arial"/>
          <w:sz w:val="18"/>
          <w:szCs w:val="18"/>
          <w:color w:val="auto"/>
        </w:rPr>
        <w:t>” means an Option that is not intended to meet the requirements of Code</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422, or that otherwise does not meet such requirements, including an NQSO granted pursuant to Article 6 and a Nonemployee Director Option granted pursuant to Article 11.</w:t>
      </w:r>
    </w:p>
    <w:p>
      <w:pPr>
        <w:spacing w:after="0" w:line="172" w:lineRule="exact"/>
        <w:rPr>
          <w:sz w:val="20"/>
          <w:szCs w:val="20"/>
          <w:color w:val="auto"/>
        </w:rPr>
      </w:pPr>
    </w:p>
    <w:p>
      <w:pPr>
        <w:ind w:left="800"/>
        <w:spacing w:after="0"/>
        <w:tabs>
          <w:tab w:leader="none" w:pos="1780" w:val="left"/>
        </w:tabs>
        <w:rPr>
          <w:sz w:val="20"/>
          <w:szCs w:val="20"/>
          <w:color w:val="auto"/>
        </w:rPr>
      </w:pPr>
      <w:r>
        <w:rPr>
          <w:rFonts w:ascii="Arial" w:cs="Arial" w:eastAsia="Arial" w:hAnsi="Arial"/>
          <w:sz w:val="18"/>
          <w:szCs w:val="18"/>
          <w:b w:val="1"/>
          <w:bCs w:val="1"/>
          <w:color w:val="auto"/>
        </w:rPr>
        <w:t>2.32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Outstanding Company Common Stock</w:t>
      </w:r>
      <w:r>
        <w:rPr>
          <w:rFonts w:ascii="Arial" w:cs="Arial" w:eastAsia="Arial" w:hAnsi="Arial"/>
          <w:sz w:val="17"/>
          <w:szCs w:val="17"/>
          <w:color w:val="auto"/>
        </w:rPr>
        <w:t>” has the meaning set forth in Section 2.9(a).</w:t>
      </w:r>
    </w:p>
    <w:p>
      <w:pPr>
        <w:spacing w:after="0" w:line="205" w:lineRule="exact"/>
        <w:rPr>
          <w:sz w:val="20"/>
          <w:szCs w:val="20"/>
          <w:color w:val="auto"/>
        </w:rPr>
      </w:pPr>
    </w:p>
    <w:p>
      <w:pPr>
        <w:ind w:left="800"/>
        <w:spacing w:after="0"/>
        <w:tabs>
          <w:tab w:leader="none" w:pos="1780" w:val="left"/>
        </w:tabs>
        <w:rPr>
          <w:sz w:val="20"/>
          <w:szCs w:val="20"/>
          <w:color w:val="auto"/>
        </w:rPr>
      </w:pPr>
      <w:r>
        <w:rPr>
          <w:rFonts w:ascii="Arial" w:cs="Arial" w:eastAsia="Arial" w:hAnsi="Arial"/>
          <w:sz w:val="18"/>
          <w:szCs w:val="18"/>
          <w:b w:val="1"/>
          <w:bCs w:val="1"/>
          <w:color w:val="auto"/>
        </w:rPr>
        <w:t>2.33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Outstanding Company Voting Securities</w:t>
      </w:r>
      <w:r>
        <w:rPr>
          <w:rFonts w:ascii="Arial" w:cs="Arial" w:eastAsia="Arial" w:hAnsi="Arial"/>
          <w:sz w:val="17"/>
          <w:szCs w:val="17"/>
          <w:color w:val="auto"/>
        </w:rPr>
        <w:t>” has the meaning set forth in Section 2.9(a).</w:t>
      </w:r>
    </w:p>
    <w:p>
      <w:pPr>
        <w:spacing w:after="0" w:line="205"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b w:val="1"/>
          <w:bCs w:val="1"/>
          <w:color w:val="auto"/>
        </w:rPr>
        <w:t xml:space="preserve">2.34 </w:t>
      </w:r>
      <w:r>
        <w:rPr>
          <w:rFonts w:ascii="Arial" w:cs="Arial" w:eastAsia="Arial" w:hAnsi="Arial"/>
          <w:sz w:val="18"/>
          <w:szCs w:val="18"/>
          <w:color w:val="auto"/>
        </w:rPr>
        <w:t>“</w:t>
      </w:r>
      <w:r>
        <w:rPr>
          <w:rFonts w:ascii="Arial" w:cs="Arial" w:eastAsia="Arial" w:hAnsi="Arial"/>
          <w:sz w:val="18"/>
          <w:szCs w:val="18"/>
          <w:b w:val="1"/>
          <w:bCs w:val="1"/>
          <w:color w:val="auto"/>
        </w:rPr>
        <w:t>Option</w:t>
      </w:r>
      <w:r>
        <w:rPr>
          <w:rFonts w:ascii="Arial" w:cs="Arial" w:eastAsia="Arial" w:hAnsi="Arial"/>
          <w:sz w:val="18"/>
          <w:szCs w:val="18"/>
          <w:color w:val="auto"/>
        </w:rPr>
        <w:t>” means (a) an Incentive Stock Option or a Nonqualified Stock Option, granted pursuant to Article 6 or (b) a</w:t>
      </w:r>
      <w:r>
        <w:rPr>
          <w:rFonts w:ascii="Arial" w:cs="Arial" w:eastAsia="Arial" w:hAnsi="Arial"/>
          <w:sz w:val="18"/>
          <w:szCs w:val="18"/>
          <w:b w:val="1"/>
          <w:bCs w:val="1"/>
          <w:color w:val="auto"/>
        </w:rPr>
        <w:t xml:space="preserve"> </w:t>
      </w:r>
      <w:r>
        <w:rPr>
          <w:rFonts w:ascii="Arial" w:cs="Arial" w:eastAsia="Arial" w:hAnsi="Arial"/>
          <w:sz w:val="18"/>
          <w:szCs w:val="18"/>
          <w:color w:val="auto"/>
        </w:rPr>
        <w:t>Nonemployee Director Option, granted pursuant to Article 11.</w:t>
      </w:r>
    </w:p>
    <w:p>
      <w:pPr>
        <w:spacing w:after="0" w:line="158" w:lineRule="exact"/>
        <w:rPr>
          <w:sz w:val="20"/>
          <w:szCs w:val="20"/>
          <w:color w:val="auto"/>
        </w:rPr>
      </w:pPr>
    </w:p>
    <w:p>
      <w:pPr>
        <w:ind w:left="800"/>
        <w:spacing w:after="0"/>
        <w:tabs>
          <w:tab w:leader="none" w:pos="1780" w:val="left"/>
        </w:tabs>
        <w:rPr>
          <w:sz w:val="20"/>
          <w:szCs w:val="20"/>
          <w:color w:val="auto"/>
        </w:rPr>
      </w:pPr>
      <w:r>
        <w:rPr>
          <w:rFonts w:ascii="Arial" w:cs="Arial" w:eastAsia="Arial" w:hAnsi="Arial"/>
          <w:sz w:val="18"/>
          <w:szCs w:val="18"/>
          <w:b w:val="1"/>
          <w:bCs w:val="1"/>
          <w:color w:val="auto"/>
        </w:rPr>
        <w:t>2.35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Option Price</w:t>
      </w:r>
      <w:r>
        <w:rPr>
          <w:rFonts w:ascii="Arial" w:cs="Arial" w:eastAsia="Arial" w:hAnsi="Arial"/>
          <w:sz w:val="17"/>
          <w:szCs w:val="17"/>
          <w:color w:val="auto"/>
        </w:rPr>
        <w:t>” means the price at which a Share may be purchased by a Participant pursuant to an Option.</w:t>
      </w:r>
    </w:p>
    <w:p>
      <w:pPr>
        <w:spacing w:after="0" w:line="205"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b w:val="1"/>
          <w:bCs w:val="1"/>
          <w:color w:val="auto"/>
        </w:rPr>
        <w:t xml:space="preserve">2.36 </w:t>
      </w:r>
      <w:r>
        <w:rPr>
          <w:rFonts w:ascii="Arial" w:cs="Arial" w:eastAsia="Arial" w:hAnsi="Arial"/>
          <w:sz w:val="18"/>
          <w:szCs w:val="18"/>
          <w:color w:val="auto"/>
        </w:rPr>
        <w:t>“</w:t>
      </w:r>
      <w:r>
        <w:rPr>
          <w:rFonts w:ascii="Arial" w:cs="Arial" w:eastAsia="Arial" w:hAnsi="Arial"/>
          <w:sz w:val="18"/>
          <w:szCs w:val="18"/>
          <w:b w:val="1"/>
          <w:bCs w:val="1"/>
          <w:color w:val="auto"/>
        </w:rPr>
        <w:t>Other Cash-Based Award</w:t>
      </w:r>
      <w:r>
        <w:rPr>
          <w:rFonts w:ascii="Arial" w:cs="Arial" w:eastAsia="Arial" w:hAnsi="Arial"/>
          <w:sz w:val="18"/>
          <w:szCs w:val="18"/>
          <w:color w:val="auto"/>
        </w:rPr>
        <w:t>” means an Award, denominated and paid in cash, not otherwise described by the terms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Plan, granted pursuant to Article 12.</w:t>
      </w:r>
    </w:p>
    <w:p>
      <w:pPr>
        <w:spacing w:after="0" w:line="158"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b w:val="1"/>
          <w:bCs w:val="1"/>
          <w:color w:val="auto"/>
        </w:rPr>
        <w:t xml:space="preserve">2.37 </w:t>
      </w:r>
      <w:r>
        <w:rPr>
          <w:rFonts w:ascii="Arial" w:cs="Arial" w:eastAsia="Arial" w:hAnsi="Arial"/>
          <w:sz w:val="18"/>
          <w:szCs w:val="18"/>
          <w:color w:val="auto"/>
        </w:rPr>
        <w:t>“</w:t>
      </w:r>
      <w:r>
        <w:rPr>
          <w:rFonts w:ascii="Arial" w:cs="Arial" w:eastAsia="Arial" w:hAnsi="Arial"/>
          <w:sz w:val="18"/>
          <w:szCs w:val="18"/>
          <w:b w:val="1"/>
          <w:bCs w:val="1"/>
          <w:color w:val="auto"/>
        </w:rPr>
        <w:t>Other Stock-Based Award</w:t>
      </w:r>
      <w:r>
        <w:rPr>
          <w:rFonts w:ascii="Arial" w:cs="Arial" w:eastAsia="Arial" w:hAnsi="Arial"/>
          <w:sz w:val="18"/>
          <w:szCs w:val="18"/>
          <w:color w:val="auto"/>
        </w:rPr>
        <w:t>” means an equity-based or equity-related Award not otherwise described by the terms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Plan, granted pursuant to Article 12.</w:t>
      </w:r>
    </w:p>
    <w:p>
      <w:pPr>
        <w:spacing w:after="0" w:line="158" w:lineRule="exact"/>
        <w:rPr>
          <w:sz w:val="20"/>
          <w:szCs w:val="20"/>
          <w:color w:val="auto"/>
        </w:rPr>
      </w:pPr>
    </w:p>
    <w:tbl>
      <w:tblPr>
        <w:tblLayout w:type="fixed"/>
        <w:tblInd w:w="800" w:type="dxa"/>
        <w:tblCellMar>
          <w:top w:w="0" w:type="dxa"/>
          <w:left w:w="0" w:type="dxa"/>
          <w:bottom w:w="0" w:type="dxa"/>
          <w:right w:w="0" w:type="dxa"/>
        </w:tblCellMar>
      </w:tblPr>
      <w:tr>
        <w:trPr>
          <w:trHeight w:val="234"/>
        </w:trPr>
        <w:tc>
          <w:tcPr>
            <w:tcW w:w="680" w:type="dxa"/>
            <w:vAlign w:val="bottom"/>
          </w:tcPr>
          <w:p>
            <w:pPr>
              <w:jc w:val="right"/>
              <w:ind w:right="231"/>
              <w:spacing w:after="0"/>
              <w:rPr>
                <w:sz w:val="20"/>
                <w:szCs w:val="20"/>
                <w:color w:val="auto"/>
              </w:rPr>
            </w:pPr>
            <w:r>
              <w:rPr>
                <w:rFonts w:ascii="Arial" w:cs="Arial" w:eastAsia="Arial" w:hAnsi="Arial"/>
                <w:sz w:val="18"/>
                <w:szCs w:val="18"/>
                <w:b w:val="1"/>
                <w:bCs w:val="1"/>
                <w:color w:val="auto"/>
                <w:w w:val="96"/>
              </w:rPr>
              <w:t>2.38</w:t>
            </w:r>
          </w:p>
        </w:tc>
        <w:tc>
          <w:tcPr>
            <w:tcW w:w="7840" w:type="dxa"/>
            <w:vAlign w:val="bottom"/>
          </w:tcPr>
          <w:p>
            <w:pPr>
              <w:ind w:left="320"/>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b w:val="1"/>
                <w:bCs w:val="1"/>
                <w:color w:val="auto"/>
                <w:w w:val="97"/>
              </w:rPr>
              <w:t>Participant</w:t>
            </w:r>
            <w:r>
              <w:rPr>
                <w:rFonts w:ascii="Arial" w:cs="Arial" w:eastAsia="Arial" w:hAnsi="Arial"/>
                <w:sz w:val="18"/>
                <w:szCs w:val="18"/>
                <w:color w:val="auto"/>
                <w:w w:val="97"/>
              </w:rPr>
              <w:t>” means any eligible individual as set forth in Article 5 to whom an Award is granted.</w:t>
            </w:r>
          </w:p>
        </w:tc>
      </w:tr>
      <w:tr>
        <w:trPr>
          <w:trHeight w:val="412"/>
        </w:trPr>
        <w:tc>
          <w:tcPr>
            <w:tcW w:w="680" w:type="dxa"/>
            <w:vAlign w:val="bottom"/>
          </w:tcPr>
          <w:p>
            <w:pPr>
              <w:jc w:val="right"/>
              <w:ind w:right="231"/>
              <w:spacing w:after="0"/>
              <w:rPr>
                <w:sz w:val="20"/>
                <w:szCs w:val="20"/>
                <w:color w:val="auto"/>
              </w:rPr>
            </w:pPr>
            <w:r>
              <w:rPr>
                <w:rFonts w:ascii="Arial" w:cs="Arial" w:eastAsia="Arial" w:hAnsi="Arial"/>
                <w:sz w:val="18"/>
                <w:szCs w:val="18"/>
                <w:b w:val="1"/>
                <w:bCs w:val="1"/>
                <w:color w:val="auto"/>
                <w:w w:val="96"/>
              </w:rPr>
              <w:t>2.39</w:t>
            </w:r>
          </w:p>
        </w:tc>
        <w:tc>
          <w:tcPr>
            <w:tcW w:w="784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Participation Factor</w:t>
            </w:r>
            <w:r>
              <w:rPr>
                <w:rFonts w:ascii="Arial" w:cs="Arial" w:eastAsia="Arial" w:hAnsi="Arial"/>
                <w:sz w:val="18"/>
                <w:szCs w:val="18"/>
                <w:color w:val="auto"/>
              </w:rPr>
              <w:t>” has the meaning set forth in Section 10.2.</w:t>
            </w:r>
          </w:p>
        </w:tc>
      </w:tr>
    </w:tbl>
    <w:p>
      <w:pPr>
        <w:spacing w:after="0" w:line="178" w:lineRule="exact"/>
        <w:rPr>
          <w:sz w:val="20"/>
          <w:szCs w:val="20"/>
          <w:color w:val="auto"/>
        </w:rPr>
      </w:pPr>
    </w:p>
    <w:p>
      <w:pPr>
        <w:jc w:val="both"/>
        <w:ind w:firstLine="802"/>
        <w:spacing w:after="0" w:line="247" w:lineRule="auto"/>
        <w:rPr>
          <w:sz w:val="20"/>
          <w:szCs w:val="20"/>
          <w:color w:val="auto"/>
        </w:rPr>
      </w:pPr>
      <w:r>
        <w:rPr>
          <w:rFonts w:ascii="Arial" w:cs="Arial" w:eastAsia="Arial" w:hAnsi="Arial"/>
          <w:sz w:val="18"/>
          <w:szCs w:val="18"/>
          <w:b w:val="1"/>
          <w:bCs w:val="1"/>
          <w:color w:val="auto"/>
        </w:rPr>
        <w:t xml:space="preserve">2.40 </w:t>
      </w:r>
      <w:r>
        <w:rPr>
          <w:rFonts w:ascii="Arial" w:cs="Arial" w:eastAsia="Arial" w:hAnsi="Arial"/>
          <w:sz w:val="18"/>
          <w:szCs w:val="18"/>
          <w:color w:val="auto"/>
        </w:rPr>
        <w:t>“</w:t>
      </w:r>
      <w:r>
        <w:rPr>
          <w:rFonts w:ascii="Arial" w:cs="Arial" w:eastAsia="Arial" w:hAnsi="Arial"/>
          <w:sz w:val="18"/>
          <w:szCs w:val="18"/>
          <w:b w:val="1"/>
          <w:bCs w:val="1"/>
          <w:color w:val="auto"/>
        </w:rPr>
        <w:t>Performance Goals</w:t>
      </w:r>
      <w:r>
        <w:rPr>
          <w:rFonts w:ascii="Arial" w:cs="Arial" w:eastAsia="Arial" w:hAnsi="Arial"/>
          <w:sz w:val="18"/>
          <w:szCs w:val="18"/>
          <w:color w:val="auto"/>
        </w:rPr>
        <w:t>” mean with respect to any applicable Award, one or more targets, goals or levels of attainment</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be achieved in terms of the specified Performance Measures during the specified Performance Period, as set forth in the related Award Agreement.</w:t>
      </w:r>
    </w:p>
    <w:p>
      <w:pPr>
        <w:spacing w:after="0" w:line="172" w:lineRule="exact"/>
        <w:rPr>
          <w:sz w:val="20"/>
          <w:szCs w:val="20"/>
          <w:color w:val="auto"/>
        </w:rPr>
      </w:pPr>
    </w:p>
    <w:p>
      <w:pPr>
        <w:jc w:val="both"/>
        <w:ind w:firstLine="802"/>
        <w:spacing w:after="0" w:line="247" w:lineRule="auto"/>
        <w:rPr>
          <w:sz w:val="20"/>
          <w:szCs w:val="20"/>
          <w:color w:val="auto"/>
        </w:rPr>
      </w:pPr>
      <w:r>
        <w:rPr>
          <w:rFonts w:ascii="Arial" w:cs="Arial" w:eastAsia="Arial" w:hAnsi="Arial"/>
          <w:sz w:val="17"/>
          <w:szCs w:val="17"/>
          <w:b w:val="1"/>
          <w:bCs w:val="1"/>
          <w:color w:val="auto"/>
        </w:rPr>
        <w:t xml:space="preserve">2.41 </w:t>
      </w:r>
      <w:r>
        <w:rPr>
          <w:rFonts w:ascii="Arial" w:cs="Arial" w:eastAsia="Arial" w:hAnsi="Arial"/>
          <w:sz w:val="17"/>
          <w:szCs w:val="17"/>
          <w:color w:val="auto"/>
        </w:rPr>
        <w:t>“</w:t>
      </w:r>
      <w:r>
        <w:rPr>
          <w:rFonts w:ascii="Arial" w:cs="Arial" w:eastAsia="Arial" w:hAnsi="Arial"/>
          <w:sz w:val="17"/>
          <w:szCs w:val="17"/>
          <w:b w:val="1"/>
          <w:bCs w:val="1"/>
          <w:color w:val="auto"/>
        </w:rPr>
        <w:t>Performance Measures</w:t>
      </w:r>
      <w:r>
        <w:rPr>
          <w:rFonts w:ascii="Arial" w:cs="Arial" w:eastAsia="Arial" w:hAnsi="Arial"/>
          <w:sz w:val="17"/>
          <w:szCs w:val="17"/>
          <w:color w:val="auto"/>
        </w:rPr>
        <w:t>” mean such performance measures as determined by the Committee in its sole discretion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set forth in the applicable Award Agreement for purposes of determining the applicable Performance Goal and which may include any one or more of the following measures: revenue, net revenue, revenue growth, revenues from new products, sales, bad debts, direct or indirect material, labor or manufacturing costs, costs of goods sold, selling, general and administrative expenses, operating expenses, non-cash expenses, tax expense, non-operating expenses, total expenses; gross margin, net operating income, earnings before interest, taxes, depreciation and amortization (EBITDA), earnings before interest and taxes (EBIT), net operating income after taxes (NOPAT), net income, net income before taxes, net cash flow, net cash flow from operations, maintenance or improvement of profit margins; cash and cash equivalents, excess cash, accounts receivable, days sales outstanding, inventories, current assets, working capital, total capital, fixed assets, total assets, net assets, plan utilization, manufacturing overhead variance, accounts payable, current accrued liabilities, total current liabilities, total debt, debt principal payments, net current borrowings, total long-term debt, credit rating, retained earnings, total common equity, cash-to-debt, interest coverage, after-tax interest, liquidity, earnings per share (diluted, fully diluted and diluted net adjusted), stock price, dividends, shares repurchased, total return to shareholders, price/earnings ratio, market capitalization, book value, debt coverage ratios, return on assets, equity or invested capital, economic profit (for example, economic value added); dealer/channel size/scope, dealer/channel performance/effectiveness, order fill rate, customer satisfaction, retention or service/care, brand awareness and perception, market share, warranty rates, channel inventory, service quality, strategic business objectives, introduction of new products, acquisition/entrance into new markets, asset acquisitions, strategic asset sales or acquisitions, improvements in capital structure; headcount, employee performance, employee productivity, standard hours, employee engagement/satisfaction, employee turnover, employee diversity, safety, quality, satisfactory completion of major project or organizational initiative, environmental initiatives or metrics, social initiatives or metrics, governance initiatives or metrics. Any Performance Measure(s) may be used to measure the performance of the Company, Subsidiary or Affiliate as a whole or any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jc w:val="both"/>
        <w:spacing w:after="0" w:line="234" w:lineRule="auto"/>
        <w:rPr>
          <w:sz w:val="20"/>
          <w:szCs w:val="20"/>
          <w:color w:val="auto"/>
        </w:rPr>
      </w:pPr>
      <w:r>
        <w:rPr>
          <w:rFonts w:ascii="Arial" w:cs="Arial" w:eastAsia="Arial" w:hAnsi="Arial"/>
          <w:sz w:val="18"/>
          <w:szCs w:val="18"/>
          <w:color w:val="auto"/>
        </w:rPr>
        <w:t>division or business unit of the Company, product or product group, region or territory, Subsidiary or Affiliate, or any combination thereof, as the Committee may deem appropriate. Any Performance Measure(s) can be used in an algebraic formula (</w:t>
      </w:r>
      <w:r>
        <w:rPr>
          <w:rFonts w:ascii="Arial" w:cs="Arial" w:eastAsia="Arial" w:hAnsi="Arial"/>
          <w:sz w:val="18"/>
          <w:szCs w:val="18"/>
          <w:i w:val="1"/>
          <w:iCs w:val="1"/>
          <w:color w:val="auto"/>
        </w:rPr>
        <w:t>e.g</w:t>
      </w:r>
      <w:r>
        <w:rPr>
          <w:rFonts w:ascii="Arial" w:cs="Arial" w:eastAsia="Arial" w:hAnsi="Arial"/>
          <w:sz w:val="18"/>
          <w:szCs w:val="18"/>
          <w:color w:val="auto"/>
        </w:rPr>
        <w:t>., averaged over a period, combined into a ratio, compared to a budget or standard, compared to previous periods and/or other formulaic combinations) or compared to the performance of a group of comparator companies, or published or special index that the Committee, in its sole discretion, deems appropriate, or the Company may select any Performance Measure(s) above as compared to various stock market indices.</w:t>
      </w:r>
    </w:p>
    <w:p>
      <w:pPr>
        <w:spacing w:after="0" w:line="179"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b w:val="1"/>
          <w:bCs w:val="1"/>
          <w:color w:val="auto"/>
        </w:rPr>
        <w:t xml:space="preserve">2.42 </w:t>
      </w:r>
      <w:r>
        <w:rPr>
          <w:rFonts w:ascii="Arial" w:cs="Arial" w:eastAsia="Arial" w:hAnsi="Arial"/>
          <w:sz w:val="18"/>
          <w:szCs w:val="18"/>
          <w:color w:val="auto"/>
        </w:rPr>
        <w:t>“</w:t>
      </w:r>
      <w:r>
        <w:rPr>
          <w:rFonts w:ascii="Arial" w:cs="Arial" w:eastAsia="Arial" w:hAnsi="Arial"/>
          <w:sz w:val="18"/>
          <w:szCs w:val="18"/>
          <w:b w:val="1"/>
          <w:bCs w:val="1"/>
          <w:color w:val="auto"/>
        </w:rPr>
        <w:t>Performance Period</w:t>
      </w:r>
      <w:r>
        <w:rPr>
          <w:rFonts w:ascii="Arial" w:cs="Arial" w:eastAsia="Arial" w:hAnsi="Arial"/>
          <w:sz w:val="18"/>
          <w:szCs w:val="18"/>
          <w:color w:val="auto"/>
        </w:rPr>
        <w:t>” means the period of time, as determined by the Committee, during which the Performance Goals</w:t>
      </w:r>
      <w:r>
        <w:rPr>
          <w:rFonts w:ascii="Arial" w:cs="Arial" w:eastAsia="Arial" w:hAnsi="Arial"/>
          <w:sz w:val="18"/>
          <w:szCs w:val="18"/>
          <w:b w:val="1"/>
          <w:bCs w:val="1"/>
          <w:color w:val="auto"/>
        </w:rPr>
        <w:t xml:space="preserve"> </w:t>
      </w:r>
      <w:r>
        <w:rPr>
          <w:rFonts w:ascii="Arial" w:cs="Arial" w:eastAsia="Arial" w:hAnsi="Arial"/>
          <w:sz w:val="18"/>
          <w:szCs w:val="18"/>
          <w:color w:val="auto"/>
        </w:rPr>
        <w:t>must be met in order to determine the degree of payout or vesting with respect to an Award.</w:t>
      </w:r>
    </w:p>
    <w:p>
      <w:pPr>
        <w:spacing w:after="0" w:line="158" w:lineRule="exact"/>
        <w:rPr>
          <w:sz w:val="20"/>
          <w:szCs w:val="20"/>
          <w:color w:val="auto"/>
        </w:rPr>
      </w:pPr>
    </w:p>
    <w:p>
      <w:pPr>
        <w:jc w:val="both"/>
        <w:ind w:firstLine="802"/>
        <w:spacing w:after="0" w:line="247" w:lineRule="auto"/>
        <w:rPr>
          <w:sz w:val="20"/>
          <w:szCs w:val="20"/>
          <w:color w:val="auto"/>
        </w:rPr>
      </w:pPr>
      <w:r>
        <w:rPr>
          <w:rFonts w:ascii="Arial" w:cs="Arial" w:eastAsia="Arial" w:hAnsi="Arial"/>
          <w:sz w:val="18"/>
          <w:szCs w:val="18"/>
          <w:b w:val="1"/>
          <w:bCs w:val="1"/>
          <w:color w:val="auto"/>
        </w:rPr>
        <w:t xml:space="preserve">2.43 </w:t>
      </w:r>
      <w:r>
        <w:rPr>
          <w:rFonts w:ascii="Arial" w:cs="Arial" w:eastAsia="Arial" w:hAnsi="Arial"/>
          <w:sz w:val="18"/>
          <w:szCs w:val="18"/>
          <w:color w:val="auto"/>
        </w:rPr>
        <w:t>“</w:t>
      </w:r>
      <w:r>
        <w:rPr>
          <w:rFonts w:ascii="Arial" w:cs="Arial" w:eastAsia="Arial" w:hAnsi="Arial"/>
          <w:sz w:val="18"/>
          <w:szCs w:val="18"/>
          <w:b w:val="1"/>
          <w:bCs w:val="1"/>
          <w:color w:val="auto"/>
        </w:rPr>
        <w:t>Performance Share</w:t>
      </w:r>
      <w:r>
        <w:rPr>
          <w:rFonts w:ascii="Arial" w:cs="Arial" w:eastAsia="Arial" w:hAnsi="Arial"/>
          <w:sz w:val="18"/>
          <w:szCs w:val="18"/>
          <w:color w:val="auto"/>
        </w:rPr>
        <w:t>” means an Award under Article 9 herein and subject to the terms of this Plan, denominated in</w:t>
      </w:r>
      <w:r>
        <w:rPr>
          <w:rFonts w:ascii="Arial" w:cs="Arial" w:eastAsia="Arial" w:hAnsi="Arial"/>
          <w:sz w:val="18"/>
          <w:szCs w:val="18"/>
          <w:b w:val="1"/>
          <w:bCs w:val="1"/>
          <w:color w:val="auto"/>
        </w:rPr>
        <w:t xml:space="preserve"> </w:t>
      </w:r>
      <w:r>
        <w:rPr>
          <w:rFonts w:ascii="Arial" w:cs="Arial" w:eastAsia="Arial" w:hAnsi="Arial"/>
          <w:sz w:val="18"/>
          <w:szCs w:val="18"/>
          <w:color w:val="auto"/>
        </w:rPr>
        <w:t>Shares, the value of which at the time it is payable is determined as a function of the extent to which corresponding Performance Goals have been achieved.</w:t>
      </w:r>
    </w:p>
    <w:p>
      <w:pPr>
        <w:spacing w:after="0" w:line="172" w:lineRule="exact"/>
        <w:rPr>
          <w:sz w:val="20"/>
          <w:szCs w:val="20"/>
          <w:color w:val="auto"/>
        </w:rPr>
      </w:pPr>
    </w:p>
    <w:p>
      <w:pPr>
        <w:jc w:val="both"/>
        <w:ind w:firstLine="802"/>
        <w:spacing w:after="0" w:line="247" w:lineRule="auto"/>
        <w:rPr>
          <w:sz w:val="20"/>
          <w:szCs w:val="20"/>
          <w:color w:val="auto"/>
        </w:rPr>
      </w:pPr>
      <w:r>
        <w:rPr>
          <w:rFonts w:ascii="Arial" w:cs="Arial" w:eastAsia="Arial" w:hAnsi="Arial"/>
          <w:sz w:val="18"/>
          <w:szCs w:val="18"/>
          <w:b w:val="1"/>
          <w:bCs w:val="1"/>
          <w:color w:val="auto"/>
        </w:rPr>
        <w:t xml:space="preserve">2.44 </w:t>
      </w:r>
      <w:r>
        <w:rPr>
          <w:rFonts w:ascii="Arial" w:cs="Arial" w:eastAsia="Arial" w:hAnsi="Arial"/>
          <w:sz w:val="18"/>
          <w:szCs w:val="18"/>
          <w:color w:val="auto"/>
        </w:rPr>
        <w:t>“</w:t>
      </w:r>
      <w:r>
        <w:rPr>
          <w:rFonts w:ascii="Arial" w:cs="Arial" w:eastAsia="Arial" w:hAnsi="Arial"/>
          <w:sz w:val="18"/>
          <w:szCs w:val="18"/>
          <w:b w:val="1"/>
          <w:bCs w:val="1"/>
          <w:color w:val="auto"/>
        </w:rPr>
        <w:t>Performance Unit</w:t>
      </w:r>
      <w:r>
        <w:rPr>
          <w:rFonts w:ascii="Arial" w:cs="Arial" w:eastAsia="Arial" w:hAnsi="Arial"/>
          <w:sz w:val="18"/>
          <w:szCs w:val="18"/>
          <w:color w:val="auto"/>
        </w:rPr>
        <w:t>” means an Award under Article 9 herein and subject to the terms of this Plan, denominated in units,</w:t>
      </w:r>
      <w:r>
        <w:rPr>
          <w:rFonts w:ascii="Arial" w:cs="Arial" w:eastAsia="Arial" w:hAnsi="Arial"/>
          <w:sz w:val="18"/>
          <w:szCs w:val="18"/>
          <w:b w:val="1"/>
          <w:bCs w:val="1"/>
          <w:color w:val="auto"/>
        </w:rPr>
        <w:t xml:space="preserve"> </w:t>
      </w:r>
      <w:r>
        <w:rPr>
          <w:rFonts w:ascii="Arial" w:cs="Arial" w:eastAsia="Arial" w:hAnsi="Arial"/>
          <w:sz w:val="18"/>
          <w:szCs w:val="18"/>
          <w:color w:val="auto"/>
        </w:rPr>
        <w:t>the value of which at the time it is payable is determined as a function of the extent to which corresponding Performance Goals have been achieved.</w:t>
      </w:r>
    </w:p>
    <w:p>
      <w:pPr>
        <w:spacing w:after="0" w:line="172" w:lineRule="exact"/>
        <w:rPr>
          <w:sz w:val="20"/>
          <w:szCs w:val="20"/>
          <w:color w:val="auto"/>
        </w:rPr>
      </w:pPr>
    </w:p>
    <w:p>
      <w:pPr>
        <w:jc w:val="both"/>
        <w:ind w:firstLine="802"/>
        <w:spacing w:after="0" w:line="247" w:lineRule="auto"/>
        <w:rPr>
          <w:sz w:val="20"/>
          <w:szCs w:val="20"/>
          <w:color w:val="auto"/>
        </w:rPr>
      </w:pPr>
      <w:r>
        <w:rPr>
          <w:rFonts w:ascii="Arial" w:cs="Arial" w:eastAsia="Arial" w:hAnsi="Arial"/>
          <w:sz w:val="18"/>
          <w:szCs w:val="18"/>
          <w:b w:val="1"/>
          <w:bCs w:val="1"/>
          <w:color w:val="auto"/>
        </w:rPr>
        <w:t xml:space="preserve">2.45 </w:t>
      </w:r>
      <w:r>
        <w:rPr>
          <w:rFonts w:ascii="Arial" w:cs="Arial" w:eastAsia="Arial" w:hAnsi="Arial"/>
          <w:sz w:val="18"/>
          <w:szCs w:val="18"/>
          <w:color w:val="auto"/>
        </w:rPr>
        <w:t>“</w:t>
      </w:r>
      <w:r>
        <w:rPr>
          <w:rFonts w:ascii="Arial" w:cs="Arial" w:eastAsia="Arial" w:hAnsi="Arial"/>
          <w:sz w:val="18"/>
          <w:szCs w:val="18"/>
          <w:b w:val="1"/>
          <w:bCs w:val="1"/>
          <w:color w:val="auto"/>
        </w:rPr>
        <w:t>Period of Restriction</w:t>
      </w:r>
      <w:r>
        <w:rPr>
          <w:rFonts w:ascii="Arial" w:cs="Arial" w:eastAsia="Arial" w:hAnsi="Arial"/>
          <w:sz w:val="18"/>
          <w:szCs w:val="18"/>
          <w:color w:val="auto"/>
        </w:rPr>
        <w:t>” means the period when Restricted Stock or Restricted Stock Units are subject to a substantial</w:t>
      </w:r>
      <w:r>
        <w:rPr>
          <w:rFonts w:ascii="Arial" w:cs="Arial" w:eastAsia="Arial" w:hAnsi="Arial"/>
          <w:sz w:val="18"/>
          <w:szCs w:val="18"/>
          <w:b w:val="1"/>
          <w:bCs w:val="1"/>
          <w:color w:val="auto"/>
        </w:rPr>
        <w:t xml:space="preserve"> </w:t>
      </w:r>
      <w:r>
        <w:rPr>
          <w:rFonts w:ascii="Arial" w:cs="Arial" w:eastAsia="Arial" w:hAnsi="Arial"/>
          <w:sz w:val="18"/>
          <w:szCs w:val="18"/>
          <w:color w:val="auto"/>
        </w:rPr>
        <w:t>risk of forfeiture (based on the passage of time, the achievement of Performance Goals, or upon the occurrence of other events as determined by the Committee, in its discretion), as provided in Article 8.</w:t>
      </w:r>
    </w:p>
    <w:p>
      <w:pPr>
        <w:spacing w:after="0" w:line="172"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b w:val="1"/>
          <w:bCs w:val="1"/>
          <w:color w:val="auto"/>
        </w:rPr>
        <w:t xml:space="preserve">2.46 </w:t>
      </w: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shall have the meaning ascribed to such term in Section 3(a)(9) of the Exchange Act and used in Sections</w:t>
      </w:r>
      <w:r>
        <w:rPr>
          <w:rFonts w:ascii="Arial" w:cs="Arial" w:eastAsia="Arial" w:hAnsi="Arial"/>
          <w:sz w:val="18"/>
          <w:szCs w:val="18"/>
          <w:b w:val="1"/>
          <w:bCs w:val="1"/>
          <w:color w:val="auto"/>
        </w:rPr>
        <w:t xml:space="preserve"> </w:t>
      </w:r>
      <w:r>
        <w:rPr>
          <w:rFonts w:ascii="Arial" w:cs="Arial" w:eastAsia="Arial" w:hAnsi="Arial"/>
          <w:sz w:val="18"/>
          <w:szCs w:val="18"/>
          <w:color w:val="auto"/>
        </w:rPr>
        <w:t>13(d) and 14(d) thereof, including a “group” as defined in Section 13(d) thereof.</w:t>
      </w:r>
    </w:p>
    <w:p>
      <w:pPr>
        <w:spacing w:after="0" w:line="158" w:lineRule="exact"/>
        <w:rPr>
          <w:sz w:val="20"/>
          <w:szCs w:val="20"/>
          <w:color w:val="auto"/>
        </w:rPr>
      </w:pPr>
    </w:p>
    <w:p>
      <w:pPr>
        <w:jc w:val="both"/>
        <w:ind w:right="20" w:firstLine="802"/>
        <w:spacing w:after="0" w:line="263" w:lineRule="auto"/>
        <w:rPr>
          <w:sz w:val="20"/>
          <w:szCs w:val="20"/>
          <w:color w:val="auto"/>
        </w:rPr>
      </w:pPr>
      <w:r>
        <w:rPr>
          <w:rFonts w:ascii="Arial" w:cs="Arial" w:eastAsia="Arial" w:hAnsi="Arial"/>
          <w:sz w:val="18"/>
          <w:szCs w:val="18"/>
          <w:b w:val="1"/>
          <w:bCs w:val="1"/>
          <w:color w:val="auto"/>
        </w:rPr>
        <w:t xml:space="preserve">2.47 </w:t>
      </w: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The Toro Company 2022 Equity and Incentive Plan, as amended and restated from time to time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Article 19.</w:t>
      </w:r>
    </w:p>
    <w:p>
      <w:pPr>
        <w:spacing w:after="0" w:line="158" w:lineRule="exact"/>
        <w:rPr>
          <w:sz w:val="20"/>
          <w:szCs w:val="20"/>
          <w:color w:val="auto"/>
        </w:rPr>
      </w:pPr>
    </w:p>
    <w:p>
      <w:pPr>
        <w:ind w:left="800"/>
        <w:spacing w:after="0"/>
        <w:tabs>
          <w:tab w:leader="none" w:pos="1780" w:val="left"/>
        </w:tabs>
        <w:rPr>
          <w:sz w:val="20"/>
          <w:szCs w:val="20"/>
          <w:color w:val="auto"/>
        </w:rPr>
      </w:pPr>
      <w:r>
        <w:rPr>
          <w:rFonts w:ascii="Arial" w:cs="Arial" w:eastAsia="Arial" w:hAnsi="Arial"/>
          <w:sz w:val="18"/>
          <w:szCs w:val="18"/>
          <w:b w:val="1"/>
          <w:bCs w:val="1"/>
          <w:color w:val="auto"/>
        </w:rPr>
        <w:t>2.48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Plan Year</w:t>
      </w:r>
      <w:r>
        <w:rPr>
          <w:rFonts w:ascii="Arial" w:cs="Arial" w:eastAsia="Arial" w:hAnsi="Arial"/>
          <w:sz w:val="17"/>
          <w:szCs w:val="17"/>
          <w:color w:val="auto"/>
        </w:rPr>
        <w:t>” means the Company’s fiscal year which, as of the Effective Date, begins November 1 and ends October 31.</w:t>
      </w:r>
    </w:p>
    <w:p>
      <w:pPr>
        <w:spacing w:after="0" w:line="205"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b w:val="1"/>
          <w:bCs w:val="1"/>
          <w:color w:val="auto"/>
        </w:rPr>
        <w:t xml:space="preserve">2.49 </w:t>
      </w:r>
      <w:r>
        <w:rPr>
          <w:rFonts w:ascii="Arial" w:cs="Arial" w:eastAsia="Arial" w:hAnsi="Arial"/>
          <w:sz w:val="18"/>
          <w:szCs w:val="18"/>
          <w:color w:val="auto"/>
        </w:rPr>
        <w:t>“</w:t>
      </w:r>
      <w:r>
        <w:rPr>
          <w:rFonts w:ascii="Arial" w:cs="Arial" w:eastAsia="Arial" w:hAnsi="Arial"/>
          <w:sz w:val="18"/>
          <w:szCs w:val="18"/>
          <w:b w:val="1"/>
          <w:bCs w:val="1"/>
          <w:color w:val="auto"/>
        </w:rPr>
        <w:t>Prior Plan</w:t>
      </w:r>
      <w:r>
        <w:rPr>
          <w:rFonts w:ascii="Arial" w:cs="Arial" w:eastAsia="Arial" w:hAnsi="Arial"/>
          <w:sz w:val="18"/>
          <w:szCs w:val="18"/>
          <w:color w:val="auto"/>
        </w:rPr>
        <w:t>” mean The Toro Company 2010 Equity and Incentive Plan, as amended and restated and as further</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from time to time.</w:t>
      </w:r>
    </w:p>
    <w:p>
      <w:pPr>
        <w:spacing w:after="0" w:line="158" w:lineRule="exact"/>
        <w:rPr>
          <w:sz w:val="20"/>
          <w:szCs w:val="20"/>
          <w:color w:val="auto"/>
        </w:rPr>
      </w:pPr>
    </w:p>
    <w:p>
      <w:pPr>
        <w:ind w:left="800"/>
        <w:spacing w:after="0"/>
        <w:tabs>
          <w:tab w:leader="none" w:pos="1780" w:val="left"/>
        </w:tabs>
        <w:rPr>
          <w:sz w:val="20"/>
          <w:szCs w:val="20"/>
          <w:color w:val="auto"/>
        </w:rPr>
      </w:pPr>
      <w:r>
        <w:rPr>
          <w:rFonts w:ascii="Arial" w:cs="Arial" w:eastAsia="Arial" w:hAnsi="Arial"/>
          <w:sz w:val="18"/>
          <w:szCs w:val="18"/>
          <w:b w:val="1"/>
          <w:bCs w:val="1"/>
          <w:color w:val="auto"/>
        </w:rPr>
        <w:t>2.50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Restricted Stock</w:t>
      </w:r>
      <w:r>
        <w:rPr>
          <w:rFonts w:ascii="Arial" w:cs="Arial" w:eastAsia="Arial" w:hAnsi="Arial"/>
          <w:sz w:val="17"/>
          <w:szCs w:val="17"/>
          <w:color w:val="auto"/>
        </w:rPr>
        <w:t>” means an Award granted to a Participant pursuant to Article 8.</w:t>
      </w:r>
    </w:p>
    <w:p>
      <w:pPr>
        <w:spacing w:after="0" w:line="205"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b w:val="1"/>
          <w:bCs w:val="1"/>
          <w:color w:val="auto"/>
        </w:rPr>
        <w:t xml:space="preserve">2.51 </w:t>
      </w:r>
      <w:r>
        <w:rPr>
          <w:rFonts w:ascii="Arial" w:cs="Arial" w:eastAsia="Arial" w:hAnsi="Arial"/>
          <w:sz w:val="18"/>
          <w:szCs w:val="18"/>
          <w:color w:val="auto"/>
        </w:rPr>
        <w:t>“</w:t>
      </w:r>
      <w:r>
        <w:rPr>
          <w:rFonts w:ascii="Arial" w:cs="Arial" w:eastAsia="Arial" w:hAnsi="Arial"/>
          <w:sz w:val="18"/>
          <w:szCs w:val="18"/>
          <w:b w:val="1"/>
          <w:bCs w:val="1"/>
          <w:color w:val="auto"/>
        </w:rPr>
        <w:t>Restricted Stock Unit</w:t>
      </w:r>
      <w:r>
        <w:rPr>
          <w:rFonts w:ascii="Arial" w:cs="Arial" w:eastAsia="Arial" w:hAnsi="Arial"/>
          <w:sz w:val="18"/>
          <w:szCs w:val="18"/>
          <w:color w:val="auto"/>
        </w:rPr>
        <w:t>” means an Award granted to a Participant pursuant to Article 8, except no Shares are actually</w:t>
      </w:r>
      <w:r>
        <w:rPr>
          <w:rFonts w:ascii="Arial" w:cs="Arial" w:eastAsia="Arial" w:hAnsi="Arial"/>
          <w:sz w:val="18"/>
          <w:szCs w:val="18"/>
          <w:b w:val="1"/>
          <w:bCs w:val="1"/>
          <w:color w:val="auto"/>
        </w:rPr>
        <w:t xml:space="preserve"> </w:t>
      </w:r>
      <w:r>
        <w:rPr>
          <w:rFonts w:ascii="Arial" w:cs="Arial" w:eastAsia="Arial" w:hAnsi="Arial"/>
          <w:sz w:val="18"/>
          <w:szCs w:val="18"/>
          <w:color w:val="auto"/>
        </w:rPr>
        <w:t>issued to the Participant on the Grant Date.</w:t>
      </w:r>
    </w:p>
    <w:p>
      <w:pPr>
        <w:spacing w:after="0" w:line="158" w:lineRule="exact"/>
        <w:rPr>
          <w:sz w:val="20"/>
          <w:szCs w:val="20"/>
          <w:color w:val="auto"/>
        </w:rPr>
      </w:pPr>
    </w:p>
    <w:p>
      <w:pPr>
        <w:jc w:val="both"/>
        <w:ind w:firstLine="802"/>
        <w:spacing w:after="0" w:line="247" w:lineRule="auto"/>
        <w:rPr>
          <w:sz w:val="20"/>
          <w:szCs w:val="20"/>
          <w:color w:val="auto"/>
        </w:rPr>
      </w:pPr>
      <w:r>
        <w:rPr>
          <w:rFonts w:ascii="Arial" w:cs="Arial" w:eastAsia="Arial" w:hAnsi="Arial"/>
          <w:sz w:val="18"/>
          <w:szCs w:val="18"/>
          <w:b w:val="1"/>
          <w:bCs w:val="1"/>
          <w:color w:val="auto"/>
        </w:rPr>
        <w:t xml:space="preserve">2.52 </w:t>
      </w:r>
      <w:r>
        <w:rPr>
          <w:rFonts w:ascii="Arial" w:cs="Arial" w:eastAsia="Arial" w:hAnsi="Arial"/>
          <w:sz w:val="18"/>
          <w:szCs w:val="18"/>
          <w:color w:val="auto"/>
        </w:rPr>
        <w:t>“</w:t>
      </w:r>
      <w:r>
        <w:rPr>
          <w:rFonts w:ascii="Arial" w:cs="Arial" w:eastAsia="Arial" w:hAnsi="Arial"/>
          <w:sz w:val="18"/>
          <w:szCs w:val="18"/>
          <w:b w:val="1"/>
          <w:bCs w:val="1"/>
          <w:color w:val="auto"/>
        </w:rPr>
        <w:t>Retirement</w:t>
      </w:r>
      <w:r>
        <w:rPr>
          <w:rFonts w:ascii="Arial" w:cs="Arial" w:eastAsia="Arial" w:hAnsi="Arial"/>
          <w:sz w:val="18"/>
          <w:szCs w:val="18"/>
          <w:color w:val="auto"/>
        </w:rPr>
        <w:t>” shall have the meaning established by the Committee from time to time or, if no such meaning is</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established, shall mean termination of employment with the Company or any Affiliate or Subsidiary at or after age 55 and with a number of years of service that, when added together with the Participant’s age, equals at least 65.</w:t>
      </w:r>
    </w:p>
    <w:p>
      <w:pPr>
        <w:spacing w:after="0" w:line="172" w:lineRule="exact"/>
        <w:rPr>
          <w:sz w:val="20"/>
          <w:szCs w:val="20"/>
          <w:color w:val="auto"/>
        </w:rPr>
      </w:pPr>
    </w:p>
    <w:p>
      <w:pPr>
        <w:ind w:left="800"/>
        <w:spacing w:after="0"/>
        <w:tabs>
          <w:tab w:leader="none" w:pos="1780" w:val="left"/>
        </w:tabs>
        <w:rPr>
          <w:sz w:val="20"/>
          <w:szCs w:val="20"/>
          <w:color w:val="auto"/>
        </w:rPr>
      </w:pPr>
      <w:r>
        <w:rPr>
          <w:rFonts w:ascii="Arial" w:cs="Arial" w:eastAsia="Arial" w:hAnsi="Arial"/>
          <w:sz w:val="18"/>
          <w:szCs w:val="18"/>
          <w:b w:val="1"/>
          <w:bCs w:val="1"/>
          <w:color w:val="auto"/>
        </w:rPr>
        <w:t>2.53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Scale Back</w:t>
      </w:r>
      <w:r>
        <w:rPr>
          <w:rFonts w:ascii="Arial" w:cs="Arial" w:eastAsia="Arial" w:hAnsi="Arial"/>
          <w:sz w:val="17"/>
          <w:szCs w:val="17"/>
          <w:color w:val="auto"/>
        </w:rPr>
        <w:t>” has the meaning set forth in Section 9.8.</w:t>
      </w:r>
    </w:p>
    <w:p>
      <w:pPr>
        <w:spacing w:after="0" w:line="205" w:lineRule="exact"/>
        <w:rPr>
          <w:sz w:val="20"/>
          <w:szCs w:val="20"/>
          <w:color w:val="auto"/>
        </w:rPr>
      </w:pPr>
    </w:p>
    <w:p>
      <w:pPr>
        <w:ind w:left="800"/>
        <w:spacing w:after="0"/>
        <w:tabs>
          <w:tab w:leader="none" w:pos="1780" w:val="left"/>
        </w:tabs>
        <w:rPr>
          <w:sz w:val="20"/>
          <w:szCs w:val="20"/>
          <w:color w:val="auto"/>
        </w:rPr>
      </w:pPr>
      <w:r>
        <w:rPr>
          <w:rFonts w:ascii="Arial" w:cs="Arial" w:eastAsia="Arial" w:hAnsi="Arial"/>
          <w:sz w:val="18"/>
          <w:szCs w:val="18"/>
          <w:b w:val="1"/>
          <w:bCs w:val="1"/>
          <w:color w:val="auto"/>
        </w:rPr>
        <w:t>2.54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Share</w:t>
      </w:r>
      <w:r>
        <w:rPr>
          <w:rFonts w:ascii="Arial" w:cs="Arial" w:eastAsia="Arial" w:hAnsi="Arial"/>
          <w:sz w:val="17"/>
          <w:szCs w:val="17"/>
          <w:color w:val="auto"/>
        </w:rPr>
        <w:t>” means a share of common stock of the Company, par value $1.00 per share.</w:t>
      </w:r>
    </w:p>
    <w:p>
      <w:pPr>
        <w:spacing w:after="0" w:line="205" w:lineRule="exact"/>
        <w:rPr>
          <w:sz w:val="20"/>
          <w:szCs w:val="20"/>
          <w:color w:val="auto"/>
        </w:rPr>
      </w:pPr>
    </w:p>
    <w:p>
      <w:pPr>
        <w:ind w:left="800"/>
        <w:spacing w:after="0"/>
        <w:tabs>
          <w:tab w:leader="none" w:pos="1780" w:val="left"/>
        </w:tabs>
        <w:rPr>
          <w:sz w:val="20"/>
          <w:szCs w:val="20"/>
          <w:color w:val="auto"/>
        </w:rPr>
      </w:pPr>
      <w:r>
        <w:rPr>
          <w:rFonts w:ascii="Arial" w:cs="Arial" w:eastAsia="Arial" w:hAnsi="Arial"/>
          <w:sz w:val="18"/>
          <w:szCs w:val="18"/>
          <w:b w:val="1"/>
          <w:bCs w:val="1"/>
          <w:color w:val="auto"/>
        </w:rPr>
        <w:t>2.55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Share Payment</w:t>
      </w:r>
      <w:r>
        <w:rPr>
          <w:rFonts w:ascii="Arial" w:cs="Arial" w:eastAsia="Arial" w:hAnsi="Arial"/>
          <w:sz w:val="17"/>
          <w:szCs w:val="17"/>
          <w:color w:val="auto"/>
        </w:rPr>
        <w:t>" has the meaning set forth in Section 20.2.</w:t>
      </w:r>
    </w:p>
    <w:p>
      <w:pPr>
        <w:spacing w:after="0" w:line="205" w:lineRule="exact"/>
        <w:rPr>
          <w:sz w:val="20"/>
          <w:szCs w:val="20"/>
          <w:color w:val="auto"/>
        </w:rPr>
      </w:pPr>
    </w:p>
    <w:p>
      <w:pPr>
        <w:ind w:left="800"/>
        <w:spacing w:after="0"/>
        <w:tabs>
          <w:tab w:leader="none" w:pos="1780" w:val="left"/>
        </w:tabs>
        <w:rPr>
          <w:sz w:val="20"/>
          <w:szCs w:val="20"/>
          <w:color w:val="auto"/>
        </w:rPr>
      </w:pPr>
      <w:r>
        <w:rPr>
          <w:rFonts w:ascii="Arial" w:cs="Arial" w:eastAsia="Arial" w:hAnsi="Arial"/>
          <w:sz w:val="18"/>
          <w:szCs w:val="18"/>
          <w:b w:val="1"/>
          <w:bCs w:val="1"/>
          <w:color w:val="auto"/>
        </w:rPr>
        <w:t>2.56</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SPM Performance Goals</w:t>
      </w:r>
      <w:r>
        <w:rPr>
          <w:rFonts w:ascii="Arial" w:cs="Arial" w:eastAsia="Arial" w:hAnsi="Arial"/>
          <w:sz w:val="17"/>
          <w:szCs w:val="17"/>
          <w:color w:val="auto"/>
        </w:rPr>
        <w:t>” has the meaning set forth in Section 10.5.</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182" w:lineRule="exact"/>
        <w:rPr>
          <w:sz w:val="20"/>
          <w:szCs w:val="20"/>
          <w:color w:val="auto"/>
        </w:rPr>
      </w:pPr>
    </w:p>
    <w:p>
      <w:pPr>
        <w:ind w:left="800"/>
        <w:spacing w:after="0"/>
        <w:tabs>
          <w:tab w:leader="none" w:pos="1780" w:val="left"/>
        </w:tabs>
        <w:rPr>
          <w:sz w:val="20"/>
          <w:szCs w:val="20"/>
          <w:color w:val="auto"/>
        </w:rPr>
      </w:pPr>
      <w:r>
        <w:rPr>
          <w:rFonts w:ascii="Arial" w:cs="Arial" w:eastAsia="Arial" w:hAnsi="Arial"/>
          <w:sz w:val="18"/>
          <w:szCs w:val="18"/>
          <w:b w:val="1"/>
          <w:bCs w:val="1"/>
          <w:color w:val="auto"/>
        </w:rPr>
        <w:t>2.57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Stock Appreciation Right</w:t>
      </w:r>
      <w:r>
        <w:rPr>
          <w:rFonts w:ascii="Arial" w:cs="Arial" w:eastAsia="Arial" w:hAnsi="Arial"/>
          <w:sz w:val="18"/>
          <w:szCs w:val="18"/>
          <w:color w:val="auto"/>
        </w:rPr>
        <w:t>” or “</w:t>
      </w:r>
      <w:r>
        <w:rPr>
          <w:rFonts w:ascii="Arial" w:cs="Arial" w:eastAsia="Arial" w:hAnsi="Arial"/>
          <w:sz w:val="18"/>
          <w:szCs w:val="18"/>
          <w:b w:val="1"/>
          <w:bCs w:val="1"/>
          <w:color w:val="auto"/>
        </w:rPr>
        <w:t>SAR</w:t>
      </w:r>
      <w:r>
        <w:rPr>
          <w:rFonts w:ascii="Arial" w:cs="Arial" w:eastAsia="Arial" w:hAnsi="Arial"/>
          <w:sz w:val="18"/>
          <w:szCs w:val="18"/>
          <w:color w:val="auto"/>
        </w:rPr>
        <w:t>” means an Award, designated as an SAR, pursuant to the terms of Article 7</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183"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b w:val="1"/>
          <w:bCs w:val="1"/>
          <w:color w:val="auto"/>
        </w:rPr>
        <w:t xml:space="preserve">2.58 </w:t>
      </w:r>
      <w:r>
        <w:rPr>
          <w:rFonts w:ascii="Arial" w:cs="Arial" w:eastAsia="Arial" w:hAnsi="Arial"/>
          <w:sz w:val="18"/>
          <w:szCs w:val="18"/>
          <w:color w:val="auto"/>
        </w:rPr>
        <w:t>“</w:t>
      </w:r>
      <w:r>
        <w:rPr>
          <w:rFonts w:ascii="Arial" w:cs="Arial" w:eastAsia="Arial" w:hAnsi="Arial"/>
          <w:sz w:val="18"/>
          <w:szCs w:val="18"/>
          <w:b w:val="1"/>
          <w:bCs w:val="1"/>
          <w:color w:val="auto"/>
        </w:rPr>
        <w:t>Stock-Based Award</w:t>
      </w:r>
      <w:r>
        <w:rPr>
          <w:rFonts w:ascii="Arial" w:cs="Arial" w:eastAsia="Arial" w:hAnsi="Arial"/>
          <w:sz w:val="18"/>
          <w:szCs w:val="18"/>
          <w:color w:val="auto"/>
        </w:rPr>
        <w:t>” means any equity-based or equity-related Award made pursuant to the Plan, including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SARs, Restricted Stock, Restricted Stock Units, Performance Shares, Nonemployee Directors Awards and Other Stock-Based Awards.</w:t>
      </w:r>
    </w:p>
    <w:p>
      <w:pPr>
        <w:spacing w:after="0" w:line="158" w:lineRule="exact"/>
        <w:rPr>
          <w:sz w:val="20"/>
          <w:szCs w:val="20"/>
          <w:color w:val="auto"/>
        </w:rPr>
      </w:pPr>
    </w:p>
    <w:p>
      <w:pPr>
        <w:ind w:left="800"/>
        <w:spacing w:after="0"/>
        <w:tabs>
          <w:tab w:leader="none" w:pos="1780" w:val="left"/>
        </w:tabs>
        <w:rPr>
          <w:sz w:val="20"/>
          <w:szCs w:val="20"/>
          <w:color w:val="auto"/>
        </w:rPr>
      </w:pPr>
      <w:r>
        <w:rPr>
          <w:rFonts w:ascii="Arial" w:cs="Arial" w:eastAsia="Arial" w:hAnsi="Arial"/>
          <w:sz w:val="18"/>
          <w:szCs w:val="18"/>
          <w:b w:val="1"/>
          <w:bCs w:val="1"/>
          <w:color w:val="auto"/>
        </w:rPr>
        <w:t>2.59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Strategic Performance Participants</w:t>
      </w:r>
      <w:r>
        <w:rPr>
          <w:rFonts w:ascii="Arial" w:cs="Arial" w:eastAsia="Arial" w:hAnsi="Arial"/>
          <w:sz w:val="17"/>
          <w:szCs w:val="17"/>
          <w:color w:val="auto"/>
        </w:rPr>
        <w:t>” has the meaning set forth in Section 10.5.</w:t>
      </w:r>
    </w:p>
    <w:p>
      <w:pPr>
        <w:spacing w:after="0" w:line="205"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b w:val="1"/>
          <w:bCs w:val="1"/>
          <w:color w:val="auto"/>
        </w:rPr>
        <w:t xml:space="preserve">2.60 </w:t>
      </w: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any corporation or other entity, whether domestic or foreign, in which the Company has or obtains,</w:t>
      </w:r>
      <w:r>
        <w:rPr>
          <w:rFonts w:ascii="Arial" w:cs="Arial" w:eastAsia="Arial" w:hAnsi="Arial"/>
          <w:sz w:val="18"/>
          <w:szCs w:val="18"/>
          <w:b w:val="1"/>
          <w:bCs w:val="1"/>
          <w:color w:val="auto"/>
        </w:rPr>
        <w:t xml:space="preserve"> </w:t>
      </w:r>
      <w:r>
        <w:rPr>
          <w:rFonts w:ascii="Arial" w:cs="Arial" w:eastAsia="Arial" w:hAnsi="Arial"/>
          <w:sz w:val="18"/>
          <w:szCs w:val="18"/>
          <w:color w:val="auto"/>
        </w:rPr>
        <w:t>directly or indirectly, an interest of more than fifty percent (50%) by reason of stock ownership or otherwise.</w:t>
      </w:r>
    </w:p>
    <w:p>
      <w:pPr>
        <w:spacing w:after="0" w:line="158" w:lineRule="exact"/>
        <w:rPr>
          <w:sz w:val="20"/>
          <w:szCs w:val="20"/>
          <w:color w:val="auto"/>
        </w:rPr>
      </w:pPr>
    </w:p>
    <w:p>
      <w:pPr>
        <w:ind w:left="800"/>
        <w:spacing w:after="0"/>
        <w:tabs>
          <w:tab w:leader="none" w:pos="1780" w:val="left"/>
        </w:tabs>
        <w:rPr>
          <w:sz w:val="20"/>
          <w:szCs w:val="20"/>
          <w:color w:val="auto"/>
        </w:rPr>
      </w:pPr>
      <w:r>
        <w:rPr>
          <w:rFonts w:ascii="Arial" w:cs="Arial" w:eastAsia="Arial" w:hAnsi="Arial"/>
          <w:sz w:val="18"/>
          <w:szCs w:val="18"/>
          <w:b w:val="1"/>
          <w:bCs w:val="1"/>
          <w:color w:val="auto"/>
        </w:rPr>
        <w:t>2.61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Supplemental Division Performance Goals</w:t>
      </w:r>
      <w:r>
        <w:rPr>
          <w:rFonts w:ascii="Arial" w:cs="Arial" w:eastAsia="Arial" w:hAnsi="Arial"/>
          <w:sz w:val="17"/>
          <w:szCs w:val="17"/>
          <w:color w:val="auto"/>
        </w:rPr>
        <w:t>” has the meaning set forth in Section 10.4.</w:t>
      </w:r>
    </w:p>
    <w:p>
      <w:pPr>
        <w:spacing w:after="0" w:line="205" w:lineRule="exact"/>
        <w:rPr>
          <w:sz w:val="20"/>
          <w:szCs w:val="20"/>
          <w:color w:val="auto"/>
        </w:rPr>
      </w:pPr>
    </w:p>
    <w:p>
      <w:pPr>
        <w:ind w:left="800"/>
        <w:spacing w:after="0"/>
        <w:tabs>
          <w:tab w:leader="none" w:pos="1780" w:val="left"/>
        </w:tabs>
        <w:rPr>
          <w:sz w:val="20"/>
          <w:szCs w:val="20"/>
          <w:color w:val="auto"/>
        </w:rPr>
      </w:pPr>
      <w:r>
        <w:rPr>
          <w:rFonts w:ascii="Arial" w:cs="Arial" w:eastAsia="Arial" w:hAnsi="Arial"/>
          <w:sz w:val="18"/>
          <w:szCs w:val="18"/>
          <w:b w:val="1"/>
          <w:bCs w:val="1"/>
          <w:color w:val="auto"/>
        </w:rPr>
        <w:t>2.62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Target Payout</w:t>
      </w:r>
      <w:r>
        <w:rPr>
          <w:rFonts w:ascii="Arial" w:cs="Arial" w:eastAsia="Arial" w:hAnsi="Arial"/>
          <w:sz w:val="17"/>
          <w:szCs w:val="17"/>
          <w:color w:val="auto"/>
        </w:rPr>
        <w:t>” has the meaning set forth in Section 10.2.</w:t>
      </w:r>
    </w:p>
    <w:p>
      <w:pPr>
        <w:spacing w:after="0" w:line="205" w:lineRule="exact"/>
        <w:rPr>
          <w:sz w:val="20"/>
          <w:szCs w:val="20"/>
          <w:color w:val="auto"/>
        </w:rPr>
      </w:pPr>
    </w:p>
    <w:p>
      <w:pPr>
        <w:ind w:left="800"/>
        <w:spacing w:after="0"/>
        <w:tabs>
          <w:tab w:leader="none" w:pos="1780" w:val="left"/>
        </w:tabs>
        <w:rPr>
          <w:sz w:val="20"/>
          <w:szCs w:val="20"/>
          <w:color w:val="auto"/>
        </w:rPr>
      </w:pPr>
      <w:r>
        <w:rPr>
          <w:rFonts w:ascii="Arial" w:cs="Arial" w:eastAsia="Arial" w:hAnsi="Arial"/>
          <w:sz w:val="18"/>
          <w:szCs w:val="18"/>
          <w:b w:val="1"/>
          <w:bCs w:val="1"/>
          <w:color w:val="auto"/>
        </w:rPr>
        <w:t>2.63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Tax Laws</w:t>
      </w:r>
      <w:r>
        <w:rPr>
          <w:rFonts w:ascii="Arial" w:cs="Arial" w:eastAsia="Arial" w:hAnsi="Arial"/>
          <w:sz w:val="17"/>
          <w:szCs w:val="17"/>
          <w:color w:val="auto"/>
        </w:rPr>
        <w:t>” has the meaning set forth in Section 23.20.</w:t>
      </w:r>
    </w:p>
    <w:p>
      <w:pPr>
        <w:spacing w:after="0" w:line="205" w:lineRule="exact"/>
        <w:rPr>
          <w:sz w:val="20"/>
          <w:szCs w:val="20"/>
          <w:color w:val="auto"/>
        </w:rPr>
      </w:pPr>
    </w:p>
    <w:p>
      <w:pPr>
        <w:jc w:val="both"/>
        <w:ind w:firstLine="802"/>
        <w:spacing w:after="0" w:line="247" w:lineRule="auto"/>
        <w:rPr>
          <w:sz w:val="20"/>
          <w:szCs w:val="20"/>
          <w:color w:val="auto"/>
        </w:rPr>
      </w:pPr>
      <w:r>
        <w:rPr>
          <w:rFonts w:ascii="Arial" w:cs="Arial" w:eastAsia="Arial" w:hAnsi="Arial"/>
          <w:sz w:val="18"/>
          <w:szCs w:val="18"/>
          <w:b w:val="1"/>
          <w:bCs w:val="1"/>
          <w:color w:val="auto"/>
        </w:rPr>
        <w:t xml:space="preserve">2.64 </w:t>
      </w:r>
      <w:r>
        <w:rPr>
          <w:rFonts w:ascii="Arial" w:cs="Arial" w:eastAsia="Arial" w:hAnsi="Arial"/>
          <w:sz w:val="18"/>
          <w:szCs w:val="18"/>
          <w:color w:val="auto"/>
        </w:rPr>
        <w:t>“</w:t>
      </w:r>
      <w:r>
        <w:rPr>
          <w:rFonts w:ascii="Arial" w:cs="Arial" w:eastAsia="Arial" w:hAnsi="Arial"/>
          <w:sz w:val="18"/>
          <w:szCs w:val="18"/>
          <w:b w:val="1"/>
          <w:bCs w:val="1"/>
          <w:color w:val="auto"/>
        </w:rPr>
        <w:t>Third-Party Service Provider</w:t>
      </w:r>
      <w:r>
        <w:rPr>
          <w:rFonts w:ascii="Arial" w:cs="Arial" w:eastAsia="Arial" w:hAnsi="Arial"/>
          <w:sz w:val="18"/>
          <w:szCs w:val="18"/>
          <w:color w:val="auto"/>
        </w:rPr>
        <w:t>” means any consultant, agent, advisor or independent contractor who renders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Company, a Subsidiary or an Affiliate that: (a) are not in connection with the offer and sale of the Company’s securities in a capital raising transaction, and (b) do not directly or indirectly promote or maintain a market for the Company’s securities.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Article 3. Administration</w:t>
      </w:r>
    </w:p>
    <w:p>
      <w:pPr>
        <w:spacing w:after="0" w:line="205" w:lineRule="exact"/>
        <w:rPr>
          <w:sz w:val="20"/>
          <w:szCs w:val="20"/>
          <w:color w:val="auto"/>
        </w:rPr>
      </w:pPr>
    </w:p>
    <w:p>
      <w:pPr>
        <w:jc w:val="both"/>
        <w:ind w:firstLine="802"/>
        <w:spacing w:after="0" w:line="239" w:lineRule="auto"/>
        <w:rPr>
          <w:sz w:val="20"/>
          <w:szCs w:val="20"/>
          <w:color w:val="auto"/>
        </w:rPr>
      </w:pPr>
      <w:r>
        <w:rPr>
          <w:rFonts w:ascii="Arial" w:cs="Arial" w:eastAsia="Arial" w:hAnsi="Arial"/>
          <w:sz w:val="18"/>
          <w:szCs w:val="18"/>
          <w:b w:val="1"/>
          <w:bCs w:val="1"/>
          <w:color w:val="auto"/>
        </w:rPr>
        <w:t>3.1 General</w:t>
      </w:r>
      <w:r>
        <w:rPr>
          <w:rFonts w:ascii="Arial" w:cs="Arial" w:eastAsia="Arial" w:hAnsi="Arial"/>
          <w:sz w:val="18"/>
          <w:szCs w:val="18"/>
          <w:color w:val="auto"/>
        </w:rPr>
        <w:t>. The Committee shall be responsible for administering this Plan, subject to this Article 3 and the other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Plan. The Committee may employ attorneys, consultants, accountants, agents and other individuals, any of whom may be an Employee, and the Committee, the Company and its officers and Directors shall be entitled to rely upon the advice, opinions or valuations of any such individuals. All actions taken, and all interpretations and determinations made, by the Committee shall be final and binding upon the Participants, the Company, any Affiliate or any Subsidiary and all other interested individuals.</w:t>
      </w:r>
    </w:p>
    <w:p>
      <w:pPr>
        <w:spacing w:after="0" w:line="179" w:lineRule="exact"/>
        <w:rPr>
          <w:sz w:val="20"/>
          <w:szCs w:val="20"/>
          <w:color w:val="auto"/>
        </w:rPr>
      </w:pPr>
    </w:p>
    <w:p>
      <w:pPr>
        <w:jc w:val="both"/>
        <w:ind w:firstLine="802"/>
        <w:spacing w:after="0" w:line="247" w:lineRule="auto"/>
        <w:rPr>
          <w:sz w:val="20"/>
          <w:szCs w:val="20"/>
          <w:color w:val="auto"/>
        </w:rPr>
      </w:pPr>
      <w:r>
        <w:rPr>
          <w:rFonts w:ascii="Arial" w:cs="Arial" w:eastAsia="Arial" w:hAnsi="Arial"/>
          <w:sz w:val="18"/>
          <w:szCs w:val="18"/>
          <w:b w:val="1"/>
          <w:bCs w:val="1"/>
          <w:color w:val="auto"/>
        </w:rPr>
        <w:t>3.2 Authority of the Committee</w:t>
      </w:r>
      <w:r>
        <w:rPr>
          <w:rFonts w:ascii="Arial" w:cs="Arial" w:eastAsia="Arial" w:hAnsi="Arial"/>
          <w:sz w:val="18"/>
          <w:szCs w:val="18"/>
          <w:color w:val="auto"/>
        </w:rPr>
        <w:t>. Subject to any express limitations set forth in this Plan, the Committee shall have full and</w:t>
      </w:r>
      <w:r>
        <w:rPr>
          <w:rFonts w:ascii="Arial" w:cs="Arial" w:eastAsia="Arial" w:hAnsi="Arial"/>
          <w:sz w:val="18"/>
          <w:szCs w:val="18"/>
          <w:b w:val="1"/>
          <w:bCs w:val="1"/>
          <w:color w:val="auto"/>
        </w:rPr>
        <w:t xml:space="preserve"> </w:t>
      </w:r>
      <w:r>
        <w:rPr>
          <w:rFonts w:ascii="Arial" w:cs="Arial" w:eastAsia="Arial" w:hAnsi="Arial"/>
          <w:sz w:val="18"/>
          <w:szCs w:val="18"/>
          <w:color w:val="auto"/>
        </w:rPr>
        <w:t>exclusive discretionary power and authority to take such actions as it deems necessary and advisable with respect to the administration of this Plan including the following:</w:t>
      </w:r>
    </w:p>
    <w:p>
      <w:pPr>
        <w:spacing w:after="0" w:line="194" w:lineRule="exact"/>
        <w:rPr>
          <w:sz w:val="20"/>
          <w:szCs w:val="20"/>
          <w:color w:val="auto"/>
        </w:rPr>
      </w:pPr>
    </w:p>
    <w:p>
      <w:pPr>
        <w:jc w:val="both"/>
        <w:ind w:left="1600" w:hanging="796"/>
        <w:spacing w:after="0" w:line="235" w:lineRule="auto"/>
        <w:tabs>
          <w:tab w:leader="none" w:pos="16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determine from time to time which of the persons eligible under this Plan shall be granted Awards, when and how each Award shall be granted, what type or combination of types of Awards shall be granted, the provisions of each Award granted (which need not be identical), including the time or times when a person shall be permitted to receive Shares pursuant to an Award, and the number of Shares subject to an Award;</w:t>
      </w:r>
    </w:p>
    <w:p>
      <w:pPr>
        <w:spacing w:after="0" w:line="199" w:lineRule="exact"/>
        <w:rPr>
          <w:rFonts w:ascii="Arial" w:cs="Arial" w:eastAsia="Arial" w:hAnsi="Arial"/>
          <w:sz w:val="18"/>
          <w:szCs w:val="18"/>
          <w:color w:val="auto"/>
        </w:rPr>
      </w:pPr>
    </w:p>
    <w:p>
      <w:pPr>
        <w:jc w:val="both"/>
        <w:ind w:left="1600" w:hanging="796"/>
        <w:spacing w:after="0" w:line="235" w:lineRule="auto"/>
        <w:tabs>
          <w:tab w:leader="none" w:pos="16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construe and interpret this Plan and Awards granted under it, and to establish, amend and revoke rules and regulations for its administration. The Committee, in the exercise of this power, may correct any defect, omission or inconsistency in this Plan or in an Award Agreement, in a manner and to the extent it shall deem necessary or expedient to make this Plan fully effective;</w:t>
      </w:r>
    </w:p>
    <w:p>
      <w:pPr>
        <w:spacing w:after="0" w:line="199" w:lineRule="exact"/>
        <w:rPr>
          <w:rFonts w:ascii="Arial" w:cs="Arial" w:eastAsia="Arial" w:hAnsi="Arial"/>
          <w:sz w:val="18"/>
          <w:szCs w:val="18"/>
          <w:color w:val="auto"/>
        </w:rPr>
      </w:pPr>
    </w:p>
    <w:p>
      <w:pPr>
        <w:ind w:left="1600" w:hanging="796"/>
        <w:spacing w:after="0"/>
        <w:tabs>
          <w:tab w:leader="none" w:pos="16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approve forms of Award Agreements for use under this Plan;</w:t>
      </w:r>
    </w:p>
    <w:p>
      <w:pPr>
        <w:spacing w:after="0" w:line="205" w:lineRule="exact"/>
        <w:rPr>
          <w:rFonts w:ascii="Arial" w:cs="Arial" w:eastAsia="Arial" w:hAnsi="Arial"/>
          <w:sz w:val="18"/>
          <w:szCs w:val="18"/>
          <w:color w:val="auto"/>
        </w:rPr>
      </w:pPr>
    </w:p>
    <w:p>
      <w:pPr>
        <w:ind w:left="1600" w:hanging="796"/>
        <w:spacing w:after="0"/>
        <w:tabs>
          <w:tab w:leader="none" w:pos="16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determine Fair Market Value of a Share in accordance with Section 2.19;</w:t>
      </w:r>
    </w:p>
    <w:p>
      <w:pPr>
        <w:spacing w:after="0" w:line="205" w:lineRule="exact"/>
        <w:rPr>
          <w:rFonts w:ascii="Arial" w:cs="Arial" w:eastAsia="Arial" w:hAnsi="Arial"/>
          <w:sz w:val="18"/>
          <w:szCs w:val="18"/>
          <w:color w:val="auto"/>
        </w:rPr>
      </w:pPr>
    </w:p>
    <w:p>
      <w:pPr>
        <w:ind w:left="1600" w:hanging="796"/>
        <w:spacing w:after="0"/>
        <w:tabs>
          <w:tab w:leader="none" w:pos="16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amend this Plan or any Award Agreement as provided in this Plan;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both"/>
        <w:ind w:left="1600" w:hanging="796"/>
        <w:spacing w:after="0" w:line="235" w:lineRule="auto"/>
        <w:tabs>
          <w:tab w:leader="none" w:pos="16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adopt subplans or special provisions applicable to stock awards regulated by the laws of a jurisdiction other than, and outside of, the United States. Such subplans or special provisions may take precedence over other provisions of this Plan, but unless otherwise superseded by the terms of such subplans or special provisions, the provisions of this Plan shall govern;</w:t>
      </w:r>
    </w:p>
    <w:p>
      <w:pPr>
        <w:spacing w:after="0" w:line="199" w:lineRule="exact"/>
        <w:rPr>
          <w:rFonts w:ascii="Arial" w:cs="Arial" w:eastAsia="Arial" w:hAnsi="Arial"/>
          <w:sz w:val="18"/>
          <w:szCs w:val="18"/>
          <w:color w:val="auto"/>
        </w:rPr>
      </w:pPr>
    </w:p>
    <w:p>
      <w:pPr>
        <w:ind w:left="1600" w:hanging="796"/>
        <w:spacing w:after="0" w:line="238" w:lineRule="auto"/>
        <w:tabs>
          <w:tab w:leader="none" w:pos="16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authorize any person to execute on behalf of the Company any instrument required to effect the grant of an Award previously granted by the Committee;</w:t>
      </w:r>
    </w:p>
    <w:p>
      <w:pPr>
        <w:spacing w:after="0" w:line="201" w:lineRule="exact"/>
        <w:rPr>
          <w:rFonts w:ascii="Arial" w:cs="Arial" w:eastAsia="Arial" w:hAnsi="Arial"/>
          <w:sz w:val="18"/>
          <w:szCs w:val="18"/>
          <w:color w:val="auto"/>
        </w:rPr>
      </w:pPr>
    </w:p>
    <w:p>
      <w:pPr>
        <w:ind w:left="1600" w:hanging="796"/>
        <w:spacing w:after="0"/>
        <w:tabs>
          <w:tab w:leader="none" w:pos="16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determine whether Awards will be settled in Shares, cash or in any combination thereof;</w:t>
      </w:r>
    </w:p>
    <w:p>
      <w:pPr>
        <w:spacing w:after="0" w:line="205" w:lineRule="exact"/>
        <w:rPr>
          <w:rFonts w:ascii="Arial" w:cs="Arial" w:eastAsia="Arial" w:hAnsi="Arial"/>
          <w:sz w:val="18"/>
          <w:szCs w:val="18"/>
          <w:color w:val="auto"/>
        </w:rPr>
      </w:pPr>
    </w:p>
    <w:p>
      <w:pPr>
        <w:jc w:val="both"/>
        <w:ind w:left="1600" w:hanging="796"/>
        <w:spacing w:after="0" w:line="234" w:lineRule="auto"/>
        <w:tabs>
          <w:tab w:leader="none" w:pos="16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Subject to Article 15 and any other provision of this Plan, to determine whether Awards will be adjusted for dividend equivalents, with “Dividend Equivalents” meaning a credit, made at the discretion of the Committee, to the account of a Participant in an amount equal to the cash dividends paid on one Share for each Share represented by an Award held by such Participant, which Dividend Equivalents may be subject to the same conditions and restrictions as the Awards to which they attach and may be settled in the form of cash, Shares, or in any combination of both; or</w:t>
      </w:r>
    </w:p>
    <w:p>
      <w:pPr>
        <w:spacing w:after="0" w:line="200" w:lineRule="exact"/>
        <w:rPr>
          <w:rFonts w:ascii="Arial" w:cs="Arial" w:eastAsia="Arial" w:hAnsi="Arial"/>
          <w:sz w:val="18"/>
          <w:szCs w:val="18"/>
          <w:color w:val="auto"/>
        </w:rPr>
      </w:pPr>
    </w:p>
    <w:p>
      <w:pPr>
        <w:jc w:val="both"/>
        <w:ind w:left="1600" w:hanging="796"/>
        <w:spacing w:after="0" w:line="236" w:lineRule="auto"/>
        <w:tabs>
          <w:tab w:leader="none" w:pos="16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impose such restrictions, conditions or limitations as it determines appropriate as to the timing and manner of any resales by a Participant or other subsequent transfers by the Participant of any Shares, including: (i) restrictions under an insider trading policy, and (ii) restrictions as to the use of a specified brokerage firm for such resales or other transfers.</w:t>
      </w:r>
    </w:p>
    <w:p>
      <w:pPr>
        <w:spacing w:after="0" w:line="178" w:lineRule="exact"/>
        <w:rPr>
          <w:sz w:val="20"/>
          <w:szCs w:val="20"/>
          <w:color w:val="auto"/>
        </w:rPr>
      </w:pPr>
    </w:p>
    <w:p>
      <w:pPr>
        <w:jc w:val="both"/>
        <w:ind w:firstLine="802"/>
        <w:spacing w:after="0" w:line="234" w:lineRule="auto"/>
        <w:rPr>
          <w:sz w:val="20"/>
          <w:szCs w:val="20"/>
          <w:color w:val="auto"/>
        </w:rPr>
      </w:pPr>
      <w:r>
        <w:rPr>
          <w:rFonts w:ascii="Arial" w:cs="Arial" w:eastAsia="Arial" w:hAnsi="Arial"/>
          <w:sz w:val="18"/>
          <w:szCs w:val="18"/>
          <w:b w:val="1"/>
          <w:bCs w:val="1"/>
          <w:color w:val="auto"/>
        </w:rPr>
        <w:t>3.3 Delegation</w:t>
      </w:r>
      <w:r>
        <w:rPr>
          <w:rFonts w:ascii="Arial" w:cs="Arial" w:eastAsia="Arial" w:hAnsi="Arial"/>
          <w:sz w:val="18"/>
          <w:szCs w:val="18"/>
          <w:color w:val="auto"/>
        </w:rPr>
        <w:t>. To the extent permitted by applicable law, the Committee may delegate to one or more of its members or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one or more officers of the Company or any Subsidiary or Affiliate or to one or more agents or advisors such administrative duties or powers as it may deem advisable, and the Committee or any individuals to whom it has delegated duties or powers as aforesaid may employ one or more individuals to render advice with respect to any responsibility the Committee or such individuals may have under this Plan. The Committee may, by resolution, authorize one or more Directors or officers of the Company to do one or both of the following on the same basis as can the Committee: (a) designate persons eligible under this Plan to be recipients of Awards pursuant to this Plan; and (b) determine the size of any such Awards;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 the Committee shall not delegate such responsibilities to any such Director(s) or officer(s) for any Awards granted to an individual who is considered an Insider; or (ii) to whom authority to grant or amend Awards has been delegated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any delegation of administrative authority will only be permitted to the extent it is permissible under applicable law; (aa) the resolution providing such authorization shall set forth the type of Awards and total number of each type of Awards such Director(s) or officer(s) may grant; and (bb) the Director(s) or officer(s) shall report periodically to the Committee regarding the nature and scope of the Awards granted pursuant to the authority delegated. At all times, the delegate appointed under this Section 3.3 will serve in such capacity at the pleasure of the Committee.</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Article 4. Shares Subject to This Plan and Available for Awards; Adjustments; Minimum Vesting Periods</w:t>
      </w:r>
    </w:p>
    <w:p>
      <w:pPr>
        <w:spacing w:after="0" w:line="205"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b w:val="1"/>
          <w:bCs w:val="1"/>
          <w:color w:val="auto"/>
        </w:rPr>
        <w:t>4.1 Number of Shares Authorized and Available for Awards</w:t>
      </w:r>
      <w:r>
        <w:rPr>
          <w:rFonts w:ascii="Arial" w:cs="Arial" w:eastAsia="Arial" w:hAnsi="Arial"/>
          <w:sz w:val="18"/>
          <w:szCs w:val="18"/>
          <w:color w:val="auto"/>
        </w:rPr>
        <w:t>. Subject to adjustment as provided in Section 4.3, the</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Shares authorized and available for Awards under this Plan shall be determined in accordance with the following provisions:</w:t>
      </w:r>
    </w:p>
    <w:p>
      <w:pPr>
        <w:spacing w:after="0" w:line="180" w:lineRule="exact"/>
        <w:rPr>
          <w:sz w:val="20"/>
          <w:szCs w:val="20"/>
          <w:color w:val="auto"/>
        </w:rPr>
      </w:pPr>
    </w:p>
    <w:p>
      <w:pPr>
        <w:jc w:val="both"/>
        <w:ind w:left="1600" w:hanging="796"/>
        <w:spacing w:after="0" w:line="235" w:lineRule="auto"/>
        <w:tabs>
          <w:tab w:leader="none" w:pos="16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maximum number of Shares available for issuance under this Plan shall be equal to the sum of: (i) 1,250,000 Shares, plus (ii) the number of Shares remaining available for issuance under the Prior Plan as of the Effective Date but not subject to outstanding awards as of the Effective Date; and plus (iii) the number of Shares subject to awards outstanding under the Prior Plan as of the Effective Date but only to the extent that such</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ind w:left="1620"/>
        <w:spacing w:after="0" w:line="238" w:lineRule="auto"/>
        <w:rPr>
          <w:sz w:val="20"/>
          <w:szCs w:val="20"/>
          <w:color w:val="auto"/>
        </w:rPr>
      </w:pPr>
      <w:r>
        <w:rPr>
          <w:rFonts w:ascii="Arial" w:cs="Arial" w:eastAsia="Arial" w:hAnsi="Arial"/>
          <w:sz w:val="18"/>
          <w:szCs w:val="18"/>
          <w:color w:val="auto"/>
        </w:rPr>
        <w:t>outstanding awards are forfeited, expire or otherwise terminate without the issuance of such Shares after the Effective Date.</w:t>
      </w:r>
    </w:p>
    <w:p>
      <w:pPr>
        <w:spacing w:after="0" w:line="201" w:lineRule="exact"/>
        <w:rPr>
          <w:sz w:val="20"/>
          <w:szCs w:val="20"/>
          <w:color w:val="auto"/>
        </w:rPr>
      </w:pPr>
    </w:p>
    <w:p>
      <w:pPr>
        <w:ind w:left="1600" w:hanging="796"/>
        <w:spacing w:after="0" w:line="238" w:lineRule="auto"/>
        <w:tabs>
          <w:tab w:leader="none" w:pos="16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No more than 2,500,000 of the Shares authorized for issuance under this Plan may be issued pursuant to Full-Value Awards.</w:t>
      </w:r>
    </w:p>
    <w:p>
      <w:pPr>
        <w:spacing w:after="0" w:line="201" w:lineRule="exact"/>
        <w:rPr>
          <w:rFonts w:ascii="Arial" w:cs="Arial" w:eastAsia="Arial" w:hAnsi="Arial"/>
          <w:sz w:val="18"/>
          <w:szCs w:val="18"/>
          <w:color w:val="auto"/>
        </w:rPr>
      </w:pPr>
    </w:p>
    <w:p>
      <w:pPr>
        <w:ind w:left="1600" w:hanging="796"/>
        <w:spacing w:after="0"/>
        <w:tabs>
          <w:tab w:leader="none" w:pos="16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maximum number of Shares that may be issued pursuant to ISOs under this Plan shall be 1,250,000.</w:t>
      </w:r>
    </w:p>
    <w:p>
      <w:pPr>
        <w:spacing w:after="0" w:line="183" w:lineRule="exact"/>
        <w:rPr>
          <w:sz w:val="20"/>
          <w:szCs w:val="20"/>
          <w:color w:val="auto"/>
        </w:rPr>
      </w:pPr>
    </w:p>
    <w:p>
      <w:pPr>
        <w:jc w:val="both"/>
        <w:ind w:firstLine="802"/>
        <w:spacing w:after="0" w:line="234" w:lineRule="auto"/>
        <w:rPr>
          <w:sz w:val="20"/>
          <w:szCs w:val="20"/>
          <w:color w:val="auto"/>
        </w:rPr>
      </w:pPr>
      <w:r>
        <w:rPr>
          <w:rFonts w:ascii="Arial" w:cs="Arial" w:eastAsia="Arial" w:hAnsi="Arial"/>
          <w:sz w:val="18"/>
          <w:szCs w:val="18"/>
          <w:b w:val="1"/>
          <w:bCs w:val="1"/>
          <w:color w:val="auto"/>
        </w:rPr>
        <w:t>4.2 Share Usage</w:t>
      </w:r>
      <w:r>
        <w:rPr>
          <w:rFonts w:ascii="Arial" w:cs="Arial" w:eastAsia="Arial" w:hAnsi="Arial"/>
          <w:sz w:val="18"/>
          <w:szCs w:val="18"/>
          <w:color w:val="auto"/>
        </w:rPr>
        <w:t>. Shares covered by an Award shall be counted as used only to the extent they are actually issued;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full number of Shares subject to an SAR granted that are settled by the issuance of Shares shall be counted against the Shares authorized for issuance under this Plan, regardless of the number of Shares actually issued upon settlement of such SAR. Furthermore, any Shares tendered or withheld to satisfy tax withholding obligations on Awards issued under this Plan, any Shares tendered or withheld to pay the Option Price or Grant Price of Awards under this Plan and any Shares not issued or delivered as a result of the "net exercise" of an outstanding Option pursuant to Section 6.6 shall be counted against the Shares authorized for issuance under this Plan. Any Shares repurchased by the Company on the open market using the proceeds from the exercise of an Award shall not increase the number of Shares available for future grant of Awards. Any Shares related to Awards under this Plan or under the Prior Plan that terminate by expiration, forfeiture, cancellation or otherwise without the issuance of the Shares or are settled in cash in lieu of Shares, or are exchanged with the Committee’s permission, prior to the issuance of Shares, shall be available again for grant under this Plan. The Shares available for issuance under this Plan may be authorized and unissued Shares or treasury Shares.</w:t>
      </w:r>
    </w:p>
    <w:p>
      <w:pPr>
        <w:spacing w:after="0" w:line="187"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b w:val="1"/>
          <w:bCs w:val="1"/>
          <w:color w:val="auto"/>
        </w:rPr>
        <w:t>4.3 Adjustments in Authorized Shares</w:t>
      </w:r>
      <w:r>
        <w:rPr>
          <w:rFonts w:ascii="Arial" w:cs="Arial" w:eastAsia="Arial" w:hAnsi="Arial"/>
          <w:sz w:val="18"/>
          <w:szCs w:val="18"/>
          <w:color w:val="auto"/>
        </w:rPr>
        <w:t>. Adjustment in authorized Shares available for issuance under this Plan or under an</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Award shall be subject to the following provisions:</w:t>
      </w:r>
    </w:p>
    <w:p>
      <w:pPr>
        <w:spacing w:after="0" w:line="180" w:lineRule="exact"/>
        <w:rPr>
          <w:sz w:val="20"/>
          <w:szCs w:val="20"/>
          <w:color w:val="auto"/>
        </w:rPr>
      </w:pPr>
    </w:p>
    <w:p>
      <w:pPr>
        <w:jc w:val="both"/>
        <w:ind w:left="1600" w:hanging="796"/>
        <w:spacing w:after="0" w:line="232" w:lineRule="auto"/>
        <w:tabs>
          <w:tab w:leader="none" w:pos="16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Except to the extent that Section 18.1 applies, in the event of any corporate event or transaction (including a change in the Shares of the Company or the capitalization of the Company) such as a merger, consolidation, reorganization, recapitalization, separation, partial or complete liquidation, stock dividend, stock split, reverse stock split, split up, spin-off or other distribution of stock or property of the Company, combination of Shares, exchange of Shares, dividend in-kind or other like change in capital structure or distribution (other than normal cash dividends) to shareholders of the Company or any similar corporate event or transaction, the Committee, in order to prevent dilution or enlargement of Participants’ rights under this Plan, will substitute or adjust, as applicable, the number and kind of Shares that may be issued under this Plan or under particular forms of Awards, the number and kind of Shares subject to outstanding Awards, the Option Price or Grant Price applicable to outstanding Awards, and other value determinations applicable to outstanding Awards, provided that the Committee, in its sole discretion, shall determine the methodology or manner of making such substitution or adjustment.</w:t>
      </w:r>
    </w:p>
    <w:p>
      <w:pPr>
        <w:spacing w:after="0" w:line="205" w:lineRule="exact"/>
        <w:rPr>
          <w:rFonts w:ascii="Arial" w:cs="Arial" w:eastAsia="Arial" w:hAnsi="Arial"/>
          <w:sz w:val="18"/>
          <w:szCs w:val="18"/>
          <w:color w:val="auto"/>
        </w:rPr>
      </w:pPr>
    </w:p>
    <w:p>
      <w:pPr>
        <w:jc w:val="both"/>
        <w:ind w:left="1600" w:hanging="796"/>
        <w:spacing w:after="0" w:line="236" w:lineRule="auto"/>
        <w:tabs>
          <w:tab w:leader="none" w:pos="16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Committee, in its sole discretion, may also make appropriate adjustments in the terms of any Awards under this Plan to reflect such changes or distributions and to modify any other terms of outstanding Awards, including modifications of Performance Goals and changes in the length of Performance Periods.</w:t>
      </w:r>
    </w:p>
    <w:p>
      <w:pPr>
        <w:spacing w:after="0" w:line="200" w:lineRule="exact"/>
        <w:rPr>
          <w:rFonts w:ascii="Arial" w:cs="Arial" w:eastAsia="Arial" w:hAnsi="Arial"/>
          <w:sz w:val="18"/>
          <w:szCs w:val="18"/>
          <w:color w:val="auto"/>
        </w:rPr>
      </w:pPr>
    </w:p>
    <w:p>
      <w:pPr>
        <w:ind w:left="1600" w:hanging="796"/>
        <w:spacing w:after="0" w:line="238" w:lineRule="auto"/>
        <w:tabs>
          <w:tab w:leader="none" w:pos="16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determination of the Committee as to the foregoing adjustments, if any, shall be conclusive and binding on Participants under this Plan.</w:t>
      </w:r>
    </w:p>
    <w:p>
      <w:pPr>
        <w:spacing w:after="0" w:line="201" w:lineRule="exact"/>
        <w:rPr>
          <w:rFonts w:ascii="Arial" w:cs="Arial" w:eastAsia="Arial" w:hAnsi="Arial"/>
          <w:sz w:val="18"/>
          <w:szCs w:val="18"/>
          <w:color w:val="auto"/>
        </w:rPr>
      </w:pPr>
    </w:p>
    <w:p>
      <w:pPr>
        <w:jc w:val="both"/>
        <w:ind w:left="1600" w:hanging="796"/>
        <w:spacing w:after="0" w:line="236" w:lineRule="auto"/>
        <w:tabs>
          <w:tab w:leader="none" w:pos="16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Subject to the provisions of Article 19 and notwithstanding anything else herein to the contrary, without affecting the number of Shares reserved or available hereunder, the Committee may authorize the issuance or assumption of benefits under this Plan in connection with any merger, consolidation, acquisition of property or stock or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ind w:left="1620"/>
        <w:spacing w:after="0" w:line="238" w:lineRule="auto"/>
        <w:rPr>
          <w:sz w:val="20"/>
          <w:szCs w:val="20"/>
          <w:color w:val="auto"/>
        </w:rPr>
      </w:pPr>
      <w:r>
        <w:rPr>
          <w:rFonts w:ascii="Arial" w:cs="Arial" w:eastAsia="Arial" w:hAnsi="Arial"/>
          <w:sz w:val="18"/>
          <w:szCs w:val="18"/>
          <w:color w:val="auto"/>
        </w:rPr>
        <w:t>reorganization upon such terms and conditions as it may deem appropriate, subject to compliance with the rules under Code Sections 409A, 422 and 424, as and where applicable.</w:t>
      </w:r>
    </w:p>
    <w:p>
      <w:pPr>
        <w:spacing w:after="0" w:line="179" w:lineRule="exact"/>
        <w:rPr>
          <w:sz w:val="20"/>
          <w:szCs w:val="20"/>
          <w:color w:val="auto"/>
        </w:rPr>
      </w:pPr>
    </w:p>
    <w:p>
      <w:pPr>
        <w:jc w:val="both"/>
        <w:ind w:firstLine="802"/>
        <w:spacing w:after="0" w:line="234" w:lineRule="auto"/>
        <w:rPr>
          <w:sz w:val="20"/>
          <w:szCs w:val="20"/>
          <w:color w:val="auto"/>
        </w:rPr>
      </w:pPr>
      <w:r>
        <w:rPr>
          <w:rFonts w:ascii="Arial" w:cs="Arial" w:eastAsia="Arial" w:hAnsi="Arial"/>
          <w:sz w:val="18"/>
          <w:szCs w:val="18"/>
          <w:b w:val="1"/>
          <w:bCs w:val="1"/>
          <w:color w:val="auto"/>
        </w:rPr>
        <w:t>4.4 Minimum Vesting Requirements on Awards</w:t>
      </w:r>
      <w:r>
        <w:rPr>
          <w:rFonts w:ascii="Arial" w:cs="Arial" w:eastAsia="Arial" w:hAnsi="Arial"/>
          <w:sz w:val="18"/>
          <w:szCs w:val="18"/>
          <w:color w:val="auto"/>
        </w:rPr>
        <w:t>. Notwithstanding any other provision of this Plan to the contrary, but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subject to Section 4.3 and Article 18, equity-based Awards granted under this Plan will vest no earlier than the one-year anniversary of the date the Award is granted and any Awards under this Plan which vest upon the attainment of Performance Goals will provide for a Performance Period of at least one (1) year;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notwithstanding the foregoing, Awards that result in the issuance of an aggregate of up to five percent (5%) of the Shares available pursuant to Section 4.1 may be granted to any one or more eligible Non-Employee Directors, Third-Party Service Provider or Employees without respect to such minimum vesting condition;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 </w:t>
      </w:r>
      <w:r>
        <w:rPr>
          <w:rFonts w:ascii="Arial" w:cs="Arial" w:eastAsia="Arial" w:hAnsi="Arial"/>
          <w:sz w:val="18"/>
          <w:szCs w:val="18"/>
          <w:u w:val="single" w:color="auto"/>
          <w:color w:val="auto"/>
        </w:rPr>
        <w:t>further</w:t>
      </w:r>
      <w:r>
        <w:rPr>
          <w:rFonts w:ascii="Arial" w:cs="Arial" w:eastAsia="Arial" w:hAnsi="Arial"/>
          <w:sz w:val="18"/>
          <w:szCs w:val="18"/>
          <w:color w:val="auto"/>
        </w:rPr>
        <w:t>, that nothing in this Section 4.4 shall preclude the Committee from taking action, in its sole discretion, to accelerate the vesting of any Award in connection with or following a Participant’s: (a) termination of employment or service after the one-year anniversary of the date the Award is granted; (b) death; or (c) disability. This Section 4.4 will be inapplicable to (i) substitute Awards granted pursuant to Article 22 of this Plan, (ii) shares delivered in lieu or payment of fully vested cash Awards or other cash obligations and (iii) Awards to Non-Employee Directors that vest on the earlier of the one-year anniversary of the date of grant or the next annual meeting of shareholders which is at least 50 weeks after the immediately preceding year’s annual meeting.</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Article 5. Eligibility and Participation</w:t>
      </w:r>
    </w:p>
    <w:p>
      <w:pPr>
        <w:spacing w:after="0" w:line="198" w:lineRule="exact"/>
        <w:rPr>
          <w:sz w:val="20"/>
          <w:szCs w:val="20"/>
          <w:color w:val="auto"/>
        </w:rPr>
      </w:pPr>
    </w:p>
    <w:p>
      <w:pPr>
        <w:ind w:left="800"/>
        <w:spacing w:after="0"/>
        <w:tabs>
          <w:tab w:leader="none" w:pos="1680" w:val="left"/>
          <w:tab w:leader="none" w:pos="270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8"/>
          <w:szCs w:val="18"/>
          <w:b w:val="1"/>
          <w:bCs w:val="1"/>
          <w:color w:val="auto"/>
        </w:rPr>
        <w:t>Eligibility</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Individuals eligible to participate in this Plan include all Employees, Directors and Third-Party Service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Providers.</w:t>
      </w:r>
    </w:p>
    <w:p>
      <w:pPr>
        <w:spacing w:after="0" w:line="183" w:lineRule="exact"/>
        <w:rPr>
          <w:sz w:val="20"/>
          <w:szCs w:val="20"/>
          <w:color w:val="auto"/>
        </w:rPr>
      </w:pPr>
    </w:p>
    <w:p>
      <w:pPr>
        <w:jc w:val="both"/>
        <w:ind w:firstLine="802"/>
        <w:spacing w:after="0" w:line="247" w:lineRule="auto"/>
        <w:rPr>
          <w:sz w:val="20"/>
          <w:szCs w:val="20"/>
          <w:color w:val="auto"/>
        </w:rPr>
      </w:pPr>
      <w:r>
        <w:rPr>
          <w:rFonts w:ascii="Arial" w:cs="Arial" w:eastAsia="Arial" w:hAnsi="Arial"/>
          <w:sz w:val="18"/>
          <w:szCs w:val="18"/>
          <w:b w:val="1"/>
          <w:bCs w:val="1"/>
          <w:color w:val="auto"/>
        </w:rPr>
        <w:t>5.2 Actual Participation</w:t>
      </w:r>
      <w:r>
        <w:rPr>
          <w:rFonts w:ascii="Arial" w:cs="Arial" w:eastAsia="Arial" w:hAnsi="Arial"/>
          <w:sz w:val="18"/>
          <w:szCs w:val="18"/>
          <w:color w:val="auto"/>
        </w:rPr>
        <w:t>. Subject to the provisions of this Plan, the Committee may, from time to time, select from all eligible</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individuals, those individuals to whom Awards shall be granted and shall determine, in its sole discretion, the nature of any and all terms permissible by law and the amount of each Award.</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Article 6. Stock Options</w:t>
      </w:r>
    </w:p>
    <w:p>
      <w:pPr>
        <w:spacing w:after="0" w:line="205"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b w:val="1"/>
          <w:bCs w:val="1"/>
          <w:color w:val="auto"/>
        </w:rPr>
        <w:t>6.1 Grant of Options</w:t>
      </w:r>
      <w:r>
        <w:rPr>
          <w:rFonts w:ascii="Arial" w:cs="Arial" w:eastAsia="Arial" w:hAnsi="Arial"/>
          <w:sz w:val="18"/>
          <w:szCs w:val="18"/>
          <w:color w:val="auto"/>
        </w:rPr>
        <w:t>. Subject to the terms and provisions of this Plan (including Section 19.5), Options may be granted to</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pursuant to this Article 6 in such number, and upon such terms, and at any time and from time to time as shall be determined by the Committee, in its sole discretion. Options may be granted to a Participant for services provided to an Affiliate only if, with respect to such Participant, the underlying Shares constitute "service recipient stock" within the meaning of Treas. Reg. Section 1.409A-1(b)(5)(iii). ISOs may be granted solely to eligible Employees of the Company or certain Subsidiaries (as permitted under Code Sections 422 and 424). To the extent that any ISO (or portion thereof) granted under this Plan ceases for any reason to qualify as an “incentive stock option” for purposes of Code Section 422, such ISO (or portion thereof) will continue to be outstanding for purposes of this Plan but will thereafter be deemed to be an NQSO.</w:t>
      </w:r>
    </w:p>
    <w:p>
      <w:pPr>
        <w:spacing w:after="0" w:line="180" w:lineRule="exact"/>
        <w:rPr>
          <w:sz w:val="20"/>
          <w:szCs w:val="20"/>
          <w:color w:val="auto"/>
        </w:rPr>
      </w:pPr>
    </w:p>
    <w:p>
      <w:pPr>
        <w:jc w:val="both"/>
        <w:ind w:firstLine="802"/>
        <w:spacing w:after="0" w:line="241" w:lineRule="auto"/>
        <w:rPr>
          <w:sz w:val="20"/>
          <w:szCs w:val="20"/>
          <w:color w:val="auto"/>
        </w:rPr>
      </w:pPr>
      <w:r>
        <w:rPr>
          <w:rFonts w:ascii="Arial" w:cs="Arial" w:eastAsia="Arial" w:hAnsi="Arial"/>
          <w:sz w:val="18"/>
          <w:szCs w:val="18"/>
          <w:b w:val="1"/>
          <w:bCs w:val="1"/>
          <w:color w:val="auto"/>
        </w:rPr>
        <w:t>6.2 Award Agreement</w:t>
      </w:r>
      <w:r>
        <w:rPr>
          <w:rFonts w:ascii="Arial" w:cs="Arial" w:eastAsia="Arial" w:hAnsi="Arial"/>
          <w:sz w:val="18"/>
          <w:szCs w:val="18"/>
          <w:color w:val="auto"/>
        </w:rPr>
        <w:t>. Each Option granted pursuant to this Article 6 shall be evidenced by an Award Agreement that shall</w:t>
      </w:r>
      <w:r>
        <w:rPr>
          <w:rFonts w:ascii="Arial" w:cs="Arial" w:eastAsia="Arial" w:hAnsi="Arial"/>
          <w:sz w:val="18"/>
          <w:szCs w:val="18"/>
          <w:b w:val="1"/>
          <w:bCs w:val="1"/>
          <w:color w:val="auto"/>
        </w:rPr>
        <w:t xml:space="preserve"> </w:t>
      </w:r>
      <w:r>
        <w:rPr>
          <w:rFonts w:ascii="Arial" w:cs="Arial" w:eastAsia="Arial" w:hAnsi="Arial"/>
          <w:sz w:val="18"/>
          <w:szCs w:val="18"/>
          <w:color w:val="auto"/>
        </w:rPr>
        <w:t>specify the Option Price, the maximum duration of the Option, the number of Shares to which the Option pertains, the conditions upon which an Option shall become vested and exercisable, and such other provisions as the Committee shall determine which are not inconsistent with the terms of this Plan. The Award Agreement also shall specify whether the Option is intended to be an ISO or an NQSO.</w:t>
      </w:r>
    </w:p>
    <w:p>
      <w:pPr>
        <w:spacing w:after="0" w:line="179" w:lineRule="exact"/>
        <w:rPr>
          <w:sz w:val="20"/>
          <w:szCs w:val="20"/>
          <w:color w:val="auto"/>
        </w:rPr>
      </w:pPr>
    </w:p>
    <w:p>
      <w:pPr>
        <w:jc w:val="both"/>
        <w:ind w:firstLine="802"/>
        <w:spacing w:after="0" w:line="247" w:lineRule="auto"/>
        <w:rPr>
          <w:sz w:val="20"/>
          <w:szCs w:val="20"/>
          <w:color w:val="auto"/>
        </w:rPr>
      </w:pPr>
      <w:r>
        <w:rPr>
          <w:rFonts w:ascii="Arial" w:cs="Arial" w:eastAsia="Arial" w:hAnsi="Arial"/>
          <w:sz w:val="18"/>
          <w:szCs w:val="18"/>
          <w:b w:val="1"/>
          <w:bCs w:val="1"/>
          <w:color w:val="auto"/>
        </w:rPr>
        <w:t>6.3 Option Price</w:t>
      </w:r>
      <w:r>
        <w:rPr>
          <w:rFonts w:ascii="Arial" w:cs="Arial" w:eastAsia="Arial" w:hAnsi="Arial"/>
          <w:sz w:val="18"/>
          <w:szCs w:val="18"/>
          <w:color w:val="auto"/>
        </w:rPr>
        <w:t>. The Option Price for each grant of an Option pursuant to this Article 6 shall be determined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Committee in its sole discretion and shall be specified in the Award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Option Price must be at least equal to one hundred percent (100%) of the FMV of a Share as of the Option’s Grant Date.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jc w:val="both"/>
        <w:ind w:firstLine="802"/>
        <w:spacing w:after="0" w:line="235" w:lineRule="auto"/>
        <w:rPr>
          <w:sz w:val="20"/>
          <w:szCs w:val="20"/>
          <w:color w:val="auto"/>
        </w:rPr>
      </w:pPr>
      <w:r>
        <w:rPr>
          <w:rFonts w:ascii="Arial" w:cs="Arial" w:eastAsia="Arial" w:hAnsi="Arial"/>
          <w:sz w:val="18"/>
          <w:szCs w:val="18"/>
          <w:b w:val="1"/>
          <w:bCs w:val="1"/>
          <w:color w:val="auto"/>
        </w:rPr>
        <w:t>6.4 Term of Options</w:t>
      </w:r>
      <w:r>
        <w:rPr>
          <w:rFonts w:ascii="Arial" w:cs="Arial" w:eastAsia="Arial" w:hAnsi="Arial"/>
          <w:sz w:val="18"/>
          <w:szCs w:val="18"/>
          <w:color w:val="auto"/>
        </w:rPr>
        <w:t>. Each Option granted to a Participant pursuant to this Article 6 shall expire at such time as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Committee shall determine at the time of grant;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no Option shall be exercisable later than the tenth (10th) anniversary of its Grant Date, subject to any extension permitted by the Committee in accordance with Section 23.8 for Nonqualified Stock Options granted to Participants outside the United States.</w:t>
      </w:r>
    </w:p>
    <w:p>
      <w:pPr>
        <w:spacing w:after="0" w:line="178"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b w:val="1"/>
          <w:bCs w:val="1"/>
          <w:color w:val="auto"/>
        </w:rPr>
        <w:t>6.5 Exercise of Options</w:t>
      </w:r>
      <w:r>
        <w:rPr>
          <w:rFonts w:ascii="Arial" w:cs="Arial" w:eastAsia="Arial" w:hAnsi="Arial"/>
          <w:sz w:val="18"/>
          <w:szCs w:val="18"/>
          <w:color w:val="auto"/>
        </w:rPr>
        <w:t>. Options granted pursuant to this Article 6 shall be exercisable at such times and be subject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restrictions and conditions as the Committee shall in each instance approve (subject, in each case, to Sections 4.4 and 19.5), which terms and restrictions need not be the same for each grant or for each Participant. Notwithstanding the foregoing, if the exercise of an Option that is exercisable in accordance with its terms is prevented by the provisions of Sections 23.4, 23.5, 23.6 or 23.7 below, the Option will remain exercisable until thirty (30) days after the date such exercise first would no longer be prevented by such provisions, but in any event no later than the expiration date of such Option.</w:t>
      </w:r>
    </w:p>
    <w:p>
      <w:pPr>
        <w:spacing w:after="0" w:line="178"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b w:val="1"/>
          <w:bCs w:val="1"/>
          <w:color w:val="auto"/>
        </w:rPr>
        <w:t>6.6 Payment</w:t>
      </w:r>
      <w:r>
        <w:rPr>
          <w:rFonts w:ascii="Arial" w:cs="Arial" w:eastAsia="Arial" w:hAnsi="Arial"/>
          <w:sz w:val="18"/>
          <w:szCs w:val="18"/>
          <w:color w:val="auto"/>
        </w:rPr>
        <w:t>. Options granted under this Plan shall be exercised by the delivery of a notice of exercise to the Company or</w:t>
      </w:r>
      <w:r>
        <w:rPr>
          <w:rFonts w:ascii="Arial" w:cs="Arial" w:eastAsia="Arial" w:hAnsi="Arial"/>
          <w:sz w:val="18"/>
          <w:szCs w:val="18"/>
          <w:b w:val="1"/>
          <w:bCs w:val="1"/>
          <w:color w:val="auto"/>
        </w:rPr>
        <w:t xml:space="preserve"> </w:t>
      </w:r>
      <w:r>
        <w:rPr>
          <w:rFonts w:ascii="Arial" w:cs="Arial" w:eastAsia="Arial" w:hAnsi="Arial"/>
          <w:sz w:val="18"/>
          <w:szCs w:val="18"/>
          <w:color w:val="auto"/>
        </w:rPr>
        <w:t>an agent designated by the Company in a form specified or accepted by the Committee or by complying with any alternative procedures which may be authorized by the Committee, setting forth the number of Shares with respect to which the Option is to be exercised, and accompanied by full payment of the aggregate Option Price for the Shares. A condition of the issuance of the Shares as to which an Option shall be exercised shall be the payment of the Option Price. The Option Price of any exercised Option shall be payable to the Company in accordance with one of the following methods:</w:t>
      </w:r>
    </w:p>
    <w:p>
      <w:pPr>
        <w:spacing w:after="0" w:line="200" w:lineRule="exact"/>
        <w:rPr>
          <w:sz w:val="20"/>
          <w:szCs w:val="20"/>
          <w:color w:val="auto"/>
        </w:rPr>
      </w:pPr>
    </w:p>
    <w:p>
      <w:pPr>
        <w:ind w:left="1600" w:hanging="796"/>
        <w:spacing w:after="0"/>
        <w:tabs>
          <w:tab w:leader="none" w:pos="16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 cash or its equivalent as determined by the Committee in its sole discretion;</w:t>
      </w:r>
    </w:p>
    <w:p>
      <w:pPr>
        <w:spacing w:after="0" w:line="205" w:lineRule="exact"/>
        <w:rPr>
          <w:rFonts w:ascii="Arial" w:cs="Arial" w:eastAsia="Arial" w:hAnsi="Arial"/>
          <w:sz w:val="18"/>
          <w:szCs w:val="18"/>
          <w:color w:val="auto"/>
        </w:rPr>
      </w:pPr>
    </w:p>
    <w:p>
      <w:pPr>
        <w:ind w:left="1600" w:hanging="796"/>
        <w:spacing w:after="0" w:line="238" w:lineRule="auto"/>
        <w:tabs>
          <w:tab w:leader="none" w:pos="16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By tendering (either by actual delivery or attestation) previously acquired Shares having an aggregate Fair Market Value at the time of exercise equal to the Option Price;</w:t>
      </w:r>
    </w:p>
    <w:p>
      <w:pPr>
        <w:spacing w:after="0" w:line="201" w:lineRule="exact"/>
        <w:rPr>
          <w:rFonts w:ascii="Arial" w:cs="Arial" w:eastAsia="Arial" w:hAnsi="Arial"/>
          <w:sz w:val="18"/>
          <w:szCs w:val="18"/>
          <w:color w:val="auto"/>
        </w:rPr>
      </w:pPr>
    </w:p>
    <w:p>
      <w:pPr>
        <w:ind w:left="1600" w:hanging="796"/>
        <w:spacing w:after="0"/>
        <w:tabs>
          <w:tab w:leader="none" w:pos="16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By a cashless (broker-assisted) exercise;</w:t>
      </w:r>
    </w:p>
    <w:p>
      <w:pPr>
        <w:spacing w:after="0" w:line="205" w:lineRule="exact"/>
        <w:rPr>
          <w:rFonts w:ascii="Arial" w:cs="Arial" w:eastAsia="Arial" w:hAnsi="Arial"/>
          <w:sz w:val="18"/>
          <w:szCs w:val="18"/>
          <w:color w:val="auto"/>
        </w:rPr>
      </w:pPr>
    </w:p>
    <w:p>
      <w:pPr>
        <w:ind w:left="1600" w:hanging="796"/>
        <w:spacing w:after="0"/>
        <w:tabs>
          <w:tab w:leader="none" w:pos="16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By a “net exercise” of the Option (as further described below);</w:t>
      </w:r>
    </w:p>
    <w:p>
      <w:pPr>
        <w:spacing w:after="0" w:line="205" w:lineRule="exact"/>
        <w:rPr>
          <w:rFonts w:ascii="Arial" w:cs="Arial" w:eastAsia="Arial" w:hAnsi="Arial"/>
          <w:sz w:val="18"/>
          <w:szCs w:val="18"/>
          <w:color w:val="auto"/>
        </w:rPr>
      </w:pPr>
    </w:p>
    <w:p>
      <w:pPr>
        <w:ind w:left="1600" w:hanging="796"/>
        <w:spacing w:after="0"/>
        <w:tabs>
          <w:tab w:leader="none" w:pos="16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By any combination of (a), (b), (c) and (d); or</w:t>
      </w:r>
    </w:p>
    <w:p>
      <w:pPr>
        <w:spacing w:after="0" w:line="205" w:lineRule="exact"/>
        <w:rPr>
          <w:rFonts w:ascii="Arial" w:cs="Arial" w:eastAsia="Arial" w:hAnsi="Arial"/>
          <w:sz w:val="18"/>
          <w:szCs w:val="18"/>
          <w:color w:val="auto"/>
        </w:rPr>
      </w:pPr>
    </w:p>
    <w:p>
      <w:pPr>
        <w:ind w:left="1600" w:hanging="796"/>
        <w:spacing w:after="0"/>
        <w:tabs>
          <w:tab w:leader="none" w:pos="16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other method approved or accepted by the Committee in its sole discretion.</w:t>
      </w:r>
    </w:p>
    <w:p>
      <w:pPr>
        <w:spacing w:after="0" w:line="205" w:lineRule="exact"/>
        <w:rPr>
          <w:sz w:val="20"/>
          <w:szCs w:val="20"/>
          <w:color w:val="auto"/>
        </w:rPr>
      </w:pPr>
    </w:p>
    <w:p>
      <w:pPr>
        <w:jc w:val="both"/>
        <w:ind w:firstLine="802"/>
        <w:spacing w:after="0" w:line="233" w:lineRule="auto"/>
        <w:rPr>
          <w:sz w:val="20"/>
          <w:szCs w:val="20"/>
          <w:color w:val="auto"/>
        </w:rPr>
      </w:pPr>
      <w:r>
        <w:rPr>
          <w:rFonts w:ascii="Arial" w:cs="Arial" w:eastAsia="Arial" w:hAnsi="Arial"/>
          <w:sz w:val="18"/>
          <w:szCs w:val="18"/>
          <w:color w:val="auto"/>
        </w:rPr>
        <w:t>In the case of a “net exercise” of an Option, the Company will not require a payment of the Option Price of the Option from the Participant but will reduce the number of Shares issued upon the exercise by the largest number of whole Shares that has a Fair Market Value on the exercise date that does not exceed the aggregate Option Price for the Shares exercised under this method. Shares will no longer be outstanding under an Option (and will therefore not thereafter be exercisable) following the exercise of such Option to the extent of (i) Shares used to pay the Option Price of an Option under the “net exercise,” (ii) Shares actually delivered to the Participant as a result of such exercise, and (iii) any Shares withheld for purposes of tax withholding pursuant to Article 20 of this Plan.</w:t>
      </w:r>
    </w:p>
    <w:p>
      <w:pPr>
        <w:spacing w:after="0" w:line="204" w:lineRule="exact"/>
        <w:rPr>
          <w:sz w:val="20"/>
          <w:szCs w:val="20"/>
          <w:color w:val="auto"/>
        </w:rPr>
      </w:pPr>
    </w:p>
    <w:p>
      <w:pPr>
        <w:jc w:val="both"/>
        <w:ind w:firstLine="802"/>
        <w:spacing w:after="0" w:line="233" w:lineRule="auto"/>
        <w:rPr>
          <w:sz w:val="20"/>
          <w:szCs w:val="20"/>
          <w:color w:val="auto"/>
        </w:rPr>
      </w:pPr>
      <w:r>
        <w:rPr>
          <w:rFonts w:ascii="Arial" w:cs="Arial" w:eastAsia="Arial" w:hAnsi="Arial"/>
          <w:sz w:val="18"/>
          <w:szCs w:val="18"/>
          <w:color w:val="auto"/>
        </w:rPr>
        <w:t>Subject to any governing rules or regulations, as soon as practicable after receipt of written notification of exercise and full payment (including satisfaction of any applicable tax withholding), the Company shall deliver to or for the benefit of the Participant that number of Shares purchased under the Option(s) by means of one or more of the following, each in the Company’s sole discretion: (i) by delivering to the Participant evidence of book entry Shares credited to the account of the Participant; or (ii) by depositing such Shares for the benefit of the Participant with any broker with which the Participant has an account relationship or the Company has engaged to provide such services for the Plan. Unless otherwise determined by the Committee, all payments under all of the methods indicated above shall be paid in United States dollars or Shares, as applicable.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ind w:left="60"/>
        <w:spacing w:after="0"/>
        <w:rPr>
          <w:sz w:val="20"/>
          <w:szCs w:val="20"/>
          <w:color w:val="auto"/>
        </w:rPr>
      </w:pPr>
      <w:r>
        <w:rPr>
          <w:rFonts w:ascii="Arial" w:cs="Arial" w:eastAsia="Arial" w:hAnsi="Arial"/>
          <w:sz w:val="18"/>
          <w:szCs w:val="18"/>
          <w:b w:val="1"/>
          <w:bCs w:val="1"/>
          <w:color w:val="auto"/>
        </w:rPr>
        <w:t>Article 7. Stock Appreciation Rights</w:t>
      </w:r>
    </w:p>
    <w:p>
      <w:pPr>
        <w:spacing w:after="0" w:line="183"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b w:val="1"/>
          <w:bCs w:val="1"/>
          <w:color w:val="auto"/>
        </w:rPr>
        <w:t>7.1 Grant of SARs</w:t>
      </w:r>
      <w:r>
        <w:rPr>
          <w:rFonts w:ascii="Arial" w:cs="Arial" w:eastAsia="Arial" w:hAnsi="Arial"/>
          <w:sz w:val="18"/>
          <w:szCs w:val="18"/>
          <w:color w:val="auto"/>
        </w:rPr>
        <w:t>. Subject to the terms and conditions of this Plan, SARs may be granted to Participants at any time and</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as shall be determined by the Committee. Subject to the terms and conditions of this Plan (including Section 19.5), the Committee shall have complete discretion in determining the number of SARs granted to each Participant and, consistent with the provisions of this Plan, in determining the terms and conditions pertaining to such SARs. SARs may be granted to a Participant for services provided to an Affiliate only if, with respect to such Participant, the underlying Shares constitute "service recipient stock" within the meaning of Treas. Reg. Section 1.409A-1(b)(5)(iii).</w:t>
      </w:r>
    </w:p>
    <w:p>
      <w:pPr>
        <w:spacing w:after="0" w:line="178"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b w:val="1"/>
          <w:bCs w:val="1"/>
          <w:color w:val="auto"/>
        </w:rPr>
        <w:t>7.2 Award Agreement</w:t>
      </w:r>
      <w:r>
        <w:rPr>
          <w:rFonts w:ascii="Arial" w:cs="Arial" w:eastAsia="Arial" w:hAnsi="Arial"/>
          <w:sz w:val="18"/>
          <w:szCs w:val="18"/>
          <w:color w:val="auto"/>
        </w:rPr>
        <w:t>. Each SAR granted pursuant to this Article 7 shall be evidenced by an Award Agreement that shall</w:t>
      </w:r>
      <w:r>
        <w:rPr>
          <w:rFonts w:ascii="Arial" w:cs="Arial" w:eastAsia="Arial" w:hAnsi="Arial"/>
          <w:sz w:val="18"/>
          <w:szCs w:val="18"/>
          <w:b w:val="1"/>
          <w:bCs w:val="1"/>
          <w:color w:val="auto"/>
        </w:rPr>
        <w:t xml:space="preserve"> </w:t>
      </w:r>
      <w:r>
        <w:rPr>
          <w:rFonts w:ascii="Arial" w:cs="Arial" w:eastAsia="Arial" w:hAnsi="Arial"/>
          <w:sz w:val="18"/>
          <w:szCs w:val="18"/>
          <w:color w:val="auto"/>
        </w:rPr>
        <w:t>specify the Grant Price, the term of the SAR, and such other provisions as the Committee shall determine.</w:t>
      </w:r>
    </w:p>
    <w:p>
      <w:pPr>
        <w:spacing w:after="0" w:line="158" w:lineRule="exact"/>
        <w:rPr>
          <w:sz w:val="20"/>
          <w:szCs w:val="20"/>
          <w:color w:val="auto"/>
        </w:rPr>
      </w:pPr>
    </w:p>
    <w:p>
      <w:pPr>
        <w:jc w:val="both"/>
        <w:ind w:firstLine="802"/>
        <w:spacing w:after="0" w:line="247" w:lineRule="auto"/>
        <w:rPr>
          <w:sz w:val="20"/>
          <w:szCs w:val="20"/>
          <w:color w:val="auto"/>
        </w:rPr>
      </w:pPr>
      <w:r>
        <w:rPr>
          <w:rFonts w:ascii="Arial" w:cs="Arial" w:eastAsia="Arial" w:hAnsi="Arial"/>
          <w:sz w:val="18"/>
          <w:szCs w:val="18"/>
          <w:b w:val="1"/>
          <w:bCs w:val="1"/>
          <w:color w:val="auto"/>
        </w:rPr>
        <w:t>7.3 Grant Price</w:t>
      </w:r>
      <w:r>
        <w:rPr>
          <w:rFonts w:ascii="Arial" w:cs="Arial" w:eastAsia="Arial" w:hAnsi="Arial"/>
          <w:sz w:val="18"/>
          <w:szCs w:val="18"/>
          <w:color w:val="auto"/>
        </w:rPr>
        <w:t>. The Grant Price for each grant of an SAR shall be determined by the Committee and shall be specified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Award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Grant Price must be at least equal to one hundred percent (100%) of the FMV of a Share as of the Grant Date.</w:t>
      </w:r>
    </w:p>
    <w:p>
      <w:pPr>
        <w:spacing w:after="0" w:line="172" w:lineRule="exact"/>
        <w:rPr>
          <w:sz w:val="20"/>
          <w:szCs w:val="20"/>
          <w:color w:val="auto"/>
        </w:rPr>
      </w:pPr>
    </w:p>
    <w:p>
      <w:pPr>
        <w:jc w:val="both"/>
        <w:ind w:firstLine="802"/>
        <w:spacing w:after="0" w:line="241" w:lineRule="auto"/>
        <w:rPr>
          <w:sz w:val="20"/>
          <w:szCs w:val="20"/>
          <w:color w:val="auto"/>
        </w:rPr>
      </w:pPr>
      <w:r>
        <w:rPr>
          <w:rFonts w:ascii="Arial" w:cs="Arial" w:eastAsia="Arial" w:hAnsi="Arial"/>
          <w:sz w:val="18"/>
          <w:szCs w:val="18"/>
          <w:b w:val="1"/>
          <w:bCs w:val="1"/>
          <w:color w:val="auto"/>
        </w:rPr>
        <w:t>7.4 Term of SAR</w:t>
      </w:r>
      <w:r>
        <w:rPr>
          <w:rFonts w:ascii="Arial" w:cs="Arial" w:eastAsia="Arial" w:hAnsi="Arial"/>
          <w:sz w:val="18"/>
          <w:szCs w:val="18"/>
          <w:color w:val="auto"/>
        </w:rPr>
        <w:t>. The term of an SAR granted under this Plan shall be determined by the Committee, in its sole discretion,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except as determined otherwise by the Committee and specified in the Award Agreement, no SAR shall be exercisable later than the tenth (10th) anniversary of its Grant Date, subject to any extension permitted by the Committee in accordance with Section 23.8 for SARs granted to Participants outside the United States.</w:t>
      </w:r>
    </w:p>
    <w:p>
      <w:pPr>
        <w:spacing w:after="0" w:line="179" w:lineRule="exact"/>
        <w:rPr>
          <w:sz w:val="20"/>
          <w:szCs w:val="20"/>
          <w:color w:val="auto"/>
        </w:rPr>
      </w:pPr>
    </w:p>
    <w:p>
      <w:pPr>
        <w:jc w:val="both"/>
        <w:ind w:firstLine="802"/>
        <w:spacing w:after="0" w:line="239" w:lineRule="auto"/>
        <w:rPr>
          <w:sz w:val="20"/>
          <w:szCs w:val="20"/>
          <w:color w:val="auto"/>
        </w:rPr>
      </w:pPr>
      <w:r>
        <w:rPr>
          <w:rFonts w:ascii="Arial" w:cs="Arial" w:eastAsia="Arial" w:hAnsi="Arial"/>
          <w:sz w:val="18"/>
          <w:szCs w:val="18"/>
          <w:b w:val="1"/>
          <w:bCs w:val="1"/>
          <w:color w:val="auto"/>
        </w:rPr>
        <w:t>7.5 Exercise of SARs</w:t>
      </w:r>
      <w:r>
        <w:rPr>
          <w:rFonts w:ascii="Arial" w:cs="Arial" w:eastAsia="Arial" w:hAnsi="Arial"/>
          <w:sz w:val="18"/>
          <w:szCs w:val="18"/>
          <w:color w:val="auto"/>
        </w:rPr>
        <w:t>. SARs may be exercised by giving notice in the same manner as that used for Options, as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6.6, subject to any terms and conditions the Committee, in its sole discretion, imposes (subject, in each case, to Sections 4.4 and 19.5). Notwithstanding the foregoing, if the exercise of an SAR that is exercisable in accordance with its terms is prevented by the provisions of Sections 23.4, 23.5, 23.6 or 23.7 below, the SAR will remain exercisable until thirty (30) days after the date such exercise first would no longer be prevented by such provisions, but in any event no later than the expiration date of such SAR.</w:t>
      </w:r>
    </w:p>
    <w:p>
      <w:pPr>
        <w:spacing w:after="0" w:line="179"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b w:val="1"/>
          <w:bCs w:val="1"/>
          <w:color w:val="auto"/>
        </w:rPr>
        <w:t>7.6 Settlement of SARs</w:t>
      </w:r>
      <w:r>
        <w:rPr>
          <w:rFonts w:ascii="Arial" w:cs="Arial" w:eastAsia="Arial" w:hAnsi="Arial"/>
          <w:sz w:val="18"/>
          <w:szCs w:val="18"/>
          <w:color w:val="auto"/>
        </w:rPr>
        <w:t>. Upon the exercise of an SAR, a Participant shall be entitled to receive payment from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in an amount determined by multiplying:</w:t>
      </w:r>
    </w:p>
    <w:p>
      <w:pPr>
        <w:spacing w:after="0" w:line="180" w:lineRule="exact"/>
        <w:rPr>
          <w:sz w:val="20"/>
          <w:szCs w:val="20"/>
          <w:color w:val="auto"/>
        </w:rPr>
      </w:pPr>
    </w:p>
    <w:p>
      <w:pPr>
        <w:ind w:left="1600" w:hanging="796"/>
        <w:spacing w:after="0"/>
        <w:tabs>
          <w:tab w:leader="none" w:pos="16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excess of the Fair Market Value of a Share on the date of exercise over the Grant Price; by</w:t>
      </w:r>
    </w:p>
    <w:p>
      <w:pPr>
        <w:spacing w:after="0" w:line="205" w:lineRule="exact"/>
        <w:rPr>
          <w:rFonts w:ascii="Arial" w:cs="Arial" w:eastAsia="Arial" w:hAnsi="Arial"/>
          <w:sz w:val="18"/>
          <w:szCs w:val="18"/>
          <w:color w:val="auto"/>
        </w:rPr>
      </w:pPr>
    </w:p>
    <w:p>
      <w:pPr>
        <w:ind w:left="1600" w:hanging="796"/>
        <w:spacing w:after="0"/>
        <w:tabs>
          <w:tab w:leader="none" w:pos="16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number of Shares with respect to which the SAR is exercised.</w:t>
      </w:r>
    </w:p>
    <w:p>
      <w:pPr>
        <w:spacing w:after="0" w:line="183"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b w:val="1"/>
          <w:bCs w:val="1"/>
          <w:color w:val="auto"/>
        </w:rPr>
        <w:t>7.7 Form of Payment</w:t>
      </w:r>
      <w:r>
        <w:rPr>
          <w:rFonts w:ascii="Arial" w:cs="Arial" w:eastAsia="Arial" w:hAnsi="Arial"/>
          <w:sz w:val="18"/>
          <w:szCs w:val="18"/>
          <w:color w:val="auto"/>
        </w:rPr>
        <w:t>. Payment, if any, with respect to an SAR settled in accordance with Section 7.6 shall be made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terms of the applicable Award Agreement, in cash, Shares or a combination thereof, as the Committee determines.</w:t>
      </w:r>
    </w:p>
    <w:p>
      <w:pPr>
        <w:spacing w:after="0" w:line="158" w:lineRule="exact"/>
        <w:rPr>
          <w:sz w:val="20"/>
          <w:szCs w:val="20"/>
          <w:color w:val="auto"/>
        </w:rPr>
      </w:pPr>
    </w:p>
    <w:p>
      <w:pPr>
        <w:jc w:val="both"/>
        <w:ind w:firstLine="802"/>
        <w:spacing w:after="0" w:line="247" w:lineRule="auto"/>
        <w:rPr>
          <w:sz w:val="20"/>
          <w:szCs w:val="20"/>
          <w:color w:val="auto"/>
        </w:rPr>
      </w:pPr>
      <w:r>
        <w:rPr>
          <w:rFonts w:ascii="Arial" w:cs="Arial" w:eastAsia="Arial" w:hAnsi="Arial"/>
          <w:sz w:val="18"/>
          <w:szCs w:val="18"/>
          <w:b w:val="1"/>
          <w:bCs w:val="1"/>
          <w:color w:val="auto"/>
        </w:rPr>
        <w:t>7.8 Other Restrictions</w:t>
      </w:r>
      <w:r>
        <w:rPr>
          <w:rFonts w:ascii="Arial" w:cs="Arial" w:eastAsia="Arial" w:hAnsi="Arial"/>
          <w:sz w:val="18"/>
          <w:szCs w:val="18"/>
          <w:color w:val="auto"/>
        </w:rPr>
        <w:t>. The Committee shall impose such other conditions or restrictions on any Shares received upon</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of an SAR granted pursuant to this Plan as it may deem advisable or desirable. These restrictions may include a requirement that the Participant hold the Shares received upon exercise of an SAR for a specified period of time.</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Article 8. Restricted Stock and Restricted Stock Units</w:t>
      </w:r>
    </w:p>
    <w:p>
      <w:pPr>
        <w:spacing w:after="0" w:line="205" w:lineRule="exact"/>
        <w:rPr>
          <w:sz w:val="20"/>
          <w:szCs w:val="20"/>
          <w:color w:val="auto"/>
        </w:rPr>
      </w:pPr>
    </w:p>
    <w:p>
      <w:pPr>
        <w:jc w:val="both"/>
        <w:ind w:firstLine="802"/>
        <w:spacing w:after="0" w:line="247" w:lineRule="auto"/>
        <w:rPr>
          <w:sz w:val="20"/>
          <w:szCs w:val="20"/>
          <w:color w:val="auto"/>
        </w:rPr>
      </w:pPr>
      <w:r>
        <w:rPr>
          <w:rFonts w:ascii="Arial" w:cs="Arial" w:eastAsia="Arial" w:hAnsi="Arial"/>
          <w:sz w:val="18"/>
          <w:szCs w:val="18"/>
          <w:b w:val="1"/>
          <w:bCs w:val="1"/>
          <w:color w:val="auto"/>
        </w:rPr>
        <w:t>8.1 Grant of Restricted Stock or Restricted Stock Units</w:t>
      </w:r>
      <w:r>
        <w:rPr>
          <w:rFonts w:ascii="Arial" w:cs="Arial" w:eastAsia="Arial" w:hAnsi="Arial"/>
          <w:sz w:val="18"/>
          <w:szCs w:val="18"/>
          <w:color w:val="auto"/>
        </w:rPr>
        <w:t>. Subject to the terms and provisions of this Plan,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at any time and from time to time, may grant Shares of Restricted Stock or Restricted Stock Units to Participants in such amounts as the Committee shall determine.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rPr>
          <w:sz w:val="20"/>
          <w:szCs w:val="20"/>
          <w:color w:val="auto"/>
        </w:rPr>
      </w:pPr>
      <w:r>
        <w:rPr>
          <w:rFonts w:ascii="Arial" w:cs="Arial" w:eastAsia="Arial" w:hAnsi="Arial"/>
          <w:sz w:val="18"/>
          <w:szCs w:val="18"/>
          <w:color w:val="auto"/>
        </w:rPr>
        <w:t>Restricted Stock Units shall be similar to Restricted Stock except that no Shares are actually awarded to the Participant on the Grant Date.</w:t>
      </w:r>
    </w:p>
    <w:p>
      <w:pPr>
        <w:spacing w:after="0" w:line="183" w:lineRule="exact"/>
        <w:rPr>
          <w:sz w:val="20"/>
          <w:szCs w:val="20"/>
          <w:color w:val="auto"/>
        </w:rPr>
      </w:pPr>
    </w:p>
    <w:p>
      <w:pPr>
        <w:jc w:val="both"/>
        <w:ind w:firstLine="802"/>
        <w:spacing w:after="0" w:line="247" w:lineRule="auto"/>
        <w:rPr>
          <w:sz w:val="20"/>
          <w:szCs w:val="20"/>
          <w:color w:val="auto"/>
        </w:rPr>
      </w:pPr>
      <w:r>
        <w:rPr>
          <w:rFonts w:ascii="Arial" w:cs="Arial" w:eastAsia="Arial" w:hAnsi="Arial"/>
          <w:sz w:val="18"/>
          <w:szCs w:val="18"/>
          <w:b w:val="1"/>
          <w:bCs w:val="1"/>
          <w:color w:val="auto"/>
        </w:rPr>
        <w:t>8.2 Award Agreement</w:t>
      </w:r>
      <w:r>
        <w:rPr>
          <w:rFonts w:ascii="Arial" w:cs="Arial" w:eastAsia="Arial" w:hAnsi="Arial"/>
          <w:sz w:val="18"/>
          <w:szCs w:val="18"/>
          <w:color w:val="auto"/>
        </w:rPr>
        <w:t>. Each Restricted Stock or Restricted Stock Unit grant shall be evidenced by an Award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that shall specify the Period(s) of Restriction, the number of Shares of Restricted Stock or the number of Restricted Stock Units granted, and such other provisions as the Committee shall determine (subject, in each case, to Section 19.5).</w:t>
      </w:r>
    </w:p>
    <w:p>
      <w:pPr>
        <w:spacing w:after="0" w:line="172" w:lineRule="exact"/>
        <w:rPr>
          <w:sz w:val="20"/>
          <w:szCs w:val="20"/>
          <w:color w:val="auto"/>
        </w:rPr>
      </w:pPr>
    </w:p>
    <w:p>
      <w:pPr>
        <w:jc w:val="both"/>
        <w:ind w:firstLine="802"/>
        <w:spacing w:after="0" w:line="254" w:lineRule="auto"/>
        <w:rPr>
          <w:sz w:val="20"/>
          <w:szCs w:val="20"/>
          <w:color w:val="auto"/>
        </w:rPr>
      </w:pPr>
      <w:r>
        <w:rPr>
          <w:rFonts w:ascii="Arial" w:cs="Arial" w:eastAsia="Arial" w:hAnsi="Arial"/>
          <w:sz w:val="17"/>
          <w:szCs w:val="17"/>
          <w:b w:val="1"/>
          <w:bCs w:val="1"/>
          <w:color w:val="auto"/>
        </w:rPr>
        <w:t>8.3 Conditions and Restrictions</w:t>
      </w:r>
      <w:r>
        <w:rPr>
          <w:rFonts w:ascii="Arial" w:cs="Arial" w:eastAsia="Arial" w:hAnsi="Arial"/>
          <w:sz w:val="17"/>
          <w:szCs w:val="17"/>
          <w:color w:val="auto"/>
        </w:rPr>
        <w:t>. The Committee shall impose such conditions or restrictions on any Shares of Restricted</w:t>
      </w:r>
      <w:r>
        <w:rPr>
          <w:rFonts w:ascii="Arial" w:cs="Arial" w:eastAsia="Arial" w:hAnsi="Arial"/>
          <w:sz w:val="17"/>
          <w:szCs w:val="17"/>
          <w:b w:val="1"/>
          <w:bCs w:val="1"/>
          <w:color w:val="auto"/>
        </w:rPr>
        <w:t xml:space="preserve"> </w:t>
      </w:r>
      <w:r>
        <w:rPr>
          <w:rFonts w:ascii="Arial" w:cs="Arial" w:eastAsia="Arial" w:hAnsi="Arial"/>
          <w:sz w:val="17"/>
          <w:szCs w:val="17"/>
          <w:color w:val="auto"/>
        </w:rPr>
        <w:t>Stock or Restricted Stock Units granted pursuant to this Plan as it may deem advisable including a requirement that Participants pay a stipulated purchase price for each Share of Restricted Stock or each Restricted Stock Unit, restrictions based upon the achievement of specific Performance Goals, time-based restrictions on vesting following the attainment of the Performance Goals, time-based restrictions, restrictions under applicable laws or under the requirements of any stock exchange or market upon which such Shares are listed or traded or holding requirements or sale restrictions placed on the Shares by the Company upon vesting of such Restricted Stock or Restricted Stock Units.</w:t>
      </w:r>
    </w:p>
    <w:p>
      <w:pPr>
        <w:spacing w:after="0" w:line="168"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7"/>
          <w:szCs w:val="17"/>
          <w:b w:val="1"/>
          <w:bCs w:val="1"/>
          <w:color w:val="auto"/>
        </w:rPr>
        <w:t>Restricted Stock Transfer Restrictions; Lapse of Restrictions on Restricted Stock and Restricted Stock Units</w:t>
      </w:r>
      <w:r>
        <w:rPr>
          <w:rFonts w:ascii="Arial" w:cs="Arial" w:eastAsia="Arial" w:hAnsi="Arial"/>
          <w:sz w:val="17"/>
          <w:szCs w:val="17"/>
          <w:color w:val="auto"/>
        </w:rPr>
        <w:t>.</w:t>
      </w:r>
    </w:p>
    <w:p>
      <w:pPr>
        <w:spacing w:after="0" w:line="227" w:lineRule="exact"/>
        <w:rPr>
          <w:sz w:val="20"/>
          <w:szCs w:val="20"/>
          <w:color w:val="auto"/>
        </w:rPr>
      </w:pPr>
    </w:p>
    <w:p>
      <w:pPr>
        <w:jc w:val="both"/>
        <w:ind w:left="1600" w:hanging="796"/>
        <w:spacing w:after="0" w:line="233" w:lineRule="auto"/>
        <w:tabs>
          <w:tab w:leader="none" w:pos="16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Unless otherwise determined by the Committee, until such time as all conditions or restrictions applicable to Shares of Restricted Stock have been satisfied or lapse, (i) Shares of Restricted Stock will be held at the Company’s transfer agent in book entry form in the name of the Participant or (iii) such Shares of Restricted Stock will be held for the benefit of the Participant in nominee name by the broker engaged by the Company to provide such services for the Plan, in each case with appropriate restrictions relating to the transfer of such Shares of Restricted Stock. Except as otherwise provided in this Article 8 and subject to Section 14.2, Shares of Restricted Stock covered by each Restricted Stock Award shall become freely transferable by the Participant after all conditions and restrictions applicable to such Shares have been satisfied or lapse (including satisfaction of any applicable tax withholding obligations).</w:t>
      </w:r>
    </w:p>
    <w:p>
      <w:pPr>
        <w:spacing w:after="0" w:line="200" w:lineRule="exact"/>
        <w:rPr>
          <w:rFonts w:ascii="Arial" w:cs="Arial" w:eastAsia="Arial" w:hAnsi="Arial"/>
          <w:sz w:val="18"/>
          <w:szCs w:val="18"/>
          <w:color w:val="auto"/>
        </w:rPr>
      </w:pPr>
    </w:p>
    <w:p>
      <w:pPr>
        <w:jc w:val="both"/>
        <w:ind w:left="1600" w:hanging="796"/>
        <w:spacing w:after="0" w:line="232" w:lineRule="auto"/>
        <w:tabs>
          <w:tab w:leader="none" w:pos="16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Restricted Stock Units shall be paid in cash, Shares or a combination of cash and Shares as the Committee, in its sole discretion, shall determine, and as provided in the Award Agreement, except that if a Participant has properly elected to defer income that may be attributable to a Restricted Stock Unit under a Company deferred compensation plan, common stock units will be credited to the Participant’s account under such plan and paid out in accordance with the terms of such plan. Any Shares issued under such deferred compensation plan that relate to the deferral of Restricted Stock Units granted under this Plan (including without limitation any Dividend Equivalents paid in Shares) will be deemed to be issued under this Plan. Upon the satisfactions, lapse or waiver of all conditions or restrictions applicable to Restricted Stock Units evidencing the right to receive Shares, such Shares shall be issued and delivered to the Participant holder of the Restricted Stock Units or the broker engaged by the Company to provide services for the Plan for the benefit of the Participant holder of the Restricted Stock Units.</w:t>
      </w:r>
    </w:p>
    <w:p>
      <w:pPr>
        <w:spacing w:after="0" w:line="184" w:lineRule="exact"/>
        <w:rPr>
          <w:sz w:val="20"/>
          <w:szCs w:val="20"/>
          <w:color w:val="auto"/>
        </w:rPr>
      </w:pPr>
    </w:p>
    <w:p>
      <w:pPr>
        <w:jc w:val="both"/>
        <w:ind w:firstLine="802"/>
        <w:spacing w:after="0" w:line="241" w:lineRule="auto"/>
        <w:rPr>
          <w:sz w:val="20"/>
          <w:szCs w:val="20"/>
          <w:color w:val="auto"/>
        </w:rPr>
      </w:pPr>
      <w:r>
        <w:rPr>
          <w:rFonts w:ascii="Arial" w:cs="Arial" w:eastAsia="Arial" w:hAnsi="Arial"/>
          <w:sz w:val="18"/>
          <w:szCs w:val="18"/>
          <w:b w:val="1"/>
          <w:bCs w:val="1"/>
          <w:color w:val="auto"/>
        </w:rPr>
        <w:t>8.5 Restrictive Legends</w:t>
      </w:r>
      <w:r>
        <w:rPr>
          <w:rFonts w:ascii="Arial" w:cs="Arial" w:eastAsia="Arial" w:hAnsi="Arial"/>
          <w:sz w:val="18"/>
          <w:szCs w:val="18"/>
          <w:color w:val="auto"/>
        </w:rPr>
        <w:t>. In addition to any restrictions on Shares pursuant to Section 8.3, each book-entry notation</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representing Shares of Restricted Stock granted pursuant to this Plan may bear a legend such as the following (and Shares of Restricted Stock held for the benefit of the Participant in nominee name by the broker engaged by the Company to provide such services for the Plan will be subject to restrictions set forth in the following legend) or as otherwise determined by the Committee in its sole discretion:</w:t>
      </w:r>
    </w:p>
    <w:p>
      <w:pPr>
        <w:spacing w:after="0" w:line="201" w:lineRule="exact"/>
        <w:rPr>
          <w:sz w:val="20"/>
          <w:szCs w:val="20"/>
          <w:color w:val="auto"/>
        </w:rPr>
      </w:pPr>
    </w:p>
    <w:p>
      <w:pPr>
        <w:ind w:left="800" w:right="800"/>
        <w:spacing w:after="0" w:line="238" w:lineRule="auto"/>
        <w:rPr>
          <w:sz w:val="20"/>
          <w:szCs w:val="20"/>
          <w:color w:val="auto"/>
        </w:rPr>
      </w:pPr>
      <w:r>
        <w:rPr>
          <w:rFonts w:ascii="Arial" w:cs="Arial" w:eastAsia="Arial" w:hAnsi="Arial"/>
          <w:sz w:val="18"/>
          <w:szCs w:val="18"/>
          <w:color w:val="auto"/>
        </w:rPr>
        <w:t>“The sale or transfer of shares of stock represented by this book-entry notation, whether voluntary, involuntary or by operation of law, is subject to certain restrictions on transfer</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jc w:val="both"/>
        <w:ind w:left="800" w:right="800"/>
        <w:spacing w:after="0" w:line="236" w:lineRule="auto"/>
        <w:rPr>
          <w:sz w:val="20"/>
          <w:szCs w:val="20"/>
          <w:color w:val="auto"/>
        </w:rPr>
      </w:pPr>
      <w:r>
        <w:rPr>
          <w:rFonts w:ascii="Arial" w:cs="Arial" w:eastAsia="Arial" w:hAnsi="Arial"/>
          <w:sz w:val="18"/>
          <w:szCs w:val="18"/>
          <w:color w:val="auto"/>
        </w:rPr>
        <w:t>as set forth in The Toro Company 2022 Equity and Incentive Plan, as may be amended from time to time (the “Plan”), and in the associated award agreement. A copy of the Plan and such award agreement may be obtained from The Toro Company.”</w:t>
      </w:r>
    </w:p>
    <w:p>
      <w:pPr>
        <w:spacing w:after="0" w:line="178" w:lineRule="exact"/>
        <w:rPr>
          <w:sz w:val="20"/>
          <w:szCs w:val="20"/>
          <w:color w:val="auto"/>
        </w:rPr>
      </w:pPr>
    </w:p>
    <w:p>
      <w:pPr>
        <w:jc w:val="both"/>
        <w:ind w:firstLine="802"/>
        <w:spacing w:after="0" w:line="241" w:lineRule="auto"/>
        <w:rPr>
          <w:sz w:val="20"/>
          <w:szCs w:val="20"/>
          <w:color w:val="auto"/>
        </w:rPr>
      </w:pPr>
      <w:r>
        <w:rPr>
          <w:rFonts w:ascii="Arial" w:cs="Arial" w:eastAsia="Arial" w:hAnsi="Arial"/>
          <w:sz w:val="18"/>
          <w:szCs w:val="18"/>
          <w:b w:val="1"/>
          <w:bCs w:val="1"/>
          <w:color w:val="auto"/>
        </w:rPr>
        <w:t>8.6 Voting Rights</w:t>
      </w:r>
      <w:r>
        <w:rPr>
          <w:rFonts w:ascii="Arial" w:cs="Arial" w:eastAsia="Arial" w:hAnsi="Arial"/>
          <w:sz w:val="18"/>
          <w:szCs w:val="18"/>
          <w:color w:val="auto"/>
        </w:rPr>
        <w:t>. Unless otherwise determined by the Committee and set forth in a Participant’s Award Agreement,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permitted or required by law, as determined by the Committee, Participants holding Shares of Restricted Stock granted hereunder shall be granted the right to exercise full voting rights with respect to those Shares during the Period of Restriction. A Participant shall have no voting rights with respect to any Restricted Stock Units granted hereunder.</w:t>
      </w:r>
    </w:p>
    <w:p>
      <w:pPr>
        <w:spacing w:after="0" w:line="179"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b w:val="1"/>
          <w:bCs w:val="1"/>
          <w:color w:val="auto"/>
        </w:rPr>
        <w:t>8.7</w:t>
      </w:r>
      <w:r>
        <w:rPr>
          <w:sz w:val="20"/>
          <w:szCs w:val="20"/>
          <w:color w:val="auto"/>
        </w:rPr>
        <w:tab/>
      </w:r>
      <w:r>
        <w:rPr>
          <w:rFonts w:ascii="Arial" w:cs="Arial" w:eastAsia="Arial" w:hAnsi="Arial"/>
          <w:sz w:val="17"/>
          <w:szCs w:val="17"/>
          <w:b w:val="1"/>
          <w:bCs w:val="1"/>
          <w:color w:val="auto"/>
        </w:rPr>
        <w:t>Dividend Rights</w:t>
      </w:r>
      <w:r>
        <w:rPr>
          <w:rFonts w:ascii="Arial" w:cs="Arial" w:eastAsia="Arial" w:hAnsi="Arial"/>
          <w:sz w:val="17"/>
          <w:szCs w:val="17"/>
          <w:color w:val="auto"/>
        </w:rPr>
        <w:t>.</w:t>
      </w:r>
    </w:p>
    <w:p>
      <w:pPr>
        <w:spacing w:after="0" w:line="227" w:lineRule="exact"/>
        <w:rPr>
          <w:sz w:val="20"/>
          <w:szCs w:val="20"/>
          <w:color w:val="auto"/>
        </w:rPr>
      </w:pPr>
    </w:p>
    <w:p>
      <w:pPr>
        <w:jc w:val="both"/>
        <w:ind w:left="1600" w:hanging="796"/>
        <w:spacing w:after="0" w:line="232" w:lineRule="auto"/>
        <w:tabs>
          <w:tab w:leader="none" w:pos="16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Unless otherwise determined by the Committee and set forth in a Participant’s Award Agreement, to the extent permitted or required by law, as determined by the Committee, Participants holding Shares of Restricted Stock granted hereunder shall have the same dividend rights as the Company’s other shareholders;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dividends (cash or stock-based) as to Shares of Restricted Stock that are subject to vesting requirements will be subject to forfeiture and termination to the same extent as the Shares of Restricted Stock to which such dividends relate and the Award Agreement may require that any cash dividends be reinvested in additional Shares of Restricted Stock subject to the same conditions and restrictions as the Shares of Restricted Stock with respect to which the dividends were paid. Notwithstanding the generality of the foregoing and for the avoidance of any doubt, in no event shall dividends with respect to Shares of Restricted Stock that are subject to performance-based vesting be paid out until the performance-based vesting provisions of such Restricted Stock lapse.</w:t>
      </w:r>
    </w:p>
    <w:p>
      <w:pPr>
        <w:spacing w:after="0" w:line="206" w:lineRule="exact"/>
        <w:rPr>
          <w:rFonts w:ascii="Arial" w:cs="Arial" w:eastAsia="Arial" w:hAnsi="Arial"/>
          <w:sz w:val="18"/>
          <w:szCs w:val="18"/>
          <w:color w:val="auto"/>
        </w:rPr>
      </w:pPr>
    </w:p>
    <w:p>
      <w:pPr>
        <w:jc w:val="both"/>
        <w:ind w:left="1600" w:hanging="796"/>
        <w:spacing w:after="0" w:line="232" w:lineRule="auto"/>
        <w:tabs>
          <w:tab w:leader="none" w:pos="16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Unless otherwise determined by the Committee and set forth in a Participant’s Award Agreement, to the extent permitted or required by law, as determined by the Committee, prior to settlement or forfeiture, any Restricted Stock Units awarded under the Plan may, at the Committee’s discretion, carry with it a right to Dividend Equivalents. Such right, if applicable, would entitle the Participant to be credited with an amount equal to all cash dividends paid on one Share while the Restricted Stock Unit is outstanding or may be converted into additional Restricted Stock Units;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Dividend Equivalents will be made subject to the same conditions and restrictions as the Restricted Stock Units to which they attach and settlement of such Dividend Equivalents may be made in the form of cash, in the form of Shares, or in a combination of both. Notwithstanding the generality of the foregoing and for the avoidance of any doubt, in no event shall any dividends or Dividend Equivalents be paid out to Participants holding performance-based Restricted Stock Units until the performance-based vesting provisions of such Restricted Stock Units lapse.</w:t>
      </w:r>
    </w:p>
    <w:p>
      <w:pPr>
        <w:spacing w:after="0" w:line="184" w:lineRule="exact"/>
        <w:rPr>
          <w:sz w:val="20"/>
          <w:szCs w:val="20"/>
          <w:color w:val="auto"/>
        </w:rPr>
      </w:pPr>
    </w:p>
    <w:p>
      <w:pPr>
        <w:jc w:val="both"/>
        <w:ind w:firstLine="802"/>
        <w:spacing w:after="0" w:line="239" w:lineRule="auto"/>
        <w:rPr>
          <w:sz w:val="20"/>
          <w:szCs w:val="20"/>
          <w:color w:val="auto"/>
        </w:rPr>
      </w:pPr>
      <w:r>
        <w:rPr>
          <w:rFonts w:ascii="Arial" w:cs="Arial" w:eastAsia="Arial" w:hAnsi="Arial"/>
          <w:sz w:val="18"/>
          <w:szCs w:val="18"/>
          <w:b w:val="1"/>
          <w:bCs w:val="1"/>
          <w:color w:val="auto"/>
        </w:rPr>
        <w:t>8.8 Section 83(b) Election for Restricted Stock Award</w:t>
      </w:r>
      <w:r>
        <w:rPr>
          <w:rFonts w:ascii="Arial" w:cs="Arial" w:eastAsia="Arial" w:hAnsi="Arial"/>
          <w:sz w:val="18"/>
          <w:szCs w:val="18"/>
          <w:color w:val="auto"/>
        </w:rPr>
        <w:t>. If a Participant makes an election pursuant to Code Section 83(b)</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an Award of Restricted Stock, the Participant must file, within thirty (30) days following the Grant Date, a copy of such election with the Company and with the Internal Revenue Service, in accordance with the regulations under Code Section 83. The Committee may provide in the Award Agreement that the Award of Restricted Stock is conditioned upon the Participant’s making or refraining from making an election with respect to the Award under Code Section 83(b).</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Article 9.  Performance Units and Performance Shares</w:t>
      </w:r>
    </w:p>
    <w:p>
      <w:pPr>
        <w:spacing w:after="0" w:line="205" w:lineRule="exact"/>
        <w:rPr>
          <w:sz w:val="20"/>
          <w:szCs w:val="20"/>
          <w:color w:val="auto"/>
        </w:rPr>
      </w:pPr>
    </w:p>
    <w:p>
      <w:pPr>
        <w:jc w:val="both"/>
        <w:ind w:firstLine="802"/>
        <w:spacing w:after="0" w:line="247" w:lineRule="auto"/>
        <w:rPr>
          <w:sz w:val="20"/>
          <w:szCs w:val="20"/>
          <w:color w:val="auto"/>
        </w:rPr>
      </w:pPr>
      <w:r>
        <w:rPr>
          <w:rFonts w:ascii="Arial" w:cs="Arial" w:eastAsia="Arial" w:hAnsi="Arial"/>
          <w:sz w:val="18"/>
          <w:szCs w:val="18"/>
          <w:b w:val="1"/>
          <w:bCs w:val="1"/>
          <w:color w:val="auto"/>
        </w:rPr>
        <w:t>9.1 Grant of Performance Units and Performance Shares</w:t>
      </w:r>
      <w:r>
        <w:rPr>
          <w:rFonts w:ascii="Arial" w:cs="Arial" w:eastAsia="Arial" w:hAnsi="Arial"/>
          <w:sz w:val="18"/>
          <w:szCs w:val="18"/>
          <w:color w:val="auto"/>
        </w:rPr>
        <w:t>. Subject to the terms and provisions of this Plan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19.5), the Committee, at any time and from time to time, may grant Performance Units or Performance Shares to Participants in such amounts and upon such terms as the Committee shall determine.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jc w:val="both"/>
        <w:ind w:firstLine="802"/>
        <w:spacing w:after="0" w:line="238" w:lineRule="auto"/>
        <w:rPr>
          <w:sz w:val="20"/>
          <w:szCs w:val="20"/>
          <w:color w:val="auto"/>
        </w:rPr>
      </w:pPr>
      <w:r>
        <w:rPr>
          <w:rFonts w:ascii="Arial" w:cs="Arial" w:eastAsia="Arial" w:hAnsi="Arial"/>
          <w:sz w:val="18"/>
          <w:szCs w:val="18"/>
          <w:b w:val="1"/>
          <w:bCs w:val="1"/>
          <w:color w:val="auto"/>
        </w:rPr>
        <w:t>9.2 Award Agreement</w:t>
      </w:r>
      <w:r>
        <w:rPr>
          <w:rFonts w:ascii="Arial" w:cs="Arial" w:eastAsia="Arial" w:hAnsi="Arial"/>
          <w:sz w:val="18"/>
          <w:szCs w:val="18"/>
          <w:color w:val="auto"/>
        </w:rPr>
        <w:t>. The terms and conditions of any grant of any Performance Units or Performance Shares shall be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an Award Agreement.</w:t>
      </w:r>
    </w:p>
    <w:p>
      <w:pPr>
        <w:spacing w:after="0" w:line="179"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b w:val="1"/>
          <w:bCs w:val="1"/>
          <w:color w:val="auto"/>
        </w:rPr>
        <w:t>9.3 Value of Performance Units and Performance Shares</w:t>
      </w:r>
      <w:r>
        <w:rPr>
          <w:rFonts w:ascii="Arial" w:cs="Arial" w:eastAsia="Arial" w:hAnsi="Arial"/>
          <w:sz w:val="18"/>
          <w:szCs w:val="18"/>
          <w:color w:val="auto"/>
        </w:rPr>
        <w:t>. Each Performance Unit shall have an initial value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established by the Committee at the time of grant. Each Performance Share shall have an initial value equal to the Fair Market Value of a Share on the Grant Date. The Committee shall set Performance Goals in its discretion which, depending on the extent to which they are met, will determine the value or number of Performance Units or Performance Shares that will be paid out to the Participant. Pursuant to Section 4.4, the Performance Period set forth in any Award Agreement for any Performance Units or Performance Shares shall be at least one year, except in connection with the death or Disability of the Participant or a Change of Control.</w:t>
      </w:r>
    </w:p>
    <w:p>
      <w:pPr>
        <w:spacing w:after="0" w:line="178" w:lineRule="exact"/>
        <w:rPr>
          <w:sz w:val="20"/>
          <w:szCs w:val="20"/>
          <w:color w:val="auto"/>
        </w:rPr>
      </w:pPr>
    </w:p>
    <w:p>
      <w:pPr>
        <w:jc w:val="both"/>
        <w:ind w:firstLine="802"/>
        <w:spacing w:after="0" w:line="241" w:lineRule="auto"/>
        <w:rPr>
          <w:sz w:val="20"/>
          <w:szCs w:val="20"/>
          <w:color w:val="auto"/>
        </w:rPr>
      </w:pPr>
      <w:r>
        <w:rPr>
          <w:rFonts w:ascii="Arial" w:cs="Arial" w:eastAsia="Arial" w:hAnsi="Arial"/>
          <w:sz w:val="18"/>
          <w:szCs w:val="18"/>
          <w:b w:val="1"/>
          <w:bCs w:val="1"/>
          <w:color w:val="auto"/>
        </w:rPr>
        <w:t>9.4 Earning of Performance Units and Performance Shares</w:t>
      </w:r>
      <w:r>
        <w:rPr>
          <w:rFonts w:ascii="Arial" w:cs="Arial" w:eastAsia="Arial" w:hAnsi="Arial"/>
          <w:sz w:val="18"/>
          <w:szCs w:val="18"/>
          <w:color w:val="auto"/>
        </w:rPr>
        <w:t>. Subject to the terms of this Plan, after the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Period has ended, the holder of Performance Units or Performance Shares shall be entitled to receive payout on the value and number of Performance Units or Performance Shares earned by the Participant over the Performance Period, to be determined by the Committee as a function of the extent to which the corresponding Performance Goals have been achieved.</w:t>
      </w:r>
    </w:p>
    <w:p>
      <w:pPr>
        <w:spacing w:after="0" w:line="179" w:lineRule="exact"/>
        <w:rPr>
          <w:sz w:val="20"/>
          <w:szCs w:val="20"/>
          <w:color w:val="auto"/>
        </w:rPr>
      </w:pPr>
    </w:p>
    <w:p>
      <w:pPr>
        <w:jc w:val="both"/>
        <w:ind w:firstLine="802"/>
        <w:spacing w:after="0" w:line="253" w:lineRule="auto"/>
        <w:rPr>
          <w:sz w:val="20"/>
          <w:szCs w:val="20"/>
          <w:color w:val="auto"/>
        </w:rPr>
      </w:pPr>
      <w:r>
        <w:rPr>
          <w:rFonts w:ascii="Arial" w:cs="Arial" w:eastAsia="Arial" w:hAnsi="Arial"/>
          <w:sz w:val="17"/>
          <w:szCs w:val="17"/>
          <w:b w:val="1"/>
          <w:bCs w:val="1"/>
          <w:color w:val="auto"/>
        </w:rPr>
        <w:t>9.5 Evaluation of Performance</w:t>
      </w:r>
      <w:r>
        <w:rPr>
          <w:rFonts w:ascii="Arial" w:cs="Arial" w:eastAsia="Arial" w:hAnsi="Arial"/>
          <w:sz w:val="17"/>
          <w:szCs w:val="17"/>
          <w:color w:val="auto"/>
        </w:rPr>
        <w:t>. In evaluating the extent to which Performance Goals have been achieved and in approving</w:t>
      </w:r>
      <w:r>
        <w:rPr>
          <w:rFonts w:ascii="Arial" w:cs="Arial" w:eastAsia="Arial" w:hAnsi="Arial"/>
          <w:sz w:val="17"/>
          <w:szCs w:val="17"/>
          <w:b w:val="1"/>
          <w:bCs w:val="1"/>
          <w:color w:val="auto"/>
        </w:rPr>
        <w:t xml:space="preserve"> </w:t>
      </w:r>
      <w:r>
        <w:rPr>
          <w:rFonts w:ascii="Arial" w:cs="Arial" w:eastAsia="Arial" w:hAnsi="Arial"/>
          <w:sz w:val="17"/>
          <w:szCs w:val="17"/>
          <w:color w:val="auto"/>
        </w:rPr>
        <w:t>payouts to holders of Performance Units or Performance Shares, the Committee may include or exclude any of the following events that occurs during a Performance Period: (a) items related to a change in accounting or measurement principles; (b) items relating to financing activities;</w:t>
      </w:r>
    </w:p>
    <w:p>
      <w:pPr>
        <w:spacing w:after="0" w:line="2" w:lineRule="exact"/>
        <w:rPr>
          <w:sz w:val="20"/>
          <w:szCs w:val="20"/>
          <w:color w:val="auto"/>
        </w:rPr>
      </w:pPr>
    </w:p>
    <w:p>
      <w:pPr>
        <w:jc w:val="both"/>
        <w:ind w:firstLine="6"/>
        <w:spacing w:after="0" w:line="232" w:lineRule="auto"/>
        <w:tabs>
          <w:tab w:leader="none" w:pos="266" w:val="left"/>
        </w:tabs>
        <w:numPr>
          <w:ilvl w:val="0"/>
          <w:numId w:val="98"/>
        </w:numPr>
        <w:rPr>
          <w:rFonts w:ascii="Arial" w:cs="Arial" w:eastAsia="Arial" w:hAnsi="Arial"/>
          <w:sz w:val="18"/>
          <w:szCs w:val="18"/>
          <w:color w:val="auto"/>
        </w:rPr>
      </w:pPr>
      <w:r>
        <w:rPr>
          <w:rFonts w:ascii="Arial" w:cs="Arial" w:eastAsia="Arial" w:hAnsi="Arial"/>
          <w:sz w:val="18"/>
          <w:szCs w:val="18"/>
          <w:color w:val="auto"/>
        </w:rPr>
        <w:t>expenses for restructuring or productivity initiatives; (d) other non-operating items; (e) items related to acquisitions; (f) items attributable to the business operations of any entity acquired by the Company during the Performance Period; (g) items related to the disposal of a business or segment of a business; (h) items related to discontinued operations that do not qualify as a segment of a business under applicable accounting standards; (i) items attributable to any stock dividend, stock split, combination or exchange of stock occurring during the Performance Period; (j) any other items of significant income or expense which are determined to be appropriate adjustments; (k) items relating to unusual or extraordinary corporate transactions, events or developments, (l) items related to amortization of acquired intangible assets; (m) items that are outside the scope of the Company’s core, on-going business activities; (n) items related to acquired in-process research and development; (o) items relating to changes in tax laws; (p) items relating to major licensing or partnership arrangements; (q) items relating to asset impairment charges; (r) items relating to gains or losses for litigation, arbitration and contractual settlements; (s) foreign exchange gains and losses; or (t) items relating to any other unusual or nonrecurring events or changes in applicable laws, accounting principles or business conditions.</w:t>
      </w:r>
    </w:p>
    <w:p>
      <w:pPr>
        <w:spacing w:after="0" w:line="184" w:lineRule="exact"/>
        <w:rPr>
          <w:sz w:val="20"/>
          <w:szCs w:val="20"/>
          <w:color w:val="auto"/>
        </w:rPr>
      </w:pPr>
    </w:p>
    <w:p>
      <w:pPr>
        <w:jc w:val="both"/>
        <w:ind w:firstLine="802"/>
        <w:spacing w:after="0" w:line="241" w:lineRule="auto"/>
        <w:rPr>
          <w:sz w:val="20"/>
          <w:szCs w:val="20"/>
          <w:color w:val="auto"/>
        </w:rPr>
      </w:pPr>
      <w:r>
        <w:rPr>
          <w:rFonts w:ascii="Arial" w:cs="Arial" w:eastAsia="Arial" w:hAnsi="Arial"/>
          <w:sz w:val="18"/>
          <w:szCs w:val="18"/>
          <w:b w:val="1"/>
          <w:bCs w:val="1"/>
          <w:color w:val="auto"/>
        </w:rPr>
        <w:t>9.6 Discretionary Adjustments</w:t>
      </w:r>
      <w:r>
        <w:rPr>
          <w:rFonts w:ascii="Arial" w:cs="Arial" w:eastAsia="Arial" w:hAnsi="Arial"/>
          <w:sz w:val="18"/>
          <w:szCs w:val="18"/>
          <w:color w:val="auto"/>
        </w:rPr>
        <w:t>. The Committee shall retain the discretion to adjust Awards upward or downward, either on</w:t>
      </w:r>
      <w:r>
        <w:rPr>
          <w:rFonts w:ascii="Arial" w:cs="Arial" w:eastAsia="Arial" w:hAnsi="Arial"/>
          <w:sz w:val="18"/>
          <w:szCs w:val="18"/>
          <w:b w:val="1"/>
          <w:bCs w:val="1"/>
          <w:color w:val="auto"/>
        </w:rPr>
        <w:t xml:space="preserve"> </w:t>
      </w:r>
      <w:r>
        <w:rPr>
          <w:rFonts w:ascii="Arial" w:cs="Arial" w:eastAsia="Arial" w:hAnsi="Arial"/>
          <w:sz w:val="18"/>
          <w:szCs w:val="18"/>
          <w:color w:val="auto"/>
        </w:rPr>
        <w:t>a formula or discretionary basis or any combination, as the Committee determines. In addition, subject to the terms and conditions of this Plan, the Committee also has the authority to provide for accelerated vesting of any Performance Shares or Performance Units based on the achievement of Performance Goals.</w:t>
      </w:r>
    </w:p>
    <w:p>
      <w:pPr>
        <w:spacing w:after="0" w:line="179" w:lineRule="exact"/>
        <w:rPr>
          <w:sz w:val="20"/>
          <w:szCs w:val="20"/>
          <w:color w:val="auto"/>
        </w:rPr>
      </w:pPr>
    </w:p>
    <w:p>
      <w:pPr>
        <w:jc w:val="both"/>
        <w:ind w:firstLine="802"/>
        <w:spacing w:after="0" w:line="235" w:lineRule="auto"/>
        <w:rPr>
          <w:sz w:val="20"/>
          <w:szCs w:val="20"/>
          <w:color w:val="auto"/>
        </w:rPr>
      </w:pPr>
      <w:r>
        <w:rPr>
          <w:rFonts w:ascii="Arial" w:cs="Arial" w:eastAsia="Arial" w:hAnsi="Arial"/>
          <w:sz w:val="18"/>
          <w:szCs w:val="18"/>
          <w:b w:val="1"/>
          <w:bCs w:val="1"/>
          <w:color w:val="auto"/>
        </w:rPr>
        <w:t>9.7 Reassignment</w:t>
      </w:r>
      <w:r>
        <w:rPr>
          <w:rFonts w:ascii="Arial" w:cs="Arial" w:eastAsia="Arial" w:hAnsi="Arial"/>
          <w:sz w:val="18"/>
          <w:szCs w:val="18"/>
          <w:color w:val="auto"/>
        </w:rPr>
        <w:t>. If prior to the end of a Performance Period, but after the conclusion of one year of the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a Participant holding Performance Units or Performance Shares is reassigned to a position with the Company or any Affiliate or Subsidiary, and that position is not eligible to participate in such an Award, but the Participant does not terminate employment or service with the Company or any Affiliate or Subsidiary, as the case may be, the Committee may, in its sole discretion: (a) cause Shares to be delivered or payment made with respect to the Participant’s Award in accordance with Section 9.9, but only if otherwise earned for the entire Performance Period or (b) cause Shares to be delivered or payment made with respect to the Participant’s Award in accordance with Section 9.9, but only if otherwise earned for the entire Performance Period and only with respect to the portion of the applicable Performance Period completed at the date of such reassignment, with proration based on the number of months or years such Participant served in the prior position during the Performance Period.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jc w:val="both"/>
        <w:ind w:firstLine="802"/>
        <w:spacing w:after="0" w:line="236" w:lineRule="auto"/>
        <w:rPr>
          <w:sz w:val="20"/>
          <w:szCs w:val="20"/>
          <w:color w:val="auto"/>
        </w:rPr>
      </w:pPr>
      <w:r>
        <w:rPr>
          <w:rFonts w:ascii="Arial" w:cs="Arial" w:eastAsia="Arial" w:hAnsi="Arial"/>
          <w:sz w:val="18"/>
          <w:szCs w:val="18"/>
          <w:b w:val="1"/>
          <w:bCs w:val="1"/>
          <w:color w:val="auto"/>
        </w:rPr>
        <w:t>9.8 Committee Discretion to Scale Back Awards</w:t>
      </w:r>
      <w:r>
        <w:rPr>
          <w:rFonts w:ascii="Arial" w:cs="Arial" w:eastAsia="Arial" w:hAnsi="Arial"/>
          <w:sz w:val="18"/>
          <w:szCs w:val="18"/>
          <w:color w:val="auto"/>
        </w:rPr>
        <w:t>. At any time during a Performance Period of more than one year,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may, in its discretion, cancel a portion of an Award of Performance Shares or Performance Units prior to the conclusion of the Performance Period (a “Scale Back”), provided that:</w:t>
      </w:r>
    </w:p>
    <w:p>
      <w:pPr>
        <w:spacing w:after="0" w:line="200" w:lineRule="exact"/>
        <w:rPr>
          <w:sz w:val="20"/>
          <w:szCs w:val="20"/>
          <w:color w:val="auto"/>
        </w:rPr>
      </w:pPr>
    </w:p>
    <w:p>
      <w:pPr>
        <w:ind w:left="1600" w:hanging="796"/>
        <w:spacing w:after="0"/>
        <w:tabs>
          <w:tab w:leader="none" w:pos="16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Award has not yet vested;</w:t>
      </w:r>
    </w:p>
    <w:p>
      <w:pPr>
        <w:spacing w:after="0" w:line="205" w:lineRule="exact"/>
        <w:rPr>
          <w:rFonts w:ascii="Arial" w:cs="Arial" w:eastAsia="Arial" w:hAnsi="Arial"/>
          <w:sz w:val="18"/>
          <w:szCs w:val="18"/>
          <w:color w:val="auto"/>
        </w:rPr>
      </w:pPr>
    </w:p>
    <w:p>
      <w:pPr>
        <w:jc w:val="both"/>
        <w:ind w:left="1600" w:hanging="796"/>
        <w:spacing w:after="0" w:line="236" w:lineRule="auto"/>
        <w:tabs>
          <w:tab w:leader="none" w:pos="16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financial information contained in the financial statements or similar internal reports of the Company or any Affiliate or Subsidiary, as the case may be, the Committee determines that the Performance Goals for the Performance Period cannot be achieved at the maximum levels established at the time of grant;</w:t>
      </w:r>
    </w:p>
    <w:p>
      <w:pPr>
        <w:spacing w:after="0" w:line="200" w:lineRule="exact"/>
        <w:rPr>
          <w:rFonts w:ascii="Arial" w:cs="Arial" w:eastAsia="Arial" w:hAnsi="Arial"/>
          <w:sz w:val="18"/>
          <w:szCs w:val="18"/>
          <w:color w:val="auto"/>
        </w:rPr>
      </w:pPr>
    </w:p>
    <w:p>
      <w:pPr>
        <w:ind w:left="1600" w:hanging="796"/>
        <w:spacing w:after="0" w:line="238" w:lineRule="auto"/>
        <w:tabs>
          <w:tab w:leader="none" w:pos="16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Awards shall be Scaled Back in proportion to the estimated short fall in achievement of Performance Goals from maximum levels;</w:t>
      </w:r>
    </w:p>
    <w:p>
      <w:pPr>
        <w:spacing w:after="0" w:line="201" w:lineRule="exact"/>
        <w:rPr>
          <w:rFonts w:ascii="Arial" w:cs="Arial" w:eastAsia="Arial" w:hAnsi="Arial"/>
          <w:sz w:val="18"/>
          <w:szCs w:val="18"/>
          <w:color w:val="auto"/>
        </w:rPr>
      </w:pPr>
    </w:p>
    <w:p>
      <w:pPr>
        <w:ind w:left="1600" w:hanging="796"/>
        <w:spacing w:after="0"/>
        <w:tabs>
          <w:tab w:leader="none" w:pos="16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all Awards for the same Performance Period are Scaled Back by the same percentage;</w:t>
      </w:r>
    </w:p>
    <w:p>
      <w:pPr>
        <w:spacing w:after="0" w:line="205" w:lineRule="exact"/>
        <w:rPr>
          <w:rFonts w:ascii="Arial" w:cs="Arial" w:eastAsia="Arial" w:hAnsi="Arial"/>
          <w:sz w:val="18"/>
          <w:szCs w:val="18"/>
          <w:color w:val="auto"/>
        </w:rPr>
      </w:pPr>
    </w:p>
    <w:p>
      <w:pPr>
        <w:ind w:left="1600" w:hanging="796"/>
        <w:spacing w:after="0" w:line="238" w:lineRule="auto"/>
        <w:tabs>
          <w:tab w:leader="none" w:pos="16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once an Award is Scaled Back, it may not again be increased to add or recover Performance Shares or Performance Units that were canceled; and</w:t>
      </w:r>
    </w:p>
    <w:p>
      <w:pPr>
        <w:spacing w:after="0" w:line="201" w:lineRule="exact"/>
        <w:rPr>
          <w:rFonts w:ascii="Arial" w:cs="Arial" w:eastAsia="Arial" w:hAnsi="Arial"/>
          <w:sz w:val="18"/>
          <w:szCs w:val="18"/>
          <w:color w:val="auto"/>
        </w:rPr>
      </w:pPr>
    </w:p>
    <w:p>
      <w:pPr>
        <w:jc w:val="both"/>
        <w:ind w:left="1600" w:hanging="796"/>
        <w:spacing w:after="0" w:line="255" w:lineRule="auto"/>
        <w:tabs>
          <w:tab w:leader="none" w:pos="16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Performance Shares or Performance Units canceled in a Scale Back shall again be available to the Committee for grant of new Awards of Performance Shares or Performance Units for any future Performance Period. This provision shall not be used in any manner that could have the effect of repricing a previous Award of Performance Shares or Performance Units.</w:t>
      </w:r>
    </w:p>
    <w:p>
      <w:pPr>
        <w:spacing w:after="0" w:line="166" w:lineRule="exact"/>
        <w:rPr>
          <w:sz w:val="20"/>
          <w:szCs w:val="20"/>
          <w:color w:val="auto"/>
        </w:rPr>
      </w:pPr>
    </w:p>
    <w:p>
      <w:pPr>
        <w:jc w:val="both"/>
        <w:ind w:firstLine="802"/>
        <w:spacing w:after="0" w:line="234" w:lineRule="auto"/>
        <w:rPr>
          <w:sz w:val="20"/>
          <w:szCs w:val="20"/>
          <w:color w:val="auto"/>
        </w:rPr>
      </w:pPr>
      <w:r>
        <w:rPr>
          <w:rFonts w:ascii="Arial" w:cs="Arial" w:eastAsia="Arial" w:hAnsi="Arial"/>
          <w:sz w:val="18"/>
          <w:szCs w:val="18"/>
          <w:b w:val="1"/>
          <w:bCs w:val="1"/>
          <w:color w:val="auto"/>
        </w:rPr>
        <w:t>9.9 Form and Timing of Payment of Performance Units or Performance Shares</w:t>
      </w:r>
      <w:r>
        <w:rPr>
          <w:rFonts w:ascii="Arial" w:cs="Arial" w:eastAsia="Arial" w:hAnsi="Arial"/>
          <w:sz w:val="18"/>
          <w:szCs w:val="18"/>
          <w:color w:val="auto"/>
        </w:rPr>
        <w:t>. Payment of earned Performance Units</w:t>
      </w:r>
      <w:r>
        <w:rPr>
          <w:rFonts w:ascii="Arial" w:cs="Arial" w:eastAsia="Arial" w:hAnsi="Arial"/>
          <w:sz w:val="18"/>
          <w:szCs w:val="18"/>
          <w:b w:val="1"/>
          <w:bCs w:val="1"/>
          <w:color w:val="auto"/>
        </w:rPr>
        <w:t xml:space="preserve"> </w:t>
      </w:r>
      <w:r>
        <w:rPr>
          <w:rFonts w:ascii="Arial" w:cs="Arial" w:eastAsia="Arial" w:hAnsi="Arial"/>
          <w:sz w:val="18"/>
          <w:szCs w:val="18"/>
          <w:color w:val="auto"/>
        </w:rPr>
        <w:t>or Performance Shares shall be as determined by the Committee and as evidenced in the Award Agreement. Subject to the terms of this Plan, the Committee, in its sole discretion, may pay earned Performance Units or Performance Shares in the form of cash or in Shares (or in a combination thereof) equal to the value of the earned Performance Units or Performance Shares at the close of the applicable Performance Period or as soon as practicable after the end of the Performance Period, except that if a Participant has properly elected to defer income that may be attributable to Performance Shares or Performance Units under a Company deferred compensation plan, common stock units will be credited to the Participant’s account under such deferred compensation plan and paid in accordance with the terms of such plan. Any Shares issued under such deferred compensation plan that relate to the deferral of Performance Shares or Performance Units granted under this Plan (including without limitation any Dividend Equivalents paid in Shares) will be deemed to be issued under this Plan. Any Shares issued in payment of earned Performance Units or Performance Shares may be granted subject to any restrictions deemed appropriate by the Committee. The determination of the Committee with respect to the form of payout of such Awards shall be set forth in the Award Agreement pertaining to the grant of the Award.</w:t>
      </w:r>
    </w:p>
    <w:p>
      <w:pPr>
        <w:spacing w:after="0" w:line="184"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b w:val="1"/>
          <w:bCs w:val="1"/>
          <w:color w:val="auto"/>
        </w:rPr>
        <w:t>9.10 Dividend Rights</w:t>
      </w:r>
      <w:r>
        <w:rPr>
          <w:rFonts w:ascii="Arial" w:cs="Arial" w:eastAsia="Arial" w:hAnsi="Arial"/>
          <w:sz w:val="18"/>
          <w:szCs w:val="18"/>
          <w:color w:val="auto"/>
        </w:rPr>
        <w:t>. If provided specifically in an Award Agreement and only to the extent permitted by law, a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holding Performance Units or Performance Shares awarded under the Plan may receive Dividend Equivalents based on the cash dividends declared on the Shares that are subject to such Performance Units or Performance Shares during the period between the date that such Performance Units or Performance Shares are granted and the date such Performance Units or Performance Shares are settled. Dividend Equivalents may be converted into additional Performance Units or Performance Shares, as the case may be, and will be made subject to the</w:t>
      </w:r>
    </w:p>
    <w:p>
      <w:pPr>
        <w:spacing w:after="0" w:line="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same conditions and restrictions as the Performance Units or Performance Shares to which they attach. N</w:t>
      </w:r>
      <w:r>
        <w:rPr>
          <w:rFonts w:ascii="Arial" w:cs="Arial" w:eastAsia="Arial" w:hAnsi="Arial"/>
          <w:sz w:val="20"/>
          <w:szCs w:val="20"/>
          <w:color w:val="auto"/>
        </w:rPr>
        <w:t>otwithstanding the generality of</w:t>
      </w:r>
      <w:r>
        <w:rPr>
          <w:rFonts w:ascii="Arial" w:cs="Arial" w:eastAsia="Arial" w:hAnsi="Arial"/>
          <w:sz w:val="18"/>
          <w:szCs w:val="18"/>
          <w:color w:val="auto"/>
        </w:rPr>
        <w:t xml:space="preserve"> </w:t>
      </w:r>
      <w:r>
        <w:rPr>
          <w:rFonts w:ascii="Arial" w:cs="Arial" w:eastAsia="Arial" w:hAnsi="Arial"/>
          <w:sz w:val="20"/>
          <w:szCs w:val="20"/>
          <w:color w:val="auto"/>
        </w:rPr>
        <w:t xml:space="preserve">the foregoing and for the avoidance of any doubt, in no event shall any dividends or Dividend Equivalents be paid out to Participants holding </w:t>
      </w:r>
      <w:r>
        <w:rPr>
          <w:rFonts w:ascii="Arial" w:cs="Arial" w:eastAsia="Arial" w:hAnsi="Arial"/>
          <w:sz w:val="17"/>
          <w:szCs w:val="17"/>
          <w:color w:val="auto"/>
        </w:rPr>
        <w:t>Performance Units or Performance Shares</w:t>
      </w:r>
      <w:r>
        <w:rPr>
          <w:rFonts w:ascii="Arial" w:cs="Arial" w:eastAsia="Arial" w:hAnsi="Arial"/>
          <w:sz w:val="20"/>
          <w:szCs w:val="20"/>
          <w:color w:val="auto"/>
        </w:rPr>
        <w:t xml:space="preserve"> until the performance-based vesting provisions of such </w:t>
      </w:r>
      <w:r>
        <w:rPr>
          <w:rFonts w:ascii="Arial" w:cs="Arial" w:eastAsia="Arial" w:hAnsi="Arial"/>
          <w:sz w:val="17"/>
          <w:szCs w:val="17"/>
          <w:color w:val="auto"/>
        </w:rPr>
        <w:t>Performance</w:t>
      </w:r>
      <w:r>
        <w:rPr>
          <w:rFonts w:ascii="Arial" w:cs="Arial" w:eastAsia="Arial" w:hAnsi="Arial"/>
          <w:sz w:val="20"/>
          <w:szCs w:val="20"/>
          <w:color w:val="auto"/>
        </w:rPr>
        <w:t xml:space="preserve"> </w:t>
      </w:r>
      <w:r>
        <w:rPr>
          <w:rFonts w:ascii="Arial" w:cs="Arial" w:eastAsia="Arial" w:hAnsi="Arial"/>
          <w:sz w:val="17"/>
          <w:szCs w:val="17"/>
          <w:color w:val="auto"/>
        </w:rPr>
        <w:t xml:space="preserve">Units or Performance Shares, as the case may be, </w:t>
      </w:r>
      <w:r>
        <w:rPr>
          <w:rFonts w:ascii="Arial" w:cs="Arial" w:eastAsia="Arial" w:hAnsi="Arial"/>
          <w:sz w:val="20"/>
          <w:szCs w:val="20"/>
          <w:color w:val="auto"/>
        </w:rPr>
        <w:t>lapse.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jc w:val="both"/>
        <w:ind w:right="20" w:firstLine="802"/>
        <w:spacing w:after="0" w:line="238" w:lineRule="auto"/>
        <w:rPr>
          <w:sz w:val="20"/>
          <w:szCs w:val="20"/>
          <w:color w:val="auto"/>
        </w:rPr>
      </w:pPr>
      <w:r>
        <w:rPr>
          <w:rFonts w:ascii="Arial" w:cs="Arial" w:eastAsia="Arial" w:hAnsi="Arial"/>
          <w:sz w:val="18"/>
          <w:szCs w:val="18"/>
          <w:b w:val="1"/>
          <w:bCs w:val="1"/>
          <w:color w:val="auto"/>
        </w:rPr>
        <w:t>9.11 Voting Rights</w:t>
      </w:r>
      <w:r>
        <w:rPr>
          <w:rFonts w:ascii="Arial" w:cs="Arial" w:eastAsia="Arial" w:hAnsi="Arial"/>
          <w:sz w:val="18"/>
          <w:szCs w:val="18"/>
          <w:color w:val="auto"/>
        </w:rPr>
        <w:t>. A Participant shall have no voting rights with respect to any Performance Units or Performance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hereunder.</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Article 10. Annual Performance Awards</w:t>
      </w:r>
    </w:p>
    <w:p>
      <w:pPr>
        <w:spacing w:after="0" w:line="205" w:lineRule="exact"/>
        <w:rPr>
          <w:sz w:val="20"/>
          <w:szCs w:val="20"/>
          <w:color w:val="auto"/>
        </w:rPr>
      </w:pPr>
    </w:p>
    <w:p>
      <w:pPr>
        <w:jc w:val="both"/>
        <w:ind w:firstLine="802"/>
        <w:spacing w:after="0" w:line="241" w:lineRule="auto"/>
        <w:rPr>
          <w:sz w:val="20"/>
          <w:szCs w:val="20"/>
          <w:color w:val="auto"/>
        </w:rPr>
      </w:pPr>
      <w:r>
        <w:rPr>
          <w:rFonts w:ascii="Arial" w:cs="Arial" w:eastAsia="Arial" w:hAnsi="Arial"/>
          <w:sz w:val="18"/>
          <w:szCs w:val="18"/>
          <w:b w:val="1"/>
          <w:bCs w:val="1"/>
          <w:color w:val="auto"/>
        </w:rPr>
        <w:t>10.1 Grant of Annual Performance Awards</w:t>
      </w:r>
      <w:r>
        <w:rPr>
          <w:rFonts w:ascii="Arial" w:cs="Arial" w:eastAsia="Arial" w:hAnsi="Arial"/>
          <w:sz w:val="18"/>
          <w:szCs w:val="18"/>
          <w:color w:val="auto"/>
        </w:rPr>
        <w:t>. Subject to the terms and conditions of this Plan, the Committee, at any time</w:t>
      </w:r>
      <w:r>
        <w:rPr>
          <w:rFonts w:ascii="Arial" w:cs="Arial" w:eastAsia="Arial" w:hAnsi="Arial"/>
          <w:sz w:val="18"/>
          <w:szCs w:val="18"/>
          <w:b w:val="1"/>
          <w:bCs w:val="1"/>
          <w:color w:val="auto"/>
        </w:rPr>
        <w:t xml:space="preserve"> </w:t>
      </w:r>
      <w:r>
        <w:rPr>
          <w:rFonts w:ascii="Arial" w:cs="Arial" w:eastAsia="Arial" w:hAnsi="Arial"/>
          <w:sz w:val="18"/>
          <w:szCs w:val="18"/>
          <w:color w:val="auto"/>
        </w:rPr>
        <w:t>and from time to time, may grant to Participants an Award denominated in cash in such amounts and upon such terms as the Committee may determine, based on the achievement of specified Performance Goals for annual periods or other time periods as determined by the Committee (“Annual Performance Award”).</w:t>
      </w:r>
    </w:p>
    <w:p>
      <w:pPr>
        <w:spacing w:after="0" w:line="179"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b w:val="1"/>
          <w:bCs w:val="1"/>
          <w:color w:val="auto"/>
        </w:rPr>
        <w:t>10.2 Target Payout</w:t>
      </w:r>
      <w:r>
        <w:rPr>
          <w:rFonts w:ascii="Arial" w:cs="Arial" w:eastAsia="Arial" w:hAnsi="Arial"/>
          <w:sz w:val="18"/>
          <w:szCs w:val="18"/>
          <w:color w:val="auto"/>
        </w:rPr>
        <w:t>. The target amount that may be paid with respect to an Annual Performance Award (the “Target Payout”)</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determined by the Committee and based on a percentage of a Participant’s actual fiscal year annual base earnings (“Participation Factor”), within the range established by the Committee for each Participant and subject to adjustment as provided in the next sentence of this Section 10.2. The Chief Executive Officer may approve modifications to the foregoing Participation Factors for any Participant who is not an Executive Officer, if such modification is based on level of responsibility. The Committee may establish curves, matrices or other measurements for prorating the amount of payouts for achievement of Performance Goals at less or greater than the Target Payout.</w:t>
      </w:r>
    </w:p>
    <w:p>
      <w:pPr>
        <w:spacing w:after="0" w:line="178" w:lineRule="exact"/>
        <w:rPr>
          <w:sz w:val="20"/>
          <w:szCs w:val="20"/>
          <w:color w:val="auto"/>
        </w:rPr>
      </w:pPr>
    </w:p>
    <w:p>
      <w:pPr>
        <w:jc w:val="both"/>
        <w:ind w:firstLine="802"/>
        <w:spacing w:after="0" w:line="241" w:lineRule="auto"/>
        <w:rPr>
          <w:sz w:val="20"/>
          <w:szCs w:val="20"/>
          <w:color w:val="auto"/>
        </w:rPr>
      </w:pPr>
      <w:r>
        <w:rPr>
          <w:rFonts w:ascii="Arial" w:cs="Arial" w:eastAsia="Arial" w:hAnsi="Arial"/>
          <w:sz w:val="18"/>
          <w:szCs w:val="18"/>
          <w:b w:val="1"/>
          <w:bCs w:val="1"/>
          <w:color w:val="auto"/>
        </w:rPr>
        <w:t>10.3 Maximum Payout</w:t>
      </w:r>
      <w:r>
        <w:rPr>
          <w:rFonts w:ascii="Arial" w:cs="Arial" w:eastAsia="Arial" w:hAnsi="Arial"/>
          <w:sz w:val="18"/>
          <w:szCs w:val="18"/>
          <w:color w:val="auto"/>
        </w:rPr>
        <w:t>. The Committee may also establish a maximum potential payout amount (the “Maximum Payout”)</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an Annual Performance Award in the event Performance Goals are exceeded by an amount established by the Committee at the time Performance Goals are established. The Committee may establish curves, matrices or other measurements for prorating the amount of payouts for achievement of Performance Goals at greater than the Target Payout but less than the Maximum Payout.</w:t>
      </w:r>
    </w:p>
    <w:p>
      <w:pPr>
        <w:spacing w:after="0" w:line="179" w:lineRule="exact"/>
        <w:rPr>
          <w:sz w:val="20"/>
          <w:szCs w:val="20"/>
          <w:color w:val="auto"/>
        </w:rPr>
      </w:pPr>
    </w:p>
    <w:p>
      <w:pPr>
        <w:jc w:val="both"/>
        <w:ind w:firstLine="802"/>
        <w:spacing w:after="0" w:line="239" w:lineRule="auto"/>
        <w:rPr>
          <w:sz w:val="20"/>
          <w:szCs w:val="20"/>
          <w:color w:val="auto"/>
        </w:rPr>
      </w:pPr>
      <w:r>
        <w:rPr>
          <w:rFonts w:ascii="Arial" w:cs="Arial" w:eastAsia="Arial" w:hAnsi="Arial"/>
          <w:sz w:val="18"/>
          <w:szCs w:val="18"/>
          <w:b w:val="1"/>
          <w:bCs w:val="1"/>
          <w:color w:val="auto"/>
        </w:rPr>
        <w:t>10.4 Division Payout</w:t>
      </w:r>
      <w:r>
        <w:rPr>
          <w:rFonts w:ascii="Arial" w:cs="Arial" w:eastAsia="Arial" w:hAnsi="Arial"/>
          <w:sz w:val="18"/>
          <w:szCs w:val="18"/>
          <w:color w:val="auto"/>
        </w:rPr>
        <w:t>. At the time an Annual Performance Award is made, the Committee may establish supplemental</w:t>
      </w:r>
      <w:r>
        <w:rPr>
          <w:rFonts w:ascii="Arial" w:cs="Arial" w:eastAsia="Arial" w:hAnsi="Arial"/>
          <w:sz w:val="18"/>
          <w:szCs w:val="18"/>
          <w:b w:val="1"/>
          <w:bCs w:val="1"/>
          <w:color w:val="auto"/>
        </w:rPr>
        <w:t xml:space="preserve"> </w:t>
      </w:r>
      <w:r>
        <w:rPr>
          <w:rFonts w:ascii="Arial" w:cs="Arial" w:eastAsia="Arial" w:hAnsi="Arial"/>
          <w:sz w:val="18"/>
          <w:szCs w:val="18"/>
          <w:color w:val="auto"/>
        </w:rPr>
        <w:t>division-specific Performance Measures (“Supplemental Division Performance Goals”) and may provide that achievement of a Supplemental Division Performance Goal at or above an established target level shall be required in order to earn a Target Payout or Maximum Payout. The Committee shall also have the discretion to reduce or otherwise revise the amount that would otherwise be paid under the division payout formula to a division officer or general manager based on the Committee’s evaluation of the quality of division performance.</w:t>
      </w:r>
    </w:p>
    <w:p>
      <w:pPr>
        <w:spacing w:after="0" w:line="179"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b w:val="1"/>
          <w:bCs w:val="1"/>
          <w:color w:val="auto"/>
        </w:rPr>
        <w:t>10.5 Strategic Performance Measure Payout</w:t>
      </w:r>
      <w:r>
        <w:rPr>
          <w:rFonts w:ascii="Arial" w:cs="Arial" w:eastAsia="Arial" w:hAnsi="Arial"/>
          <w:sz w:val="18"/>
          <w:szCs w:val="18"/>
          <w:color w:val="auto"/>
        </w:rPr>
        <w:t>. At the time an Annual Performance Award is made, the Committee may</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the Target Payout and the Maximum Payout (as either may be prorated in accordance with Sections 10.2 and 10.3) for selected Participants (“Strategic Performance Participants”), to reflect individual strategic performance measures (“SPM Performance Goals”) established at that time by the Committee. The Committee shall have the discretion to reduce or otherwise revise the amount that would otherwise be paid under the payout formula to a Strategic Performance Participant based on the Committee’s evaluation of the individual’s achievement of the SPM Performance Goal.</w:t>
      </w:r>
    </w:p>
    <w:p>
      <w:pPr>
        <w:spacing w:after="0" w:line="178" w:lineRule="exact"/>
        <w:rPr>
          <w:sz w:val="20"/>
          <w:szCs w:val="20"/>
          <w:color w:val="auto"/>
        </w:rPr>
      </w:pPr>
    </w:p>
    <w:p>
      <w:pPr>
        <w:jc w:val="both"/>
        <w:ind w:firstLine="802"/>
        <w:spacing w:after="0" w:line="247" w:lineRule="auto"/>
        <w:rPr>
          <w:sz w:val="20"/>
          <w:szCs w:val="20"/>
          <w:color w:val="auto"/>
        </w:rPr>
      </w:pPr>
      <w:r>
        <w:rPr>
          <w:rFonts w:ascii="Arial" w:cs="Arial" w:eastAsia="Arial" w:hAnsi="Arial"/>
          <w:sz w:val="18"/>
          <w:szCs w:val="18"/>
          <w:b w:val="1"/>
          <w:bCs w:val="1"/>
          <w:color w:val="auto"/>
        </w:rPr>
        <w:t>10.6 Evaluation of Performance</w:t>
      </w:r>
      <w:r>
        <w:rPr>
          <w:rFonts w:ascii="Arial" w:cs="Arial" w:eastAsia="Arial" w:hAnsi="Arial"/>
          <w:sz w:val="18"/>
          <w:szCs w:val="18"/>
          <w:color w:val="auto"/>
        </w:rPr>
        <w:t>. In evaluating the extent to which Performance Goals have been achieved and in</w:t>
      </w:r>
      <w:r>
        <w:rPr>
          <w:rFonts w:ascii="Arial" w:cs="Arial" w:eastAsia="Arial" w:hAnsi="Arial"/>
          <w:sz w:val="18"/>
          <w:szCs w:val="18"/>
          <w:b w:val="1"/>
          <w:bCs w:val="1"/>
          <w:color w:val="auto"/>
        </w:rPr>
        <w:t xml:space="preserve"> </w:t>
      </w:r>
      <w:r>
        <w:rPr>
          <w:rFonts w:ascii="Arial" w:cs="Arial" w:eastAsia="Arial" w:hAnsi="Arial"/>
          <w:sz w:val="18"/>
          <w:szCs w:val="18"/>
          <w:color w:val="auto"/>
        </w:rPr>
        <w:t>approving payouts to holders of Annual Performance Awards, the Committee may include or exclude any of the events described in Section 9.5 or any similar event that occurs during a Performance Period.</w:t>
      </w:r>
    </w:p>
    <w:p>
      <w:pPr>
        <w:spacing w:after="0" w:line="172"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b w:val="1"/>
          <w:bCs w:val="1"/>
          <w:color w:val="auto"/>
        </w:rPr>
        <w:t>10.7 Discretionary Adjustments</w:t>
      </w:r>
      <w:r>
        <w:rPr>
          <w:rFonts w:ascii="Arial" w:cs="Arial" w:eastAsia="Arial" w:hAnsi="Arial"/>
          <w:sz w:val="18"/>
          <w:szCs w:val="18"/>
          <w:color w:val="auto"/>
        </w:rPr>
        <w:t>. The Committee shall retain the discretion to adjust Annual Performance Award payouts</w:t>
      </w:r>
      <w:r>
        <w:rPr>
          <w:rFonts w:ascii="Arial" w:cs="Arial" w:eastAsia="Arial" w:hAnsi="Arial"/>
          <w:sz w:val="18"/>
          <w:szCs w:val="18"/>
          <w:b w:val="1"/>
          <w:bCs w:val="1"/>
          <w:color w:val="auto"/>
        </w:rPr>
        <w:t xml:space="preserve"> </w:t>
      </w:r>
      <w:r>
        <w:rPr>
          <w:rFonts w:ascii="Arial" w:cs="Arial" w:eastAsia="Arial" w:hAnsi="Arial"/>
          <w:sz w:val="18"/>
          <w:szCs w:val="18"/>
          <w:color w:val="auto"/>
        </w:rPr>
        <w:t>upward or downward, either on a formula or discretionary basis or any combination, as the Committee determines.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jc w:val="both"/>
        <w:ind w:firstLine="802"/>
        <w:spacing w:after="0" w:line="234" w:lineRule="auto"/>
        <w:rPr>
          <w:sz w:val="20"/>
          <w:szCs w:val="20"/>
          <w:color w:val="auto"/>
        </w:rPr>
      </w:pPr>
      <w:r>
        <w:rPr>
          <w:rFonts w:ascii="Arial" w:cs="Arial" w:eastAsia="Arial" w:hAnsi="Arial"/>
          <w:sz w:val="18"/>
          <w:szCs w:val="18"/>
          <w:b w:val="1"/>
          <w:bCs w:val="1"/>
          <w:color w:val="auto"/>
        </w:rPr>
        <w:t>10.8 Payment</w:t>
      </w:r>
      <w:r>
        <w:rPr>
          <w:rFonts w:ascii="Arial" w:cs="Arial" w:eastAsia="Arial" w:hAnsi="Arial"/>
          <w:sz w:val="18"/>
          <w:szCs w:val="18"/>
          <w:color w:val="auto"/>
        </w:rPr>
        <w:t>. Payment of Annual Performance Award payouts will be made as soon as possible after the Committee has</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the extent to which the applicable Performance Goals have been achieved and final payouts not later than the last day of the short term deferral period determined in accordance with Treas. Reg. Sec. 1.409A-1(b)(4), except to the extent that a Participant has properly elected to defer income that may be attributable to an Annual Performance Award under a Company deferred compensation plan or arrangement.</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Article 11. Nonemployee Director Awards</w:t>
      </w:r>
    </w:p>
    <w:p>
      <w:pPr>
        <w:spacing w:after="0" w:line="205" w:lineRule="exact"/>
        <w:rPr>
          <w:sz w:val="20"/>
          <w:szCs w:val="20"/>
          <w:color w:val="auto"/>
        </w:rPr>
      </w:pPr>
    </w:p>
    <w:p>
      <w:pPr>
        <w:jc w:val="both"/>
        <w:ind w:firstLine="802"/>
        <w:spacing w:after="0" w:line="239" w:lineRule="auto"/>
        <w:rPr>
          <w:sz w:val="20"/>
          <w:szCs w:val="20"/>
          <w:color w:val="auto"/>
        </w:rPr>
      </w:pPr>
      <w:r>
        <w:rPr>
          <w:rFonts w:ascii="Arial" w:cs="Arial" w:eastAsia="Arial" w:hAnsi="Arial"/>
          <w:sz w:val="18"/>
          <w:szCs w:val="18"/>
          <w:b w:val="1"/>
          <w:bCs w:val="1"/>
          <w:color w:val="auto"/>
        </w:rPr>
        <w:t>11.1 Annual Nonemployee Director Share Grants</w:t>
      </w:r>
      <w:r>
        <w:rPr>
          <w:rFonts w:ascii="Arial" w:cs="Arial" w:eastAsia="Arial" w:hAnsi="Arial"/>
          <w:sz w:val="18"/>
          <w:szCs w:val="18"/>
          <w:color w:val="auto"/>
        </w:rPr>
        <w:t>. On the first business day of each fiscal year, the Company shall issue</w:t>
      </w:r>
      <w:r>
        <w:rPr>
          <w:rFonts w:ascii="Arial" w:cs="Arial" w:eastAsia="Arial" w:hAnsi="Arial"/>
          <w:sz w:val="18"/>
          <w:szCs w:val="18"/>
          <w:b w:val="1"/>
          <w:bCs w:val="1"/>
          <w:color w:val="auto"/>
        </w:rPr>
        <w:t xml:space="preserve"> </w:t>
      </w:r>
      <w:r>
        <w:rPr>
          <w:rFonts w:ascii="Arial" w:cs="Arial" w:eastAsia="Arial" w:hAnsi="Arial"/>
          <w:sz w:val="18"/>
          <w:szCs w:val="18"/>
          <w:color w:val="auto"/>
        </w:rPr>
        <w:t>to each person who is then a Nonemployee Director a number of Shares in an amount as determined by the Committee from time to time (the “Nonemployee Director Shares”), which Committee shall consist solely of Directors who are “independent directors” (as defined in the rules of the New York Stock Exchange). Since the Nonemployee Director Shares will not be subject to any minimum vesting condition, they will count towards the five percent (5%) basket in Section 4.4.</w:t>
      </w:r>
    </w:p>
    <w:p>
      <w:pPr>
        <w:spacing w:after="0" w:line="179" w:lineRule="exact"/>
        <w:rPr>
          <w:sz w:val="20"/>
          <w:szCs w:val="20"/>
          <w:color w:val="auto"/>
        </w:rPr>
      </w:pPr>
    </w:p>
    <w:p>
      <w:pPr>
        <w:ind w:left="800"/>
        <w:spacing w:after="0"/>
        <w:tabs>
          <w:tab w:leader="none" w:pos="178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7"/>
          <w:szCs w:val="17"/>
          <w:b w:val="1"/>
          <w:bCs w:val="1"/>
          <w:color w:val="auto"/>
        </w:rPr>
        <w:t>Annual Nonemployee Director Options</w:t>
      </w:r>
      <w:r>
        <w:rPr>
          <w:rFonts w:ascii="Arial" w:cs="Arial" w:eastAsia="Arial" w:hAnsi="Arial"/>
          <w:sz w:val="17"/>
          <w:szCs w:val="17"/>
          <w:color w:val="auto"/>
        </w:rPr>
        <w:t>.</w:t>
      </w:r>
    </w:p>
    <w:p>
      <w:pPr>
        <w:spacing w:after="0" w:line="205" w:lineRule="exact"/>
        <w:rPr>
          <w:sz w:val="20"/>
          <w:szCs w:val="20"/>
          <w:color w:val="auto"/>
        </w:rPr>
      </w:pPr>
    </w:p>
    <w:p>
      <w:pPr>
        <w:jc w:val="both"/>
        <w:ind w:left="1600" w:hanging="796"/>
        <w:spacing w:after="0" w:line="260" w:lineRule="auto"/>
        <w:tabs>
          <w:tab w:leader="none" w:pos="1600" w:val="left"/>
        </w:tabs>
        <w:numPr>
          <w:ilvl w:val="0"/>
          <w:numId w:val="100"/>
        </w:numPr>
        <w:rPr>
          <w:rFonts w:ascii="Arial" w:cs="Arial" w:eastAsia="Arial" w:hAnsi="Arial"/>
          <w:sz w:val="17"/>
          <w:szCs w:val="17"/>
          <w:color w:val="auto"/>
        </w:rPr>
      </w:pPr>
      <w:r>
        <w:rPr>
          <w:rFonts w:ascii="Arial" w:cs="Arial" w:eastAsia="Arial" w:hAnsi="Arial"/>
          <w:sz w:val="17"/>
          <w:szCs w:val="17"/>
          <w:b w:val="1"/>
          <w:bCs w:val="1"/>
          <w:color w:val="auto"/>
        </w:rPr>
        <w:t>Annual Grant</w:t>
      </w:r>
      <w:r>
        <w:rPr>
          <w:rFonts w:ascii="Arial" w:cs="Arial" w:eastAsia="Arial" w:hAnsi="Arial"/>
          <w:sz w:val="17"/>
          <w:szCs w:val="17"/>
          <w:color w:val="auto"/>
        </w:rPr>
        <w:t>. Subject to the terms and conditions of this Section 11.2, on the first business day of each fiscal year,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shall grant to each person who is then a Nonemployee Director, a Nonqualified Stock Option to purchase that number of Shares (a “Nonemployee Director Option”) as determined by the Committee from time to time, which Committee shall consist solely of directors who are “independent directors” (as defined in the rules of the New York Stock Exchange).</w:t>
      </w:r>
    </w:p>
    <w:p>
      <w:pPr>
        <w:spacing w:after="0" w:line="163" w:lineRule="exact"/>
        <w:rPr>
          <w:rFonts w:ascii="Arial" w:cs="Arial" w:eastAsia="Arial" w:hAnsi="Arial"/>
          <w:sz w:val="17"/>
          <w:szCs w:val="17"/>
          <w:color w:val="auto"/>
        </w:rPr>
      </w:pPr>
    </w:p>
    <w:p>
      <w:pPr>
        <w:ind w:left="1600" w:right="20" w:hanging="796"/>
        <w:spacing w:after="0" w:line="263" w:lineRule="auto"/>
        <w:tabs>
          <w:tab w:leader="none" w:pos="1600"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Option Price</w:t>
      </w:r>
      <w:r>
        <w:rPr>
          <w:rFonts w:ascii="Arial" w:cs="Arial" w:eastAsia="Arial" w:hAnsi="Arial"/>
          <w:sz w:val="18"/>
          <w:szCs w:val="18"/>
          <w:color w:val="auto"/>
        </w:rPr>
        <w:t>. The Option Price for each grant of a Nonemployee Director Option shall be one hundred percent (100%) of</w:t>
      </w:r>
      <w:r>
        <w:rPr>
          <w:rFonts w:ascii="Arial" w:cs="Arial" w:eastAsia="Arial" w:hAnsi="Arial"/>
          <w:sz w:val="18"/>
          <w:szCs w:val="18"/>
          <w:b w:val="1"/>
          <w:bCs w:val="1"/>
          <w:color w:val="auto"/>
        </w:rPr>
        <w:t xml:space="preserve"> </w:t>
      </w:r>
      <w:r>
        <w:rPr>
          <w:rFonts w:ascii="Arial" w:cs="Arial" w:eastAsia="Arial" w:hAnsi="Arial"/>
          <w:sz w:val="18"/>
          <w:szCs w:val="18"/>
          <w:color w:val="auto"/>
        </w:rPr>
        <w:t>the FMV of a Share as of the Option’s Grant Date.</w:t>
      </w:r>
    </w:p>
    <w:p>
      <w:pPr>
        <w:spacing w:after="0" w:line="157" w:lineRule="exact"/>
        <w:rPr>
          <w:rFonts w:ascii="Arial" w:cs="Arial" w:eastAsia="Arial" w:hAnsi="Arial"/>
          <w:sz w:val="18"/>
          <w:szCs w:val="18"/>
          <w:color w:val="auto"/>
        </w:rPr>
      </w:pPr>
    </w:p>
    <w:p>
      <w:pPr>
        <w:jc w:val="both"/>
        <w:ind w:left="1600" w:hanging="796"/>
        <w:spacing w:after="0" w:line="239" w:lineRule="auto"/>
        <w:tabs>
          <w:tab w:leader="none" w:pos="1600"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Vesting; Term</w:t>
      </w:r>
      <w:r>
        <w:rPr>
          <w:rFonts w:ascii="Arial" w:cs="Arial" w:eastAsia="Arial" w:hAnsi="Arial"/>
          <w:sz w:val="18"/>
          <w:szCs w:val="18"/>
          <w:color w:val="auto"/>
        </w:rPr>
        <w:t>. Except as provided in Articles 13 and 18 of this Plan or as determined by the Committee from time to time,</w:t>
      </w:r>
      <w:r>
        <w:rPr>
          <w:rFonts w:ascii="Arial" w:cs="Arial" w:eastAsia="Arial" w:hAnsi="Arial"/>
          <w:sz w:val="18"/>
          <w:szCs w:val="18"/>
          <w:b w:val="1"/>
          <w:bCs w:val="1"/>
          <w:color w:val="auto"/>
        </w:rPr>
        <w:t xml:space="preserve"> </w:t>
      </w:r>
      <w:r>
        <w:rPr>
          <w:rFonts w:ascii="Arial" w:cs="Arial" w:eastAsia="Arial" w:hAnsi="Arial"/>
          <w:sz w:val="18"/>
          <w:szCs w:val="18"/>
          <w:color w:val="auto"/>
        </w:rPr>
        <w:t>which Committee shall consist solely of directors who are “independent directors” (as defined in the rules of the New York Stock Exchange), Nonemployee Director Options shall vest and become exercisable in three equal installments on each of the first, second and third anniversaries following the Grant Date, and shall remain exercisable for a term of ten (10) years after the Grant Date.</w:t>
      </w:r>
    </w:p>
    <w:p>
      <w:pPr>
        <w:spacing w:after="0" w:line="179" w:lineRule="exact"/>
        <w:rPr>
          <w:rFonts w:ascii="Arial" w:cs="Arial" w:eastAsia="Arial" w:hAnsi="Arial"/>
          <w:sz w:val="18"/>
          <w:szCs w:val="18"/>
          <w:color w:val="auto"/>
        </w:rPr>
      </w:pPr>
    </w:p>
    <w:p>
      <w:pPr>
        <w:ind w:left="1600" w:hanging="796"/>
        <w:spacing w:after="0" w:line="263" w:lineRule="auto"/>
        <w:tabs>
          <w:tab w:leader="none" w:pos="1600"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Exercise and Payment of Option Price</w:t>
      </w:r>
      <w:r>
        <w:rPr>
          <w:rFonts w:ascii="Arial" w:cs="Arial" w:eastAsia="Arial" w:hAnsi="Arial"/>
          <w:sz w:val="18"/>
          <w:szCs w:val="18"/>
          <w:color w:val="auto"/>
        </w:rPr>
        <w:t>. Nonemployee Director Options may be exercised by giving notice and paying</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Price pursuant to Section 6.6.</w:t>
      </w:r>
    </w:p>
    <w:p>
      <w:pPr>
        <w:spacing w:after="0" w:line="158" w:lineRule="exact"/>
        <w:rPr>
          <w:sz w:val="20"/>
          <w:szCs w:val="20"/>
          <w:color w:val="auto"/>
        </w:rPr>
      </w:pPr>
    </w:p>
    <w:p>
      <w:pPr>
        <w:jc w:val="both"/>
        <w:ind w:firstLine="802"/>
        <w:spacing w:after="0" w:line="235" w:lineRule="auto"/>
        <w:rPr>
          <w:sz w:val="20"/>
          <w:szCs w:val="20"/>
          <w:color w:val="auto"/>
        </w:rPr>
      </w:pPr>
      <w:r>
        <w:rPr>
          <w:rFonts w:ascii="Arial" w:cs="Arial" w:eastAsia="Arial" w:hAnsi="Arial"/>
          <w:sz w:val="18"/>
          <w:szCs w:val="18"/>
          <w:b w:val="1"/>
          <w:bCs w:val="1"/>
          <w:color w:val="auto"/>
        </w:rPr>
        <w:t>11.3 Share Proration</w:t>
      </w:r>
      <w:r>
        <w:rPr>
          <w:rFonts w:ascii="Arial" w:cs="Arial" w:eastAsia="Arial" w:hAnsi="Arial"/>
          <w:sz w:val="18"/>
          <w:szCs w:val="18"/>
          <w:color w:val="auto"/>
        </w:rPr>
        <w:t>. If, on any date on which Nonemployee Director Shares are to be issued pursuant to Section 11.1 or</w:t>
      </w:r>
      <w:r>
        <w:rPr>
          <w:rFonts w:ascii="Arial" w:cs="Arial" w:eastAsia="Arial" w:hAnsi="Arial"/>
          <w:sz w:val="18"/>
          <w:szCs w:val="18"/>
          <w:b w:val="1"/>
          <w:bCs w:val="1"/>
          <w:color w:val="auto"/>
        </w:rPr>
        <w:t xml:space="preserve"> </w:t>
      </w:r>
      <w:r>
        <w:rPr>
          <w:rFonts w:ascii="Arial" w:cs="Arial" w:eastAsia="Arial" w:hAnsi="Arial"/>
          <w:sz w:val="18"/>
          <w:szCs w:val="18"/>
          <w:color w:val="auto"/>
        </w:rPr>
        <w:t>Nonemployee Director Options are to be granted pursuant to Section 11.2, the number of Shares is insufficient for the issuance of the entire number of Nonemployee Director Shares to be issued or for the grant of the entire number of Nonemployee Director Options, as calculated in accordance with Section 11.1 or 11.2, respectively, then the number of Nonemployee Director Shares to be issued and Nonemployee Director Options to be granted to each Nonemployee Director entitled to receive Nonemployee Director Shares or Nonemployee Director Options on such date shall be such Nonemployee Director’s proportionate share of the available number of such Shares and Options (rounded down to the greatest number of whole Shares), provided that if a sufficient number of Shares is available to issue all of the Nonemployee Director Shares, then the entire number of Nonemployee Director Shares shall be issued first and the number of Shares to be subjected to Nonemployee Director Options shall be prorated in accordance with this Section 11.3.</w:t>
      </w:r>
    </w:p>
    <w:p>
      <w:pPr>
        <w:spacing w:after="0" w:line="184" w:lineRule="exact"/>
        <w:rPr>
          <w:sz w:val="20"/>
          <w:szCs w:val="20"/>
          <w:color w:val="auto"/>
        </w:rPr>
      </w:pPr>
    </w:p>
    <w:p>
      <w:pPr>
        <w:jc w:val="both"/>
        <w:ind w:firstLine="802"/>
        <w:spacing w:after="0" w:line="247" w:lineRule="auto"/>
        <w:rPr>
          <w:sz w:val="20"/>
          <w:szCs w:val="20"/>
          <w:color w:val="auto"/>
        </w:rPr>
      </w:pPr>
      <w:r>
        <w:rPr>
          <w:rFonts w:ascii="Arial" w:cs="Arial" w:eastAsia="Arial" w:hAnsi="Arial"/>
          <w:sz w:val="18"/>
          <w:szCs w:val="18"/>
          <w:b w:val="1"/>
          <w:bCs w:val="1"/>
          <w:color w:val="auto"/>
        </w:rPr>
        <w:t>11.4 Shares or Other Awards in Lieu of Retainers and Other Director Fees</w:t>
      </w:r>
      <w:r>
        <w:rPr>
          <w:rFonts w:ascii="Arial" w:cs="Arial" w:eastAsia="Arial" w:hAnsi="Arial"/>
          <w:sz w:val="18"/>
          <w:szCs w:val="18"/>
          <w:color w:val="auto"/>
        </w:rPr>
        <w:t>. A Nonemployee Director shall have the right</w:t>
      </w:r>
      <w:r>
        <w:rPr>
          <w:rFonts w:ascii="Arial" w:cs="Arial" w:eastAsia="Arial" w:hAnsi="Arial"/>
          <w:sz w:val="18"/>
          <w:szCs w:val="18"/>
          <w:b w:val="1"/>
          <w:bCs w:val="1"/>
          <w:color w:val="auto"/>
        </w:rPr>
        <w:t xml:space="preserve"> </w:t>
      </w:r>
      <w:r>
        <w:rPr>
          <w:rFonts w:ascii="Arial" w:cs="Arial" w:eastAsia="Arial" w:hAnsi="Arial"/>
          <w:sz w:val="18"/>
          <w:szCs w:val="18"/>
          <w:color w:val="auto"/>
        </w:rPr>
        <w:t>to elect to receive Shares or other Award, in a manner as set by the Committee, in lieu of any Board, chair and other retainers and any meeting fees otherwise payable in cash.</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jc w:val="both"/>
        <w:ind w:firstLine="802"/>
        <w:spacing w:after="0" w:line="238" w:lineRule="auto"/>
        <w:rPr>
          <w:sz w:val="20"/>
          <w:szCs w:val="20"/>
          <w:color w:val="auto"/>
        </w:rPr>
      </w:pPr>
      <w:r>
        <w:rPr>
          <w:rFonts w:ascii="Arial" w:cs="Arial" w:eastAsia="Arial" w:hAnsi="Arial"/>
          <w:sz w:val="18"/>
          <w:szCs w:val="18"/>
          <w:b w:val="1"/>
          <w:bCs w:val="1"/>
          <w:color w:val="auto"/>
        </w:rPr>
        <w:t>11.5 Award Agreement</w:t>
      </w:r>
      <w:r>
        <w:rPr>
          <w:rFonts w:ascii="Arial" w:cs="Arial" w:eastAsia="Arial" w:hAnsi="Arial"/>
          <w:sz w:val="18"/>
          <w:szCs w:val="18"/>
          <w:color w:val="auto"/>
        </w:rPr>
        <w:t>. The terms and conditions of any grant of any Award to a Nonemployee Director shall be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an Award Agreement.</w:t>
      </w:r>
    </w:p>
    <w:p>
      <w:pPr>
        <w:spacing w:after="0" w:line="179" w:lineRule="exact"/>
        <w:rPr>
          <w:sz w:val="20"/>
          <w:szCs w:val="20"/>
          <w:color w:val="auto"/>
        </w:rPr>
      </w:pPr>
    </w:p>
    <w:p>
      <w:pPr>
        <w:jc w:val="both"/>
        <w:ind w:firstLine="802"/>
        <w:spacing w:after="0" w:line="241" w:lineRule="auto"/>
        <w:rPr>
          <w:sz w:val="20"/>
          <w:szCs w:val="20"/>
          <w:color w:val="auto"/>
        </w:rPr>
      </w:pPr>
      <w:r>
        <w:rPr>
          <w:rFonts w:ascii="Arial" w:cs="Arial" w:eastAsia="Arial" w:hAnsi="Arial"/>
          <w:sz w:val="18"/>
          <w:szCs w:val="18"/>
          <w:b w:val="1"/>
          <w:bCs w:val="1"/>
          <w:color w:val="auto"/>
        </w:rPr>
        <w:t>11.6 Other Awards to Nonemployee Directors</w:t>
      </w:r>
      <w:r>
        <w:rPr>
          <w:rFonts w:ascii="Arial" w:cs="Arial" w:eastAsia="Arial" w:hAnsi="Arial"/>
          <w:sz w:val="18"/>
          <w:szCs w:val="18"/>
          <w:color w:val="auto"/>
        </w:rPr>
        <w:t>. The Committee (which shall consist solely of directors who are</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directors” (as defined in the rules of the New York Stock Exchange)) may grant to Nonemployee Directors other types of Awards pursuant to such terms and conditions as the Board or Committee may prescribe and set forth in an Award Agreement, subject to the limit on total Nonemployee Director compensation in Section 11.8 and the other terms and provisions of this Plan.</w:t>
      </w:r>
    </w:p>
    <w:p>
      <w:pPr>
        <w:spacing w:after="0" w:line="179" w:lineRule="exact"/>
        <w:rPr>
          <w:sz w:val="20"/>
          <w:szCs w:val="20"/>
          <w:color w:val="auto"/>
        </w:rPr>
      </w:pPr>
    </w:p>
    <w:p>
      <w:pPr>
        <w:jc w:val="both"/>
        <w:ind w:firstLine="802"/>
        <w:spacing w:after="0" w:line="235" w:lineRule="auto"/>
        <w:rPr>
          <w:sz w:val="20"/>
          <w:szCs w:val="20"/>
          <w:color w:val="auto"/>
        </w:rPr>
      </w:pPr>
      <w:r>
        <w:rPr>
          <w:rFonts w:ascii="Arial" w:cs="Arial" w:eastAsia="Arial" w:hAnsi="Arial"/>
          <w:sz w:val="18"/>
          <w:szCs w:val="18"/>
          <w:b w:val="1"/>
          <w:bCs w:val="1"/>
          <w:color w:val="auto"/>
        </w:rPr>
        <w:t xml:space="preserve">11.7 Deferral of Award Payment. </w:t>
      </w:r>
      <w:r>
        <w:rPr>
          <w:rFonts w:ascii="Arial" w:cs="Arial" w:eastAsia="Arial" w:hAnsi="Arial"/>
          <w:sz w:val="18"/>
          <w:szCs w:val="18"/>
          <w:color w:val="auto"/>
        </w:rPr>
        <w:t>The Committee (which shall consist solely of directors who are “independent directors” (as</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in the rules of the New York Stock Exchange)) may permit a Nonemployee Director the opportunity to defer the grant or payment of an Award pursuant to such terms and conditions as the Committee may prescribe and set forth in an Award Agreement. If a Nonemployee Director has properly elected to defer Shares to be received by Nonemployee Directors under Section 11.4 or income that may be attributable to any Awards granted to Nonemployee Directors under this Plan under a Company deferred compensation plan, common stock units will be credited to the Nonemployee Director’s account under such deferred compensation plan and paid out in accordance with the terms of such deferred compensation plan. Any Shares issued under such deferred compensation plan that relate to the deferral of Shares to be received by Nonemployee Directors under Section 11.4 or payment of Awards granted to Nonemployee Directors under this Plan (including without limitation accumulated Dividend Equivalents paid in Shares) will be deemed to be issued under this Plan.</w:t>
      </w:r>
    </w:p>
    <w:p>
      <w:pPr>
        <w:spacing w:after="0" w:line="184"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b w:val="1"/>
          <w:bCs w:val="1"/>
          <w:color w:val="auto"/>
        </w:rPr>
        <w:t xml:space="preserve">11.8 Limit on Total Nonemployee Director Compensation. </w:t>
      </w:r>
      <w:r>
        <w:rPr>
          <w:rFonts w:ascii="Arial" w:cs="Arial" w:eastAsia="Arial" w:hAnsi="Arial"/>
          <w:sz w:val="18"/>
          <w:szCs w:val="18"/>
          <w:color w:val="auto"/>
        </w:rPr>
        <w:t>Notwithstanding anything to the contrary in this Plan, the value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as of the grant date in accordance with Financial Accounting Standards Board Accounting Standards Codification Topic 718, or any successor thereto) of Nonemployee Director Awards under this Plan and all other cash and other compensation as a Nonemployee Director during any fiscal year of the Company may not exceed $500,000 (increased to $ 750,000 with respect to any Nonemployee Director serving as Chairman of the Board or Lead Independent Director or in the fiscal year of a Nonemployee Director's initial service as a Nonemployee Director) (with any compensation that is deferred counting towards this limit for the year in which the compensation is first earned, and not a later year of settlement).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Article 12. Other Cash-Based Awards and Other Stock-Based Awards</w:t>
      </w:r>
    </w:p>
    <w:p>
      <w:pPr>
        <w:spacing w:after="0" w:line="205"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b w:val="1"/>
          <w:bCs w:val="1"/>
          <w:color w:val="auto"/>
        </w:rPr>
        <w:t>12.1 Other Cash-Based Awards</w:t>
      </w:r>
      <w:r>
        <w:rPr>
          <w:rFonts w:ascii="Arial" w:cs="Arial" w:eastAsia="Arial" w:hAnsi="Arial"/>
          <w:sz w:val="18"/>
          <w:szCs w:val="18"/>
          <w:color w:val="auto"/>
        </w:rPr>
        <w:t>. Subject to the terms and provisions of this Plan, the Committee, at any time and from time</w:t>
      </w:r>
      <w:r>
        <w:rPr>
          <w:rFonts w:ascii="Arial" w:cs="Arial" w:eastAsia="Arial" w:hAnsi="Arial"/>
          <w:sz w:val="18"/>
          <w:szCs w:val="18"/>
          <w:b w:val="1"/>
          <w:bCs w:val="1"/>
          <w:color w:val="auto"/>
        </w:rPr>
        <w:t xml:space="preserve"> </w:t>
      </w:r>
      <w:r>
        <w:rPr>
          <w:rFonts w:ascii="Arial" w:cs="Arial" w:eastAsia="Arial" w:hAnsi="Arial"/>
          <w:sz w:val="18"/>
          <w:szCs w:val="18"/>
          <w:color w:val="auto"/>
        </w:rPr>
        <w:t>to time, may grant Other Cash-Based Awards to Participants in such amounts and upon such terms as the Committee may determine.</w:t>
      </w:r>
    </w:p>
    <w:p>
      <w:pPr>
        <w:spacing w:after="0" w:line="158"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b w:val="1"/>
          <w:bCs w:val="1"/>
          <w:color w:val="auto"/>
        </w:rPr>
        <w:t>12.2 Other Stock-Based Awards</w:t>
      </w:r>
      <w:r>
        <w:rPr>
          <w:rFonts w:ascii="Arial" w:cs="Arial" w:eastAsia="Arial" w:hAnsi="Arial"/>
          <w:sz w:val="18"/>
          <w:szCs w:val="18"/>
          <w:color w:val="auto"/>
        </w:rPr>
        <w:t>. Subject to the terms and provisions of this Plan, the Committee, at any time and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 may grant Other Stock-Based Awards not otherwise described by the terms of this Plan (including the grant or offer for sale of unrestricted Shares) in such amounts and subject to such terms and conditions as the Committee shall determine. Without limiting the generality of the foregoing, such Awards may (a) involve the transfer of actual Shares to Participants, either at the time of grant or thereafter, or payment in cash or otherwise of amounts based on the value of Shares; (b) include Awards designed to comply with or take advantage of the applicable local laws of jurisdictions other than the United States; and (c) be in the form of deferred common stock units, including those accumulated as a result of Dividend Equivalents paid in Shares on common stock units credited to a Participant’s account under a Company deferred compensation plan and paid out in accordance with the terms of such deferred compensation plan.</w:t>
      </w:r>
    </w:p>
    <w:p>
      <w:pPr>
        <w:spacing w:after="0" w:line="180" w:lineRule="exact"/>
        <w:rPr>
          <w:sz w:val="20"/>
          <w:szCs w:val="20"/>
          <w:color w:val="auto"/>
        </w:rPr>
      </w:pPr>
    </w:p>
    <w:p>
      <w:pPr>
        <w:jc w:val="both"/>
        <w:ind w:firstLine="802"/>
        <w:spacing w:after="0" w:line="239" w:lineRule="auto"/>
        <w:rPr>
          <w:sz w:val="20"/>
          <w:szCs w:val="20"/>
          <w:color w:val="auto"/>
        </w:rPr>
      </w:pPr>
      <w:r>
        <w:rPr>
          <w:rFonts w:ascii="Arial" w:cs="Arial" w:eastAsia="Arial" w:hAnsi="Arial"/>
          <w:sz w:val="18"/>
          <w:szCs w:val="18"/>
          <w:b w:val="1"/>
          <w:bCs w:val="1"/>
          <w:color w:val="auto"/>
        </w:rPr>
        <w:t>12.3 Value of Other Cash-Based Awards and Other Stock-Based Awards</w:t>
      </w:r>
      <w:r>
        <w:rPr>
          <w:rFonts w:ascii="Arial" w:cs="Arial" w:eastAsia="Arial" w:hAnsi="Arial"/>
          <w:sz w:val="18"/>
          <w:szCs w:val="18"/>
          <w:color w:val="auto"/>
        </w:rPr>
        <w:t>. Each Other Cash-Based Award shall specify a</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amount or payment range as determined by the Committee. Each Other Stock-Based Award shall be expressed in terms of Shares or units based on Shares, as determined by the Committee. The Committee may establish Performance Goals in its discretion for any Other Cash-Based Award or any Other Stock-Based Award. If the Committee exercises its discretion to establish Performance Goals for any such Awards, the number or value of Other Cash-Based Awards or</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spacing w:after="0"/>
        <w:rPr>
          <w:sz w:val="20"/>
          <w:szCs w:val="20"/>
          <w:color w:val="auto"/>
        </w:rPr>
      </w:pPr>
      <w:r>
        <w:rPr>
          <w:rFonts w:ascii="Arial" w:cs="Arial" w:eastAsia="Arial" w:hAnsi="Arial"/>
          <w:sz w:val="18"/>
          <w:szCs w:val="18"/>
          <w:color w:val="auto"/>
        </w:rPr>
        <w:t>Other Stock-Based Awards that will be paid out to the Participant will depend on the extent to which the Performance Goals are met.</w:t>
      </w:r>
    </w:p>
    <w:p>
      <w:pPr>
        <w:spacing w:after="0" w:line="183"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b w:val="1"/>
          <w:bCs w:val="1"/>
          <w:color w:val="auto"/>
        </w:rPr>
        <w:t>12.4 Payment of Other Cash-Based Awards and Other Stock-Based Awards</w:t>
      </w:r>
      <w:r>
        <w:rPr>
          <w:rFonts w:ascii="Arial" w:cs="Arial" w:eastAsia="Arial" w:hAnsi="Arial"/>
          <w:sz w:val="18"/>
          <w:szCs w:val="18"/>
          <w:color w:val="auto"/>
        </w:rPr>
        <w:t>. Payment, if any, with respect to an Other</w:t>
      </w:r>
      <w:r>
        <w:rPr>
          <w:rFonts w:ascii="Arial" w:cs="Arial" w:eastAsia="Arial" w:hAnsi="Arial"/>
          <w:sz w:val="18"/>
          <w:szCs w:val="18"/>
          <w:b w:val="1"/>
          <w:bCs w:val="1"/>
          <w:color w:val="auto"/>
        </w:rPr>
        <w:t xml:space="preserve"> </w:t>
      </w:r>
      <w:r>
        <w:rPr>
          <w:rFonts w:ascii="Arial" w:cs="Arial" w:eastAsia="Arial" w:hAnsi="Arial"/>
          <w:sz w:val="18"/>
          <w:szCs w:val="18"/>
          <w:color w:val="auto"/>
        </w:rPr>
        <w:t>Cash-Based Award or an Other Stock-Based Award shall be made in accordance with the terms of the Award, in cash for any Other Cash-Based Award and in cash or Shares for any Other Stock-Based Award, as the Committee determines; except that if a Participant has properly elected to defer income that may be attributable to an Other Cash-Based Award or an Other Stock-Based Award under a Company deferred compensation plan, common stock units will be credited to the Participant’s account under such plan and paid out in accordance with the terms of such plan.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Article 13. Termination of Service</w:t>
      </w:r>
    </w:p>
    <w:p>
      <w:pPr>
        <w:spacing w:after="0" w:line="227" w:lineRule="exact"/>
        <w:rPr>
          <w:sz w:val="20"/>
          <w:szCs w:val="20"/>
          <w:color w:val="auto"/>
        </w:rPr>
      </w:pPr>
    </w:p>
    <w:p>
      <w:pPr>
        <w:jc w:val="both"/>
        <w:ind w:firstLine="802"/>
        <w:spacing w:after="0" w:line="234" w:lineRule="auto"/>
        <w:rPr>
          <w:sz w:val="20"/>
          <w:szCs w:val="20"/>
          <w:color w:val="auto"/>
        </w:rPr>
      </w:pPr>
      <w:r>
        <w:rPr>
          <w:rFonts w:ascii="Arial" w:cs="Arial" w:eastAsia="Arial" w:hAnsi="Arial"/>
          <w:sz w:val="18"/>
          <w:szCs w:val="18"/>
          <w:color w:val="auto"/>
        </w:rPr>
        <w:t>The following provisions shall apply upon termination of a Participant’s employment or other service with the Company or any Affiliate or Subsidiary, as the case may be, except to the extent that the Committee provides otherwise in an Award Agreement evidencing an Award at the time of grant or determines otherwise pursuant to Section 13.4 (and such provisions and determinations need not be uniform among all Awards granted pursuant to this Plan) or the terms of another agreement between the Company and the Participant or a plan or policy of the Company applicable to the Participant specifically provides otherwise.</w:t>
      </w:r>
    </w:p>
    <w:p>
      <w:pPr>
        <w:spacing w:after="0" w:line="179"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b w:val="1"/>
          <w:bCs w:val="1"/>
          <w:color w:val="auto"/>
        </w:rPr>
        <w:t>13.1 Effect of Termination Due to Death or Disability</w:t>
      </w:r>
      <w:r>
        <w:rPr>
          <w:rFonts w:ascii="Arial" w:cs="Arial" w:eastAsia="Arial" w:hAnsi="Arial"/>
          <w:sz w:val="18"/>
          <w:szCs w:val="18"/>
          <w:color w:val="auto"/>
        </w:rPr>
        <w:t>. Subject to Section 13.6, in the event a Participant’s employment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service with the Company or any Affiliate or Subsidiary, as the case may be, is terminated by reason of death or Disability:</w:t>
      </w:r>
    </w:p>
    <w:p>
      <w:pPr>
        <w:spacing w:after="0" w:line="180" w:lineRule="exact"/>
        <w:rPr>
          <w:sz w:val="20"/>
          <w:szCs w:val="20"/>
          <w:color w:val="auto"/>
        </w:rPr>
      </w:pPr>
    </w:p>
    <w:p>
      <w:pPr>
        <w:jc w:val="both"/>
        <w:ind w:left="1600" w:hanging="796"/>
        <w:spacing w:after="0" w:line="236" w:lineRule="auto"/>
        <w:tabs>
          <w:tab w:leader="none" w:pos="16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All outstanding Options (including Nonemployee Director Options) and SARs held by the Participant as of the effective date of such termination shall become immediately exercisable in full and will remain exercisable for a period of one (1) year after such termination (but in no event after the expiration date of any such Option or SAR);</w:t>
      </w:r>
    </w:p>
    <w:p>
      <w:pPr>
        <w:spacing w:after="0" w:line="200" w:lineRule="exact"/>
        <w:rPr>
          <w:rFonts w:ascii="Arial" w:cs="Arial" w:eastAsia="Arial" w:hAnsi="Arial"/>
          <w:sz w:val="18"/>
          <w:szCs w:val="18"/>
          <w:color w:val="auto"/>
        </w:rPr>
      </w:pPr>
    </w:p>
    <w:p>
      <w:pPr>
        <w:ind w:left="1600" w:hanging="796"/>
        <w:spacing w:after="0" w:line="238" w:lineRule="auto"/>
        <w:tabs>
          <w:tab w:leader="none" w:pos="16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All outstanding Shares of Restricted Stock held by the Participant as of the effective date of such termination that have not vested as of the date of such termination shall be terminated and forfeited;</w:t>
      </w:r>
    </w:p>
    <w:p>
      <w:pPr>
        <w:spacing w:after="0" w:line="201" w:lineRule="exact"/>
        <w:rPr>
          <w:rFonts w:ascii="Arial" w:cs="Arial" w:eastAsia="Arial" w:hAnsi="Arial"/>
          <w:sz w:val="18"/>
          <w:szCs w:val="18"/>
          <w:color w:val="auto"/>
        </w:rPr>
      </w:pPr>
    </w:p>
    <w:p>
      <w:pPr>
        <w:jc w:val="both"/>
        <w:ind w:left="1600" w:hanging="796"/>
        <w:spacing w:after="0" w:line="232" w:lineRule="auto"/>
        <w:tabs>
          <w:tab w:leader="none" w:pos="16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All outstanding but unpaid Restricted Stock Units, Performance Shares, Performance Units, Other Cash-Based Awards and Other Stock-Based Awards held by the Participant as of the effective date of such termination shall be terminated and forfeited;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any Performance Shares or Performance Units, if a Participant’s employment or other service with the Company or any Affiliate or Subsidiary, as the case may be, is terminated by reason of death or Disability prior to the end of the Performance Period of such Award, but after the conclusion of not less than one (1) year of the Performance Period, the Committee may, in its sole discretion, cause Shares to be delivered or payment made (except to the extent that a Participant has properly elected to defer income that may be attributable to Performance Shares or Performance Units under a Company deferred compensation plan or arrangement) with respect to the Participant’s Award, but only if otherwise earned for the entire Performance Period and only with respect to the portion of the applicable Performance Period completed at the date of such event, with proration based on the number of months or years that the Participant was employed or performed services during the Performance Period. The Committee shall consider the provisions of Section 13.6 of this Plan and shall have the discretion to consider any other fact or circumstance in making its decision as to whether to deliver such Shares, including whether the Participant again becomes employed; and</w:t>
      </w:r>
    </w:p>
    <w:p>
      <w:pPr>
        <w:spacing w:after="0" w:line="203" w:lineRule="exact"/>
        <w:rPr>
          <w:rFonts w:ascii="Arial" w:cs="Arial" w:eastAsia="Arial" w:hAnsi="Arial"/>
          <w:sz w:val="18"/>
          <w:szCs w:val="18"/>
          <w:color w:val="auto"/>
        </w:rPr>
      </w:pPr>
    </w:p>
    <w:p>
      <w:pPr>
        <w:ind w:left="1600" w:hanging="796"/>
        <w:spacing w:after="0" w:line="238" w:lineRule="auto"/>
        <w:tabs>
          <w:tab w:leader="none" w:pos="16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If the effective date of such termination is before the date payment is made in settlement of an Annual Performance Award or would have been made had there not been a</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jc w:val="both"/>
        <w:ind w:left="1620"/>
        <w:spacing w:after="0" w:line="251" w:lineRule="auto"/>
        <w:rPr>
          <w:sz w:val="20"/>
          <w:szCs w:val="20"/>
          <w:color w:val="auto"/>
        </w:rPr>
      </w:pPr>
      <w:r>
        <w:rPr>
          <w:rFonts w:ascii="Arial" w:cs="Arial" w:eastAsia="Arial" w:hAnsi="Arial"/>
          <w:sz w:val="17"/>
          <w:szCs w:val="17"/>
          <w:color w:val="auto"/>
        </w:rPr>
        <w:t xml:space="preserve">deferral election in place, the Annual Performance Award will be terminated and forfeited;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Committee may, in its sole discretion, cause payment to be made with respect to such Annual Performance Award and in accordance with Section 10.6 and the payment terms thereof, but only if otherwise earned for the entire Performance Period and only with respect to the portion of the Performance Period completed as of the date of such death or Disability.</w:t>
      </w:r>
    </w:p>
    <w:p>
      <w:pPr>
        <w:spacing w:after="0" w:line="171" w:lineRule="exact"/>
        <w:rPr>
          <w:sz w:val="20"/>
          <w:szCs w:val="20"/>
          <w:color w:val="auto"/>
        </w:rPr>
      </w:pPr>
    </w:p>
    <w:p>
      <w:pPr>
        <w:jc w:val="both"/>
        <w:ind w:firstLine="802"/>
        <w:spacing w:after="0" w:line="247" w:lineRule="auto"/>
        <w:rPr>
          <w:sz w:val="20"/>
          <w:szCs w:val="20"/>
          <w:color w:val="auto"/>
        </w:rPr>
      </w:pPr>
      <w:r>
        <w:rPr>
          <w:rFonts w:ascii="Arial" w:cs="Arial" w:eastAsia="Arial" w:hAnsi="Arial"/>
          <w:sz w:val="18"/>
          <w:szCs w:val="18"/>
          <w:b w:val="1"/>
          <w:bCs w:val="1"/>
          <w:color w:val="auto"/>
        </w:rPr>
        <w:t>13.2 Effect of Termination Due to Retirement</w:t>
      </w:r>
      <w:r>
        <w:rPr>
          <w:rFonts w:ascii="Arial" w:cs="Arial" w:eastAsia="Arial" w:hAnsi="Arial"/>
          <w:sz w:val="18"/>
          <w:szCs w:val="18"/>
          <w:color w:val="auto"/>
        </w:rPr>
        <w:t>. Subject to Section 13.6, in the event a Participant’s employment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with the Company or any Affiliate or Subsidiary, as the case may be, is terminated by reason of Retirement (except with respect to Nonemployee Directors):</w:t>
      </w:r>
    </w:p>
    <w:p>
      <w:pPr>
        <w:spacing w:after="0" w:line="194" w:lineRule="exact"/>
        <w:rPr>
          <w:sz w:val="20"/>
          <w:szCs w:val="20"/>
          <w:color w:val="auto"/>
        </w:rPr>
      </w:pPr>
    </w:p>
    <w:p>
      <w:pPr>
        <w:jc w:val="both"/>
        <w:ind w:left="1600" w:hanging="796"/>
        <w:spacing w:after="0" w:line="235" w:lineRule="auto"/>
        <w:tabs>
          <w:tab w:leader="none" w:pos="16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All outstanding Options (other than Nonemployee Director Options) and SARs held by the Participant as of the effective date of such Retirement shall remain outstanding and exercisable and shall continue to vest and become exercisable in accordance with their terms for a period of four (4) years after the date of such Retirement (but in no event shall be exercisable after the expiration date of any such Option or SAR);</w:t>
      </w:r>
    </w:p>
    <w:p>
      <w:pPr>
        <w:spacing w:after="0" w:line="199" w:lineRule="exact"/>
        <w:rPr>
          <w:rFonts w:ascii="Arial" w:cs="Arial" w:eastAsia="Arial" w:hAnsi="Arial"/>
          <w:sz w:val="18"/>
          <w:szCs w:val="18"/>
          <w:color w:val="auto"/>
        </w:rPr>
      </w:pPr>
    </w:p>
    <w:p>
      <w:pPr>
        <w:ind w:left="1600" w:hanging="796"/>
        <w:spacing w:after="0" w:line="238" w:lineRule="auto"/>
        <w:tabs>
          <w:tab w:leader="none" w:pos="16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All outstanding Shares of Restricted Stock held by the Participant as of the effective date of such Retirement that have not vested as of the date of such Retirement shall be terminated and forfeited;</w:t>
      </w:r>
    </w:p>
    <w:p>
      <w:pPr>
        <w:spacing w:after="0" w:line="201" w:lineRule="exact"/>
        <w:rPr>
          <w:rFonts w:ascii="Arial" w:cs="Arial" w:eastAsia="Arial" w:hAnsi="Arial"/>
          <w:sz w:val="18"/>
          <w:szCs w:val="18"/>
          <w:color w:val="auto"/>
        </w:rPr>
      </w:pPr>
    </w:p>
    <w:p>
      <w:pPr>
        <w:jc w:val="both"/>
        <w:ind w:left="1600" w:hanging="796"/>
        <w:spacing w:after="0" w:line="244" w:lineRule="auto"/>
        <w:tabs>
          <w:tab w:leader="none" w:pos="16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 xml:space="preserve">All outstanding but unpaid Restricted Stock Units, Performance Shares, Performance Units, Other Cash-Based Awards and Other Stock-Based Awards held by the Participant as of the effective date of such Retirement shall be terminated and forfeited;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with respect to any Performance Shares or Performance Units, if a Participant’s employment or other service with the Company or any Affiliate or Subsidiary, as the case may be, is terminated by reason of Retirement prior to the end of the Performance Period of such Award, but after the conclusion of not less than the one</w:t>
      </w:r>
    </w:p>
    <w:p>
      <w:pPr>
        <w:spacing w:after="0" w:line="3" w:lineRule="exact"/>
        <w:rPr>
          <w:rFonts w:ascii="Arial" w:cs="Arial" w:eastAsia="Arial" w:hAnsi="Arial"/>
          <w:sz w:val="17"/>
          <w:szCs w:val="17"/>
          <w:color w:val="auto"/>
        </w:rPr>
      </w:pPr>
    </w:p>
    <w:p>
      <w:pPr>
        <w:jc w:val="both"/>
        <w:ind w:left="1600" w:firstLine="2"/>
        <w:spacing w:after="0" w:line="247" w:lineRule="auto"/>
        <w:tabs>
          <w:tab w:leader="none" w:pos="1882" w:val="left"/>
        </w:tabs>
        <w:numPr>
          <w:ilvl w:val="1"/>
          <w:numId w:val="102"/>
        </w:numPr>
        <w:rPr>
          <w:rFonts w:ascii="Arial" w:cs="Arial" w:eastAsia="Arial" w:hAnsi="Arial"/>
          <w:sz w:val="17"/>
          <w:szCs w:val="17"/>
          <w:color w:val="auto"/>
        </w:rPr>
      </w:pPr>
      <w:r>
        <w:rPr>
          <w:rFonts w:ascii="Arial" w:cs="Arial" w:eastAsia="Arial" w:hAnsi="Arial"/>
          <w:sz w:val="17"/>
          <w:szCs w:val="17"/>
          <w:color w:val="auto"/>
        </w:rPr>
        <w:t>year of the Performance Period, the Committee may, in its sole discretion, cause Shares to be delivered or payment made (except to the extent that a Participant has properly elected to defer income that may be attributable to Performance Shares or Performance Units under a Company deferred compensation plan or arrangement) with respect to the Participant’s Award, but only if otherwise earned for the entire Performance Period and only with respect to the portion of the applicable Performance Period completed at the date of such event, with proration based on the number of months or years that the Participant was employed or performed services during the Performance Period. The Committee shall consider the provisions of Section 13.6 and shall have the discretion to consider any other fact or circumstance in making its decision as to whether to deliver such Shares, including whether the Participant again becomes employed; and</w:t>
      </w:r>
    </w:p>
    <w:p>
      <w:pPr>
        <w:spacing w:after="0" w:line="198" w:lineRule="exact"/>
        <w:rPr>
          <w:rFonts w:ascii="Arial" w:cs="Arial" w:eastAsia="Arial" w:hAnsi="Arial"/>
          <w:sz w:val="17"/>
          <w:szCs w:val="17"/>
          <w:color w:val="auto"/>
        </w:rPr>
      </w:pPr>
    </w:p>
    <w:p>
      <w:pPr>
        <w:jc w:val="both"/>
        <w:ind w:left="1600" w:hanging="796"/>
        <w:spacing w:after="0" w:line="233" w:lineRule="auto"/>
        <w:tabs>
          <w:tab w:leader="none" w:pos="16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If the effective date of such Retirement is before the date payment is made in settlement of an Annual Performance Award or would have been made had there not been a deferral election in place, the Annual Performance Award will be terminated and forfeited;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Committee may, in its sole discretion, cause payment to be made with respect to such Annual Performance Award and in accordance with Section 10.6 and the payment terms thereof, but only if otherwise earned for the entire Performance Period and only with respect to the portion of the Performance Period completed as of the date of such Retirement.</w:t>
      </w:r>
    </w:p>
    <w:p>
      <w:pPr>
        <w:spacing w:after="0" w:line="182" w:lineRule="exact"/>
        <w:rPr>
          <w:sz w:val="20"/>
          <w:szCs w:val="20"/>
          <w:color w:val="auto"/>
        </w:rPr>
      </w:pPr>
    </w:p>
    <w:p>
      <w:pPr>
        <w:jc w:val="both"/>
        <w:ind w:firstLine="802"/>
        <w:spacing w:after="0" w:line="247" w:lineRule="auto"/>
        <w:rPr>
          <w:sz w:val="20"/>
          <w:szCs w:val="20"/>
          <w:color w:val="auto"/>
        </w:rPr>
      </w:pPr>
      <w:r>
        <w:rPr>
          <w:rFonts w:ascii="Arial" w:cs="Arial" w:eastAsia="Arial" w:hAnsi="Arial"/>
          <w:sz w:val="18"/>
          <w:szCs w:val="18"/>
          <w:b w:val="1"/>
          <w:bCs w:val="1"/>
          <w:color w:val="auto"/>
        </w:rPr>
        <w:t>13.3 Effect of Termination for Reasons Other than Death, Disability or Retirement</w:t>
      </w:r>
      <w:r>
        <w:rPr>
          <w:rFonts w:ascii="Arial" w:cs="Arial" w:eastAsia="Arial" w:hAnsi="Arial"/>
          <w:sz w:val="18"/>
          <w:szCs w:val="18"/>
          <w:color w:val="auto"/>
        </w:rPr>
        <w:t>. Subject to Section 13.6, in the event</w:t>
      </w:r>
      <w:r>
        <w:rPr>
          <w:rFonts w:ascii="Arial" w:cs="Arial" w:eastAsia="Arial" w:hAnsi="Arial"/>
          <w:sz w:val="18"/>
          <w:szCs w:val="18"/>
          <w:b w:val="1"/>
          <w:bCs w:val="1"/>
          <w:color w:val="auto"/>
        </w:rPr>
        <w:t xml:space="preserve"> </w:t>
      </w:r>
      <w:r>
        <w:rPr>
          <w:rFonts w:ascii="Arial" w:cs="Arial" w:eastAsia="Arial" w:hAnsi="Arial"/>
          <w:sz w:val="18"/>
          <w:szCs w:val="18"/>
          <w:color w:val="auto"/>
        </w:rPr>
        <w:t>a Participant’s employment or other service with the Company or any Affiliate or Subsidiary, as the case may be, is terminated for any reason other than death, Disability or Retirement (except with respect to Nonemployee Directors):</w:t>
      </w:r>
    </w:p>
    <w:p>
      <w:pPr>
        <w:spacing w:after="0" w:line="194" w:lineRule="exact"/>
        <w:rPr>
          <w:sz w:val="20"/>
          <w:szCs w:val="20"/>
          <w:color w:val="auto"/>
        </w:rPr>
      </w:pPr>
    </w:p>
    <w:p>
      <w:pPr>
        <w:ind w:left="1600" w:hanging="796"/>
        <w:spacing w:after="0" w:line="238" w:lineRule="auto"/>
        <w:tabs>
          <w:tab w:leader="none" w:pos="16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All outstanding Options (other than Nonemployee Director Options) and SARs held by the Participant as of the effective date of such termination shall, to the extent exercisable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jc w:val="both"/>
        <w:ind w:left="1620"/>
        <w:spacing w:after="0" w:line="236" w:lineRule="auto"/>
        <w:rPr>
          <w:sz w:val="20"/>
          <w:szCs w:val="20"/>
          <w:color w:val="auto"/>
        </w:rPr>
      </w:pPr>
      <w:r>
        <w:rPr>
          <w:rFonts w:ascii="Arial" w:cs="Arial" w:eastAsia="Arial" w:hAnsi="Arial"/>
          <w:sz w:val="18"/>
          <w:szCs w:val="18"/>
          <w:color w:val="auto"/>
        </w:rPr>
        <w:t>as of the date of such termination, remain exercisable in full for a period of three (3) months after the date of such termination (but in no event after the expiration date of any such Option or SAR), and Options and SARs not exercisable as of the date of such termination shall be forfeited and terminate;</w:t>
      </w:r>
    </w:p>
    <w:p>
      <w:pPr>
        <w:spacing w:after="0" w:line="200" w:lineRule="exact"/>
        <w:rPr>
          <w:sz w:val="20"/>
          <w:szCs w:val="20"/>
          <w:color w:val="auto"/>
        </w:rPr>
      </w:pPr>
    </w:p>
    <w:p>
      <w:pPr>
        <w:ind w:left="1600" w:hanging="796"/>
        <w:spacing w:after="0" w:line="238" w:lineRule="auto"/>
        <w:tabs>
          <w:tab w:leader="none" w:pos="16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All outstanding Shares of Restricted Stock held by the Participant as of the effective date of such termination that have not vested as of the date of such termination shall be terminated and forfeited;</w:t>
      </w:r>
    </w:p>
    <w:p>
      <w:pPr>
        <w:spacing w:after="0" w:line="201" w:lineRule="exact"/>
        <w:rPr>
          <w:rFonts w:ascii="Arial" w:cs="Arial" w:eastAsia="Arial" w:hAnsi="Arial"/>
          <w:sz w:val="18"/>
          <w:szCs w:val="18"/>
          <w:color w:val="auto"/>
        </w:rPr>
      </w:pPr>
    </w:p>
    <w:p>
      <w:pPr>
        <w:jc w:val="both"/>
        <w:ind w:left="1600" w:hanging="796"/>
        <w:spacing w:after="0" w:line="236" w:lineRule="auto"/>
        <w:tabs>
          <w:tab w:leader="none" w:pos="16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All outstanding but unpaid Restricted Stock Units, Performance Shares, Performance Units, Other Cash-Based Awards and Other Stock-Based Awards held by the Participant as of the effective date of such termination shall be terminated and forfeited;</w:t>
      </w:r>
    </w:p>
    <w:p>
      <w:pPr>
        <w:spacing w:after="0" w:line="200" w:lineRule="exact"/>
        <w:rPr>
          <w:rFonts w:ascii="Arial" w:cs="Arial" w:eastAsia="Arial" w:hAnsi="Arial"/>
          <w:sz w:val="18"/>
          <w:szCs w:val="18"/>
          <w:color w:val="auto"/>
        </w:rPr>
      </w:pPr>
    </w:p>
    <w:p>
      <w:pPr>
        <w:jc w:val="both"/>
        <w:ind w:left="1600" w:hanging="796"/>
        <w:spacing w:after="0" w:line="236" w:lineRule="auto"/>
        <w:tabs>
          <w:tab w:leader="none" w:pos="16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If the effective date of such termination is before the date payment is made in settlement of an Annual Performance Award or would have been made had there not been a deferral election in place, then any such Annual Performance Award held by a Participant shall be terminated and forfeited; and</w:t>
      </w:r>
    </w:p>
    <w:p>
      <w:pPr>
        <w:spacing w:after="0" w:line="200" w:lineRule="exact"/>
        <w:rPr>
          <w:rFonts w:ascii="Arial" w:cs="Arial" w:eastAsia="Arial" w:hAnsi="Arial"/>
          <w:sz w:val="18"/>
          <w:szCs w:val="18"/>
          <w:color w:val="auto"/>
        </w:rPr>
      </w:pPr>
    </w:p>
    <w:p>
      <w:pPr>
        <w:jc w:val="both"/>
        <w:ind w:left="1600" w:hanging="796"/>
        <w:spacing w:after="0" w:line="244" w:lineRule="auto"/>
        <w:tabs>
          <w:tab w:leader="none" w:pos="16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If a Nonemployee Director has served as a member of the Board for ten (10) full fiscal years or longer and terminates service on the Board for any reason other than death or Disability, (i) outstanding unvested Nonemployee Director Options shall remain outstanding and continue to vest in accordance with their terms, and (ii) the Nonemployee Director may exercise all such vested outstanding Nonemployee Director Options for up to four (4) years after the date of termination, but not later than the date the Nonemployee Director Option expires. If a Nonemployee Director has served as a member of the Board for less than ten (10) years and terminates service on the Board for any reason other than death or Disability,</w:t>
      </w:r>
    </w:p>
    <w:p>
      <w:pPr>
        <w:spacing w:after="0" w:line="4" w:lineRule="exact"/>
        <w:rPr>
          <w:rFonts w:ascii="Arial" w:cs="Arial" w:eastAsia="Arial" w:hAnsi="Arial"/>
          <w:sz w:val="17"/>
          <w:szCs w:val="17"/>
          <w:color w:val="auto"/>
        </w:rPr>
      </w:pPr>
    </w:p>
    <w:p>
      <w:pPr>
        <w:jc w:val="both"/>
        <w:ind w:left="1600" w:firstLine="2"/>
        <w:spacing w:after="0" w:line="236" w:lineRule="auto"/>
        <w:tabs>
          <w:tab w:leader="none" w:pos="1892"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all unvested Nonemployee Director Options shall expire and be canceled and (y) the Nonemployee Director may exercise any vested outstanding Nonemployee Director Options for up to three (3) months after the date of termination, but not later than the date the Nonemployee Director Option expires.</w:t>
      </w:r>
    </w:p>
    <w:p>
      <w:pPr>
        <w:spacing w:after="0" w:line="178" w:lineRule="exact"/>
        <w:rPr>
          <w:sz w:val="20"/>
          <w:szCs w:val="20"/>
          <w:color w:val="auto"/>
        </w:rPr>
      </w:pPr>
    </w:p>
    <w:p>
      <w:pPr>
        <w:jc w:val="both"/>
        <w:ind w:firstLine="802"/>
        <w:spacing w:after="0" w:line="234" w:lineRule="auto"/>
        <w:rPr>
          <w:sz w:val="20"/>
          <w:szCs w:val="20"/>
          <w:color w:val="auto"/>
        </w:rPr>
      </w:pPr>
      <w:r>
        <w:rPr>
          <w:rFonts w:ascii="Arial" w:cs="Arial" w:eastAsia="Arial" w:hAnsi="Arial"/>
          <w:sz w:val="18"/>
          <w:szCs w:val="18"/>
          <w:b w:val="1"/>
          <w:bCs w:val="1"/>
          <w:color w:val="auto"/>
        </w:rPr>
        <w:t>13.4 Modification of Rights Upon Termination</w:t>
      </w:r>
      <w:r>
        <w:rPr>
          <w:rFonts w:ascii="Arial" w:cs="Arial" w:eastAsia="Arial" w:hAnsi="Arial"/>
          <w:sz w:val="18"/>
          <w:szCs w:val="18"/>
          <w:color w:val="auto"/>
        </w:rPr>
        <w:t>. Notwithstanding the other provisions of this Article 13 and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Section 4.4, upon a Participant’s termination of employment or other service with the Company or any Affiliate or Subsidiary, as the case may be, the Committee may, in its sole discretion (which may be exercised at any time on or after the Grant Date, including following such termination) cause Options or SARs (or any part thereof) held by such Participant as of the effective date of such termination to terminate, become or continue to become exercisable or remain exercisable following such termination of employment or service, and Restricted Stock, Restricted Stock Units, Performance Shares, Performance Units, Annual Performance Awards, Nonemployee Director Awards, Other Cash-Based Awards and Other Stock-Based Awards held by such Participant as of the effective date of such termination to terminate, vest or become free of restrictions and conditions to payment, as the case may be, following such termination of employment or service, in each case in the manner determined by the Committee;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the Committee taking any such action relating to Nonemployee Director Awards shall consist solely of “independent directors” (as defined in the rules of the New York Stock Exchange), and (b) any such action by the Committee adversely affecting any outstanding Award will not be effective without the consent of the affected Participant (subject to the right of the Committee to take whatever action it deems appropriate under Section 4.3 or 13.6 or Article 19).</w:t>
      </w:r>
    </w:p>
    <w:p>
      <w:pPr>
        <w:spacing w:after="0" w:line="184"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b w:val="1"/>
          <w:bCs w:val="1"/>
          <w:color w:val="auto"/>
        </w:rPr>
        <w:t>13.5 Determination of Termination of Employment or Other Service</w:t>
      </w:r>
      <w:r>
        <w:rPr>
          <w:rFonts w:ascii="Arial" w:cs="Arial" w:eastAsia="Arial" w:hAnsi="Arial"/>
          <w:sz w:val="18"/>
          <w:szCs w:val="18"/>
          <w:color w:val="auto"/>
        </w:rPr>
        <w:t>. Unless the Committee otherwise determines in its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sole discretion, a Participant’s employment or other service will, for purposes of this Plan, be deemed to have terminated on the date recorded on the personnel or other records of the Company or the Affiliate or Subsidiary for which the Participant provides employment or other service, as determined by the Committee in its sole discretion based upon such records;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distribution of an Award subject to Code Section 409A is triggered by a termination of a Participant’s employment or other service, such termination must also constitute a “separation from service” within the meaning of Code Section 409A.</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ind w:left="800"/>
        <w:spacing w:after="0"/>
        <w:tabs>
          <w:tab w:leader="none" w:pos="1780" w:val="left"/>
        </w:tabs>
        <w:rPr>
          <w:sz w:val="20"/>
          <w:szCs w:val="20"/>
          <w:color w:val="auto"/>
        </w:rPr>
      </w:pPr>
      <w:r>
        <w:rPr>
          <w:rFonts w:ascii="Arial" w:cs="Arial" w:eastAsia="Arial" w:hAnsi="Arial"/>
          <w:sz w:val="18"/>
          <w:szCs w:val="18"/>
          <w:b w:val="1"/>
          <w:bCs w:val="1"/>
          <w:color w:val="auto"/>
        </w:rPr>
        <w:t>13.6</w:t>
      </w:r>
      <w:r>
        <w:rPr>
          <w:sz w:val="20"/>
          <w:szCs w:val="20"/>
          <w:color w:val="auto"/>
        </w:rPr>
        <w:tab/>
      </w:r>
      <w:r>
        <w:rPr>
          <w:rFonts w:ascii="Arial" w:cs="Arial" w:eastAsia="Arial" w:hAnsi="Arial"/>
          <w:sz w:val="17"/>
          <w:szCs w:val="17"/>
          <w:b w:val="1"/>
          <w:bCs w:val="1"/>
          <w:color w:val="auto"/>
        </w:rPr>
        <w:t>Additional Forfeiture Events</w:t>
      </w:r>
      <w:r>
        <w:rPr>
          <w:rFonts w:ascii="Arial" w:cs="Arial" w:eastAsia="Arial" w:hAnsi="Arial"/>
          <w:sz w:val="17"/>
          <w:szCs w:val="17"/>
          <w:color w:val="auto"/>
        </w:rPr>
        <w:t>.</w:t>
      </w:r>
    </w:p>
    <w:p>
      <w:pPr>
        <w:spacing w:after="0" w:line="183" w:lineRule="exact"/>
        <w:rPr>
          <w:sz w:val="20"/>
          <w:szCs w:val="20"/>
          <w:color w:val="auto"/>
        </w:rPr>
      </w:pPr>
    </w:p>
    <w:p>
      <w:pPr>
        <w:jc w:val="both"/>
        <w:ind w:left="1600" w:hanging="796"/>
        <w:spacing w:after="0" w:line="233" w:lineRule="auto"/>
        <w:tabs>
          <w:tab w:leader="none" w:pos="1600"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Actions Constituting Adverse Action</w:t>
      </w:r>
      <w:r>
        <w:rPr>
          <w:rFonts w:ascii="Arial" w:cs="Arial" w:eastAsia="Arial" w:hAnsi="Arial"/>
          <w:sz w:val="18"/>
          <w:szCs w:val="18"/>
          <w:color w:val="auto"/>
        </w:rPr>
        <w:t>. Notwithstanding anything in this Plan to the contrary and in addition to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rights of the Committee under this Plan, including this Section 13.6, if a Participant is determined by the Committee, acting in its sole reasonable discretion, to have taken any action that would constitute an Adverse Action, (i) all rights of the Participant under this Plan and any agreements evidencing an Award then held by the Participant shall terminate and be forfeited without notice of any kind, and (ii) the Committee in its sole discretion may require the Participant to surrender and return to the Company all or any Shares received, or to disgorge all or any profits or any other economic value (however defined by the Committee) made or realized by the Participant, during the period beginning one (1) year prior to the Participant’s termination of employment or other service with the Company, an Affiliate or a Subsidiary, in connection with any Awards or any Shares issued upon the exercise or vesting of any Awards. The Company may defer the exercise of any Option or SAR, the issuance of book-entry notations or removal of restrictions on shares issued in book entry form upon the vesting of any Restricted Stock or the issuance of Shares or payment upon vesting of any Restricted Stock Unit, Performance Share, Performance Unit or Other Stock-Based Awards for a period of up to ninety (90) days in order for the Committee to make any determination as to the existence of an Adverse Action. Unless otherwise provided by the Committee in an applicable Award Agreement, this Section 13.6(a) shall not apply to any Participant following a Change of Control.</w:t>
      </w:r>
    </w:p>
    <w:p>
      <w:pPr>
        <w:spacing w:after="0" w:line="190" w:lineRule="exact"/>
        <w:rPr>
          <w:rFonts w:ascii="Arial" w:cs="Arial" w:eastAsia="Arial" w:hAnsi="Arial"/>
          <w:sz w:val="18"/>
          <w:szCs w:val="18"/>
          <w:color w:val="auto"/>
        </w:rPr>
      </w:pPr>
    </w:p>
    <w:p>
      <w:pPr>
        <w:jc w:val="both"/>
        <w:ind w:left="1600" w:hanging="796"/>
        <w:spacing w:after="0" w:line="241" w:lineRule="auto"/>
        <w:tabs>
          <w:tab w:leader="none" w:pos="1600"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Forfeiture or “Clawback” of Awards under Applicable Law or Company Policy</w:t>
      </w:r>
      <w:r>
        <w:rPr>
          <w:rFonts w:ascii="Arial" w:cs="Arial" w:eastAsia="Arial" w:hAnsi="Arial"/>
          <w:sz w:val="18"/>
          <w:szCs w:val="18"/>
          <w:color w:val="auto"/>
        </w:rPr>
        <w:t>. Awards under the Plan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any automatic forfeiture or voluntary compensation “clawback,” forfeiture or recoupment provisions under applicable law and any compensation “clawback,” forfeiture or recoupment policy that the Committee may adopt from time to time that is applicable by its terms to the Participant.</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Article 14. Transferability of Awards and Shares</w:t>
      </w:r>
    </w:p>
    <w:p>
      <w:pPr>
        <w:spacing w:after="0" w:line="205"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b w:val="1"/>
          <w:bCs w:val="1"/>
          <w:color w:val="auto"/>
        </w:rPr>
        <w:t>14.1 Transferability of Awards</w:t>
      </w:r>
      <w:r>
        <w:rPr>
          <w:rFonts w:ascii="Arial" w:cs="Arial" w:eastAsia="Arial" w:hAnsi="Arial"/>
          <w:sz w:val="18"/>
          <w:szCs w:val="18"/>
          <w:color w:val="auto"/>
        </w:rPr>
        <w:t>. Except as determined by the Committee in its sole discretion, and on and subject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as it shall deem appropriate: (a) during a Participant’s lifetime, his or her Awards shall be exercisable only by the Participant; (b) Awards shall not be transferable other than by will or the laws of descent and distribution or, subject to the consent of the Committee, pursuant to a domestic relations order entered into by a court of competent jurisdiction; (c) no Awards shall be subject, in whole or in part, to attachment, execution or levy of any kind; and (d) any purported transfer in violation of this Section 14.1 shall be null and void. The Committee may establish such procedures as it deems appropriate for a Participant to designate a beneficiary to whom any amounts payable or Shares deliverable in the event of, or following, the Participant’s death may be provided.</w:t>
      </w:r>
    </w:p>
    <w:p>
      <w:pPr>
        <w:spacing w:after="0" w:line="178" w:lineRule="exact"/>
        <w:rPr>
          <w:sz w:val="20"/>
          <w:szCs w:val="20"/>
          <w:color w:val="auto"/>
        </w:rPr>
      </w:pPr>
    </w:p>
    <w:p>
      <w:pPr>
        <w:jc w:val="both"/>
        <w:ind w:firstLine="802"/>
        <w:spacing w:after="0" w:line="241" w:lineRule="auto"/>
        <w:rPr>
          <w:sz w:val="20"/>
          <w:szCs w:val="20"/>
          <w:color w:val="auto"/>
        </w:rPr>
      </w:pPr>
      <w:r>
        <w:rPr>
          <w:rFonts w:ascii="Arial" w:cs="Arial" w:eastAsia="Arial" w:hAnsi="Arial"/>
          <w:sz w:val="18"/>
          <w:szCs w:val="18"/>
          <w:b w:val="1"/>
          <w:bCs w:val="1"/>
          <w:color w:val="auto"/>
        </w:rPr>
        <w:t>14.2 Restrictions on Share Transferability</w:t>
      </w:r>
      <w:r>
        <w:rPr>
          <w:rFonts w:ascii="Arial" w:cs="Arial" w:eastAsia="Arial" w:hAnsi="Arial"/>
          <w:sz w:val="18"/>
          <w:szCs w:val="18"/>
          <w:color w:val="auto"/>
        </w:rPr>
        <w:t>. The Committee may impose such restrictions on any Shares acquired by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under this Plan as it may deem advisable, including minimum holding period requirements, restrictions under applicable federal securities laws, under the requirements of any stock exchange or market upon which such Shares are then listed or traded, or under any blue sky or state securities laws applicable to such Shares.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Article 15. Dividend Equivalents</w:t>
      </w:r>
    </w:p>
    <w:p>
      <w:pPr>
        <w:spacing w:after="0" w:line="227" w:lineRule="exact"/>
        <w:rPr>
          <w:sz w:val="20"/>
          <w:szCs w:val="20"/>
          <w:color w:val="auto"/>
        </w:rPr>
      </w:pPr>
    </w:p>
    <w:p>
      <w:pPr>
        <w:jc w:val="both"/>
        <w:ind w:firstLine="802"/>
        <w:spacing w:after="0" w:line="234" w:lineRule="auto"/>
        <w:rPr>
          <w:sz w:val="20"/>
          <w:szCs w:val="20"/>
          <w:color w:val="auto"/>
        </w:rPr>
      </w:pPr>
      <w:r>
        <w:rPr>
          <w:rFonts w:ascii="Arial" w:cs="Arial" w:eastAsia="Arial" w:hAnsi="Arial"/>
          <w:sz w:val="18"/>
          <w:szCs w:val="18"/>
          <w:color w:val="auto"/>
        </w:rPr>
        <w:t>Subject to the provisions of this Plan and any Award Agreement, any Participant selected by the Committee may be granted Dividend Equivalents based on the dividends declared on Shares that are subject to any Award (including any deferred Award), to be credited as of dividend payment dates, during the period between the date the Award is granted and the date the Award is exercised, vests, settles, is paid or expires, as determined by the Committee. Such Dividend Equivalents shall be converted to cash or additional Shares by such formula and at such time and subject to such limitations as may be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jc w:val="both"/>
        <w:spacing w:after="0" w:line="235" w:lineRule="auto"/>
        <w:rPr>
          <w:sz w:val="20"/>
          <w:szCs w:val="20"/>
          <w:color w:val="auto"/>
        </w:rPr>
      </w:pPr>
      <w:r>
        <w:rPr>
          <w:rFonts w:ascii="Arial" w:cs="Arial" w:eastAsia="Arial" w:hAnsi="Arial"/>
          <w:sz w:val="18"/>
          <w:szCs w:val="18"/>
          <w:color w:val="auto"/>
        </w:rPr>
        <w:t>determined by the Committee and the Committee may provide that such amounts (if any) shall be deemed to have been reinvested in additional Shares or otherwise reinvested. Notwithstanding the foregoing, the Committee may not grant Dividend Equivalents based on the dividends declared on Shares that are subject to an Option or SAR Award and further, no dividend or Dividend Equivalents shall be paid out with respect to any unvested Award, including those subject to time- and/or performance-based conditions.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Article 16. Beneficiary Designation</w:t>
      </w:r>
    </w:p>
    <w:p>
      <w:pPr>
        <w:spacing w:after="0" w:line="227" w:lineRule="exact"/>
        <w:rPr>
          <w:sz w:val="20"/>
          <w:szCs w:val="20"/>
          <w:color w:val="auto"/>
        </w:rPr>
      </w:pPr>
    </w:p>
    <w:p>
      <w:pPr>
        <w:jc w:val="both"/>
        <w:ind w:firstLine="802"/>
        <w:spacing w:after="0" w:line="233" w:lineRule="auto"/>
        <w:rPr>
          <w:sz w:val="20"/>
          <w:szCs w:val="20"/>
          <w:color w:val="auto"/>
        </w:rPr>
      </w:pPr>
      <w:r>
        <w:rPr>
          <w:rFonts w:ascii="Arial" w:cs="Arial" w:eastAsia="Arial" w:hAnsi="Arial"/>
          <w:sz w:val="18"/>
          <w:szCs w:val="18"/>
          <w:color w:val="auto"/>
        </w:rPr>
        <w:t>Each Participant under this Plan may, from time to time, name any beneficiary or beneficiaries (who may be named contingently or successively) to whom any benefit under this Plan is to be paid in case of the Participant’s death before the Participant receives any or all of such benefit. Each such designation shall revoke all prior designations by the same Participant, shall be in a form prescribed by the Committee, and will be effective only when filed by the Participant in writing with the Company during the Participant’s lifetime. In the absence of any such beneficiary designation, benefits remaining unpaid or rights remaining unexercised at the Participant’s death shall be paid to or exercised by the Participant’s executor, administrator or legal representative.</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Article 17. Rights of Participants</w:t>
      </w:r>
    </w:p>
    <w:p>
      <w:pPr>
        <w:spacing w:after="0" w:line="205" w:lineRule="exact"/>
        <w:rPr>
          <w:sz w:val="20"/>
          <w:szCs w:val="20"/>
          <w:color w:val="auto"/>
        </w:rPr>
      </w:pPr>
    </w:p>
    <w:p>
      <w:pPr>
        <w:jc w:val="both"/>
        <w:ind w:firstLine="802"/>
        <w:spacing w:after="0" w:line="237" w:lineRule="auto"/>
        <w:rPr>
          <w:sz w:val="20"/>
          <w:szCs w:val="20"/>
          <w:color w:val="auto"/>
        </w:rPr>
      </w:pPr>
      <w:r>
        <w:rPr>
          <w:rFonts w:ascii="Arial" w:cs="Arial" w:eastAsia="Arial" w:hAnsi="Arial"/>
          <w:sz w:val="18"/>
          <w:szCs w:val="18"/>
          <w:b w:val="1"/>
          <w:bCs w:val="1"/>
          <w:color w:val="auto"/>
        </w:rPr>
        <w:t>17.1 Employment</w:t>
      </w:r>
      <w:r>
        <w:rPr>
          <w:rFonts w:ascii="Arial" w:cs="Arial" w:eastAsia="Arial" w:hAnsi="Arial"/>
          <w:sz w:val="18"/>
          <w:szCs w:val="18"/>
          <w:color w:val="auto"/>
        </w:rPr>
        <w:t>. Nothing in this Plan or an Award Agreement shall: (a) interfere with or limit in any way the right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its Affiliates or its Subsidiaries to terminate any Participant’s employment or service on the Board or to the Company or an Affiliate or Subsidiary at any time or for any reason not prohibited by law, or (b) confer upon any Participant any right to continue his employment or service as a Director or Third-Party Service Provider for any specified period of time. Neither an Award nor any benefits arising under this Plan shall constitute an employment contract with the Company or any Affiliate or Subsidiary and, accordingly, subject to Articles 3 and 18, this Plan and the benefits hereunder may be terminated at any time in the sole and exclusive discretion of the Committee without giving rise to any liability on the part of the Company, its Affiliates or its Subsidiaries.</w:t>
      </w:r>
    </w:p>
    <w:p>
      <w:pPr>
        <w:spacing w:after="0" w:line="178"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b w:val="1"/>
          <w:bCs w:val="1"/>
          <w:color w:val="auto"/>
        </w:rPr>
        <w:t>17.2 Participation</w:t>
      </w:r>
      <w:r>
        <w:rPr>
          <w:rFonts w:ascii="Arial" w:cs="Arial" w:eastAsia="Arial" w:hAnsi="Arial"/>
          <w:sz w:val="18"/>
          <w:szCs w:val="18"/>
          <w:color w:val="auto"/>
        </w:rPr>
        <w:t>. No individual shall have the right to be selected to receive an Award under this Plan or, having been so</w:t>
      </w:r>
      <w:r>
        <w:rPr>
          <w:rFonts w:ascii="Arial" w:cs="Arial" w:eastAsia="Arial" w:hAnsi="Arial"/>
          <w:sz w:val="18"/>
          <w:szCs w:val="18"/>
          <w:b w:val="1"/>
          <w:bCs w:val="1"/>
          <w:color w:val="auto"/>
        </w:rPr>
        <w:t xml:space="preserve"> </w:t>
      </w:r>
      <w:r>
        <w:rPr>
          <w:rFonts w:ascii="Arial" w:cs="Arial" w:eastAsia="Arial" w:hAnsi="Arial"/>
          <w:sz w:val="18"/>
          <w:szCs w:val="18"/>
          <w:color w:val="auto"/>
        </w:rPr>
        <w:t>selected, to be selected to receive a future Award.</w:t>
      </w:r>
    </w:p>
    <w:p>
      <w:pPr>
        <w:spacing w:after="0" w:line="158"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b w:val="1"/>
          <w:bCs w:val="1"/>
          <w:color w:val="auto"/>
        </w:rPr>
        <w:t>17.3 Rights as a Shareholder</w:t>
      </w:r>
      <w:r>
        <w:rPr>
          <w:rFonts w:ascii="Arial" w:cs="Arial" w:eastAsia="Arial" w:hAnsi="Arial"/>
          <w:sz w:val="18"/>
          <w:szCs w:val="18"/>
          <w:color w:val="auto"/>
        </w:rPr>
        <w:t>. Except as otherwise provided herein, a Participant shall have none of the rights of a</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 with respect to Shares covered by any Award until the Participant becomes the record holder of such Shares.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Article 18. Change of Control</w:t>
      </w:r>
    </w:p>
    <w:p>
      <w:pPr>
        <w:spacing w:after="0" w:line="205" w:lineRule="exact"/>
        <w:rPr>
          <w:sz w:val="20"/>
          <w:szCs w:val="20"/>
          <w:color w:val="auto"/>
        </w:rPr>
      </w:pPr>
    </w:p>
    <w:p>
      <w:pPr>
        <w:jc w:val="both"/>
        <w:ind w:firstLine="802"/>
        <w:spacing w:after="0" w:line="235" w:lineRule="auto"/>
        <w:rPr>
          <w:sz w:val="20"/>
          <w:szCs w:val="20"/>
          <w:color w:val="auto"/>
        </w:rPr>
      </w:pPr>
      <w:r>
        <w:rPr>
          <w:rFonts w:ascii="Arial" w:cs="Arial" w:eastAsia="Arial" w:hAnsi="Arial"/>
          <w:sz w:val="18"/>
          <w:szCs w:val="18"/>
          <w:b w:val="1"/>
          <w:bCs w:val="1"/>
          <w:color w:val="auto"/>
        </w:rPr>
        <w:t>18.1 Effect of Change of Control if Outstanding Awards are Continued, Assumed or Substituted</w:t>
      </w:r>
      <w:r>
        <w:rPr>
          <w:rFonts w:ascii="Arial" w:cs="Arial" w:eastAsia="Arial" w:hAnsi="Arial"/>
          <w:sz w:val="18"/>
          <w:szCs w:val="18"/>
          <w:color w:val="auto"/>
        </w:rPr>
        <w:t>. In the event of a</w:t>
      </w:r>
      <w:r>
        <w:rPr>
          <w:rFonts w:ascii="Arial" w:cs="Arial" w:eastAsia="Arial" w:hAnsi="Arial"/>
          <w:sz w:val="18"/>
          <w:szCs w:val="18"/>
          <w:b w:val="1"/>
          <w:bCs w:val="1"/>
          <w:color w:val="auto"/>
        </w:rPr>
        <w:t xml:space="preserve"> </w:t>
      </w:r>
      <w:r>
        <w:rPr>
          <w:rFonts w:ascii="Arial" w:cs="Arial" w:eastAsia="Arial" w:hAnsi="Arial"/>
          <w:sz w:val="18"/>
          <w:szCs w:val="18"/>
          <w:color w:val="auto"/>
        </w:rPr>
        <w:t>Change of Control, the surviving or successor organization (or a parent or subsidiary thereof) (the "Successor") may continue, assume or substitute equivalent awards (with such adjustments as may be required or permitted by Section 4.3). The Successor may elect to continue, assume or substitute only some Awards or portions of Awards. A substitute equivalent award must (i) have a value at least equal to the value of the Award being substituted; (ii) relate to a publicly-traded equity security of the Successor involved in the Change of Control or another entity that is affiliated with the Company or the Successor following the Change of Control; (iii) be the same type of award as the Award being substituted; (iv) be fully vested as a result of the Change of Control as set forth below; and (v) have other terms and conditions that are not less favorable to the Participant than the terms and conditions of the Award being substituted. If an Award is continued, assumed or substituted by the Successor, the following vesting rules shall apply to the continued, assumed or substituted Awards, in each case effective immediately prior to such Change of Control but conditioned upon the completion of such Change of Control:</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jc w:val="both"/>
        <w:ind w:left="1600" w:hanging="796"/>
        <w:spacing w:after="0" w:line="265" w:lineRule="auto"/>
        <w:tabs>
          <w:tab w:leader="none" w:pos="16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Any and all Options and SARs granted hereunder shall vest and become immediately exercisable and remain exercisable until the expiration of its full specified term, regardless of any termination of employment or other service of the Participant.</w:t>
      </w:r>
    </w:p>
    <w:p>
      <w:pPr>
        <w:spacing w:after="0" w:line="179" w:lineRule="exact"/>
        <w:rPr>
          <w:rFonts w:ascii="Arial" w:cs="Arial" w:eastAsia="Arial" w:hAnsi="Arial"/>
          <w:sz w:val="17"/>
          <w:szCs w:val="17"/>
          <w:color w:val="auto"/>
        </w:rPr>
      </w:pPr>
    </w:p>
    <w:p>
      <w:pPr>
        <w:jc w:val="both"/>
        <w:ind w:left="1600" w:hanging="796"/>
        <w:spacing w:after="0" w:line="235" w:lineRule="auto"/>
        <w:tabs>
          <w:tab w:leader="none" w:pos="16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All restrictions and vesting requirements applicable to any Award based solely on the continued service of the Participant shall terminate and such Awards shall be settled and paid in cash or Shares as provided in the Award Agreement as soon as practicable thereafter but in any event within thirty (30) days following the date of such Change of Control, subject to the delay, if any, required under Section 23.12.</w:t>
      </w:r>
    </w:p>
    <w:p>
      <w:pPr>
        <w:spacing w:after="0" w:line="199" w:lineRule="exact"/>
        <w:rPr>
          <w:rFonts w:ascii="Arial" w:cs="Arial" w:eastAsia="Arial" w:hAnsi="Arial"/>
          <w:sz w:val="18"/>
          <w:szCs w:val="18"/>
          <w:color w:val="auto"/>
        </w:rPr>
      </w:pPr>
    </w:p>
    <w:p>
      <w:pPr>
        <w:jc w:val="both"/>
        <w:ind w:left="1600" w:hanging="796"/>
        <w:spacing w:after="0" w:line="232" w:lineRule="auto"/>
        <w:tabs>
          <w:tab w:leader="none" w:pos="16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All vested and earned Awards that are performance-based for which the Performance Period has been completed as of the date of such Change of Control but have not yet been paid shall be paid in cash or Shares and at such time as provided in the Award Agreement as soon as practicable thereafter but in any event within thirty (30) days following the date of such Change of Control, subject to the delay, if any, required under Section 23.12, and all performance-based Awards for which the Performance Period has not been completed as of the date of such Change of Control shall immediately vest and be earned in full, and paid out with respect to each Performance Goal based on the greater of (i) target performance; or (ii) actual performance achieved through the date of such Change of Control, in each case with the manner of payment to be made in cash or Shares as provided in the Award Agreement as soon as practicable thereafter but in any event within thirty (30) days following the date of such Change of Control, subject to the delay, if any, required under Section 23.12.</w:t>
      </w:r>
    </w:p>
    <w:p>
      <w:pPr>
        <w:spacing w:after="0" w:line="184" w:lineRule="exact"/>
        <w:rPr>
          <w:sz w:val="20"/>
          <w:szCs w:val="20"/>
          <w:color w:val="auto"/>
        </w:rPr>
      </w:pPr>
    </w:p>
    <w:p>
      <w:pPr>
        <w:jc w:val="both"/>
        <w:ind w:firstLine="802"/>
        <w:spacing w:after="0" w:line="239" w:lineRule="auto"/>
        <w:rPr>
          <w:sz w:val="20"/>
          <w:szCs w:val="20"/>
          <w:color w:val="auto"/>
        </w:rPr>
      </w:pPr>
      <w:r>
        <w:rPr>
          <w:rFonts w:ascii="Arial" w:cs="Arial" w:eastAsia="Arial" w:hAnsi="Arial"/>
          <w:sz w:val="18"/>
          <w:szCs w:val="18"/>
          <w:b w:val="1"/>
          <w:bCs w:val="1"/>
          <w:color w:val="auto"/>
        </w:rPr>
        <w:t xml:space="preserve">18.2 Effect of Change of Control if Outstanding Awards are Not Continued, Assumed or Substituted or Upon a Dissolution or Liquidation. </w:t>
      </w:r>
      <w:r>
        <w:rPr>
          <w:rFonts w:ascii="Arial" w:cs="Arial" w:eastAsia="Arial" w:hAnsi="Arial"/>
          <w:sz w:val="18"/>
          <w:szCs w:val="18"/>
          <w:color w:val="auto"/>
        </w:rPr>
        <w:t>In the event of a Change of Control, any outstanding Awards that are not continued, assumed or substituted with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 awards by the Successor pursuant to Section 18.1, or in the case of a dissolution or liquidation of the Company, all Awards, shall be subject to the following rules, in each case effective immediately prior to such Change of Control but conditioned upon the completion of such Change of Control:</w:t>
      </w:r>
    </w:p>
    <w:p>
      <w:pPr>
        <w:spacing w:after="0" w:line="201" w:lineRule="exact"/>
        <w:rPr>
          <w:sz w:val="20"/>
          <w:szCs w:val="20"/>
          <w:color w:val="auto"/>
        </w:rPr>
      </w:pPr>
    </w:p>
    <w:p>
      <w:pPr>
        <w:jc w:val="both"/>
        <w:ind w:left="1600" w:hanging="796"/>
        <w:spacing w:after="0" w:line="232" w:lineRule="auto"/>
        <w:tabs>
          <w:tab w:leader="none" w:pos="16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Any and all Options and SARs shall be fully vested and exercisable and the Committee shall (1) give a Participant a reasonable opportunity to exercise the Option and SAR before the transaction resulting in the Change of Control (including cashless exercise by a Participant) and (2) pay the Participant the difference between the Option Price for any Option or the Grant Price for any SAR remaining outstanding as of the Change of Control and the per Share consideration provided to other similarly situated shareholders in such Change of Control;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any portion of the consideration pursuant to a Change of Control may be received by holders of Shares on a contingent or delayed basis, the Committee shall determine the fair market value per share of such consideration as of the time of the Change of Control on the basis of the Committee’s good faith estimate of the present value of the probable future payment of such consideration;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the Option Price of such Option or the Grant Price of such SAR exceeds the aforementioned consideration provided, then the Option or SAR shall be canceled and terminated without any payment. In either case, such Option or SAR shall be cancelled. The exercise of any Option or SAR whose exercisability is accelerated as provided in this Section 18.2 shall be conditioned upon the consummation of the Change of Control and shall be effective only immediately before such consummation.</w:t>
      </w:r>
    </w:p>
    <w:p>
      <w:pPr>
        <w:spacing w:after="0" w:line="204" w:lineRule="exact"/>
        <w:rPr>
          <w:rFonts w:ascii="Arial" w:cs="Arial" w:eastAsia="Arial" w:hAnsi="Arial"/>
          <w:sz w:val="18"/>
          <w:szCs w:val="18"/>
          <w:color w:val="auto"/>
        </w:rPr>
      </w:pPr>
    </w:p>
    <w:p>
      <w:pPr>
        <w:jc w:val="both"/>
        <w:ind w:left="1600" w:hanging="796"/>
        <w:spacing w:after="0" w:line="235" w:lineRule="auto"/>
        <w:tabs>
          <w:tab w:leader="none" w:pos="16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All restrictions and vesting requirements applicable to any Award based solely on the continued service of the Participant shall terminate and such Awards shall be settled and paid in cash or Shares as provided in the Award Agreement as soon as practicable thereafter but in any event within thirty (30) days following the date of such Change of Control, subject to the delay, if any, required under Section 23.12;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ind w:left="1620"/>
        <w:spacing w:after="0" w:line="238" w:lineRule="auto"/>
        <w:rPr>
          <w:sz w:val="20"/>
          <w:szCs w:val="20"/>
          <w:color w:val="auto"/>
        </w:rPr>
      </w:pPr>
      <w:r>
        <w:rPr>
          <w:rFonts w:ascii="Arial" w:cs="Arial" w:eastAsia="Arial" w:hAnsi="Arial"/>
          <w:sz w:val="18"/>
          <w:szCs w:val="18"/>
          <w:color w:val="auto"/>
        </w:rPr>
        <w:t>if any such payment is to be made in Shares, the holders thereof shall receive the same consideration provided to other similarly situated shareholders in such Change of Control.</w:t>
      </w:r>
    </w:p>
    <w:p>
      <w:pPr>
        <w:spacing w:after="0" w:line="201" w:lineRule="exact"/>
        <w:rPr>
          <w:sz w:val="20"/>
          <w:szCs w:val="20"/>
          <w:color w:val="auto"/>
        </w:rPr>
      </w:pPr>
    </w:p>
    <w:p>
      <w:pPr>
        <w:jc w:val="both"/>
        <w:ind w:left="1600" w:hanging="796"/>
        <w:spacing w:after="0" w:line="232" w:lineRule="auto"/>
        <w:tabs>
          <w:tab w:leader="none" w:pos="16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All vested and earned Awards that are performance-based for which the Performance Period has been completed as of the date of such Change of Control but have not yet been paid shall be paid in cash or Shares and at such time as provided in the Award Agreement as soon as practicable thereafter but in any event within thirty (30) days following the date of such Change of Control, subject to the delay, if any, required under Section 23.12;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any such payment is to be made in Shares, the holders thereof shall receive the same consideration provided to other similarly situated shareholders in such Change of Control and all performance-based Awards for which the Performance Period has not been completed as of the date of such Change of Control shall immediately vest and be earned in full, and paid out with respect to each Performance Goal based on the greater of (i) target performance; or (ii) actual performance achieved through the date of such Change of Control, in each case with the manner of payment to be made in cash or Shares as provided in the Award Agreement as soon as practicable thereafter but in any event within thirty (30) days following the date of such Change of Control, subject to the delay, if any, required under Section 23.12;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any such payment is to be made in Shares, the holders thereof shall receive the same consideration provided to other similarly situated shareholders in such Change of Control.</w:t>
      </w:r>
    </w:p>
    <w:p>
      <w:pPr>
        <w:spacing w:after="0" w:line="182" w:lineRule="exact"/>
        <w:rPr>
          <w:sz w:val="20"/>
          <w:szCs w:val="20"/>
          <w:color w:val="auto"/>
        </w:rPr>
      </w:pPr>
    </w:p>
    <w:p>
      <w:pPr>
        <w:jc w:val="both"/>
        <w:ind w:firstLine="802"/>
        <w:spacing w:after="0" w:line="233" w:lineRule="auto"/>
        <w:rPr>
          <w:sz w:val="20"/>
          <w:szCs w:val="20"/>
          <w:color w:val="auto"/>
        </w:rPr>
      </w:pPr>
      <w:r>
        <w:rPr>
          <w:rFonts w:ascii="Arial" w:cs="Arial" w:eastAsia="Arial" w:hAnsi="Arial"/>
          <w:sz w:val="18"/>
          <w:szCs w:val="18"/>
          <w:b w:val="1"/>
          <w:bCs w:val="1"/>
          <w:color w:val="auto"/>
        </w:rPr>
        <w:t>18.3 Limitation on Change of Control Payments</w:t>
      </w:r>
      <w:r>
        <w:rPr>
          <w:rFonts w:ascii="Arial" w:cs="Arial" w:eastAsia="Arial" w:hAnsi="Arial"/>
          <w:sz w:val="18"/>
          <w:szCs w:val="18"/>
          <w:color w:val="auto"/>
        </w:rPr>
        <w:t>. Notwithstanding anything in Section 18.1 or 18.2 to the contrary, if, with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respect to a Participant, the acceleration of the vesting of an Award as provided in Section 18.1 or 18.2 or the payment of cash in exchange for all or part of a Stock-Based Award as provided in Section 18.2 (which acceleration or payment could be deemed a “payment” within the meaning of Code Section 280G(b)(2)), together with any other “payments” that such Participant has the right to receive from the Company or any corporation that is a member of an “affiliated group” (as defined in Code Section 1504(a) without regard to Code Section 1504(b)) of which the Company is a member, would constitute a “parachute payment” (as defined in Code Section 280G(b)(2)), then the “payments” to such Participant pursuant to Section 18.1 or 18.2 will be reduced (or acceleration of vesting eliminated) to the largest amount as will result in no portion of such “payments” being subject to the excise tax imposed by Code Section 4999;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such reduction shall be made only if the aggregate amount of the payments after such reduction exceeds the difference between (a) the amount of such payments absent such reduction minus (b) the aggregate amount of the excise tax imposed under Code Section 4999 attributable to any such excess parachute payments;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such payments will be reduced (or acceleration of vesting eliminated) in the following order: (i) options with an Option Price above fair market value that have a positive value for purposes of Code Section 280G, (ii) pro rata among Awards that constitute deferred compensation under Code Section 409A, and (iii) finally, among the Awards that are not subject to Code Section 409A. Notwithstanding the foregoing sentence, if a Participant is subject to a separate agreement with the Company or an Affiliate or Subsidiary that expressly addresses the potential application of Code Sections 280G or 4999, then this Section 18.3 shall not apply and any “payments” to a Participant pursuant to Section 18.1 or 18.2 of this Plan will be treated as “payments” arising under such separate agreement; provided such separate agreement may not modify the time or form of payments under any Award that constitutes deferred compensation under Code Section 409A if the modification would cause such Award to become subject to the adverse tax consequences specified in Code Section 409A.</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Article 19. Amendment and Termination</w:t>
      </w:r>
    </w:p>
    <w:p>
      <w:pPr>
        <w:spacing w:after="0" w:line="205" w:lineRule="exact"/>
        <w:rPr>
          <w:sz w:val="20"/>
          <w:szCs w:val="20"/>
          <w:color w:val="auto"/>
        </w:rPr>
      </w:pPr>
    </w:p>
    <w:p>
      <w:pPr>
        <w:ind w:left="800"/>
        <w:spacing w:after="0"/>
        <w:tabs>
          <w:tab w:leader="none" w:pos="1780" w:val="left"/>
        </w:tabs>
        <w:rPr>
          <w:sz w:val="20"/>
          <w:szCs w:val="20"/>
          <w:color w:val="auto"/>
        </w:rPr>
      </w:pPr>
      <w:r>
        <w:rPr>
          <w:rFonts w:ascii="Arial" w:cs="Arial" w:eastAsia="Arial" w:hAnsi="Arial"/>
          <w:sz w:val="18"/>
          <w:szCs w:val="18"/>
          <w:b w:val="1"/>
          <w:bCs w:val="1"/>
          <w:color w:val="auto"/>
        </w:rPr>
        <w:t>19.1</w:t>
      </w:r>
      <w:r>
        <w:rPr>
          <w:sz w:val="20"/>
          <w:szCs w:val="20"/>
          <w:color w:val="auto"/>
        </w:rPr>
        <w:tab/>
      </w:r>
      <w:r>
        <w:rPr>
          <w:rFonts w:ascii="Arial" w:cs="Arial" w:eastAsia="Arial" w:hAnsi="Arial"/>
          <w:sz w:val="17"/>
          <w:szCs w:val="17"/>
          <w:b w:val="1"/>
          <w:bCs w:val="1"/>
          <w:color w:val="auto"/>
        </w:rPr>
        <w:t>Amendment and Termination of this Plan and Award Agreements; No Repricing</w:t>
      </w:r>
      <w:r>
        <w:rPr>
          <w:rFonts w:ascii="Arial" w:cs="Arial" w:eastAsia="Arial" w:hAnsi="Arial"/>
          <w:sz w:val="17"/>
          <w:szCs w:val="17"/>
          <w:color w:val="auto"/>
        </w:rPr>
        <w:t>.</w:t>
      </w:r>
    </w:p>
    <w:p>
      <w:pPr>
        <w:spacing w:after="0" w:line="227" w:lineRule="exact"/>
        <w:rPr>
          <w:sz w:val="20"/>
          <w:szCs w:val="20"/>
          <w:color w:val="auto"/>
        </w:rPr>
      </w:pPr>
    </w:p>
    <w:p>
      <w:pPr>
        <w:jc w:val="both"/>
        <w:ind w:left="1600" w:hanging="796"/>
        <w:spacing w:after="0" w:line="236" w:lineRule="auto"/>
        <w:tabs>
          <w:tab w:leader="none" w:pos="16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Subject to subparagraphs (b) and (c) of this Section 19.1 and Sections 19.3, 19.5 and 23.12, the Board may at any time terminate this Plan or an outstanding Award Agreement and the Committee may, at any time and from time to time, amend this Plan or an outstanding Award Agreement.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jc w:val="both"/>
        <w:ind w:left="1600" w:hanging="796"/>
        <w:spacing w:after="0" w:line="233" w:lineRule="auto"/>
        <w:tabs>
          <w:tab w:leader="none" w:pos="16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Notwithstanding any other provision of this Plan other than Section 4.3, the Committee may not, without prior approval of the Company’s shareholders, seek to effect any repricing of any previously granted, “underwater” Option or SAR by: (a) amending or modifying the terms of the Option or SAR to lower the Option Price or Grant Price; (b) canceling the underwater Option or SAR in exchange for (i) cash; (ii) replacement Options or SARs having a lower Option Price or Grant Price; or (iii) other Awards; or (c) repurchasing the underwater Options or SARs and granting new Awards under this Plan. For purposes of this Section 19.1, an Option or SAR will be deemed to be “underwater” at any time when the Fair Market Value of the Common Stock is less than the Option Price of the Option or Grant Price of the SAR.</w:t>
      </w:r>
    </w:p>
    <w:p>
      <w:pPr>
        <w:spacing w:after="0" w:line="202" w:lineRule="exact"/>
        <w:rPr>
          <w:rFonts w:ascii="Arial" w:cs="Arial" w:eastAsia="Arial" w:hAnsi="Arial"/>
          <w:sz w:val="18"/>
          <w:szCs w:val="18"/>
          <w:color w:val="auto"/>
        </w:rPr>
      </w:pPr>
    </w:p>
    <w:p>
      <w:pPr>
        <w:jc w:val="both"/>
        <w:ind w:left="1600" w:hanging="796"/>
        <w:spacing w:after="0" w:line="232" w:lineRule="auto"/>
        <w:tabs>
          <w:tab w:leader="none" w:pos="16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Notwithstanding the foregoing, no amendment of this Plan shall be made without shareholder approval (i) to increase the maximum number of Shares which may be issued pursuant to the Plan; (ii) to increase any limitation set forth in the Plan on the number of Shares which may be issued or the aggregate value of Awards which may be made, in respect of any type of Award; (iii) to change the class of individuals eligible to participate in the Plan; (iv) to reduce the minimum Option Price or the minimum SAR Grant Price as set forth in Sections 6.3 and 7.3; (v) to reduce the minimum one-year vesting periods in Section 4.4; or (vi) if shareholder approval is otherwise required pursuant to rules promulgated by any stock exchange or quotation system on which Shares are listed or quoted or by applicable U.S. state corporate laws or regulations, applicable U.S. federal laws or regulations, and the applicable laws of any foreign country or jurisdiction where Awards are, or will be, granted under this Plan.</w:t>
      </w:r>
    </w:p>
    <w:p>
      <w:pPr>
        <w:spacing w:after="0" w:line="185" w:lineRule="exact"/>
        <w:rPr>
          <w:sz w:val="20"/>
          <w:szCs w:val="20"/>
          <w:color w:val="auto"/>
        </w:rPr>
      </w:pPr>
    </w:p>
    <w:p>
      <w:pPr>
        <w:jc w:val="both"/>
        <w:ind w:firstLine="802"/>
        <w:spacing w:after="0" w:line="235" w:lineRule="auto"/>
        <w:rPr>
          <w:sz w:val="20"/>
          <w:szCs w:val="20"/>
          <w:color w:val="auto"/>
        </w:rPr>
      </w:pPr>
      <w:r>
        <w:rPr>
          <w:rFonts w:ascii="Arial" w:cs="Arial" w:eastAsia="Arial" w:hAnsi="Arial"/>
          <w:sz w:val="18"/>
          <w:szCs w:val="18"/>
          <w:b w:val="1"/>
          <w:bCs w:val="1"/>
          <w:color w:val="auto"/>
        </w:rPr>
        <w:t>19.2 Adjustment of Awards Upon the Occurrence of Certain Unusual or Nonrecurring Events</w:t>
      </w:r>
      <w:r>
        <w:rPr>
          <w:rFonts w:ascii="Arial" w:cs="Arial" w:eastAsia="Arial" w:hAnsi="Arial"/>
          <w:sz w:val="18"/>
          <w:szCs w:val="18"/>
          <w:color w:val="auto"/>
        </w:rPr>
        <w:t>. The Committee may</w:t>
      </w:r>
      <w:r>
        <w:rPr>
          <w:rFonts w:ascii="Arial" w:cs="Arial" w:eastAsia="Arial" w:hAnsi="Arial"/>
          <w:sz w:val="18"/>
          <w:szCs w:val="18"/>
          <w:b w:val="1"/>
          <w:bCs w:val="1"/>
          <w:color w:val="auto"/>
        </w:rPr>
        <w:t xml:space="preserve"> </w:t>
      </w:r>
      <w:r>
        <w:rPr>
          <w:rFonts w:ascii="Arial" w:cs="Arial" w:eastAsia="Arial" w:hAnsi="Arial"/>
          <w:sz w:val="18"/>
          <w:szCs w:val="18"/>
          <w:color w:val="auto"/>
        </w:rPr>
        <w:t>amend or modify the vesting criteria (including any Performance Goals, Performance Measures or Performance Periods) of any outstanding Awards based in whole or in part on the financial performance of the Company (or any Subsidiary or division, business unit or other sub-unit thereof) in recognition of unusual or nonrecurring events (including the events described in Section 4.3 or 9.5) affecting the Company or the financial statements of the Company or of changes in applicable laws, regulations or accounting principles, whenever the Committee determines that such adjustments are appropriate in order to prevent unintended dilution or enlargement of the benefits or potential benefits intended to be made available under this Plan. The determination of the Committee as to the foregoing adjustments, if any, shall be conclusive and binding on Participants under this Plan. By accepting an Award under this Plan, a Participant agrees to any adjustment to the Award made pursuant to this Section 19.2 without further consideration or action.</w:t>
      </w:r>
    </w:p>
    <w:p>
      <w:pPr>
        <w:spacing w:after="0" w:line="184" w:lineRule="exact"/>
        <w:rPr>
          <w:sz w:val="20"/>
          <w:szCs w:val="20"/>
          <w:color w:val="auto"/>
        </w:rPr>
      </w:pPr>
    </w:p>
    <w:p>
      <w:pPr>
        <w:jc w:val="both"/>
        <w:ind w:firstLine="802"/>
        <w:spacing w:after="0" w:line="247" w:lineRule="auto"/>
        <w:rPr>
          <w:sz w:val="20"/>
          <w:szCs w:val="20"/>
          <w:color w:val="auto"/>
        </w:rPr>
      </w:pPr>
      <w:r>
        <w:rPr>
          <w:rFonts w:ascii="Arial" w:cs="Arial" w:eastAsia="Arial" w:hAnsi="Arial"/>
          <w:sz w:val="18"/>
          <w:szCs w:val="18"/>
          <w:b w:val="1"/>
          <w:bCs w:val="1"/>
          <w:color w:val="auto"/>
        </w:rPr>
        <w:t>19.3 Awards Previously Granted</w:t>
      </w:r>
      <w:r>
        <w:rPr>
          <w:rFonts w:ascii="Arial" w:cs="Arial" w:eastAsia="Arial" w:hAnsi="Arial"/>
          <w:sz w:val="18"/>
          <w:szCs w:val="18"/>
          <w:color w:val="auto"/>
        </w:rPr>
        <w:t>. Notwithstanding any other provision of this Plan to the contrary, other than Sections 19.2,</w:t>
      </w:r>
      <w:r>
        <w:rPr>
          <w:rFonts w:ascii="Arial" w:cs="Arial" w:eastAsia="Arial" w:hAnsi="Arial"/>
          <w:sz w:val="18"/>
          <w:szCs w:val="18"/>
          <w:b w:val="1"/>
          <w:bCs w:val="1"/>
          <w:color w:val="auto"/>
        </w:rPr>
        <w:t xml:space="preserve"> </w:t>
      </w:r>
      <w:r>
        <w:rPr>
          <w:rFonts w:ascii="Arial" w:cs="Arial" w:eastAsia="Arial" w:hAnsi="Arial"/>
          <w:sz w:val="18"/>
          <w:szCs w:val="18"/>
          <w:color w:val="auto"/>
        </w:rPr>
        <w:t>19.4 or 23.12, no termination or amendment of this Plan or an Award Agreement shall adversely affect in any material way any Award previously granted under this Plan, without the written consent of the Participant holding such Award.</w:t>
      </w:r>
    </w:p>
    <w:p>
      <w:pPr>
        <w:spacing w:after="0" w:line="172" w:lineRule="exact"/>
        <w:rPr>
          <w:sz w:val="20"/>
          <w:szCs w:val="20"/>
          <w:color w:val="auto"/>
        </w:rPr>
      </w:pPr>
    </w:p>
    <w:p>
      <w:pPr>
        <w:jc w:val="both"/>
        <w:ind w:firstLine="802"/>
        <w:spacing w:after="0" w:line="239" w:lineRule="auto"/>
        <w:rPr>
          <w:sz w:val="20"/>
          <w:szCs w:val="20"/>
          <w:color w:val="auto"/>
        </w:rPr>
      </w:pPr>
      <w:r>
        <w:rPr>
          <w:rFonts w:ascii="Arial" w:cs="Arial" w:eastAsia="Arial" w:hAnsi="Arial"/>
          <w:sz w:val="18"/>
          <w:szCs w:val="18"/>
          <w:b w:val="1"/>
          <w:bCs w:val="1"/>
          <w:color w:val="auto"/>
        </w:rPr>
        <w:t>19.4 Amendment to Conform to Law</w:t>
      </w:r>
      <w:r>
        <w:rPr>
          <w:rFonts w:ascii="Arial" w:cs="Arial" w:eastAsia="Arial" w:hAnsi="Arial"/>
          <w:sz w:val="18"/>
          <w:szCs w:val="18"/>
          <w:color w:val="auto"/>
        </w:rPr>
        <w:t>. Notwithstanding any other provision of this Plan to the contrary, the Committee may</w:t>
      </w:r>
      <w:r>
        <w:rPr>
          <w:rFonts w:ascii="Arial" w:cs="Arial" w:eastAsia="Arial" w:hAnsi="Arial"/>
          <w:sz w:val="18"/>
          <w:szCs w:val="18"/>
          <w:b w:val="1"/>
          <w:bCs w:val="1"/>
          <w:color w:val="auto"/>
        </w:rPr>
        <w:t xml:space="preserve"> </w:t>
      </w:r>
      <w:r>
        <w:rPr>
          <w:rFonts w:ascii="Arial" w:cs="Arial" w:eastAsia="Arial" w:hAnsi="Arial"/>
          <w:sz w:val="18"/>
          <w:szCs w:val="18"/>
          <w:color w:val="auto"/>
        </w:rPr>
        <w:t>amend this Plan or an Award Agreement, to take effect retroactively or otherwise, as deemed necessary or advisable for the purpose of conforming this Plan or an Award Agreement to any present or future law relating to plans of this or similar nature, and to the administrative regulations and rulings promulgated thereunder. By accepting an Award under this Plan, a Participant agrees to any amendment made pursuant to this Section 19.4 to any Award granted under this Plan without further consideration or action.</w:t>
      </w:r>
    </w:p>
    <w:p>
      <w:pPr>
        <w:spacing w:after="0" w:line="179" w:lineRule="exact"/>
        <w:rPr>
          <w:sz w:val="20"/>
          <w:szCs w:val="20"/>
          <w:color w:val="auto"/>
        </w:rPr>
      </w:pPr>
    </w:p>
    <w:p>
      <w:pPr>
        <w:jc w:val="both"/>
        <w:ind w:firstLine="802"/>
        <w:spacing w:after="0" w:line="247" w:lineRule="auto"/>
        <w:rPr>
          <w:sz w:val="20"/>
          <w:szCs w:val="20"/>
          <w:color w:val="auto"/>
        </w:rPr>
      </w:pPr>
      <w:r>
        <w:rPr>
          <w:rFonts w:ascii="Arial" w:cs="Arial" w:eastAsia="Arial" w:hAnsi="Arial"/>
          <w:sz w:val="18"/>
          <w:szCs w:val="18"/>
          <w:b w:val="1"/>
          <w:bCs w:val="1"/>
          <w:color w:val="auto"/>
        </w:rPr>
        <w:t>19.5 Nonemployee Director Awards</w:t>
      </w:r>
      <w:r>
        <w:rPr>
          <w:rFonts w:ascii="Arial" w:cs="Arial" w:eastAsia="Arial" w:hAnsi="Arial"/>
          <w:sz w:val="18"/>
          <w:szCs w:val="18"/>
          <w:color w:val="auto"/>
        </w:rPr>
        <w:t>. Notwithstanding any other provision of this Plan to the contrary, no action may be</w:t>
      </w:r>
      <w:r>
        <w:rPr>
          <w:rFonts w:ascii="Arial" w:cs="Arial" w:eastAsia="Arial" w:hAnsi="Arial"/>
          <w:sz w:val="18"/>
          <w:szCs w:val="18"/>
          <w:b w:val="1"/>
          <w:bCs w:val="1"/>
          <w:color w:val="auto"/>
        </w:rPr>
        <w:t xml:space="preserve"> </w:t>
      </w:r>
      <w:r>
        <w:rPr>
          <w:rFonts w:ascii="Arial" w:cs="Arial" w:eastAsia="Arial" w:hAnsi="Arial"/>
          <w:sz w:val="18"/>
          <w:szCs w:val="18"/>
          <w:color w:val="auto"/>
        </w:rPr>
        <w:t>taken with respect to any Nonemployee Director Award other than by the Committee (which shall consist solely of “independent directors” (as defined in the rules of the New York Stock Exchange)).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ind w:left="60"/>
        <w:spacing w:after="0"/>
        <w:rPr>
          <w:sz w:val="20"/>
          <w:szCs w:val="20"/>
          <w:color w:val="auto"/>
        </w:rPr>
      </w:pPr>
      <w:r>
        <w:rPr>
          <w:rFonts w:ascii="Arial" w:cs="Arial" w:eastAsia="Arial" w:hAnsi="Arial"/>
          <w:sz w:val="18"/>
          <w:szCs w:val="18"/>
          <w:b w:val="1"/>
          <w:bCs w:val="1"/>
          <w:color w:val="auto"/>
        </w:rPr>
        <w:t>Article 20. Withholding</w:t>
      </w:r>
    </w:p>
    <w:p>
      <w:pPr>
        <w:spacing w:after="0" w:line="183" w:lineRule="exact"/>
        <w:rPr>
          <w:sz w:val="20"/>
          <w:szCs w:val="20"/>
          <w:color w:val="auto"/>
        </w:rPr>
      </w:pPr>
    </w:p>
    <w:p>
      <w:pPr>
        <w:jc w:val="both"/>
        <w:ind w:firstLine="802"/>
        <w:spacing w:after="0" w:line="239" w:lineRule="auto"/>
        <w:rPr>
          <w:sz w:val="20"/>
          <w:szCs w:val="20"/>
          <w:color w:val="auto"/>
        </w:rPr>
      </w:pPr>
      <w:r>
        <w:rPr>
          <w:rFonts w:ascii="Arial" w:cs="Arial" w:eastAsia="Arial" w:hAnsi="Arial"/>
          <w:sz w:val="18"/>
          <w:szCs w:val="18"/>
          <w:b w:val="1"/>
          <w:bCs w:val="1"/>
          <w:color w:val="auto"/>
        </w:rPr>
        <w:t>20.1 Tax Withholding</w:t>
      </w:r>
      <w:r>
        <w:rPr>
          <w:rFonts w:ascii="Arial" w:cs="Arial" w:eastAsia="Arial" w:hAnsi="Arial"/>
          <w:sz w:val="18"/>
          <w:szCs w:val="18"/>
          <w:color w:val="auto"/>
        </w:rPr>
        <w:t>. Subject to Section 20.2, the Company or any plan administrator of the Plan, as applicable, shall have</w:t>
      </w:r>
      <w:r>
        <w:rPr>
          <w:rFonts w:ascii="Arial" w:cs="Arial" w:eastAsia="Arial" w:hAnsi="Arial"/>
          <w:sz w:val="18"/>
          <w:szCs w:val="18"/>
          <w:b w:val="1"/>
          <w:bCs w:val="1"/>
          <w:color w:val="auto"/>
        </w:rPr>
        <w:t xml:space="preserve"> </w:t>
      </w:r>
      <w:r>
        <w:rPr>
          <w:rFonts w:ascii="Arial" w:cs="Arial" w:eastAsia="Arial" w:hAnsi="Arial"/>
          <w:sz w:val="18"/>
          <w:szCs w:val="18"/>
          <w:color w:val="auto"/>
        </w:rPr>
        <w:t>the power and the right to deduct or withhold, or require a Participant to remit to the Company, the statutory amount reasonably determined by the Company or any plan administrator of the Plan, as applicable, to be required to satisfy federal, state and local taxes, domestic or foreign, required by law or regulation to be withheld with respect to any taxable event arising as a result of this Plan, including such amounts as may be calculated based on maximum applicable rates.</w:t>
      </w:r>
    </w:p>
    <w:p>
      <w:pPr>
        <w:spacing w:after="0" w:line="179" w:lineRule="exact"/>
        <w:rPr>
          <w:sz w:val="20"/>
          <w:szCs w:val="20"/>
          <w:color w:val="auto"/>
        </w:rPr>
      </w:pPr>
    </w:p>
    <w:p>
      <w:pPr>
        <w:jc w:val="both"/>
        <w:ind w:firstLine="802"/>
        <w:spacing w:after="0"/>
        <w:rPr>
          <w:sz w:val="20"/>
          <w:szCs w:val="20"/>
          <w:color w:val="auto"/>
        </w:rPr>
      </w:pPr>
      <w:r>
        <w:rPr>
          <w:rFonts w:ascii="Arial" w:cs="Arial" w:eastAsia="Arial" w:hAnsi="Arial"/>
          <w:sz w:val="18"/>
          <w:szCs w:val="18"/>
          <w:b w:val="1"/>
          <w:bCs w:val="1"/>
          <w:color w:val="auto"/>
        </w:rPr>
        <w:t>20.2 Share Withholding</w:t>
      </w:r>
      <w:r>
        <w:rPr>
          <w:rFonts w:ascii="Arial" w:cs="Arial" w:eastAsia="Arial" w:hAnsi="Arial"/>
          <w:sz w:val="18"/>
          <w:szCs w:val="18"/>
          <w:color w:val="auto"/>
        </w:rPr>
        <w:t>. With respect to withholding required upon the exercise of Options or SARs, upon the lapse of</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restrictions on Restricted Stock and Restricted Stock Units, or upon the achievement of Performance Goals related to Performance Shares, or any other taxable event arising as a result of a Stock-Based Award granted hereunder (collectively and individually referred to as a “Share Payment”), Participants may elect, subject to the approval of the Committee, to satisfy the withholding requirement, in whole or in part, by having the Company or any plan administrator, as applicable, withhold from the Share Payment a number of Shares having a Fair Market Value up to an amount of withholding based on the maximum statutory tax rates in the Participant’s applicable tax jurisdictions (unless a lesser amount of withholding is required to avoid the classification of an Award as a liability on the Company’s consolidated balance sheet or other adverse accounting treatment), calculated on the date the withholding is to be determined . All such elections shall be irrevocable, made in writing and signed by the Participant (including pursuant to electronic mail communications from the Participant to the email address established by the Company), and shall be subject to any restrictions or limitations that the Committee, in its sole discretion, deems appropriate.</w:t>
      </w:r>
    </w:p>
    <w:p>
      <w:pPr>
        <w:spacing w:after="0" w:line="3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Article 21. Successors</w:t>
      </w:r>
    </w:p>
    <w:p>
      <w:pPr>
        <w:spacing w:after="0" w:line="227"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color w:val="auto"/>
        </w:rPr>
        <w:t>All obligations of the Company under this Plan with respect to Awards granted hereunder shall be binding on any successor to the Company, whether the existence of such successor is the result of a direct or indirect purchase, merger, consolidation or otherwise, of all or substantially all of the business or assets of the Company.</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Article 22. Substituted Awards</w:t>
      </w:r>
    </w:p>
    <w:p>
      <w:pPr>
        <w:spacing w:after="0" w:line="227" w:lineRule="exact"/>
        <w:rPr>
          <w:sz w:val="20"/>
          <w:szCs w:val="20"/>
          <w:color w:val="auto"/>
        </w:rPr>
      </w:pPr>
    </w:p>
    <w:p>
      <w:pPr>
        <w:jc w:val="both"/>
        <w:ind w:firstLine="802"/>
        <w:spacing w:after="0" w:line="234" w:lineRule="auto"/>
        <w:rPr>
          <w:sz w:val="20"/>
          <w:szCs w:val="20"/>
          <w:color w:val="auto"/>
        </w:rPr>
      </w:pPr>
      <w:r>
        <w:rPr>
          <w:rFonts w:ascii="Arial" w:cs="Arial" w:eastAsia="Arial" w:hAnsi="Arial"/>
          <w:sz w:val="18"/>
          <w:szCs w:val="18"/>
          <w:color w:val="auto"/>
        </w:rPr>
        <w:t>The Committee may grant Awards under this Plan in substitution for stock and stock-based awards held by employees of another entity who become employees of the Company or a Subsidiary as a result of a merger or consolidation of the former employing entity with the Company or a Subsidiary or the acquisition by the Company or a Subsidiary of property or stock of the former employing corporation. The Committee may direct that the substitute Awards be granted on such terms and conditions as the Committee considers appropriate in the circumstances.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Article 23. General Provisions</w:t>
      </w:r>
    </w:p>
    <w:p>
      <w:pPr>
        <w:spacing w:after="0" w:line="205" w:lineRule="exact"/>
        <w:rPr>
          <w:sz w:val="20"/>
          <w:szCs w:val="20"/>
          <w:color w:val="auto"/>
        </w:rPr>
      </w:pPr>
    </w:p>
    <w:p>
      <w:pPr>
        <w:jc w:val="both"/>
        <w:ind w:firstLine="802"/>
        <w:spacing w:after="0" w:line="247" w:lineRule="auto"/>
        <w:rPr>
          <w:sz w:val="20"/>
          <w:szCs w:val="20"/>
          <w:color w:val="auto"/>
        </w:rPr>
      </w:pPr>
      <w:r>
        <w:rPr>
          <w:rFonts w:ascii="Arial" w:cs="Arial" w:eastAsia="Arial" w:hAnsi="Arial"/>
          <w:sz w:val="18"/>
          <w:szCs w:val="18"/>
          <w:b w:val="1"/>
          <w:bCs w:val="1"/>
          <w:color w:val="auto"/>
        </w:rPr>
        <w:t>23.1 Legend</w:t>
      </w:r>
      <w:r>
        <w:rPr>
          <w:rFonts w:ascii="Arial" w:cs="Arial" w:eastAsia="Arial" w:hAnsi="Arial"/>
          <w:sz w:val="18"/>
          <w:szCs w:val="18"/>
          <w:color w:val="auto"/>
        </w:rPr>
        <w:t>. Shares issued in book entry form or deposited with any broker with which the Company has engaged to</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services for the Plan on behalf of a Participant may be made subject to any restriction, that the Committee deems appropriate to reflect any restrictions on transfer of such Shares.</w:t>
      </w:r>
    </w:p>
    <w:p>
      <w:pPr>
        <w:spacing w:after="0" w:line="172" w:lineRule="exact"/>
        <w:rPr>
          <w:sz w:val="20"/>
          <w:szCs w:val="20"/>
          <w:color w:val="auto"/>
        </w:rPr>
      </w:pPr>
    </w:p>
    <w:p>
      <w:pPr>
        <w:jc w:val="both"/>
        <w:ind w:firstLine="802"/>
        <w:spacing w:after="0" w:line="241" w:lineRule="auto"/>
        <w:rPr>
          <w:sz w:val="20"/>
          <w:szCs w:val="20"/>
          <w:color w:val="auto"/>
        </w:rPr>
      </w:pPr>
      <w:r>
        <w:rPr>
          <w:rFonts w:ascii="Arial" w:cs="Arial" w:eastAsia="Arial" w:hAnsi="Arial"/>
          <w:sz w:val="18"/>
          <w:szCs w:val="18"/>
          <w:b w:val="1"/>
          <w:bCs w:val="1"/>
          <w:color w:val="auto"/>
        </w:rPr>
        <w:t>23.2 Usage</w:t>
      </w:r>
      <w:r>
        <w:rPr>
          <w:rFonts w:ascii="Arial" w:cs="Arial" w:eastAsia="Arial" w:hAnsi="Arial"/>
          <w:sz w:val="18"/>
          <w:szCs w:val="18"/>
          <w:color w:val="auto"/>
        </w:rPr>
        <w:t>. In this Plan, except where otherwise indicated by clear contrary intention, (a) any masculine term used herein</w:t>
      </w:r>
      <w:r>
        <w:rPr>
          <w:rFonts w:ascii="Arial" w:cs="Arial" w:eastAsia="Arial" w:hAnsi="Arial"/>
          <w:sz w:val="18"/>
          <w:szCs w:val="18"/>
          <w:b w:val="1"/>
          <w:bCs w:val="1"/>
          <w:color w:val="auto"/>
        </w:rPr>
        <w:t xml:space="preserve"> </w:t>
      </w:r>
      <w:r>
        <w:rPr>
          <w:rFonts w:ascii="Arial" w:cs="Arial" w:eastAsia="Arial" w:hAnsi="Arial"/>
          <w:sz w:val="18"/>
          <w:szCs w:val="18"/>
          <w:color w:val="auto"/>
        </w:rPr>
        <w:t>also shall include the feminine, (b) the plural shall include the singular, and the singular shall include the plural, (c) “including” (and with correlative meaning “include”) means including without limiting the generality of any description preceding such term, and (d) “or” is used in the inclusive sense of “and/or”.</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jc w:val="both"/>
        <w:ind w:firstLine="802"/>
        <w:spacing w:after="0" w:line="236" w:lineRule="auto"/>
        <w:rPr>
          <w:sz w:val="20"/>
          <w:szCs w:val="20"/>
          <w:color w:val="auto"/>
        </w:rPr>
      </w:pPr>
      <w:r>
        <w:rPr>
          <w:rFonts w:ascii="Arial" w:cs="Arial" w:eastAsia="Arial" w:hAnsi="Arial"/>
          <w:sz w:val="18"/>
          <w:szCs w:val="18"/>
          <w:b w:val="1"/>
          <w:bCs w:val="1"/>
          <w:color w:val="auto"/>
        </w:rPr>
        <w:t>23.3 Severability</w:t>
      </w:r>
      <w:r>
        <w:rPr>
          <w:rFonts w:ascii="Arial" w:cs="Arial" w:eastAsia="Arial" w:hAnsi="Arial"/>
          <w:sz w:val="18"/>
          <w:szCs w:val="18"/>
          <w:color w:val="auto"/>
        </w:rPr>
        <w:t>. In the event any provision of this Plan shall be held illegal or invalid for any reason, the illegality or</w:t>
      </w:r>
      <w:r>
        <w:rPr>
          <w:rFonts w:ascii="Arial" w:cs="Arial" w:eastAsia="Arial" w:hAnsi="Arial"/>
          <w:sz w:val="18"/>
          <w:szCs w:val="18"/>
          <w:b w:val="1"/>
          <w:bCs w:val="1"/>
          <w:color w:val="auto"/>
        </w:rPr>
        <w:t xml:space="preserve"> </w:t>
      </w:r>
      <w:r>
        <w:rPr>
          <w:rFonts w:ascii="Arial" w:cs="Arial" w:eastAsia="Arial" w:hAnsi="Arial"/>
          <w:sz w:val="18"/>
          <w:szCs w:val="18"/>
          <w:color w:val="auto"/>
        </w:rPr>
        <w:t>invalidity shall not affect the remaining parts of this Plan, and this Plan shall be construed and enforced as if the illegal or invalid provision had not been included.</w:t>
      </w:r>
    </w:p>
    <w:p>
      <w:pPr>
        <w:spacing w:after="0" w:line="178" w:lineRule="exact"/>
        <w:rPr>
          <w:sz w:val="20"/>
          <w:szCs w:val="20"/>
          <w:color w:val="auto"/>
        </w:rPr>
      </w:pPr>
    </w:p>
    <w:p>
      <w:pPr>
        <w:jc w:val="both"/>
        <w:ind w:firstLine="802"/>
        <w:spacing w:after="0" w:line="249" w:lineRule="auto"/>
        <w:rPr>
          <w:sz w:val="20"/>
          <w:szCs w:val="20"/>
          <w:color w:val="auto"/>
        </w:rPr>
      </w:pPr>
      <w:r>
        <w:rPr>
          <w:rFonts w:ascii="Arial" w:cs="Arial" w:eastAsia="Arial" w:hAnsi="Arial"/>
          <w:sz w:val="18"/>
          <w:szCs w:val="18"/>
          <w:b w:val="1"/>
          <w:bCs w:val="1"/>
          <w:color w:val="auto"/>
        </w:rPr>
        <w:t>23.4 Requirements of Law</w:t>
      </w:r>
      <w:r>
        <w:rPr>
          <w:rFonts w:ascii="Arial" w:cs="Arial" w:eastAsia="Arial" w:hAnsi="Arial"/>
          <w:sz w:val="18"/>
          <w:szCs w:val="18"/>
          <w:color w:val="auto"/>
        </w:rPr>
        <w:t>. The granting of Awards and the issuance of Shares under this Plan shall be subject to all</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laws, rules and regulations, and to such approvals by any governmental agencies or national securities exchanges as may be required.</w:t>
      </w:r>
    </w:p>
    <w:p>
      <w:pPr>
        <w:sectPr>
          <w:pgSz w:w="11900" w:h="16838" w:orient="portrait"/>
          <w:cols w:equalWidth="0" w:num="1">
            <w:col w:w="11240"/>
          </w:cols>
          <w:pgMar w:left="320" w:top="131" w:right="339" w:bottom="1440" w:gutter="0" w:footer="0" w:header="0"/>
        </w:sectPr>
      </w:pPr>
    </w:p>
    <w:p>
      <w:pPr>
        <w:spacing w:after="0" w:line="382"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23.5</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Plan prior to:</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Delivery of Title</w:t>
      </w:r>
      <w:r>
        <w:rPr>
          <w:rFonts w:ascii="Arial" w:cs="Arial" w:eastAsia="Arial" w:hAnsi="Arial"/>
          <w:sz w:val="17"/>
          <w:szCs w:val="17"/>
          <w:color w:val="auto"/>
        </w:rPr>
        <w:t>. The Company shall have no obligation to issue or deliver evidence of title for Shares issued under this</w:t>
      </w:r>
    </w:p>
    <w:p>
      <w:pPr>
        <w:spacing w:after="0" w:line="432" w:lineRule="exact"/>
        <w:rPr>
          <w:sz w:val="20"/>
          <w:szCs w:val="20"/>
          <w:color w:val="auto"/>
        </w:rPr>
      </w:pPr>
    </w:p>
    <w:p>
      <w:pPr>
        <w:sectPr>
          <w:pgSz w:w="11900" w:h="16838" w:orient="portrait"/>
          <w:cols w:equalWidth="0" w:num="2">
            <w:col w:w="1160" w:space="640"/>
            <w:col w:w="9440"/>
          </w:cols>
          <w:pgMar w:left="320" w:top="131" w:right="339" w:bottom="1440" w:gutter="0" w:footer="0" w:header="0"/>
          <w:type w:val="continuous"/>
        </w:sectPr>
      </w:pPr>
    </w:p>
    <w:p>
      <w:pPr>
        <w:spacing w:after="0" w:line="5" w:lineRule="exact"/>
        <w:rPr>
          <w:sz w:val="20"/>
          <w:szCs w:val="20"/>
          <w:color w:val="auto"/>
        </w:rPr>
      </w:pPr>
    </w:p>
    <w:p>
      <w:pPr>
        <w:ind w:left="1600" w:hanging="796"/>
        <w:spacing w:after="0"/>
        <w:tabs>
          <w:tab w:leader="none" w:pos="16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Obtaining any approvals from governmental agencies that the Company determines are necessary or advisable; and</w:t>
      </w:r>
    </w:p>
    <w:p>
      <w:pPr>
        <w:spacing w:after="0" w:line="205" w:lineRule="exact"/>
        <w:rPr>
          <w:rFonts w:ascii="Arial" w:cs="Arial" w:eastAsia="Arial" w:hAnsi="Arial"/>
          <w:sz w:val="18"/>
          <w:szCs w:val="18"/>
          <w:color w:val="auto"/>
        </w:rPr>
      </w:pPr>
    </w:p>
    <w:p>
      <w:pPr>
        <w:ind w:left="1600" w:hanging="796"/>
        <w:spacing w:after="0" w:line="238" w:lineRule="auto"/>
        <w:tabs>
          <w:tab w:leader="none" w:pos="16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Completion of any registration or other qualification of the Shares under any applicable federal, state, provincial, local, foreign or other law or ruling of any governmental body that the Company determines to be necessary or advisable.</w:t>
      </w:r>
    </w:p>
    <w:p>
      <w:pPr>
        <w:spacing w:after="0" w:line="179" w:lineRule="exact"/>
        <w:rPr>
          <w:sz w:val="20"/>
          <w:szCs w:val="20"/>
          <w:color w:val="auto"/>
        </w:rPr>
      </w:pPr>
    </w:p>
    <w:p>
      <w:pPr>
        <w:jc w:val="both"/>
        <w:ind w:firstLine="802"/>
        <w:spacing w:after="0" w:line="241" w:lineRule="auto"/>
        <w:rPr>
          <w:sz w:val="20"/>
          <w:szCs w:val="20"/>
          <w:color w:val="auto"/>
        </w:rPr>
      </w:pPr>
      <w:r>
        <w:rPr>
          <w:rFonts w:ascii="Arial" w:cs="Arial" w:eastAsia="Arial" w:hAnsi="Arial"/>
          <w:sz w:val="18"/>
          <w:szCs w:val="18"/>
          <w:b w:val="1"/>
          <w:bCs w:val="1"/>
          <w:color w:val="auto"/>
        </w:rPr>
        <w:t>23.6 Inability to Obtain Authority</w:t>
      </w:r>
      <w:r>
        <w:rPr>
          <w:rFonts w:ascii="Arial" w:cs="Arial" w:eastAsia="Arial" w:hAnsi="Arial"/>
          <w:sz w:val="18"/>
          <w:szCs w:val="18"/>
          <w:color w:val="auto"/>
        </w:rPr>
        <w:t>. The inability of the Company to obtain authority from any regulatory body having</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79" w:lineRule="exact"/>
        <w:rPr>
          <w:sz w:val="20"/>
          <w:szCs w:val="20"/>
          <w:color w:val="auto"/>
        </w:rPr>
      </w:pPr>
    </w:p>
    <w:p>
      <w:pPr>
        <w:jc w:val="both"/>
        <w:ind w:firstLine="802"/>
        <w:spacing w:after="0" w:line="247" w:lineRule="auto"/>
        <w:rPr>
          <w:sz w:val="20"/>
          <w:szCs w:val="20"/>
          <w:color w:val="auto"/>
        </w:rPr>
      </w:pPr>
      <w:r>
        <w:rPr>
          <w:rFonts w:ascii="Arial" w:cs="Arial" w:eastAsia="Arial" w:hAnsi="Arial"/>
          <w:sz w:val="18"/>
          <w:szCs w:val="18"/>
          <w:b w:val="1"/>
          <w:bCs w:val="1"/>
          <w:color w:val="auto"/>
        </w:rPr>
        <w:t>23.7 Investment Representations</w:t>
      </w:r>
      <w:r>
        <w:rPr>
          <w:rFonts w:ascii="Arial" w:cs="Arial" w:eastAsia="Arial" w:hAnsi="Arial"/>
          <w:sz w:val="18"/>
          <w:szCs w:val="18"/>
          <w:color w:val="auto"/>
        </w:rPr>
        <w:t>. The Committee may require any individual receiving Shares pursuant to an Award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Plan to represent and warrant in writing that the individual is acquiring the Shares for investment and without any present intention to sell or distribute such Shares.</w:t>
      </w:r>
    </w:p>
    <w:p>
      <w:pPr>
        <w:spacing w:after="0" w:line="172" w:lineRule="exact"/>
        <w:rPr>
          <w:sz w:val="20"/>
          <w:szCs w:val="20"/>
          <w:color w:val="auto"/>
        </w:rPr>
      </w:pPr>
    </w:p>
    <w:p>
      <w:pPr>
        <w:jc w:val="both"/>
        <w:ind w:firstLine="802"/>
        <w:spacing w:after="0" w:line="247" w:lineRule="auto"/>
        <w:rPr>
          <w:sz w:val="20"/>
          <w:szCs w:val="20"/>
          <w:color w:val="auto"/>
        </w:rPr>
      </w:pPr>
      <w:r>
        <w:rPr>
          <w:rFonts w:ascii="Arial" w:cs="Arial" w:eastAsia="Arial" w:hAnsi="Arial"/>
          <w:sz w:val="18"/>
          <w:szCs w:val="18"/>
          <w:b w:val="1"/>
          <w:bCs w:val="1"/>
          <w:color w:val="auto"/>
        </w:rPr>
        <w:t>23.8 Employees Based Outside of the United States</w:t>
      </w:r>
      <w:r>
        <w:rPr>
          <w:rFonts w:ascii="Arial" w:cs="Arial" w:eastAsia="Arial" w:hAnsi="Arial"/>
          <w:sz w:val="18"/>
          <w:szCs w:val="18"/>
          <w:color w:val="auto"/>
        </w:rPr>
        <w:t>. Notwithstanding any provision of this Plan to the contrary, in order to</w:t>
      </w:r>
      <w:r>
        <w:rPr>
          <w:rFonts w:ascii="Arial" w:cs="Arial" w:eastAsia="Arial" w:hAnsi="Arial"/>
          <w:sz w:val="18"/>
          <w:szCs w:val="18"/>
          <w:b w:val="1"/>
          <w:bCs w:val="1"/>
          <w:color w:val="auto"/>
        </w:rPr>
        <w:t xml:space="preserve"> </w:t>
      </w:r>
      <w:r>
        <w:rPr>
          <w:rFonts w:ascii="Arial" w:cs="Arial" w:eastAsia="Arial" w:hAnsi="Arial"/>
          <w:sz w:val="18"/>
          <w:szCs w:val="18"/>
          <w:color w:val="auto"/>
        </w:rPr>
        <w:t>comply with the laws in other countries in which the Company, its Affiliates or its Subsidiaries operate or have Employees, Directors or Third-Party Service Providers, the Committee, in its sole discretion, shall have the power and authority to:</w:t>
      </w:r>
    </w:p>
    <w:p>
      <w:pPr>
        <w:spacing w:after="0" w:line="194" w:lineRule="exact"/>
        <w:rPr>
          <w:sz w:val="20"/>
          <w:szCs w:val="20"/>
          <w:color w:val="auto"/>
        </w:rPr>
      </w:pPr>
    </w:p>
    <w:p>
      <w:pPr>
        <w:ind w:left="1600" w:hanging="796"/>
        <w:spacing w:after="0"/>
        <w:tabs>
          <w:tab w:leader="none" w:pos="16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Determine which Affiliates and Subsidiaries shall be covered by this Plan;</w:t>
      </w:r>
    </w:p>
    <w:p>
      <w:pPr>
        <w:spacing w:after="0" w:line="205" w:lineRule="exact"/>
        <w:rPr>
          <w:rFonts w:ascii="Arial" w:cs="Arial" w:eastAsia="Arial" w:hAnsi="Arial"/>
          <w:sz w:val="18"/>
          <w:szCs w:val="18"/>
          <w:color w:val="auto"/>
        </w:rPr>
      </w:pPr>
    </w:p>
    <w:p>
      <w:pPr>
        <w:ind w:left="1600" w:hanging="796"/>
        <w:spacing w:after="0" w:line="238" w:lineRule="auto"/>
        <w:tabs>
          <w:tab w:leader="none" w:pos="16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Determine which Employees, Directors or Third-Party Service Providers outside the United States are eligible to participate in this Plan;</w:t>
      </w:r>
    </w:p>
    <w:p>
      <w:pPr>
        <w:spacing w:after="0" w:line="201" w:lineRule="exact"/>
        <w:rPr>
          <w:rFonts w:ascii="Arial" w:cs="Arial" w:eastAsia="Arial" w:hAnsi="Arial"/>
          <w:sz w:val="18"/>
          <w:szCs w:val="18"/>
          <w:color w:val="auto"/>
        </w:rPr>
      </w:pPr>
    </w:p>
    <w:p>
      <w:pPr>
        <w:ind w:left="1600" w:hanging="796"/>
        <w:spacing w:after="0" w:line="238" w:lineRule="auto"/>
        <w:tabs>
          <w:tab w:leader="none" w:pos="16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Modify the terms and conditions of any Award granted to Employees, Directors or Third-Party Service Providers outside the United States to comply with applicable foreign laws;</w:t>
      </w:r>
    </w:p>
    <w:p>
      <w:pPr>
        <w:spacing w:after="0" w:line="201" w:lineRule="exact"/>
        <w:rPr>
          <w:rFonts w:ascii="Arial" w:cs="Arial" w:eastAsia="Arial" w:hAnsi="Arial"/>
          <w:sz w:val="18"/>
          <w:szCs w:val="18"/>
          <w:color w:val="auto"/>
        </w:rPr>
      </w:pPr>
    </w:p>
    <w:p>
      <w:pPr>
        <w:jc w:val="both"/>
        <w:ind w:left="1600" w:hanging="796"/>
        <w:spacing w:after="0" w:line="236" w:lineRule="auto"/>
        <w:tabs>
          <w:tab w:leader="none" w:pos="16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Establish subplans and modify exercise procedures and other terms and procedures, to the extent such actions may be necessary or advisable. Any subplans and modifications to Plan terms and procedures established under this Section 23.8 by the Committee shall be attached to this Plan document as appendices;</w:t>
      </w:r>
    </w:p>
    <w:p>
      <w:pPr>
        <w:spacing w:after="0" w:line="200" w:lineRule="exact"/>
        <w:rPr>
          <w:rFonts w:ascii="Arial" w:cs="Arial" w:eastAsia="Arial" w:hAnsi="Arial"/>
          <w:sz w:val="18"/>
          <w:szCs w:val="18"/>
          <w:color w:val="auto"/>
        </w:rPr>
      </w:pPr>
    </w:p>
    <w:p>
      <w:pPr>
        <w:ind w:left="1600" w:hanging="796"/>
        <w:spacing w:after="0" w:line="238" w:lineRule="auto"/>
        <w:tabs>
          <w:tab w:leader="none" w:pos="16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Take any action, before or after an Award is made, that it deems advisable to obtain approval or comply with any necessary local government regulatory exemptions or approvals; and</w:t>
      </w:r>
    </w:p>
    <w:p>
      <w:pPr>
        <w:spacing w:after="0" w:line="201" w:lineRule="exact"/>
        <w:rPr>
          <w:rFonts w:ascii="Arial" w:cs="Arial" w:eastAsia="Arial" w:hAnsi="Arial"/>
          <w:sz w:val="18"/>
          <w:szCs w:val="18"/>
          <w:color w:val="auto"/>
        </w:rPr>
      </w:pPr>
    </w:p>
    <w:p>
      <w:pPr>
        <w:jc w:val="both"/>
        <w:ind w:left="1600" w:hanging="796"/>
        <w:spacing w:after="0" w:line="236" w:lineRule="auto"/>
        <w:tabs>
          <w:tab w:leader="none" w:pos="16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Provide for a longer term for Nonqualified Stock Options and SARs granted to Participants outside the United States to accommodate regulations in non-U.S. jurisdictions that require a minimum exercise or vesting period following a participant’s death.</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21" w:name="page122"/>
    <w:bookmarkEnd w:id="121"/>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jc w:val="both"/>
        <w:ind w:firstLine="802"/>
        <w:spacing w:after="0" w:line="233" w:lineRule="auto"/>
        <w:rPr>
          <w:sz w:val="20"/>
          <w:szCs w:val="20"/>
          <w:color w:val="auto"/>
        </w:rPr>
      </w:pPr>
      <w:r>
        <w:rPr>
          <w:rFonts w:ascii="Arial" w:cs="Arial" w:eastAsia="Arial" w:hAnsi="Arial"/>
          <w:sz w:val="18"/>
          <w:szCs w:val="18"/>
          <w:color w:val="auto"/>
        </w:rPr>
        <w:t>Notwithstanding the above, the Committee may not take any actions hereunder, and no Awards shall be granted, that would violate applicable law. The Committee will have no authority, however, to take action pursuant to this Section 23.8: (i) to reserve shares or grant Awards in excess of the limitations provided in Section 4.1; (ii) in violation of Section 19.1(b); (iii) to grant Options or Stock Appreciation Rights having an Option Price or Grant Price in violation of Section 6.3 or 7.3, as the case may be; or (iv) for which shareholder approval would then be required pursuant to Code Section 422 or the rules of the New York Stock Exchange (or other applicable exchange or market on which the Company’s Shares may be traded or quoted).</w:t>
      </w:r>
    </w:p>
    <w:p>
      <w:pPr>
        <w:spacing w:after="0" w:line="182" w:lineRule="exact"/>
        <w:rPr>
          <w:sz w:val="20"/>
          <w:szCs w:val="20"/>
          <w:color w:val="auto"/>
        </w:rPr>
      </w:pPr>
    </w:p>
    <w:p>
      <w:pPr>
        <w:jc w:val="both"/>
        <w:ind w:firstLine="802"/>
        <w:spacing w:after="0" w:line="236" w:lineRule="auto"/>
        <w:rPr>
          <w:sz w:val="20"/>
          <w:szCs w:val="20"/>
          <w:color w:val="auto"/>
        </w:rPr>
      </w:pPr>
      <w:r>
        <w:rPr>
          <w:rFonts w:ascii="Arial" w:cs="Arial" w:eastAsia="Arial" w:hAnsi="Arial"/>
          <w:sz w:val="18"/>
          <w:szCs w:val="18"/>
          <w:b w:val="1"/>
          <w:bCs w:val="1"/>
          <w:color w:val="auto"/>
        </w:rPr>
        <w:t>23.9 Unfunded Plan</w:t>
      </w:r>
      <w:r>
        <w:rPr>
          <w:rFonts w:ascii="Arial" w:cs="Arial" w:eastAsia="Arial" w:hAnsi="Arial"/>
          <w:sz w:val="18"/>
          <w:szCs w:val="18"/>
          <w:color w:val="auto"/>
        </w:rPr>
        <w:t>. Participants shall have no right, title or interest whatsoever in or to any investments that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its Subsidiaries or its Affiliates may make to aid it in meeting its obligations under this Plan. Nothing contained in this Plan, and no action taken pursuant to its provisions, shall create or be construed to create a trust of any kind, or a fiduciary relationship between the Company and any Participant, beneficiary, legal representative, or any other individual. To the extent that any individual acquires a right to receive payments from the Company or any Affiliate or Subsidiary under this Plan, such right shall be no greater than the right of an unsecured general creditor of the Company or the Subsidiary or Affiliate, as the case may be. All payments to be made hereunder shall be paid from the general funds of the Company, or the Subsidiary or Affiliate, as the case may be and no special or separate fund shall be established and no segregation of assets shall be made to assure payment of such amounts except as expressly set forth in this Plan.</w:t>
      </w:r>
    </w:p>
    <w:p>
      <w:pPr>
        <w:spacing w:after="0" w:line="180" w:lineRule="exact"/>
        <w:rPr>
          <w:sz w:val="20"/>
          <w:szCs w:val="20"/>
          <w:color w:val="auto"/>
        </w:rPr>
      </w:pPr>
    </w:p>
    <w:p>
      <w:pPr>
        <w:jc w:val="both"/>
        <w:ind w:firstLine="802"/>
        <w:spacing w:after="0" w:line="241" w:lineRule="auto"/>
        <w:rPr>
          <w:sz w:val="20"/>
          <w:szCs w:val="20"/>
          <w:color w:val="auto"/>
        </w:rPr>
      </w:pPr>
      <w:r>
        <w:rPr>
          <w:rFonts w:ascii="Arial" w:cs="Arial" w:eastAsia="Arial" w:hAnsi="Arial"/>
          <w:sz w:val="18"/>
          <w:szCs w:val="18"/>
          <w:b w:val="1"/>
          <w:bCs w:val="1"/>
          <w:color w:val="auto"/>
        </w:rPr>
        <w:t>23.10 Fractional Shares</w:t>
      </w:r>
      <w:r>
        <w:rPr>
          <w:rFonts w:ascii="Arial" w:cs="Arial" w:eastAsia="Arial" w:hAnsi="Arial"/>
          <w:sz w:val="18"/>
          <w:szCs w:val="18"/>
          <w:color w:val="auto"/>
        </w:rPr>
        <w:t>. The Company may issue or deliver fractional Shares pursuant to this Plan or any Award. If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in its discretion decides not to issue or deliver fractional shares, then the Committee shall determine whether cash, Awards or other property shall be issued or paid in lieu of fractional Shares or whether such fractional Shares or any rights thereto shall be forfeited or otherwise eliminated.</w:t>
      </w:r>
    </w:p>
    <w:p>
      <w:pPr>
        <w:spacing w:after="0" w:line="179" w:lineRule="exact"/>
        <w:rPr>
          <w:sz w:val="20"/>
          <w:szCs w:val="20"/>
          <w:color w:val="auto"/>
        </w:rPr>
      </w:pPr>
    </w:p>
    <w:p>
      <w:pPr>
        <w:jc w:val="both"/>
        <w:ind w:firstLine="802"/>
        <w:spacing w:after="0" w:line="241" w:lineRule="auto"/>
        <w:rPr>
          <w:sz w:val="20"/>
          <w:szCs w:val="20"/>
          <w:color w:val="auto"/>
        </w:rPr>
      </w:pPr>
      <w:r>
        <w:rPr>
          <w:rFonts w:ascii="Arial" w:cs="Arial" w:eastAsia="Arial" w:hAnsi="Arial"/>
          <w:sz w:val="18"/>
          <w:szCs w:val="18"/>
          <w:b w:val="1"/>
          <w:bCs w:val="1"/>
          <w:color w:val="auto"/>
        </w:rPr>
        <w:t>23.11 Retirement and Welfare Plans</w:t>
      </w:r>
      <w:r>
        <w:rPr>
          <w:rFonts w:ascii="Arial" w:cs="Arial" w:eastAsia="Arial" w:hAnsi="Arial"/>
          <w:sz w:val="18"/>
          <w:szCs w:val="18"/>
          <w:color w:val="auto"/>
        </w:rPr>
        <w:t>. Neither Awards made under this Plan nor Shares or cash paid pursuant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Awards may be included as “compensation” for purposes of computing the benefits payable to any Participant under the Company’s or any Subsidiary’s or Affiliate’s retirement plans (both qualified and nonqualified) or welfare benefit plans unless such other plan expressly provides that such compensation shall be taken into account in computing a Participant’s benefit.</w:t>
      </w:r>
    </w:p>
    <w:p>
      <w:pPr>
        <w:spacing w:after="0" w:line="179" w:lineRule="exact"/>
        <w:rPr>
          <w:sz w:val="20"/>
          <w:szCs w:val="20"/>
          <w:color w:val="auto"/>
        </w:rPr>
      </w:pPr>
    </w:p>
    <w:p>
      <w:pPr>
        <w:ind w:left="800"/>
        <w:spacing w:after="0"/>
        <w:tabs>
          <w:tab w:leader="none" w:pos="1880" w:val="left"/>
        </w:tabs>
        <w:rPr>
          <w:sz w:val="20"/>
          <w:szCs w:val="20"/>
          <w:color w:val="auto"/>
        </w:rPr>
      </w:pPr>
      <w:r>
        <w:rPr>
          <w:rFonts w:ascii="Arial" w:cs="Arial" w:eastAsia="Arial" w:hAnsi="Arial"/>
          <w:sz w:val="18"/>
          <w:szCs w:val="18"/>
          <w:b w:val="1"/>
          <w:bCs w:val="1"/>
          <w:color w:val="auto"/>
        </w:rPr>
        <w:t>23.12</w:t>
      </w:r>
      <w:r>
        <w:rPr>
          <w:sz w:val="20"/>
          <w:szCs w:val="20"/>
          <w:color w:val="auto"/>
        </w:rPr>
        <w:tab/>
      </w:r>
      <w:r>
        <w:rPr>
          <w:rFonts w:ascii="Arial" w:cs="Arial" w:eastAsia="Arial" w:hAnsi="Arial"/>
          <w:sz w:val="17"/>
          <w:szCs w:val="17"/>
          <w:b w:val="1"/>
          <w:bCs w:val="1"/>
          <w:color w:val="auto"/>
        </w:rPr>
        <w:t>Deferred Compensation</w:t>
      </w:r>
      <w:r>
        <w:rPr>
          <w:rFonts w:ascii="Arial" w:cs="Arial" w:eastAsia="Arial" w:hAnsi="Arial"/>
          <w:sz w:val="17"/>
          <w:szCs w:val="17"/>
          <w:color w:val="auto"/>
        </w:rPr>
        <w:t>.</w:t>
      </w:r>
    </w:p>
    <w:p>
      <w:pPr>
        <w:spacing w:after="0" w:line="227" w:lineRule="exact"/>
        <w:rPr>
          <w:sz w:val="20"/>
          <w:szCs w:val="20"/>
          <w:color w:val="auto"/>
        </w:rPr>
      </w:pPr>
    </w:p>
    <w:p>
      <w:pPr>
        <w:jc w:val="both"/>
        <w:ind w:left="1600" w:hanging="796"/>
        <w:spacing w:after="0" w:line="233" w:lineRule="auto"/>
        <w:tabs>
          <w:tab w:leader="none" w:pos="16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Committee may grant Awards under this Plan that provide for the deferral of compensation within the meaning of Code Section 409A. If an Award is not by its terms exempt from the requirements of Code Section 409A, then the applicable Award Agreement shall contain terms and conditions necessary to avoid the adverse tax consequences specified in Code Section 409A. It is intended that such Awards comply with the requirements of Code Section 409A so that amounts deferred thereunder are not includible in income and are not subject to an additional tax of twenty percent (20%) at the time the deferred amounts are no longer subject to a substantial risk of forfeiture.</w:t>
      </w:r>
    </w:p>
    <w:p>
      <w:pPr>
        <w:spacing w:after="0" w:line="203" w:lineRule="exact"/>
        <w:rPr>
          <w:rFonts w:ascii="Arial" w:cs="Arial" w:eastAsia="Arial" w:hAnsi="Arial"/>
          <w:sz w:val="18"/>
          <w:szCs w:val="18"/>
          <w:color w:val="auto"/>
        </w:rPr>
      </w:pPr>
    </w:p>
    <w:p>
      <w:pPr>
        <w:jc w:val="both"/>
        <w:ind w:left="1600" w:hanging="796"/>
        <w:spacing w:after="0" w:line="233" w:lineRule="auto"/>
        <w:tabs>
          <w:tab w:leader="none" w:pos="16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Notwithstanding any provision of this Plan or Award Agreement to the contrary, if one or more of the payments or benefits to be received by a Participant pursuant to an Award would constitute deferred compensation subject to Code Section 409A and would cause the Participant to incur any penalty tax or interest under Code Section 409A or any regulations or Treasury guidance promulgated thereunder, the Committee may unilaterally reform this Plan and any Award Agreement to comply with the requirements of Code Section 409A and to the extent practicable maintain the original intent of this Plan and Award Agreement. By accepting an Award under this Plan, a Participant agrees to any amendments to the Award made pursuant to this Section 23.12(b) without further consideration or action.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jc w:val="both"/>
        <w:ind w:left="1600" w:hanging="796"/>
        <w:spacing w:after="0" w:line="232" w:lineRule="auto"/>
        <w:tabs>
          <w:tab w:leader="none" w:pos="16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With respect to an Award that constitutes a deferral of compensation subject to Code Section 409A: (i) if any amount is payable under such Award upon a termination of service, a termination of service will be treated as having occurred only at such time the Participant has experienced a “separation from service” as such term is defined for purposes of Code Section 409A; (ii) if any amount is payable under such Award upon a Disability, a Disability will be treated as having occurred only at such time the Participant has experienced a “disability” as such term is defined for purposes of Code Section 409A; (iii) if any amount is payable under such Award on account of the occurrence of a Change of Control, a Change of Control will be treated as having occurred only at such time a “change in the ownership or effective control of the corporation or in the ownership of a substantial portion of the assets of the corporation” as such terms are defined for purposes of Code Section 409A, and (iv) if any amount becomes payable under such Award on account of a Participant’s separation from service at such time as the Participant is a “specified employee” within the meaning of Code Section 409A, then no payment shall be made, except as permitted under Code Section 409A, prior to the first business day after the earlier of (y) the date that is six months after the date of the Participant’s separation from service or (z) the Participant’s death.</w:t>
      </w:r>
    </w:p>
    <w:p>
      <w:pPr>
        <w:spacing w:after="0" w:line="182"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b w:val="1"/>
          <w:bCs w:val="1"/>
          <w:color w:val="auto"/>
        </w:rPr>
        <w:t>23.13 Nonexclusivity of this Plan</w:t>
      </w:r>
      <w:r>
        <w:rPr>
          <w:rFonts w:ascii="Arial" w:cs="Arial" w:eastAsia="Arial" w:hAnsi="Arial"/>
          <w:sz w:val="18"/>
          <w:szCs w:val="18"/>
          <w:color w:val="auto"/>
        </w:rPr>
        <w:t>. The adoption of this Plan shall not be construed as creating any limitations on the power</w:t>
      </w:r>
      <w:r>
        <w:rPr>
          <w:rFonts w:ascii="Arial" w:cs="Arial" w:eastAsia="Arial" w:hAnsi="Arial"/>
          <w:sz w:val="18"/>
          <w:szCs w:val="18"/>
          <w:b w:val="1"/>
          <w:bCs w:val="1"/>
          <w:color w:val="auto"/>
        </w:rPr>
        <w:t xml:space="preserve"> </w:t>
      </w:r>
      <w:r>
        <w:rPr>
          <w:rFonts w:ascii="Arial" w:cs="Arial" w:eastAsia="Arial" w:hAnsi="Arial"/>
          <w:sz w:val="18"/>
          <w:szCs w:val="18"/>
          <w:color w:val="auto"/>
        </w:rPr>
        <w:t>of the Board or Committee to adopt such other compensation arrangements as it may deem desirable for any Participant.</w:t>
      </w:r>
    </w:p>
    <w:p>
      <w:pPr>
        <w:spacing w:after="0" w:line="158" w:lineRule="exact"/>
        <w:rPr>
          <w:sz w:val="20"/>
          <w:szCs w:val="20"/>
          <w:color w:val="auto"/>
        </w:rPr>
      </w:pPr>
    </w:p>
    <w:p>
      <w:pPr>
        <w:jc w:val="both"/>
        <w:ind w:firstLine="802"/>
        <w:spacing w:after="0" w:line="241" w:lineRule="auto"/>
        <w:rPr>
          <w:sz w:val="20"/>
          <w:szCs w:val="20"/>
          <w:color w:val="auto"/>
        </w:rPr>
      </w:pPr>
      <w:r>
        <w:rPr>
          <w:rFonts w:ascii="Arial" w:cs="Arial" w:eastAsia="Arial" w:hAnsi="Arial"/>
          <w:sz w:val="18"/>
          <w:szCs w:val="18"/>
          <w:b w:val="1"/>
          <w:bCs w:val="1"/>
          <w:color w:val="auto"/>
        </w:rPr>
        <w:t>23.14 Effect on Existing Agreements</w:t>
      </w:r>
      <w:r>
        <w:rPr>
          <w:rFonts w:ascii="Arial" w:cs="Arial" w:eastAsia="Arial" w:hAnsi="Arial"/>
          <w:sz w:val="18"/>
          <w:szCs w:val="18"/>
          <w:color w:val="auto"/>
        </w:rPr>
        <w:t>. Nothing in this Plan is intended to abrogate the rights of any Participant under any</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 or agreement existing between the Participant and the Company or any Subsidiary, or any subsequent amendments or modifications of such contract or agreement, and all Awards granted under this Plan and actions taken with respect to this Plan shall be subject to the terms of any contract or agreement between the Participant and the Company.</w:t>
      </w:r>
    </w:p>
    <w:p>
      <w:pPr>
        <w:spacing w:after="0" w:line="179" w:lineRule="exact"/>
        <w:rPr>
          <w:sz w:val="20"/>
          <w:szCs w:val="20"/>
          <w:color w:val="auto"/>
        </w:rPr>
      </w:pPr>
    </w:p>
    <w:p>
      <w:pPr>
        <w:jc w:val="both"/>
        <w:ind w:firstLine="802"/>
        <w:spacing w:after="0" w:line="241" w:lineRule="auto"/>
        <w:rPr>
          <w:sz w:val="20"/>
          <w:szCs w:val="20"/>
          <w:color w:val="auto"/>
        </w:rPr>
      </w:pPr>
      <w:r>
        <w:rPr>
          <w:rFonts w:ascii="Arial" w:cs="Arial" w:eastAsia="Arial" w:hAnsi="Arial"/>
          <w:sz w:val="18"/>
          <w:szCs w:val="18"/>
          <w:b w:val="1"/>
          <w:bCs w:val="1"/>
          <w:color w:val="auto"/>
        </w:rPr>
        <w:t>23.15 No Constraint on Corporate Action</w:t>
      </w:r>
      <w:r>
        <w:rPr>
          <w:rFonts w:ascii="Arial" w:cs="Arial" w:eastAsia="Arial" w:hAnsi="Arial"/>
          <w:sz w:val="18"/>
          <w:szCs w:val="18"/>
          <w:color w:val="auto"/>
        </w:rPr>
        <w:t>. Nothing in this Plan shall be construed to: (a) limit, impair or otherwise affect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or a Subsidiary’s or an Affiliate’s right or power to make adjustments, reclassifications, reorganizations or changes of its capital or business structure, or to merge or consolidate or dissolve, liquidate, sell or transfer all or any part of its business or assets; or (b) limit the right or power of the Company or a Subsidiary or an Affiliate to take any action which such entity deems to be necessary or appropriate.</w:t>
      </w:r>
    </w:p>
    <w:p>
      <w:pPr>
        <w:spacing w:after="0" w:line="179" w:lineRule="exact"/>
        <w:rPr>
          <w:sz w:val="20"/>
          <w:szCs w:val="20"/>
          <w:color w:val="auto"/>
        </w:rPr>
      </w:pPr>
    </w:p>
    <w:p>
      <w:pPr>
        <w:jc w:val="both"/>
        <w:ind w:firstLine="802"/>
        <w:spacing w:after="0" w:line="239" w:lineRule="auto"/>
        <w:rPr>
          <w:sz w:val="20"/>
          <w:szCs w:val="20"/>
          <w:color w:val="auto"/>
        </w:rPr>
      </w:pPr>
      <w:r>
        <w:rPr>
          <w:rFonts w:ascii="Arial" w:cs="Arial" w:eastAsia="Arial" w:hAnsi="Arial"/>
          <w:sz w:val="18"/>
          <w:szCs w:val="18"/>
          <w:b w:val="1"/>
          <w:bCs w:val="1"/>
          <w:color w:val="auto"/>
        </w:rPr>
        <w:t>23.16 Governing Law; Venue</w:t>
      </w:r>
      <w:r>
        <w:rPr>
          <w:rFonts w:ascii="Arial" w:cs="Arial" w:eastAsia="Arial" w:hAnsi="Arial"/>
          <w:sz w:val="18"/>
          <w:szCs w:val="18"/>
          <w:color w:val="auto"/>
        </w:rPr>
        <w:t>. This Plan and each Award Agreement shall be governed by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excluding any conflicts or choice of law rule or principle that might otherwise refer construction or interpretation of this Plan to the substantive law of another jurisdiction. Unless otherwise provided in the Award Agreement, recipients of an Award under this Plan are deemed to submit to the exclusive jurisdiction and venue of the federal or state courts of Delaware to resolve any and all issues that may arise out of or relate to this Plan or any related Award Agreement.</w:t>
      </w:r>
    </w:p>
    <w:p>
      <w:pPr>
        <w:spacing w:after="0" w:line="179"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8"/>
          <w:szCs w:val="18"/>
          <w:b w:val="1"/>
          <w:bCs w:val="1"/>
          <w:color w:val="auto"/>
        </w:rPr>
        <w:t>23.17 Delivery and Execution of Electronic Documents</w:t>
      </w:r>
      <w:r>
        <w:rPr>
          <w:rFonts w:ascii="Arial" w:cs="Arial" w:eastAsia="Arial" w:hAnsi="Arial"/>
          <w:sz w:val="18"/>
          <w:szCs w:val="18"/>
          <w:color w:val="auto"/>
        </w:rPr>
        <w:t>. To the extent permitted by applicable law, the Company may: (a)</w:t>
      </w:r>
      <w:r>
        <w:rPr>
          <w:rFonts w:ascii="Arial" w:cs="Arial" w:eastAsia="Arial" w:hAnsi="Arial"/>
          <w:sz w:val="18"/>
          <w:szCs w:val="18"/>
          <w:b w:val="1"/>
          <w:bCs w:val="1"/>
          <w:color w:val="auto"/>
        </w:rPr>
        <w:t xml:space="preserve"> </w:t>
      </w:r>
      <w:r>
        <w:rPr>
          <w:rFonts w:ascii="Arial" w:cs="Arial" w:eastAsia="Arial" w:hAnsi="Arial"/>
          <w:sz w:val="18"/>
          <w:szCs w:val="18"/>
          <w:color w:val="auto"/>
        </w:rPr>
        <w:t>deliver by email or other electronic means (including posting on a Web site maintained by the Company or by a third party under contract with the Company) all documents relating to this Plan or any Award thereunder (including prospectuses required by the Securities and Exchange Commission) and all other documents that the Company is required to deliver to its security holders (including annual reports and proxy statements), and (b) permit Participants to electronically execute applicable Plan documents (including Award Agreements and notices of Option exercises) in a manner prescribed by the Committee.</w:t>
      </w:r>
    </w:p>
    <w:p>
      <w:pPr>
        <w:spacing w:after="0" w:line="178" w:lineRule="exact"/>
        <w:rPr>
          <w:sz w:val="20"/>
          <w:szCs w:val="20"/>
          <w:color w:val="auto"/>
        </w:rPr>
      </w:pPr>
    </w:p>
    <w:p>
      <w:pPr>
        <w:jc w:val="both"/>
        <w:ind w:firstLine="802"/>
        <w:spacing w:after="0" w:line="241" w:lineRule="auto"/>
        <w:rPr>
          <w:sz w:val="20"/>
          <w:szCs w:val="20"/>
          <w:color w:val="auto"/>
        </w:rPr>
      </w:pPr>
      <w:r>
        <w:rPr>
          <w:rFonts w:ascii="Arial" w:cs="Arial" w:eastAsia="Arial" w:hAnsi="Arial"/>
          <w:sz w:val="18"/>
          <w:szCs w:val="18"/>
          <w:b w:val="1"/>
          <w:bCs w:val="1"/>
          <w:color w:val="auto"/>
        </w:rPr>
        <w:t xml:space="preserve">23.18 Corporate Action Constituting Grant of Awards. </w:t>
      </w:r>
      <w:r>
        <w:rPr>
          <w:rFonts w:ascii="Arial" w:cs="Arial" w:eastAsia="Arial" w:hAnsi="Arial"/>
          <w:sz w:val="18"/>
          <w:szCs w:val="18"/>
          <w:color w:val="auto"/>
        </w:rPr>
        <w:t>Corporate action constituting a grant by the Company of an Award</w:t>
      </w:r>
      <w:r>
        <w:rPr>
          <w:rFonts w:ascii="Arial" w:cs="Arial" w:eastAsia="Arial" w:hAnsi="Arial"/>
          <w:sz w:val="18"/>
          <w:szCs w:val="18"/>
          <w:b w:val="1"/>
          <w:bCs w:val="1"/>
          <w:color w:val="auto"/>
        </w:rPr>
        <w:t xml:space="preserve"> </w:t>
      </w:r>
      <w:r>
        <w:rPr>
          <w:rFonts w:ascii="Arial" w:cs="Arial" w:eastAsia="Arial" w:hAnsi="Arial"/>
          <w:sz w:val="18"/>
          <w:szCs w:val="18"/>
          <w:color w:val="auto"/>
        </w:rPr>
        <w:t>to any Participant will be deemed completed as of the date of such corporate action, unless otherwise determined by the Committee, regardless of when the instrument, certificate or letter evidencing the Award is communicated to, or actually received or accepted by, the Participant. In the event that the corporate records (</w:t>
      </w:r>
      <w:r>
        <w:rPr>
          <w:rFonts w:ascii="Arial" w:cs="Arial" w:eastAsia="Arial" w:hAnsi="Arial"/>
          <w:sz w:val="18"/>
          <w:szCs w:val="18"/>
          <w:i w:val="1"/>
          <w:iCs w:val="1"/>
          <w:color w:val="auto"/>
        </w:rPr>
        <w:t>e.g</w:t>
      </w:r>
      <w:r>
        <w:rPr>
          <w:rFonts w:ascii="Arial" w:cs="Arial" w:eastAsia="Arial" w:hAnsi="Arial"/>
          <w:sz w:val="18"/>
          <w:szCs w:val="18"/>
          <w:color w:val="auto"/>
        </w:rPr>
        <w:t>., Board or Committee consents, resolutions or</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Table of Contents</w:t>
        </w:r>
      </w:hyperlink>
    </w:p>
    <w:p>
      <w:pPr>
        <w:jc w:val="both"/>
        <w:ind w:left="800"/>
        <w:spacing w:after="0" w:line="235" w:lineRule="auto"/>
        <w:rPr>
          <w:sz w:val="20"/>
          <w:szCs w:val="20"/>
          <w:color w:val="auto"/>
        </w:rPr>
      </w:pPr>
      <w:r>
        <w:rPr>
          <w:rFonts w:ascii="Arial" w:cs="Arial" w:eastAsia="Arial" w:hAnsi="Arial"/>
          <w:sz w:val="18"/>
          <w:szCs w:val="18"/>
          <w:color w:val="auto"/>
        </w:rPr>
        <w:t>minutes) documenting the corporate action constituting the grant contain terms (</w:t>
      </w:r>
      <w:r>
        <w:rPr>
          <w:rFonts w:ascii="Arial" w:cs="Arial" w:eastAsia="Arial" w:hAnsi="Arial"/>
          <w:sz w:val="18"/>
          <w:szCs w:val="18"/>
          <w:i w:val="1"/>
          <w:iCs w:val="1"/>
          <w:color w:val="auto"/>
        </w:rPr>
        <w:t>e.g</w:t>
      </w:r>
      <w:r>
        <w:rPr>
          <w:rFonts w:ascii="Arial" w:cs="Arial" w:eastAsia="Arial" w:hAnsi="Arial"/>
          <w:sz w:val="18"/>
          <w:szCs w:val="18"/>
          <w:color w:val="auto"/>
        </w:rPr>
        <w:t>., Option Price, vesting schedule or number of shares) that are inconsistent with those in the Award Agreement or related grant documents as a result of a clerical error in the papering of the Award Agreement or related grant documents, the corporate records will control and the Participant will have no legally binding right to the incorrect term in the Award Agreement or related grant documents.</w:t>
      </w:r>
    </w:p>
    <w:p>
      <w:pPr>
        <w:spacing w:after="0" w:line="178" w:lineRule="exact"/>
        <w:rPr>
          <w:sz w:val="20"/>
          <w:szCs w:val="20"/>
          <w:color w:val="auto"/>
        </w:rPr>
      </w:pPr>
    </w:p>
    <w:p>
      <w:pPr>
        <w:jc w:val="both"/>
        <w:ind w:firstLine="802"/>
        <w:spacing w:after="0" w:line="241" w:lineRule="auto"/>
        <w:rPr>
          <w:sz w:val="20"/>
          <w:szCs w:val="20"/>
          <w:color w:val="auto"/>
        </w:rPr>
      </w:pPr>
      <w:r>
        <w:rPr>
          <w:rFonts w:ascii="Arial" w:cs="Arial" w:eastAsia="Arial" w:hAnsi="Arial"/>
          <w:sz w:val="18"/>
          <w:szCs w:val="18"/>
          <w:b w:val="1"/>
          <w:bCs w:val="1"/>
          <w:color w:val="auto"/>
        </w:rPr>
        <w:t xml:space="preserve">23.19 Compliance with Section 16(b). </w:t>
      </w:r>
      <w:r>
        <w:rPr>
          <w:rFonts w:ascii="Arial" w:cs="Arial" w:eastAsia="Arial" w:hAnsi="Arial"/>
          <w:sz w:val="18"/>
          <w:szCs w:val="18"/>
          <w:color w:val="auto"/>
        </w:rPr>
        <w:t>With respect to Participants who are Insiders, all transactions under this Plan are</w:t>
      </w:r>
      <w:r>
        <w:rPr>
          <w:rFonts w:ascii="Arial" w:cs="Arial" w:eastAsia="Arial" w:hAnsi="Arial"/>
          <w:sz w:val="18"/>
          <w:szCs w:val="18"/>
          <w:b w:val="1"/>
          <w:bCs w:val="1"/>
          <w:color w:val="auto"/>
        </w:rPr>
        <w:t xml:space="preserve"> </w:t>
      </w:r>
      <w:r>
        <w:rPr>
          <w:rFonts w:ascii="Arial" w:cs="Arial" w:eastAsia="Arial" w:hAnsi="Arial"/>
          <w:sz w:val="18"/>
          <w:szCs w:val="18"/>
          <w:color w:val="auto"/>
        </w:rPr>
        <w:t>intended to comply with all applicable conditions of Rule 16b-3 under the Exchange Act. All transactions under this Plan involving Insiders are subject to such conditions, regardless of whether the conditions are expressly set forth in this Plan. Any provision of this Plan that is contrary to a condition of Rule 16b-3 shall not apply to such Insiders.</w:t>
      </w:r>
    </w:p>
    <w:p>
      <w:pPr>
        <w:spacing w:after="0" w:line="179" w:lineRule="exact"/>
        <w:rPr>
          <w:sz w:val="20"/>
          <w:szCs w:val="20"/>
          <w:color w:val="auto"/>
        </w:rPr>
      </w:pPr>
    </w:p>
    <w:p>
      <w:pPr>
        <w:jc w:val="both"/>
        <w:ind w:firstLine="802"/>
        <w:spacing w:after="0" w:line="239" w:lineRule="auto"/>
        <w:rPr>
          <w:sz w:val="20"/>
          <w:szCs w:val="20"/>
          <w:color w:val="auto"/>
        </w:rPr>
      </w:pPr>
      <w:r>
        <w:rPr>
          <w:rFonts w:ascii="Arial" w:cs="Arial" w:eastAsia="Arial" w:hAnsi="Arial"/>
          <w:sz w:val="18"/>
          <w:szCs w:val="18"/>
          <w:b w:val="1"/>
          <w:bCs w:val="1"/>
          <w:color w:val="auto"/>
        </w:rPr>
        <w:t>23.20 No Representations or Warranties Regarding Tax Effect</w:t>
      </w:r>
      <w:r>
        <w:rPr>
          <w:rFonts w:ascii="Arial" w:cs="Arial" w:eastAsia="Arial" w:hAnsi="Arial"/>
          <w:sz w:val="18"/>
          <w:szCs w:val="18"/>
          <w:color w:val="auto"/>
        </w:rPr>
        <w:t>. Notwithstanding any provision of this Plan to the contrary,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its Affiliates and Subsidiaries, the Board and the Committee neither represent nor warrant the tax treatment under any federal, state, provincial, local, foreign or other laws and regulations thereunder (individually and collectively referred to as the “Tax Laws”) of any Award granted or any amounts paid to any Participant under this Plan including when and to what extent such Awards or amounts may be subject to tax, penalties and interest under the Tax Laws.</w:t>
      </w:r>
    </w:p>
    <w:p>
      <w:pPr>
        <w:spacing w:after="0" w:line="179" w:lineRule="exact"/>
        <w:rPr>
          <w:sz w:val="20"/>
          <w:szCs w:val="20"/>
          <w:color w:val="auto"/>
        </w:rPr>
      </w:pPr>
    </w:p>
    <w:p>
      <w:pPr>
        <w:jc w:val="both"/>
        <w:ind w:firstLine="802"/>
        <w:spacing w:after="0" w:line="234" w:lineRule="auto"/>
        <w:rPr>
          <w:sz w:val="20"/>
          <w:szCs w:val="20"/>
          <w:color w:val="auto"/>
        </w:rPr>
      </w:pPr>
      <w:r>
        <w:rPr>
          <w:rFonts w:ascii="Arial" w:cs="Arial" w:eastAsia="Arial" w:hAnsi="Arial"/>
          <w:sz w:val="18"/>
          <w:szCs w:val="18"/>
          <w:b w:val="1"/>
          <w:bCs w:val="1"/>
          <w:color w:val="auto"/>
        </w:rPr>
        <w:t>23.21 Indemnification</w:t>
      </w:r>
      <w:r>
        <w:rPr>
          <w:rFonts w:ascii="Arial" w:cs="Arial" w:eastAsia="Arial" w:hAnsi="Arial"/>
          <w:sz w:val="18"/>
          <w:szCs w:val="18"/>
          <w:color w:val="auto"/>
        </w:rPr>
        <w:t>. Subject to any limitations and requirements of Delaware law, each individual who is or shall have</w:t>
      </w:r>
      <w:r>
        <w:rPr>
          <w:rFonts w:ascii="Arial" w:cs="Arial" w:eastAsia="Arial" w:hAnsi="Arial"/>
          <w:sz w:val="18"/>
          <w:szCs w:val="18"/>
          <w:b w:val="1"/>
          <w:bCs w:val="1"/>
          <w:color w:val="auto"/>
        </w:rPr>
        <w:t xml:space="preserve"> </w:t>
      </w:r>
      <w:r>
        <w:rPr>
          <w:rFonts w:ascii="Arial" w:cs="Arial" w:eastAsia="Arial" w:hAnsi="Arial"/>
          <w:sz w:val="18"/>
          <w:szCs w:val="18"/>
          <w:color w:val="auto"/>
        </w:rPr>
        <w:t>been a member of the Board, or a Committee appointed by the Board, or an officer or Employee of the Company to whom authority was delegated in accordance with Article 3 and acting in good faith,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this Plan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his/her own behalf, unless such loss, cost, liability or expense is a result of his/her own willful misconduct or except as expressly provided by statute. The foregoing right of indemnification shall not be exclusive of any other rights of indemnification to which such individuals may be entitled under the Company’s Restated Certificate of Incorporation, as amended, or Amended and Restated Bylaws, as each may be amended from time to time, as a matter of law, or otherwise, or any power that the Company may have to indemnify them or hold them harmless.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50800</wp:posOffset>
            </wp:positionV>
            <wp:extent cx="717677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4" w:name="page125"/>
    <w:bookmarkEnd w:id="1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494030</wp:posOffset>
            </wp:positionV>
            <wp:extent cx="7176770" cy="76536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6770" cy="7653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1026160</wp:posOffset>
            </wp:positionH>
            <wp:positionV relativeFrom="page">
              <wp:posOffset>494030</wp:posOffset>
            </wp:positionV>
            <wp:extent cx="5504815" cy="7117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clrChange>
                        <a:clrFrom>
                          <a:srgbClr val="FFFFFF"/>
                        </a:clrFrom>
                        <a:clrTo>
                          <a:srgbClr val="FFFFFF">
                            <a:alpha val="0"/>
                          </a:srgbClr>
                        </a:clrTo>
                      </a:clrChange>
                      <a:extLst>
                        <a:ext uri="{28A0092B-C50C-407E-A947-70E740481C1C}"/>
                      </a:extLst>
                    </a:blip>
                    <a:srcRect/>
                    <a:stretch>
                      <a:fillRect/>
                    </a:stretch>
                  </pic:blipFill>
                  <pic:spPr bwMode="auto">
                    <a:xfrm>
                      <a:off x="0" y="0"/>
                      <a:ext cx="5504815" cy="71177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
      <w:numFmt w:val="bullet"/>
      <w:start w:val="1"/>
    </w:lvl>
    <w:lvl w:ilvl="1">
      <w:lvlJc w:val="left"/>
      <w:lvlText w:val="(%2)"/>
      <w:numFmt w:val="decimal"/>
      <w:start w:val="1"/>
    </w:lvl>
  </w:abstractNum>
  <w:abstractNum w:abstractNumId="3">
    <w:nsid w:val="354FE9F9"/>
    <w:multiLevelType w:val="hybridMultilevel"/>
    <w:lvl w:ilvl="0">
      <w:lvlJc w:val="left"/>
      <w:lvlText w:val="%1."/>
      <w:numFmt w:val="decimal"/>
      <w:start w:val="2"/>
    </w:lvl>
  </w:abstractNum>
  <w:abstractNum w:abstractNumId="4">
    <w:nsid w:val="15B5AF5C"/>
    <w:multiLevelType w:val="hybridMultilevel"/>
    <w:lvl w:ilvl="0">
      <w:lvlJc w:val="left"/>
      <w:lvlText w:val="•"/>
      <w:numFmt w:val="bullet"/>
      <w:start w:val="1"/>
    </w:lvl>
  </w:abstractNum>
  <w:abstractNum w:abstractNumId="5">
    <w:nsid w:val="741226BB"/>
    <w:multiLevelType w:val="hybridMultilevel"/>
    <w:lvl w:ilvl="0">
      <w:lvlJc w:val="left"/>
      <w:lvlText w:val="✓"/>
      <w:numFmt w:val="bullet"/>
      <w:start w:val="1"/>
    </w:lvl>
  </w:abstractNum>
  <w:abstractNum w:abstractNumId="6">
    <w:nsid w:val="D34B6A8"/>
    <w:multiLevelType w:val="hybridMultilevel"/>
    <w:lvl w:ilvl="0">
      <w:lvlJc w:val="left"/>
      <w:lvlText w:val="✓"/>
      <w:numFmt w:val="bullet"/>
      <w:start w:val="1"/>
    </w:lvl>
  </w:abstractNum>
  <w:abstractNum w:abstractNumId="7">
    <w:nsid w:val="10233C99"/>
    <w:multiLevelType w:val="hybridMultilevel"/>
    <w:lvl w:ilvl="0">
      <w:lvlJc w:val="left"/>
      <w:lvlText w:val="(%1)"/>
      <w:numFmt w:val="decimal"/>
      <w:start w:val="1"/>
    </w:lvl>
  </w:abstractNum>
  <w:abstractNum w:abstractNumId="8">
    <w:nsid w:val="3F6AB60F"/>
    <w:multiLevelType w:val="hybridMultilevel"/>
    <w:lvl w:ilvl="0">
      <w:lvlJc w:val="left"/>
      <w:lvlText w:val="(%1)"/>
      <w:numFmt w:val="decimal"/>
      <w:start w:val="1"/>
    </w:lvl>
  </w:abstractNum>
  <w:abstractNum w:abstractNumId="9">
    <w:nsid w:val="61574095"/>
    <w:multiLevelType w:val="hybridMultilevel"/>
    <w:lvl w:ilvl="0">
      <w:lvlJc w:val="left"/>
      <w:lvlText w:val="•"/>
      <w:numFmt w:val="bullet"/>
      <w:start w:val="1"/>
    </w:lvl>
  </w:abstractNum>
  <w:abstractNum w:abstractNumId="10">
    <w:nsid w:val="7E0C57B1"/>
    <w:multiLevelType w:val="hybridMultilevel"/>
    <w:lvl w:ilvl="0">
      <w:lvlJc w:val="left"/>
      <w:lvlText w:val="•"/>
      <w:numFmt w:val="bullet"/>
      <w:start w:val="1"/>
    </w:lvl>
  </w:abstractNum>
  <w:abstractNum w:abstractNumId="11">
    <w:nsid w:val="77AE35EB"/>
    <w:multiLevelType w:val="hybridMultilevel"/>
    <w:lvl w:ilvl="0">
      <w:lvlJc w:val="left"/>
      <w:lvlText w:val="•"/>
      <w:numFmt w:val="bullet"/>
      <w:start w:val="1"/>
    </w:lvl>
  </w:abstractNum>
  <w:abstractNum w:abstractNumId="12">
    <w:nsid w:val="579BE4F1"/>
    <w:multiLevelType w:val="hybridMultilevel"/>
    <w:lvl w:ilvl="0">
      <w:lvlJc w:val="left"/>
      <w:lvlText w:val="(%1)"/>
      <w:numFmt w:val="lowerRoman"/>
      <w:start w:val="3"/>
    </w:lvl>
  </w:abstractNum>
  <w:abstractNum w:abstractNumId="13">
    <w:nsid w:val="310C50B3"/>
    <w:multiLevelType w:val="hybridMultilevel"/>
    <w:lvl w:ilvl="0">
      <w:lvlJc w:val="left"/>
      <w:lvlText w:val="•"/>
      <w:numFmt w:val="bullet"/>
      <w:start w:val="1"/>
    </w:lvl>
  </w:abstractNum>
  <w:abstractNum w:abstractNumId="14">
    <w:nsid w:val="5FF87E05"/>
    <w:multiLevelType w:val="hybridMultilevel"/>
    <w:lvl w:ilvl="0">
      <w:lvlJc w:val="left"/>
      <w:lvlText w:val="•"/>
      <w:numFmt w:val="bullet"/>
      <w:start w:val="1"/>
    </w:lvl>
  </w:abstractNum>
  <w:abstractNum w:abstractNumId="15">
    <w:nsid w:val="2F305DEF"/>
    <w:multiLevelType w:val="hybridMultilevel"/>
    <w:lvl w:ilvl="0">
      <w:lvlJc w:val="left"/>
      <w:lvlText w:val="&amp;"/>
      <w:numFmt w:val="bullet"/>
      <w:start w:val="1"/>
    </w:lvl>
  </w:abstractNum>
  <w:abstractNum w:abstractNumId="16">
    <w:nsid w:val="25A70BF7"/>
    <w:multiLevelType w:val="hybridMultilevel"/>
    <w:lvl w:ilvl="0">
      <w:lvlJc w:val="left"/>
      <w:lvlText w:val="•"/>
      <w:numFmt w:val="bullet"/>
      <w:start w:val="1"/>
    </w:lvl>
  </w:abstractNum>
  <w:abstractNum w:abstractNumId="17">
    <w:nsid w:val="1DBABF00"/>
    <w:multiLevelType w:val="hybridMultilevel"/>
    <w:lvl w:ilvl="0">
      <w:lvlJc w:val="left"/>
      <w:lvlText w:val="•"/>
      <w:numFmt w:val="bullet"/>
      <w:start w:val="1"/>
    </w:lvl>
  </w:abstractNum>
  <w:abstractNum w:abstractNumId="18">
    <w:nsid w:val="4AD084E9"/>
    <w:multiLevelType w:val="hybridMultilevel"/>
    <w:lvl w:ilvl="0">
      <w:lvlJc w:val="left"/>
      <w:lvlText w:val="•"/>
      <w:numFmt w:val="bullet"/>
      <w:start w:val="1"/>
    </w:lvl>
  </w:abstractNum>
  <w:abstractNum w:abstractNumId="19">
    <w:nsid w:val="1F48EAA1"/>
    <w:multiLevelType w:val="hybridMultilevel"/>
    <w:lvl w:ilvl="0">
      <w:lvlJc w:val="left"/>
      <w:lvlText w:val="•"/>
      <w:numFmt w:val="bullet"/>
      <w:start w:val="1"/>
    </w:lvl>
  </w:abstractNum>
  <w:abstractNum w:abstractNumId="20">
    <w:nsid w:val="1381823A"/>
    <w:multiLevelType w:val="hybridMultilevel"/>
    <w:lvl w:ilvl="0">
      <w:lvlJc w:val="left"/>
      <w:lvlText w:val="•"/>
      <w:numFmt w:val="bullet"/>
      <w:start w:val="1"/>
    </w:lvl>
  </w:abstractNum>
  <w:abstractNum w:abstractNumId="21">
    <w:nsid w:val="5DB70AE5"/>
    <w:multiLevelType w:val="hybridMultilevel"/>
    <w:lvl w:ilvl="0">
      <w:lvlJc w:val="left"/>
      <w:lvlText w:val="•"/>
      <w:numFmt w:val="bullet"/>
      <w:start w:val="1"/>
    </w:lvl>
  </w:abstractNum>
  <w:abstractNum w:abstractNumId="22">
    <w:nsid w:val="100F8FCA"/>
    <w:multiLevelType w:val="hybridMultilevel"/>
    <w:lvl w:ilvl="0">
      <w:lvlJc w:val="left"/>
      <w:lvlText w:val="•"/>
      <w:numFmt w:val="bullet"/>
      <w:start w:val="1"/>
    </w:lvl>
  </w:abstractNum>
  <w:abstractNum w:abstractNumId="23">
    <w:nsid w:val="6590700B"/>
    <w:multiLevelType w:val="hybridMultilevel"/>
    <w:lvl w:ilvl="0">
      <w:lvlJc w:val="left"/>
      <w:lvlText w:val="•"/>
      <w:numFmt w:val="bullet"/>
      <w:start w:val="1"/>
    </w:lvl>
  </w:abstractNum>
  <w:abstractNum w:abstractNumId="24">
    <w:nsid w:val="15014ACB"/>
    <w:multiLevelType w:val="hybridMultilevel"/>
    <w:lvl w:ilvl="0">
      <w:lvlJc w:val="left"/>
      <w:lvlText w:val="•"/>
      <w:numFmt w:val="bullet"/>
      <w:start w:val="1"/>
    </w:lvl>
  </w:abstractNum>
  <w:abstractNum w:abstractNumId="25">
    <w:nsid w:val="5F5E7FD0"/>
    <w:multiLevelType w:val="hybridMultilevel"/>
    <w:lvl w:ilvl="0">
      <w:lvlJc w:val="left"/>
      <w:lvlText w:val="•"/>
      <w:numFmt w:val="bullet"/>
      <w:start w:val="1"/>
    </w:lvl>
    <w:lvl w:ilvl="1">
      <w:lvlJc w:val="left"/>
      <w:lvlText w:val="−"/>
      <w:numFmt w:val="bullet"/>
      <w:start w:val="1"/>
    </w:lvl>
  </w:abstractNum>
  <w:abstractNum w:abstractNumId="26">
    <w:nsid w:val="98A3148"/>
    <w:multiLevelType w:val="hybridMultilevel"/>
    <w:lvl w:ilvl="0">
      <w:lvlJc w:val="left"/>
      <w:lvlText w:val="•"/>
      <w:numFmt w:val="bullet"/>
      <w:start w:val="1"/>
    </w:lvl>
  </w:abstractNum>
  <w:abstractNum w:abstractNumId="27">
    <w:nsid w:val="799D0247"/>
    <w:multiLevelType w:val="hybridMultilevel"/>
    <w:lvl w:ilvl="0">
      <w:lvlJc w:val="left"/>
      <w:lvlText w:val="•"/>
      <w:numFmt w:val="bullet"/>
      <w:start w:val="1"/>
    </w:lvl>
  </w:abstractNum>
  <w:abstractNum w:abstractNumId="28">
    <w:nsid w:val="6B94764"/>
    <w:multiLevelType w:val="hybridMultilevel"/>
    <w:lvl w:ilvl="0">
      <w:lvlJc w:val="left"/>
      <w:lvlText w:val="(%1)"/>
      <w:numFmt w:val="decimal"/>
      <w:start w:val="1"/>
    </w:lvl>
  </w:abstractNum>
  <w:abstractNum w:abstractNumId="29">
    <w:nsid w:val="42C296BD"/>
    <w:multiLevelType w:val="hybridMultilevel"/>
    <w:lvl w:ilvl="0">
      <w:lvlJc w:val="left"/>
      <w:lvlText w:val="(%1)"/>
      <w:numFmt w:val="decimal"/>
      <w:start w:val="6"/>
    </w:lvl>
  </w:abstractNum>
  <w:abstractNum w:abstractNumId="30">
    <w:nsid w:val="168E121F"/>
    <w:multiLevelType w:val="hybridMultilevel"/>
    <w:lvl w:ilvl="0">
      <w:lvlJc w:val="left"/>
      <w:lvlText w:val="(%1)"/>
      <w:numFmt w:val="decimal"/>
      <w:start w:val="1"/>
    </w:lvl>
  </w:abstractNum>
  <w:abstractNum w:abstractNumId="31">
    <w:nsid w:val="1EBA5D23"/>
    <w:multiLevelType w:val="hybridMultilevel"/>
    <w:lvl w:ilvl="0">
      <w:lvlJc w:val="left"/>
      <w:lvlText w:val="•"/>
      <w:numFmt w:val="bullet"/>
      <w:start w:val="1"/>
    </w:lvl>
  </w:abstractNum>
  <w:abstractNum w:abstractNumId="32">
    <w:nsid w:val="661E3F1E"/>
    <w:multiLevelType w:val="hybridMultilevel"/>
    <w:lvl w:ilvl="0">
      <w:lvlJc w:val="left"/>
      <w:lvlText w:val="•"/>
      <w:numFmt w:val="bullet"/>
      <w:start w:val="1"/>
    </w:lvl>
  </w:abstractNum>
  <w:abstractNum w:abstractNumId="33">
    <w:nsid w:val="5DC79EA8"/>
    <w:multiLevelType w:val="hybridMultilevel"/>
    <w:lvl w:ilvl="0">
      <w:lvlJc w:val="left"/>
      <w:lvlText w:val="•"/>
      <w:numFmt w:val="bullet"/>
      <w:start w:val="1"/>
    </w:lvl>
  </w:abstractNum>
  <w:abstractNum w:abstractNumId="34">
    <w:nsid w:val="540A471C"/>
    <w:multiLevelType w:val="hybridMultilevel"/>
    <w:lvl w:ilvl="0">
      <w:lvlJc w:val="left"/>
      <w:lvlText w:val="•"/>
      <w:numFmt w:val="bullet"/>
      <w:start w:val="1"/>
    </w:lvl>
  </w:abstractNum>
  <w:abstractNum w:abstractNumId="35">
    <w:nsid w:val="7BD3EE7B"/>
    <w:multiLevelType w:val="hybridMultilevel"/>
    <w:lvl w:ilvl="0">
      <w:lvlJc w:val="left"/>
      <w:lvlText w:val="•"/>
      <w:numFmt w:val="bullet"/>
      <w:start w:val="1"/>
    </w:lvl>
  </w:abstractNum>
  <w:abstractNum w:abstractNumId="36">
    <w:nsid w:val="51D9C564"/>
    <w:multiLevelType w:val="hybridMultilevel"/>
    <w:lvl w:ilvl="0">
      <w:lvlJc w:val="left"/>
      <w:lvlText w:val="(%1)"/>
      <w:numFmt w:val="decimal"/>
      <w:start w:val="1"/>
    </w:lvl>
  </w:abstractNum>
  <w:abstractNum w:abstractNumId="37">
    <w:nsid w:val="613EFDC5"/>
    <w:multiLevelType w:val="hybridMultilevel"/>
    <w:lvl w:ilvl="0">
      <w:lvlJc w:val="left"/>
      <w:lvlText w:val="•"/>
      <w:numFmt w:val="bullet"/>
      <w:start w:val="1"/>
    </w:lvl>
  </w:abstractNum>
  <w:abstractNum w:abstractNumId="38">
    <w:nsid w:val="BF72B14"/>
    <w:multiLevelType w:val="hybridMultilevel"/>
    <w:lvl w:ilvl="0">
      <w:lvlJc w:val="left"/>
      <w:lvlText w:val="•"/>
      <w:numFmt w:val="bullet"/>
      <w:start w:val="1"/>
    </w:lvl>
  </w:abstractNum>
  <w:abstractNum w:abstractNumId="39">
    <w:nsid w:val="11447B73"/>
    <w:multiLevelType w:val="hybridMultilevel"/>
    <w:lvl w:ilvl="0">
      <w:lvlJc w:val="left"/>
      <w:lvlText w:val="•"/>
      <w:numFmt w:val="bullet"/>
      <w:start w:val="1"/>
    </w:lvl>
  </w:abstractNum>
  <w:abstractNum w:abstractNumId="40">
    <w:nsid w:val="42963E5A"/>
    <w:multiLevelType w:val="hybridMultilevel"/>
    <w:lvl w:ilvl="0">
      <w:lvlJc w:val="left"/>
      <w:lvlText w:val="•"/>
      <w:numFmt w:val="bullet"/>
      <w:start w:val="1"/>
    </w:lvl>
  </w:abstractNum>
  <w:abstractNum w:abstractNumId="41">
    <w:nsid w:val="A0382C5"/>
    <w:multiLevelType w:val="hybridMultilevel"/>
    <w:lvl w:ilvl="0">
      <w:lvlJc w:val="left"/>
      <w:lvlText w:val="•"/>
      <w:numFmt w:val="bullet"/>
      <w:start w:val="1"/>
    </w:lvl>
  </w:abstractNum>
  <w:abstractNum w:abstractNumId="42">
    <w:nsid w:val="8F2B15E"/>
    <w:multiLevelType w:val="hybridMultilevel"/>
    <w:lvl w:ilvl="0">
      <w:lvlJc w:val="left"/>
      <w:lvlText w:val="•"/>
      <w:numFmt w:val="bullet"/>
      <w:start w:val="1"/>
    </w:lvl>
  </w:abstractNum>
  <w:abstractNum w:abstractNumId="43">
    <w:nsid w:val="1A32234B"/>
    <w:multiLevelType w:val="hybridMultilevel"/>
    <w:lvl w:ilvl="0">
      <w:lvlJc w:val="left"/>
      <w:lvlText w:val="•"/>
      <w:numFmt w:val="bullet"/>
      <w:start w:val="1"/>
    </w:lvl>
  </w:abstractNum>
  <w:abstractNum w:abstractNumId="44">
    <w:nsid w:val="3B0FD379"/>
    <w:multiLevelType w:val="hybridMultilevel"/>
    <w:lvl w:ilvl="0">
      <w:lvlJc w:val="left"/>
      <w:lvlText w:val="•"/>
      <w:numFmt w:val="bullet"/>
      <w:start w:val="1"/>
    </w:lvl>
  </w:abstractNum>
  <w:abstractNum w:abstractNumId="45">
    <w:nsid w:val="68EB2F63"/>
    <w:multiLevelType w:val="hybridMultilevel"/>
    <w:lvl w:ilvl="0">
      <w:lvlJc w:val="left"/>
      <w:lvlText w:val="•"/>
      <w:numFmt w:val="bullet"/>
      <w:start w:val="1"/>
    </w:lvl>
  </w:abstractNum>
  <w:abstractNum w:abstractNumId="46">
    <w:nsid w:val="4962813B"/>
    <w:multiLevelType w:val="hybridMultilevel"/>
    <w:lvl w:ilvl="0">
      <w:lvlJc w:val="left"/>
      <w:lvlText w:val="•"/>
      <w:numFmt w:val="bullet"/>
      <w:start w:val="1"/>
    </w:lvl>
  </w:abstractNum>
  <w:abstractNum w:abstractNumId="47">
    <w:nsid w:val="60B6DF70"/>
    <w:multiLevelType w:val="hybridMultilevel"/>
    <w:lvl w:ilvl="0">
      <w:lvlJc w:val="left"/>
      <w:lvlText w:val="•"/>
      <w:numFmt w:val="bullet"/>
      <w:start w:val="1"/>
    </w:lvl>
  </w:abstractNum>
  <w:abstractNum w:abstractNumId="48">
    <w:nsid w:val="6A5EE64"/>
    <w:multiLevelType w:val="hybridMultilevel"/>
    <w:lvl w:ilvl="0">
      <w:lvlJc w:val="left"/>
      <w:lvlText w:val="✓"/>
      <w:numFmt w:val="bullet"/>
      <w:start w:val="1"/>
    </w:lvl>
  </w:abstractNum>
  <w:abstractNum w:abstractNumId="49">
    <w:nsid w:val="14330624"/>
    <w:multiLevelType w:val="hybridMultilevel"/>
    <w:lvl w:ilvl="0">
      <w:lvlJc w:val="left"/>
      <w:lvlText w:val="•"/>
      <w:numFmt w:val="bullet"/>
      <w:start w:val="1"/>
    </w:lvl>
  </w:abstractNum>
  <w:abstractNum w:abstractNumId="50">
    <w:nsid w:val="7FFFCA11"/>
    <w:multiLevelType w:val="hybridMultilevel"/>
    <w:lvl w:ilvl="0">
      <w:lvlJc w:val="left"/>
      <w:lvlText w:val="*"/>
      <w:numFmt w:val="bullet"/>
      <w:start w:val="1"/>
    </w:lvl>
  </w:abstractNum>
  <w:abstractNum w:abstractNumId="51">
    <w:nsid w:val="1A27709E"/>
    <w:multiLevelType w:val="hybridMultilevel"/>
    <w:lvl w:ilvl="0">
      <w:lvlJc w:val="left"/>
      <w:lvlText w:val="*"/>
      <w:numFmt w:val="bullet"/>
      <w:start w:val="1"/>
    </w:lvl>
    <w:lvl w:ilvl="1">
      <w:lvlJc w:val="left"/>
      <w:lvlText w:val="**"/>
      <w:numFmt w:val="bullet"/>
      <w:start w:val="1"/>
    </w:lvl>
  </w:abstractNum>
  <w:abstractNum w:abstractNumId="52">
    <w:nsid w:val="71EA1109"/>
    <w:multiLevelType w:val="hybridMultilevel"/>
    <w:lvl w:ilvl="0">
      <w:lvlJc w:val="left"/>
      <w:lvlText w:val="•"/>
      <w:numFmt w:val="bullet"/>
      <w:start w:val="1"/>
    </w:lvl>
  </w:abstractNum>
  <w:abstractNum w:abstractNumId="53">
    <w:nsid w:val="100F59DC"/>
    <w:multiLevelType w:val="hybridMultilevel"/>
    <w:lvl w:ilvl="0">
      <w:lvlJc w:val="left"/>
      <w:lvlText w:val="•"/>
      <w:numFmt w:val="bullet"/>
      <w:start w:val="1"/>
    </w:lvl>
  </w:abstractNum>
  <w:abstractNum w:abstractNumId="54">
    <w:nsid w:val="7FB7E0AA"/>
    <w:multiLevelType w:val="hybridMultilevel"/>
    <w:lvl w:ilvl="0">
      <w:lvlJc w:val="left"/>
      <w:lvlText w:val="•"/>
      <w:numFmt w:val="bullet"/>
      <w:start w:val="1"/>
    </w:lvl>
  </w:abstractNum>
  <w:abstractNum w:abstractNumId="55">
    <w:nsid w:val="6EB5BD4"/>
    <w:multiLevelType w:val="hybridMultilevel"/>
    <w:lvl w:ilvl="0">
      <w:lvlJc w:val="left"/>
      <w:lvlText w:val="•"/>
      <w:numFmt w:val="bullet"/>
      <w:start w:val="1"/>
    </w:lvl>
  </w:abstractNum>
  <w:abstractNum w:abstractNumId="56">
    <w:nsid w:val="6F6DD9AC"/>
    <w:multiLevelType w:val="hybridMultilevel"/>
    <w:lvl w:ilvl="0">
      <w:lvlJc w:val="left"/>
      <w:lvlText w:val="•"/>
      <w:numFmt w:val="bullet"/>
      <w:start w:val="1"/>
    </w:lvl>
    <w:lvl w:ilvl="1">
      <w:lvlJc w:val="left"/>
      <w:lvlText w:val="−"/>
      <w:numFmt w:val="bullet"/>
      <w:start w:val="1"/>
    </w:lvl>
  </w:abstractNum>
  <w:abstractNum w:abstractNumId="57">
    <w:nsid w:val="94211F2"/>
    <w:multiLevelType w:val="hybridMultilevel"/>
    <w:lvl w:ilvl="0">
      <w:lvlJc w:val="left"/>
      <w:lvlText w:val="(%1)"/>
      <w:numFmt w:val="decimal"/>
      <w:start w:val="1"/>
    </w:lvl>
  </w:abstractNum>
  <w:abstractNum w:abstractNumId="58">
    <w:nsid w:val="885E1B"/>
    <w:multiLevelType w:val="hybridMultilevel"/>
    <w:lvl w:ilvl="0">
      <w:lvlJc w:val="left"/>
      <w:lvlText w:val="(%1)"/>
      <w:numFmt w:val="decimal"/>
      <w:start w:val="4"/>
    </w:lvl>
  </w:abstractNum>
  <w:abstractNum w:abstractNumId="59">
    <w:nsid w:val="76272110"/>
    <w:multiLevelType w:val="hybridMultilevel"/>
    <w:lvl w:ilvl="0">
      <w:lvlJc w:val="left"/>
      <w:lvlText w:val="(%1)"/>
      <w:numFmt w:val="decimal"/>
      <w:start w:val="5"/>
    </w:lvl>
  </w:abstractNum>
  <w:abstractNum w:abstractNumId="60">
    <w:nsid w:val="4C04A8AF"/>
    <w:multiLevelType w:val="hybridMultilevel"/>
    <w:lvl w:ilvl="0">
      <w:lvlJc w:val="left"/>
      <w:lvlText w:val="(%1)"/>
      <w:numFmt w:val="decimal"/>
      <w:start w:val="1"/>
    </w:lvl>
  </w:abstractNum>
  <w:abstractNum w:abstractNumId="61">
    <w:nsid w:val="1716703B"/>
    <w:multiLevelType w:val="hybridMultilevel"/>
    <w:lvl w:ilvl="0">
      <w:lvlJc w:val="left"/>
      <w:lvlText w:val="(%1)"/>
      <w:numFmt w:val="decimal"/>
      <w:start w:val="1"/>
    </w:lvl>
  </w:abstractNum>
  <w:abstractNum w:abstractNumId="62">
    <w:nsid w:val="14E17E33"/>
    <w:multiLevelType w:val="hybridMultilevel"/>
    <w:lvl w:ilvl="0">
      <w:lvlJc w:val="left"/>
      <w:lvlText w:val="(%1)"/>
      <w:numFmt w:val="decimal"/>
      <w:start w:val="2"/>
    </w:lvl>
  </w:abstractNum>
  <w:abstractNum w:abstractNumId="63">
    <w:nsid w:val="3222E7CD"/>
    <w:multiLevelType w:val="hybridMultilevel"/>
    <w:lvl w:ilvl="0">
      <w:lvlJc w:val="left"/>
      <w:lvlText w:val="(%1)"/>
      <w:numFmt w:val="decimal"/>
      <w:start w:val="1"/>
    </w:lvl>
  </w:abstractNum>
  <w:abstractNum w:abstractNumId="64">
    <w:nsid w:val="74DE0EE3"/>
    <w:multiLevelType w:val="hybridMultilevel"/>
    <w:lvl w:ilvl="0">
      <w:lvlJc w:val="left"/>
      <w:lvlText w:val="(%1)"/>
      <w:numFmt w:val="decimal"/>
      <w:start w:val="2"/>
    </w:lvl>
  </w:abstractNum>
  <w:abstractNum w:abstractNumId="65">
    <w:nsid w:val="68EBC550"/>
    <w:multiLevelType w:val="hybridMultilevel"/>
    <w:lvl w:ilvl="0">
      <w:lvlJc w:val="left"/>
      <w:lvlText w:val="(%1)"/>
      <w:numFmt w:val="decimal"/>
      <w:start w:val="1"/>
    </w:lvl>
  </w:abstractNum>
  <w:abstractNum w:abstractNumId="66">
    <w:nsid w:val="2DF6D648"/>
    <w:multiLevelType w:val="hybridMultilevel"/>
    <w:lvl w:ilvl="0">
      <w:lvlJc w:val="left"/>
      <w:lvlText w:val="(%1)"/>
      <w:numFmt w:val="decimal"/>
      <w:start w:val="1"/>
    </w:lvl>
  </w:abstractNum>
  <w:abstractNum w:abstractNumId="67">
    <w:nsid w:val="46B7D447"/>
    <w:multiLevelType w:val="hybridMultilevel"/>
    <w:lvl w:ilvl="0">
      <w:lvlJc w:val="left"/>
      <w:lvlText w:val="(%1)"/>
      <w:numFmt w:val="decimal"/>
      <w:start w:val="2"/>
    </w:lvl>
  </w:abstractNum>
  <w:abstractNum w:abstractNumId="68">
    <w:nsid w:val="4A2AC315"/>
    <w:multiLevelType w:val="hybridMultilevel"/>
    <w:lvl w:ilvl="0">
      <w:lvlJc w:val="left"/>
      <w:lvlText w:val="(%1)"/>
      <w:numFmt w:val="decimal"/>
      <w:start w:val="3"/>
    </w:lvl>
  </w:abstractNum>
  <w:abstractNum w:abstractNumId="69">
    <w:nsid w:val="39EE015C"/>
    <w:multiLevelType w:val="hybridMultilevel"/>
    <w:lvl w:ilvl="0">
      <w:lvlJc w:val="left"/>
      <w:lvlText w:val="(%1)"/>
      <w:numFmt w:val="decimal"/>
      <w:start w:val="4"/>
    </w:lvl>
  </w:abstractNum>
  <w:abstractNum w:abstractNumId="70">
    <w:nsid w:val="57FC4FBB"/>
    <w:multiLevelType w:val="hybridMultilevel"/>
    <w:lvl w:ilvl="0">
      <w:lvlJc w:val="left"/>
      <w:lvlText w:val="•"/>
      <w:numFmt w:val="bullet"/>
      <w:start w:val="1"/>
    </w:lvl>
  </w:abstractNum>
  <w:abstractNum w:abstractNumId="71">
    <w:nsid w:val="CC1016F"/>
    <w:multiLevelType w:val="hybridMultilevel"/>
    <w:lvl w:ilvl="0">
      <w:lvlJc w:val="left"/>
      <w:lvlText w:val="•"/>
      <w:numFmt w:val="bullet"/>
      <w:start w:val="1"/>
    </w:lvl>
  </w:abstractNum>
  <w:abstractNum w:abstractNumId="72">
    <w:nsid w:val="43F18422"/>
    <w:multiLevelType w:val="hybridMultilevel"/>
    <w:lvl w:ilvl="0">
      <w:lvlJc w:val="left"/>
      <w:lvlText w:val="•"/>
      <w:numFmt w:val="bullet"/>
      <w:start w:val="1"/>
    </w:lvl>
  </w:abstractNum>
  <w:abstractNum w:abstractNumId="73">
    <w:nsid w:val="60EF0119"/>
    <w:multiLevelType w:val="hybridMultilevel"/>
    <w:lvl w:ilvl="0">
      <w:lvlJc w:val="left"/>
      <w:lvlText w:val="•"/>
      <w:numFmt w:val="bullet"/>
      <w:start w:val="1"/>
    </w:lvl>
  </w:abstractNum>
  <w:abstractNum w:abstractNumId="74">
    <w:nsid w:val="26F324BA"/>
    <w:multiLevelType w:val="hybridMultilevel"/>
    <w:lvl w:ilvl="0">
      <w:lvlJc w:val="left"/>
      <w:lvlText w:val="•"/>
      <w:numFmt w:val="bullet"/>
      <w:start w:val="1"/>
    </w:lvl>
  </w:abstractNum>
  <w:abstractNum w:abstractNumId="75">
    <w:nsid w:val="7F01579B"/>
    <w:multiLevelType w:val="hybridMultilevel"/>
    <w:lvl w:ilvl="0">
      <w:lvlJc w:val="left"/>
      <w:lvlText w:val="•"/>
      <w:numFmt w:val="bullet"/>
      <w:start w:val="1"/>
    </w:lvl>
  </w:abstractNum>
  <w:abstractNum w:abstractNumId="76">
    <w:nsid w:val="49DA307D"/>
    <w:multiLevelType w:val="hybridMultilevel"/>
    <w:lvl w:ilvl="0">
      <w:lvlJc w:val="left"/>
      <w:lvlText w:val="•"/>
      <w:numFmt w:val="bullet"/>
      <w:start w:val="1"/>
    </w:lvl>
  </w:abstractNum>
  <w:abstractNum w:abstractNumId="77">
    <w:nsid w:val="7055A5F5"/>
    <w:multiLevelType w:val="hybridMultilevel"/>
    <w:lvl w:ilvl="0">
      <w:lvlJc w:val="left"/>
      <w:lvlText w:val="(%1)"/>
      <w:numFmt w:val="decimal"/>
      <w:start w:val="1"/>
    </w:lvl>
  </w:abstractNum>
  <w:abstractNum w:abstractNumId="78">
    <w:nsid w:val="5FB8370B"/>
    <w:multiLevelType w:val="hybridMultilevel"/>
    <w:lvl w:ilvl="0">
      <w:lvlJc w:val="left"/>
      <w:lvlText w:val="(%1)"/>
      <w:numFmt w:val="decimal"/>
      <w:start w:val="2"/>
    </w:lvl>
  </w:abstractNum>
  <w:abstractNum w:abstractNumId="79">
    <w:nsid w:val="50801EE1"/>
    <w:multiLevelType w:val="hybridMultilevel"/>
    <w:lvl w:ilvl="0">
      <w:lvlJc w:val="left"/>
      <w:lvlText w:val="(%1)"/>
      <w:numFmt w:val="decimal"/>
      <w:start w:val="1"/>
    </w:lvl>
  </w:abstractNum>
  <w:abstractNum w:abstractNumId="80">
    <w:nsid w:val="488AC1A"/>
    <w:multiLevelType w:val="hybridMultilevel"/>
    <w:lvl w:ilvl="0">
      <w:lvlJc w:val="left"/>
      <w:lvlText w:val="*"/>
      <w:numFmt w:val="bullet"/>
      <w:start w:val="1"/>
    </w:lvl>
  </w:abstractNum>
  <w:abstractNum w:abstractNumId="81">
    <w:nsid w:val="5FB8011C"/>
    <w:multiLevelType w:val="hybridMultilevel"/>
    <w:lvl w:ilvl="0">
      <w:lvlJc w:val="left"/>
      <w:lvlText w:val="(%1)"/>
      <w:numFmt w:val="decimal"/>
      <w:start w:val="1"/>
    </w:lvl>
  </w:abstractNum>
  <w:abstractNum w:abstractNumId="82">
    <w:nsid w:val="6AA78F7F"/>
    <w:multiLevelType w:val="hybridMultilevel"/>
    <w:lvl w:ilvl="0">
      <w:lvlJc w:val="left"/>
      <w:lvlText w:val="(%1)"/>
      <w:numFmt w:val="decimal"/>
      <w:start w:val="2"/>
    </w:lvl>
  </w:abstractNum>
  <w:abstractNum w:abstractNumId="83">
    <w:nsid w:val="7672BD23"/>
    <w:multiLevelType w:val="hybridMultilevel"/>
    <w:lvl w:ilvl="0">
      <w:lvlJc w:val="left"/>
      <w:lvlText w:val="(%1)"/>
      <w:numFmt w:val="decimal"/>
      <w:start w:val="3"/>
    </w:lvl>
  </w:abstractNum>
  <w:abstractNum w:abstractNumId="84">
    <w:nsid w:val="6FC75AF8"/>
    <w:multiLevelType w:val="hybridMultilevel"/>
    <w:lvl w:ilvl="0">
      <w:lvlJc w:val="left"/>
      <w:lvlText w:val="•"/>
      <w:numFmt w:val="bullet"/>
      <w:start w:val="1"/>
    </w:lvl>
  </w:abstractNum>
  <w:abstractNum w:abstractNumId="85">
    <w:nsid w:val="6A5F7029"/>
    <w:multiLevelType w:val="hybridMultilevel"/>
    <w:lvl w:ilvl="0">
      <w:lvlJc w:val="left"/>
      <w:lvlText w:val="(%1)"/>
      <w:numFmt w:val="decimal"/>
      <w:start w:val="1"/>
    </w:lvl>
  </w:abstractNum>
  <w:abstractNum w:abstractNumId="86">
    <w:nsid w:val="7D5E18F8"/>
    <w:multiLevelType w:val="hybridMultilevel"/>
    <w:lvl w:ilvl="0">
      <w:lvlJc w:val="left"/>
      <w:lvlText w:val="(%1)"/>
      <w:numFmt w:val="lowerLetter"/>
      <w:start w:val="1"/>
    </w:lvl>
    <w:lvl w:ilvl="1">
      <w:lvlJc w:val="left"/>
      <w:lvlText w:val="(%2)"/>
      <w:numFmt w:val="lowerLetter"/>
      <w:start w:val="61"/>
    </w:lvl>
  </w:abstractNum>
  <w:abstractNum w:abstractNumId="87">
    <w:nsid w:val="5F3534A4"/>
    <w:multiLevelType w:val="hybridMultilevel"/>
    <w:lvl w:ilvl="0">
      <w:lvlJc w:val="left"/>
      <w:lvlText w:val="(%1)"/>
      <w:numFmt w:val="lowerLetter"/>
      <w:start w:val="4"/>
    </w:lvl>
  </w:abstractNum>
  <w:abstractNum w:abstractNumId="88">
    <w:nsid w:val="73A1821B"/>
    <w:multiLevelType w:val="hybridMultilevel"/>
    <w:lvl w:ilvl="0">
      <w:lvlJc w:val="left"/>
      <w:lvlText w:val="(%1)"/>
      <w:numFmt w:val="lowerLetter"/>
      <w:start w:val="1"/>
    </w:lvl>
  </w:abstractNum>
  <w:abstractNum w:abstractNumId="89">
    <w:nsid w:val="7DE67713"/>
    <w:multiLevelType w:val="hybridMultilevel"/>
    <w:lvl w:ilvl="0">
      <w:lvlJc w:val="left"/>
      <w:lvlText w:val="(%1)"/>
      <w:numFmt w:val="lowerLetter"/>
      <w:start w:val="6"/>
    </w:lvl>
  </w:abstractNum>
  <w:abstractNum w:abstractNumId="90">
    <w:nsid w:val="555C55B5"/>
    <w:multiLevelType w:val="hybridMultilevel"/>
    <w:lvl w:ilvl="0">
      <w:lvlJc w:val="left"/>
      <w:lvlText w:val="(%1)"/>
      <w:numFmt w:val="lowerLetter"/>
      <w:start w:val="1"/>
    </w:lvl>
  </w:abstractNum>
  <w:abstractNum w:abstractNumId="91">
    <w:nsid w:val="3FA62ACA"/>
    <w:multiLevelType w:val="hybridMultilevel"/>
    <w:lvl w:ilvl="0">
      <w:lvlJc w:val="left"/>
      <w:lvlText w:val="(%1)"/>
      <w:numFmt w:val="lowerLetter"/>
      <w:start w:val="2"/>
    </w:lvl>
  </w:abstractNum>
  <w:abstractNum w:abstractNumId="92">
    <w:nsid w:val="14FCE74E"/>
    <w:multiLevelType w:val="hybridMultilevel"/>
    <w:lvl w:ilvl="0">
      <w:lvlJc w:val="left"/>
      <w:lvlText w:val="(%1)"/>
      <w:numFmt w:val="lowerLetter"/>
      <w:start w:val="1"/>
    </w:lvl>
  </w:abstractNum>
  <w:abstractNum w:abstractNumId="93">
    <w:nsid w:val="6A3DD3E8"/>
    <w:multiLevelType w:val="hybridMultilevel"/>
    <w:lvl w:ilvl="0">
      <w:lvlJc w:val="left"/>
      <w:lvlText w:val="(%1)"/>
      <w:numFmt w:val="lowerLetter"/>
      <w:start w:val="1"/>
    </w:lvl>
  </w:abstractNum>
  <w:abstractNum w:abstractNumId="94">
    <w:nsid w:val="71C91298"/>
    <w:multiLevelType w:val="hybridMultilevel"/>
    <w:lvl w:ilvl="0">
      <w:lvlJc w:val="left"/>
      <w:lvlText w:val="(%1)"/>
      <w:numFmt w:val="lowerLetter"/>
      <w:start w:val="1"/>
    </w:lvl>
  </w:abstractNum>
  <w:abstractNum w:abstractNumId="95">
    <w:nsid w:val="9DAF632"/>
    <w:multiLevelType w:val="hybridMultilevel"/>
    <w:lvl w:ilvl="0">
      <w:lvlJc w:val="left"/>
      <w:lvlText w:val="(%1)"/>
      <w:numFmt w:val="lowerLetter"/>
      <w:start w:val="1"/>
    </w:lvl>
  </w:abstractNum>
  <w:abstractNum w:abstractNumId="96">
    <w:nsid w:val="53299938"/>
    <w:multiLevelType w:val="hybridMultilevel"/>
    <w:lvl w:ilvl="0">
      <w:lvlJc w:val="left"/>
      <w:lvlText w:val="(%1)"/>
      <w:numFmt w:val="lowerLetter"/>
      <w:start w:val="1"/>
    </w:lvl>
  </w:abstractNum>
  <w:abstractNum w:abstractNumId="97">
    <w:nsid w:val="1FBFE8E0"/>
    <w:multiLevelType w:val="hybridMultilevel"/>
    <w:lvl w:ilvl="0">
      <w:lvlJc w:val="left"/>
      <w:lvlText w:val="(%1)"/>
      <w:numFmt w:val="lowerLetter"/>
      <w:start w:val="3"/>
    </w:lvl>
  </w:abstractNum>
  <w:abstractNum w:abstractNumId="98">
    <w:nsid w:val="5092CA79"/>
    <w:multiLevelType w:val="hybridMultilevel"/>
    <w:lvl w:ilvl="0">
      <w:lvlJc w:val="left"/>
      <w:lvlText w:val="(%1)"/>
      <w:numFmt w:val="lowerLetter"/>
      <w:start w:val="1"/>
    </w:lvl>
  </w:abstractNum>
  <w:abstractNum w:abstractNumId="99">
    <w:nsid w:val="1D545C4D"/>
    <w:multiLevelType w:val="hybridMultilevel"/>
    <w:lvl w:ilvl="0">
      <w:lvlJc w:val="left"/>
      <w:lvlText w:val="(%1)"/>
      <w:numFmt w:val="lowerLetter"/>
      <w:start w:val="1"/>
    </w:lvl>
  </w:abstractNum>
  <w:abstractNum w:abstractNumId="100">
    <w:nsid w:val="59ADEA3D"/>
    <w:multiLevelType w:val="hybridMultilevel"/>
    <w:lvl w:ilvl="0">
      <w:lvlJc w:val="left"/>
      <w:lvlText w:val="(%1)"/>
      <w:numFmt w:val="lowerLetter"/>
      <w:start w:val="1"/>
    </w:lvl>
  </w:abstractNum>
  <w:abstractNum w:abstractNumId="101">
    <w:nsid w:val="288F1A34"/>
    <w:multiLevelType w:val="hybridMultilevel"/>
    <w:lvl w:ilvl="0">
      <w:lvlJc w:val="left"/>
      <w:lvlText w:val="(%1)"/>
      <w:numFmt w:val="lowerLetter"/>
      <w:start w:val="1"/>
    </w:lvl>
    <w:lvl w:ilvl="1">
      <w:lvlJc w:val="left"/>
      <w:lvlText w:val="(%2)"/>
      <w:numFmt w:val="decimal"/>
      <w:start w:val="1"/>
    </w:lvl>
  </w:abstractNum>
  <w:abstractNum w:abstractNumId="102">
    <w:nsid w:val="2A155DBC"/>
    <w:multiLevelType w:val="hybridMultilevel"/>
    <w:lvl w:ilvl="0">
      <w:lvlJc w:val="left"/>
      <w:lvlText w:val="(%1)"/>
      <w:numFmt w:val="lowerLetter"/>
      <w:start w:val="1"/>
    </w:lvl>
  </w:abstractNum>
  <w:abstractNum w:abstractNumId="103">
    <w:nsid w:val="1D9F6E5F"/>
    <w:multiLevelType w:val="hybridMultilevel"/>
    <w:lvl w:ilvl="0">
      <w:lvlJc w:val="left"/>
      <w:lvlText w:val="(%1)"/>
      <w:numFmt w:val="lowerLetter"/>
      <w:start w:val="2"/>
    </w:lvl>
    <w:lvl w:ilvl="1">
      <w:lvlJc w:val="left"/>
      <w:lvlText w:val="(%2)"/>
      <w:numFmt w:val="lowerLetter"/>
      <w:start w:val="24"/>
    </w:lvl>
  </w:abstractNum>
  <w:abstractNum w:abstractNumId="104">
    <w:nsid w:val="97E1B4E"/>
    <w:multiLevelType w:val="hybridMultilevel"/>
    <w:lvl w:ilvl="0">
      <w:lvlJc w:val="left"/>
      <w:lvlText w:val="(%1)"/>
      <w:numFmt w:val="lowerLetter"/>
      <w:start w:val="1"/>
    </w:lvl>
  </w:abstractNum>
  <w:abstractNum w:abstractNumId="105">
    <w:nsid w:val="51088277"/>
    <w:multiLevelType w:val="hybridMultilevel"/>
    <w:lvl w:ilvl="0">
      <w:lvlJc w:val="left"/>
      <w:lvlText w:val="(%1)"/>
      <w:numFmt w:val="lowerLetter"/>
      <w:start w:val="1"/>
    </w:lvl>
  </w:abstractNum>
  <w:abstractNum w:abstractNumId="106">
    <w:nsid w:val="1CA0C5FA"/>
    <w:multiLevelType w:val="hybridMultilevel"/>
    <w:lvl w:ilvl="0">
      <w:lvlJc w:val="left"/>
      <w:lvlText w:val="(%1)"/>
      <w:numFmt w:val="lowerLetter"/>
      <w:start w:val="1"/>
    </w:lvl>
  </w:abstractNum>
  <w:abstractNum w:abstractNumId="107">
    <w:nsid w:val="53584BCB"/>
    <w:multiLevelType w:val="hybridMultilevel"/>
    <w:lvl w:ilvl="0">
      <w:lvlJc w:val="left"/>
      <w:lvlText w:val="(%1)"/>
      <w:numFmt w:val="lowerLetter"/>
      <w:start w:val="3"/>
    </w:lvl>
  </w:abstractNum>
  <w:abstractNum w:abstractNumId="108">
    <w:nsid w:val="415E286C"/>
    <w:multiLevelType w:val="hybridMultilevel"/>
    <w:lvl w:ilvl="0">
      <w:lvlJc w:val="left"/>
      <w:lvlText w:val="(%1)"/>
      <w:numFmt w:val="lowerLetter"/>
      <w:start w:val="1"/>
    </w:lvl>
  </w:abstractNum>
  <w:abstractNum w:abstractNumId="109">
    <w:nsid w:val="7C58FD05"/>
    <w:multiLevelType w:val="hybridMultilevel"/>
    <w:lvl w:ilvl="0">
      <w:lvlJc w:val="left"/>
      <w:lvlText w:val="(%1)"/>
      <w:numFmt w:val="lowerLetter"/>
      <w:start w:val="2"/>
    </w:lvl>
  </w:abstractNum>
  <w:abstractNum w:abstractNumId="110">
    <w:nsid w:val="23D86AAC"/>
    <w:multiLevelType w:val="hybridMultilevel"/>
    <w:lvl w:ilvl="0">
      <w:lvlJc w:val="left"/>
      <w:lvlText w:val="(%1)"/>
      <w:numFmt w:val="lowerLetter"/>
      <w:start w:val="1"/>
    </w:lvl>
  </w:abstractNum>
  <w:abstractNum w:abstractNumId="111">
    <w:nsid w:val="45E6D486"/>
    <w:multiLevelType w:val="hybridMultilevel"/>
    <w:lvl w:ilvl="0">
      <w:lvlJc w:val="left"/>
      <w:lvlText w:val="(%1)"/>
      <w:numFmt w:val="lowerLetter"/>
      <w:start w:val="1"/>
    </w:lvl>
  </w:abstractNum>
  <w:abstractNum w:abstractNumId="112">
    <w:nsid w:val="5C10FE21"/>
    <w:multiLevelType w:val="hybridMultilevel"/>
    <w:lvl w:ilvl="0">
      <w:lvlJc w:val="left"/>
      <w:lvlText w:val="(%1)"/>
      <w:numFmt w:val="lowerLetter"/>
      <w:start w:val="1"/>
    </w:lvl>
  </w:abstractNum>
  <w:abstractNum w:abstractNumId="113">
    <w:nsid w:val="E7FFA2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2022-02-02T15:21:22Z</dcterms:created>
  <dcterms:modified xsi:type="dcterms:W3CDTF">2022-02-02T15:21:22Z</dcterms:modified>
</cp:coreProperties>
</file>