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jc w:val="both"/>
        <w:spacing w:after="0" w:line="254"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97155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62865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21, 2022, The Toro Company announced its earnings for the three and twelve month periods ended October 31, 2022.</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697865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820" w:type="dxa"/>
            <w:vAlign w:val="bottom"/>
          </w:tcPr>
          <w:p>
            <w:pPr>
              <w:spacing w:after="0"/>
              <w:rPr>
                <w:sz w:val="22"/>
                <w:szCs w:val="22"/>
                <w:color w:val="auto"/>
              </w:rPr>
            </w:pPr>
          </w:p>
        </w:tc>
        <w:tc>
          <w:tcPr>
            <w:tcW w:w="4040" w:type="dxa"/>
            <w:vAlign w:val="bottom"/>
          </w:tcPr>
          <w:p>
            <w:pPr>
              <w:spacing w:after="0"/>
              <w:rPr>
                <w:sz w:val="22"/>
                <w:szCs w:val="22"/>
                <w:color w:val="auto"/>
              </w:rPr>
            </w:pPr>
          </w:p>
        </w:tc>
      </w:tr>
      <w:tr>
        <w:trPr>
          <w:trHeight w:val="498"/>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21, 2022 (furnished herewith).</w:t>
            </w:r>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59"/>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December 21, 2022</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Record Results for the Fourth-Quarter and Full-Year Fiscal 2022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Driven by Strong Professional Segment Momentum and Disciplined Execution</w:t>
      </w:r>
    </w:p>
    <w:p>
      <w:pPr>
        <w:spacing w:after="0" w:line="22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net sales of $4.51 billion, up 14% year over year</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reported diluted EPS of $4.20; *adjusted diluted EPS of $4.20, up 16%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net sales of $1.17 billion, up 22.0%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Fourth-quarter reported diluted EPS of $1.12; *adjusted diluted EPS of $1.11, up 98%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fiscal 2023 guidance of *adjusted diluted EPS in the range of $4.70 to $4.90 per diluted share</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BLOOMINGTON, Minn.—(BUSINESS WIRE) — December 21, 2022—</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fourth-quarter ended October 31, 2022.</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“We delivered record top and bottom line results in the quarter and for fiscal 2022, with full-year net sales exceeding four billion dollars for the first time in company history,” said Richard M. Olson, chairman and chief executive officer. “Demand for our innovative products remained strong throughout the year, especially in key professional markets. Our employees and channel partners collaborated to achieve outstanding results in what remained a very dynamic operating environment. Most importantly, we continued to advance our strategic priorities with a focus on driving value now and into the future for all stakeholders.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fourth quarter, professional segment demand was broad-based. Our biggest constraint remained our ability to fulfill the heightened backlog of orders given the current supply chain environment. For the residential segment, retail demand continued to normalize, reflecting more typical seasonal trends and weather patterns. Notably, this demand normalization is building off the higher base we have established over the past few years with our refreshed product line-up, expanded channel, and enhanced brand marketing.”</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FOURTH-QUARTER FISCAL 2022 FINANCIAL HIGHLIGHTS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FY22 Q4</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FY21 Q4</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FY22 Q4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FY21 Q4</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1,172.0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117.6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5"/>
              </w:rPr>
              <w:t>100 %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2022 FINANCIAL HIGHLIGHTS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1"/>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FY21</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rPr>
              <w:t>FY21</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3,959.6</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443.3</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409.9</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started fiscal 2023 with great momentum, supported by substantial order backlogs for products in key professional end markets and expected benefits from our pricing and productivity initiatives,” continued Olson. “We believe we are in a strong position to capitalize on growth opportunities with our innovative product line-up, trusted brands, and our extensive distribution and service networks. While we acknowledge the heightened level of macroeconomic uncertainty, we expect to benefit from our well-established market leadership, along with the essential nature and regular replacement of our products.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have confidence in our ability to navigate the headwinds in today's macro environment. We will remain agile and flexible, guided by our enterprise strategic priorities of accelerating profitable growth, driving productivity and operational excellence, and empowering people. With this focus, we are prioritizing investments in the key technology areas of alternative power, smart-connected, and autonomous solutions for long-term sustainable growth, with the intent to leverage these investments across our extensive portfolio.”</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fiscal 2023, management expects net sales growth in the range of 7% to 10% and *adjusted diluted EPS in the range of $4.70 to $4.90. The estimated *adjusted diluted EPS range excludes the tax benefits recorded as excess tax deductions for stock compensation. The company's guidance is based on current visibility in this evolving and dynamic macro environment, and reflects expectations for strong demand across key professional markets, normalized seasonal demand patterns for residential and landscape contractor solutions, and continued operational execution. This guidance also assumes steady supply chain improvement throughout the year, with a return to a more typical distribution of quarterly sales.</w:t>
      </w:r>
    </w:p>
    <w:p>
      <w:pPr>
        <w:sectPr>
          <w:pgSz w:w="11900" w:h="16838" w:orient="portrait"/>
          <w:cols w:equalWidth="0" w:num="1">
            <w:col w:w="11240"/>
          </w:cols>
          <w:pgMar w:left="320" w:top="118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FOURTH-QUARTER FISCAL 2022 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4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fourth quarter were $944.7 million, up 29.0% from $732.5 million in the same period last year. The increase was driven primarily by net price realization, incremental revenue from the Intimidator Group acquisition in the first quarter of fiscal 2022, and higher shipments of zero-turn mowers, golf and grounds equipment, and snow and ice management solutions.</w:t>
      </w:r>
    </w:p>
    <w:p>
      <w:pPr>
        <w:spacing w:after="0" w:line="140"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Full-year fiscal 2022 professional segment net sales were $3.43 billion, up 17.1% from $2.93 billion last year. The increase was primarily due to net price realization and the Intimidator Group acquisition.</w:t>
      </w:r>
    </w:p>
    <w:p>
      <w:pPr>
        <w:spacing w:after="0" w:line="128" w:lineRule="exact"/>
        <w:rPr>
          <w:rFonts w:ascii="Arial" w:cs="Arial" w:eastAsia="Arial" w:hAnsi="Arial"/>
          <w:sz w:val="20"/>
          <w:szCs w:val="20"/>
          <w:color w:val="auto"/>
        </w:rPr>
      </w:pPr>
    </w:p>
    <w:p>
      <w:pPr>
        <w:jc w:val="both"/>
        <w:ind w:left="660" w:hanging="328"/>
        <w:spacing w:after="0" w:line="24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fourth quarter were $159.2 million, up 57.5% from $101.0 million in the same period last year, and, when expressed as a percentage of net sales, 16.8%, up from 13.8% in the prior-year period. The increase was primarily due to net price realization, net sales leverage, and productivity improvements, partially offset by higher material, freight, and manufacturing costs, and the addition of the Intimidator Group at a lower initial margin than the segment average.</w:t>
      </w:r>
    </w:p>
    <w:p>
      <w:pPr>
        <w:spacing w:after="0" w:line="140" w:lineRule="exact"/>
        <w:rPr>
          <w:rFonts w:ascii="Arial" w:cs="Arial" w:eastAsia="Arial" w:hAnsi="Arial"/>
          <w:sz w:val="20"/>
          <w:szCs w:val="20"/>
          <w:color w:val="auto"/>
        </w:rPr>
      </w:pPr>
    </w:p>
    <w:p>
      <w:pPr>
        <w:jc w:val="both"/>
        <w:ind w:left="660" w:hanging="328"/>
        <w:spacing w:after="0" w:line="24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Full-year fiscal 2022 professional segment earnings were $584.0 million, up 15.1% compared with $507.3 million in the prior fiscal year, and when expressed as a percentage of net sales, 17.0%, down slightly from 17.3% last year. The decrease was primarily driven by higher material, freight, and manufacturing costs, and the addition of the Intimidator Group at a lower initial margin than the segment average, partially offset by net price realization and productivity improvements.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right="2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fourth quarter were $223.5 million, down 0.8% from $225.2 million in the same period last year. The decrease was primarily driven by lower sales of walk-power and zero-turn riding mowers and portable-power products, largely offset by net price realization and increased shipments of snow products.</w:t>
      </w:r>
    </w:p>
    <w:p>
      <w:pPr>
        <w:spacing w:after="0" w:line="130"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2022 residential segment net sales were $1.07 billion, up 5.8% from $1.01 billion last year. The increase was primarily due to net price realization and increased shipments of zero-turn riding mowers and snow products, partially offset by lower sales of walk-power mowers and portable-power products.</w:t>
      </w:r>
    </w:p>
    <w:p>
      <w:pPr>
        <w:spacing w:after="0" w:line="130"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fourth quarter were $17.5 million, up 47.6% from $11.9 million in the same period last year, and when expressed as a percentage of net sales, 7.8%, up from 5.3% in the prior-year period. The increase was largely driven by net price realization, productivity improvements, and favorable product mix, partially offset by higher material, freight, and manufacturing costs.</w:t>
      </w:r>
    </w:p>
    <w:p>
      <w:pPr>
        <w:spacing w:after="0" w:line="154"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2022 residential segment earnings were $112.7 million, down 7.2% from $121.5 million in the prior fiscal year, and when expressed as a percentage of net sales, 10.5%, down from 12.0% last year. The decrease was mainly attributable to higher material, freight, and manufacturing costs, partially offset by net price realization and productivity improvements.</w:t>
      </w:r>
    </w:p>
    <w:p>
      <w:pPr>
        <w:sectPr>
          <w:pgSz w:w="11900" w:h="16838" w:orient="portrait"/>
          <w:cols w:equalWidth="0" w:num="1">
            <w:col w:w="11240"/>
          </w:cols>
          <w:pgMar w:left="320" w:top="1182" w:right="339" w:bottom="1440" w:gutter="0" w:footer="0" w:header="0"/>
        </w:sectPr>
      </w:pPr>
    </w:p>
    <w:bookmarkStart w:id="7" w:name="page8"/>
    <w:bookmarkEnd w:id="7"/>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Gross margin for the fourth quarter was 34.0%, compared with 30.1% for the same prior-year period. The increase in gross margin was primarily due to net price realization, productivity improvements, and favorable mix, partially offset by higher material, freight and manufacturing costs, as well as the addition of the Intimidator Group at a lower initial gross margin than the company average.</w:t>
      </w:r>
    </w:p>
    <w:p>
      <w:pPr>
        <w:spacing w:after="0" w:line="154"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For fiscal 2022, gross margin was 33.3%, compared to 33.8% for fiscal 2021. *Adjusted gross margin for fiscal 2022 was 33.4%, compared with 33.8% in fiscal 2021. The decreases in reported and *adjusted gross margin were primarily due to higher material, freight, and manufacturing costs, and the Intimidator Group acquisition, partially offset by net price realization and productivity improvements.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SG&amp;A expense as a percentage of net sales for the fourth quarter was 21.2%, compared with 22.4% in the prior-year period.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The improvement was primarily due to net sales leverage and lower incentive costs.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For fiscal 2022, SG&amp;A expense as a percentage of net sales was 20.5%, compared with 20.7% for fiscal 2021. The improvement was mainly due to net sales leverage, partially offset by net favorable fiscal 2021 legal settlements which did not reoccur in fiscal 2022.</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12.8% for the fourth quarter, compared with 7.7% in the same prior-year period. For fiscal 2022, operating earnings as a percentage of net sales were 12.8%, compared with 13.1% in fiscal 2021. *Adjusted operating earnings as a percentage of net sales for fiscal 2022 were 12.8%, unchanged on a year-over-year basis.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 was up $4.5 million for the fourth quarter to $11.5 million, and up $7.1 million for the full year to $35.7 million.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The increases were driven by incremental borrowing to fund the Intimidator Group acquisition, and higher average interest rates.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reported effective tax rate for the fourth quarter and full year were 17.9% and 19.8%, respectively, compared with 13.3% and 18.0% in fiscal 2021. The *adjusted effective tax rate for the fourth quarter and full year were 18.5% and 20.2%, respectively, compared with 13.9% and 19.6% in fiscal 2021. The increases were primarily due to less favorable one-time adjustments in the current-year periods. The reported effective tax rate increases were also driven by lower tax benefits recorded as excess tax deductions for stock compensation in the current-year periods.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21, 2022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CST on December 21, 2022.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 billion in fiscal 2022,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2022 to diluted EPS, which is the most directly comparable GAAP measure, in reliance on the unreasonable efforts exception provided under Item 10(e)(1)(i)(B) of Regulation S-K. The company’s</w:t>
      </w:r>
    </w:p>
    <w:p>
      <w:pPr>
        <w:sectPr>
          <w:pgSz w:w="11900" w:h="16838" w:orient="portrait"/>
          <w:cols w:equalWidth="0" w:num="1">
            <w:col w:w="11240"/>
          </w:cols>
          <w:pgMar w:left="320" w:top="1182" w:right="339" w:bottom="1440" w:gutter="0" w:footer="0" w:header="0"/>
        </w:sectPr>
      </w:pPr>
    </w:p>
    <w:bookmarkStart w:id="9" w:name="page10"/>
    <w:bookmarkEnd w:id="9"/>
    <w:p>
      <w:pPr>
        <w:jc w:val="both"/>
        <w:spacing w:after="0" w:line="241" w:lineRule="auto"/>
        <w:rPr>
          <w:sz w:val="20"/>
          <w:szCs w:val="20"/>
          <w:color w:val="auto"/>
        </w:rPr>
      </w:pPr>
      <w:r>
        <w:rPr>
          <w:rFonts w:ascii="Arial" w:cs="Arial" w:eastAsia="Arial" w:hAnsi="Arial"/>
          <w:sz w:val="20"/>
          <w:szCs w:val="20"/>
          <w:color w:val="auto"/>
        </w:rPr>
        <w:t>adjusted diluted EPS guidance for fiscal 2023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2023 to diluted EPS reconciliation without unreasonable efforts. A quantitative reconciliation of adjusted diluted EPS for fiscal 2023 to diluted EPS would imply a degree of precision and certainty as to these future items that does not exist and could be confusing to investors. From a qualitative perspective, it is anticipated that the differences between adjusted diluted EPS for fiscal 2023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2023 financial guidance, and expectations for strong demand across key professional markets, normalized seasonal demand patterns for residential and landscape contractor solutions and continued operational execution, as well as supply chain improvement throughout the year, with a return to a more typical distribution of quarterly sales. Particular risks and uncertainties that may affect the company’s operating results or financial position include: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COVID-19 related factors, risks and challenges;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4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7"/>
              </w:rPr>
              <w:t>October 31, 2022</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5"/>
              </w:rPr>
              <w:t>October 31, 2021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October 31, 2021</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1,171,984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960,655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4,514,662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3,959,584</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773,139</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671,269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3,010,066</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2,621,092</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398,845</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289,386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1,504,596</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1,338,492</w:t>
            </w:r>
          </w:p>
        </w:tc>
      </w:tr>
      <w:tr>
        <w:trPr>
          <w:trHeight w:val="216"/>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9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216"/>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9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248,433</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215,226</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928,933</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820,212</w:t>
            </w:r>
          </w:p>
        </w:tc>
      </w:tr>
      <w:tr>
        <w:trPr>
          <w:trHeight w:val="209"/>
        </w:trPr>
        <w:tc>
          <w:tcPr>
            <w:tcW w:w="4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92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150,412</w:t>
            </w:r>
          </w:p>
        </w:tc>
        <w:tc>
          <w:tcPr>
            <w:tcW w:w="180" w:type="dxa"/>
            <w:vAlign w:val="bottom"/>
          </w:tcPr>
          <w:p>
            <w:pPr>
              <w:spacing w:after="0"/>
              <w:rPr>
                <w:sz w:val="18"/>
                <w:szCs w:val="18"/>
                <w:color w:val="auto"/>
              </w:rPr>
            </w:pPr>
          </w:p>
        </w:tc>
        <w:tc>
          <w:tcPr>
            <w:tcW w:w="13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74,160</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575,663</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518,280</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(11,519)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(6,997)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(35,738)</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(28,659)</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4,359</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2,135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12,621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10,197</w:t>
            </w:r>
          </w:p>
        </w:tc>
      </w:tr>
      <w:tr>
        <w:trPr>
          <w:trHeight w:val="20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143,252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69,298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552,546</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499,818</w:t>
            </w:r>
          </w:p>
        </w:tc>
      </w:tr>
      <w:tr>
        <w:trPr>
          <w:trHeight w:val="216"/>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25,695</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9,190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109,204</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89,938</w:t>
            </w:r>
          </w:p>
        </w:tc>
      </w:tr>
      <w:tr>
        <w:trPr>
          <w:trHeight w:val="235"/>
        </w:trPr>
        <w:tc>
          <w:tcPr>
            <w:tcW w:w="40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117,557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60,108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443,342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409,880</w:t>
            </w:r>
          </w:p>
        </w:tc>
      </w:tr>
      <w:tr>
        <w:trPr>
          <w:trHeight w:val="20"/>
        </w:trPr>
        <w:tc>
          <w:tcPr>
            <w:tcW w:w="40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0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3.82</w:t>
            </w:r>
          </w:p>
        </w:tc>
      </w:tr>
      <w:tr>
        <w:trPr>
          <w:trHeight w:val="88"/>
        </w:trPr>
        <w:tc>
          <w:tcPr>
            <w:tcW w:w="40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09"/>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3.78</w:t>
            </w:r>
          </w:p>
        </w:tc>
      </w:tr>
    </w:tbl>
    <w:p>
      <w:pPr>
        <w:spacing w:after="0" w:line="90" w:lineRule="exact"/>
        <w:rPr>
          <w:sz w:val="20"/>
          <w:szCs w:val="20"/>
          <w:color w:val="auto"/>
        </w:rPr>
      </w:pPr>
    </w:p>
    <w:p>
      <w:pPr>
        <w:sectPr>
          <w:pgSz w:w="11900" w:h="16838" w:orient="portrait"/>
          <w:cols w:equalWidth="0" w:num="1">
            <w:col w:w="11240"/>
          </w:cols>
          <w:pgMar w:left="320" w:top="761" w:right="339" w:bottom="1440" w:gutter="0" w:footer="0" w:header="0"/>
        </w:sect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Basic</w:t>
      </w:r>
    </w:p>
    <w:p>
      <w:pPr>
        <w:spacing w:after="0" w:line="122" w:lineRule="exact"/>
        <w:rPr>
          <w:sz w:val="20"/>
          <w:szCs w:val="20"/>
          <w:color w:val="auto"/>
        </w:rPr>
      </w:pPr>
    </w:p>
    <w:p>
      <w:pPr>
        <w:ind w:left="20" w:right="200"/>
        <w:spacing w:after="0" w:line="232" w:lineRule="auto"/>
        <w:rPr>
          <w:sz w:val="20"/>
          <w:szCs w:val="20"/>
          <w:color w:val="auto"/>
        </w:rPr>
      </w:pPr>
      <w:r>
        <w:rPr>
          <w:rFonts w:ascii="Times New Roman" w:cs="Times New Roman" w:eastAsia="Times New Roman" w:hAnsi="Times New Roman"/>
          <w:sz w:val="17"/>
          <w:szCs w:val="17"/>
          <w:color w:val="auto"/>
        </w:rPr>
        <w:t>Weighted-average number of shares of common stock outstanding — Diluted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104,488</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106,388</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104,822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107,341</w:t>
            </w:r>
          </w:p>
        </w:tc>
      </w:tr>
      <w:tr>
        <w:trPr>
          <w:trHeight w:val="500"/>
        </w:trPr>
        <w:tc>
          <w:tcPr>
            <w:tcW w:w="106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94"/>
              </w:rPr>
              <w:t>105,325</w:t>
            </w:r>
          </w:p>
        </w:tc>
        <w:tc>
          <w:tcPr>
            <w:tcW w:w="162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107,534</w:t>
            </w:r>
          </w:p>
        </w:tc>
        <w:tc>
          <w:tcPr>
            <w:tcW w:w="168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rPr>
              <w:t>105,649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-562610</wp:posOffset>
            </wp:positionV>
            <wp:extent cx="7132320"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-245745</wp:posOffset>
            </wp:positionV>
            <wp:extent cx="713232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761" w:right="339" w:bottom="1440" w:gutter="0" w:footer="0" w:header="0"/>
          <w:type w:val="continuous"/>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6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28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144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October 31, 2021</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7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944,680</w:t>
            </w:r>
          </w:p>
        </w:tc>
        <w:tc>
          <w:tcPr>
            <w:tcW w:w="7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3,429,607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2,929,600</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76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223,526</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225,225</w:t>
            </w:r>
          </w:p>
        </w:tc>
        <w:tc>
          <w:tcPr>
            <w:tcW w:w="200" w:type="dxa"/>
            <w:vAlign w:val="bottom"/>
          </w:tcPr>
          <w:p>
            <w:pPr>
              <w:spacing w:after="0"/>
              <w:rPr>
                <w:sz w:val="18"/>
                <w:szCs w:val="18"/>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1,068,565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1,010,077</w:t>
            </w: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7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3,778</w:t>
            </w: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16,490</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19,907</w:t>
            </w:r>
          </w:p>
        </w:tc>
      </w:tr>
      <w:tr>
        <w:trPr>
          <w:trHeight w:val="210"/>
        </w:trPr>
        <w:tc>
          <w:tcPr>
            <w:tcW w:w="3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1,171,984</w:t>
            </w:r>
          </w:p>
        </w:tc>
        <w:tc>
          <w:tcPr>
            <w:tcW w:w="7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960,655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4,514,662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3,959,584</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4"/>
        </w:trPr>
        <w:tc>
          <w:tcPr>
            <w:tcW w:w="382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7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222,367</w:t>
            </w:r>
          </w:p>
        </w:tc>
        <w:tc>
          <w:tcPr>
            <w:tcW w:w="78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879,166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827,630</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income taxes</w:t>
            </w:r>
          </w:p>
        </w:tc>
        <w:tc>
          <w:tcPr>
            <w:tcW w:w="244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146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October 31, 2021</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October 31, 2021</w:t>
            </w: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4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159,160</w:t>
            </w:r>
          </w:p>
        </w:tc>
        <w:tc>
          <w:tcPr>
            <w:tcW w:w="7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7"/>
              </w:rPr>
              <w:t>101,048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center"/>
              <w:ind w:left="557"/>
              <w:spacing w:after="0"/>
              <w:rPr>
                <w:sz w:val="20"/>
                <w:szCs w:val="20"/>
                <w:color w:val="auto"/>
              </w:rPr>
            </w:pPr>
            <w:r>
              <w:rPr>
                <w:rFonts w:ascii="Times New Roman" w:cs="Times New Roman" w:eastAsia="Times New Roman" w:hAnsi="Times New Roman"/>
                <w:sz w:val="17"/>
                <w:szCs w:val="17"/>
                <w:color w:val="auto"/>
                <w:w w:val="97"/>
              </w:rPr>
              <w:t>583,993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7"/>
                <w:szCs w:val="17"/>
                <w:color w:val="auto"/>
                <w:w w:val="97"/>
              </w:rPr>
              <w:t>507,327</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4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17,525</w:t>
            </w:r>
          </w:p>
        </w:tc>
        <w:tc>
          <w:tcPr>
            <w:tcW w:w="78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11,874</w:t>
            </w:r>
          </w:p>
        </w:tc>
        <w:tc>
          <w:tcPr>
            <w:tcW w:w="180" w:type="dxa"/>
            <w:vAlign w:val="bottom"/>
          </w:tcPr>
          <w:p>
            <w:pPr>
              <w:spacing w:after="0"/>
              <w:rPr>
                <w:sz w:val="18"/>
                <w:szCs w:val="18"/>
                <w:color w:val="auto"/>
              </w:rPr>
            </w:pPr>
          </w:p>
        </w:tc>
        <w:tc>
          <w:tcPr>
            <w:tcW w:w="1420" w:type="dxa"/>
            <w:vAlign w:val="bottom"/>
          </w:tcPr>
          <w:p>
            <w:pPr>
              <w:jc w:val="center"/>
              <w:ind w:left="557"/>
              <w:spacing w:after="0"/>
              <w:rPr>
                <w:sz w:val="20"/>
                <w:szCs w:val="20"/>
                <w:color w:val="auto"/>
              </w:rPr>
            </w:pPr>
            <w:r>
              <w:rPr>
                <w:rFonts w:ascii="Times New Roman" w:cs="Times New Roman" w:eastAsia="Times New Roman" w:hAnsi="Times New Roman"/>
                <w:sz w:val="17"/>
                <w:szCs w:val="17"/>
                <w:color w:val="auto"/>
                <w:w w:val="97"/>
              </w:rPr>
              <w:t>112,728</w:t>
            </w:r>
          </w:p>
        </w:tc>
        <w:tc>
          <w:tcPr>
            <w:tcW w:w="180" w:type="dxa"/>
            <w:vAlign w:val="bottom"/>
          </w:tcPr>
          <w:p>
            <w:pPr>
              <w:spacing w:after="0"/>
              <w:rPr>
                <w:sz w:val="18"/>
                <w:szCs w:val="18"/>
                <w:color w:val="auto"/>
              </w:rPr>
            </w:pPr>
          </w:p>
        </w:tc>
        <w:tc>
          <w:tcPr>
            <w:tcW w:w="1360" w:type="dxa"/>
            <w:vAlign w:val="bottom"/>
          </w:tcPr>
          <w:p>
            <w:pPr>
              <w:jc w:val="center"/>
              <w:ind w:left="617"/>
              <w:spacing w:after="0"/>
              <w:rPr>
                <w:sz w:val="20"/>
                <w:szCs w:val="20"/>
                <w:color w:val="auto"/>
              </w:rPr>
            </w:pPr>
            <w:r>
              <w:rPr>
                <w:rFonts w:ascii="Times New Roman" w:cs="Times New Roman" w:eastAsia="Times New Roman" w:hAnsi="Times New Roman"/>
                <w:sz w:val="17"/>
                <w:szCs w:val="17"/>
                <w:color w:val="auto"/>
                <w:w w:val="97"/>
              </w:rPr>
              <w:t>121,516</w:t>
            </w:r>
          </w:p>
        </w:tc>
      </w:t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(33,433)</w:t>
            </w:r>
          </w:p>
        </w:tc>
        <w:tc>
          <w:tcPr>
            <w:tcW w:w="7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(43,624)</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7"/>
                <w:szCs w:val="17"/>
                <w:color w:val="auto"/>
                <w:w w:val="99"/>
              </w:rPr>
              <w:t>(144,175)</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9"/>
              </w:rPr>
              <w:t>(129,025)</w:t>
            </w:r>
          </w:p>
        </w:tc>
      </w:tr>
      <w:tr>
        <w:trPr>
          <w:trHeight w:val="209"/>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14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143,252</w:t>
            </w:r>
          </w:p>
        </w:tc>
        <w:tc>
          <w:tcPr>
            <w:tcW w:w="7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69,298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7"/>
                <w:szCs w:val="17"/>
                <w:color w:val="auto"/>
                <w:w w:val="97"/>
              </w:rPr>
              <w:t>552,546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center"/>
              <w:ind w:left="617"/>
              <w:spacing w:after="0"/>
              <w:rPr>
                <w:sz w:val="20"/>
                <w:szCs w:val="20"/>
                <w:color w:val="auto"/>
              </w:rPr>
            </w:pPr>
            <w:r>
              <w:rPr>
                <w:rFonts w:ascii="Times New Roman" w:cs="Times New Roman" w:eastAsia="Times New Roman" w:hAnsi="Times New Roman"/>
                <w:sz w:val="17"/>
                <w:szCs w:val="17"/>
                <w:color w:val="auto"/>
                <w:w w:val="97"/>
              </w:rPr>
              <w:t>499,818</w:t>
            </w: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r>
      <w:tr>
        <w:trPr>
          <w:trHeight w:val="189"/>
        </w:trPr>
        <w:tc>
          <w:tcPr>
            <w:tcW w:w="6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w w:val="97"/>
              </w:rPr>
              <w:t>ASSETS</w:t>
            </w:r>
          </w:p>
        </w:tc>
        <w:tc>
          <w:tcPr>
            <w:tcW w:w="4260" w:type="dxa"/>
            <w:vAlign w:val="bottom"/>
            <w:tcBorders>
              <w:bottom w:val="single" w:sz="8" w:color="CCEEFF"/>
            </w:tcBorders>
            <w:gridSpan w:val="2"/>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188,250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405,612</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net</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332,713</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310,279</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1,051,109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738,170</w:t>
            </w:r>
          </w:p>
        </w:tc>
      </w:tr>
      <w:tr>
        <w:trPr>
          <w:trHeight w:val="216"/>
        </w:trPr>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103,279</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35,124</w:t>
            </w:r>
          </w:p>
        </w:tc>
      </w:tr>
      <w:tr>
        <w:trPr>
          <w:trHeight w:val="209"/>
        </w:trPr>
        <w:tc>
          <w:tcPr>
            <w:tcW w:w="4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1,675,351</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1,489,185</w:t>
            </w:r>
          </w:p>
        </w:tc>
      </w:tr>
      <w:tr>
        <w:trPr>
          <w:trHeight w:val="88"/>
        </w:trPr>
        <w:tc>
          <w:tcPr>
            <w:tcW w:w="62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571,661</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487,731</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583,297</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421,680</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585,832</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420,041</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76,121</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66,990</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39,349</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20,671</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5,310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5,800</w:t>
            </w:r>
          </w:p>
        </w:tc>
      </w:tr>
      <w:tr>
        <w:trPr>
          <w:trHeight w:val="216"/>
        </w:trPr>
        <w:tc>
          <w:tcPr>
            <w:tcW w:w="4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19,077</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24,042</w:t>
            </w:r>
          </w:p>
        </w:tc>
      </w:tr>
      <w:tr>
        <w:trPr>
          <w:trHeight w:val="235"/>
        </w:trPr>
        <w:tc>
          <w:tcPr>
            <w:tcW w:w="488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3,555,998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196"/>
        </w:trPr>
        <w:tc>
          <w:tcPr>
            <w:tcW w:w="34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w w:val="97"/>
              </w:rPr>
              <w:t>LIABILITIES AND STOCKHOLDERS’ EQUITY</w:t>
            </w:r>
          </w:p>
        </w:tc>
        <w:tc>
          <w:tcPr>
            <w:tcW w:w="14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578,624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503,116</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469,242</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419,620</w:t>
            </w:r>
          </w:p>
        </w:tc>
      </w:tr>
      <w:tr>
        <w:trPr>
          <w:trHeight w:val="216"/>
        </w:trPr>
        <w:tc>
          <w:tcPr>
            <w:tcW w:w="4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15,747</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14,283</w:t>
            </w:r>
          </w:p>
        </w:tc>
      </w:tr>
      <w:tr>
        <w:trPr>
          <w:trHeight w:val="210"/>
        </w:trPr>
        <w:tc>
          <w:tcPr>
            <w:tcW w:w="488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1,063,613</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937,019</w:t>
            </w:r>
          </w:p>
        </w:tc>
      </w:tr>
      <w:tr>
        <w:trPr>
          <w:trHeight w:val="88"/>
        </w:trPr>
        <w:tc>
          <w:tcPr>
            <w:tcW w:w="6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990,768</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691,242</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63,604</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55,752</w:t>
            </w: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44,272</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50,397</w:t>
            </w: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42,040</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50,598</w:t>
            </w:r>
          </w:p>
        </w:tc>
      </w:tr>
      <w:tr>
        <w:trPr>
          <w:trHeight w:val="108"/>
        </w:trPr>
        <w:tc>
          <w:tcPr>
            <w:tcW w:w="620" w:type="dxa"/>
            <w:vAlign w:val="bottom"/>
            <w:shd w:val="clear" w:color="auto" w:fill="CCEEFF"/>
          </w:tcPr>
          <w:p>
            <w:pPr>
              <w:spacing w:after="0"/>
              <w:rPr>
                <w:sz w:val="9"/>
                <w:szCs w:val="9"/>
                <w:color w:val="auto"/>
              </w:rPr>
            </w:pPr>
          </w:p>
        </w:tc>
        <w:tc>
          <w:tcPr>
            <w:tcW w:w="28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580" w:type="dxa"/>
            <w:vAlign w:val="bottom"/>
          </w:tcPr>
          <w:p>
            <w:pPr>
              <w:spacing w:after="0"/>
              <w:rPr>
                <w:sz w:val="18"/>
                <w:szCs w:val="18"/>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103,970</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105,206</w:t>
            </w:r>
          </w:p>
        </w:tc>
      </w:tr>
      <w:tr>
        <w:trPr>
          <w:trHeight w:val="216"/>
        </w:trPr>
        <w:tc>
          <w:tcPr>
            <w:tcW w:w="4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1,280,856</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1,071,922</w:t>
            </w:r>
          </w:p>
        </w:tc>
      </w:tr>
      <w:tr>
        <w:trPr>
          <w:trHeight w:val="216"/>
        </w:trPr>
        <w:tc>
          <w:tcPr>
            <w:tcW w:w="48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(33,125)</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(25,996)</w:t>
            </w:r>
          </w:p>
        </w:tc>
      </w:tr>
      <w:tr>
        <w:trPr>
          <w:trHeight w:val="210"/>
        </w:trPr>
        <w:tc>
          <w:tcPr>
            <w:tcW w:w="488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1,351,701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1,151,132</w:t>
            </w:r>
          </w:p>
        </w:tc>
      </w:tr>
      <w:tr>
        <w:trPr>
          <w:trHeight w:val="210"/>
        </w:trPr>
        <w:tc>
          <w:tcPr>
            <w:tcW w:w="4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3,555,998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2,936,140</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580"/>
          </w:cols>
          <w:pgMar w:left="1160" w:top="1004" w:right="11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95"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October 31, 2022</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October 31, 2021</w:t>
            </w: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84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443,342</w:t>
            </w:r>
          </w:p>
        </w:tc>
        <w:tc>
          <w:tcPr>
            <w:tcW w:w="4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409,880</w:t>
            </w: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(8,801)</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(5,704)</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(Contributions to)/Distributions from finance affiliate, net</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74,922</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75,468</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33,887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23,848</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535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22,116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21,809</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(22,899)</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(52,260)</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(285,891)</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(98,266)</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Accounts payable, accrued liabilities, and other liabilities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89,483</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195,404</w:t>
            </w:r>
          </w:p>
        </w:tc>
      </w:tr>
      <w:tr>
        <w:trPr>
          <w:trHeight w:val="209"/>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297,172</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555,469</w:t>
            </w:r>
          </w:p>
        </w:tc>
      </w:tr>
      <w:tr>
        <w:trPr>
          <w:trHeight w:val="74"/>
        </w:trPr>
        <w:tc>
          <w:tcPr>
            <w:tcW w:w="69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(143,478)</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(104,012)</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Business combinations, net of cash acquired</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(402,386)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(24,883)</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acquisitions, net of cash acquired</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(27,176)</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237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16"/>
        </w:trPr>
        <w:tc>
          <w:tcPr>
            <w:tcW w:w="6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Proceeds from sale of a business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4,605</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26,584</w:t>
            </w:r>
          </w:p>
        </w:tc>
      </w:tr>
      <w:tr>
        <w:trPr>
          <w:trHeight w:val="210"/>
        </w:trPr>
        <w:tc>
          <w:tcPr>
            <w:tcW w:w="69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(548,247)</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(128,452)</w:t>
            </w:r>
          </w:p>
        </w:tc>
      </w:tr>
      <w:tr>
        <w:trPr>
          <w:trHeight w:val="75"/>
        </w:trPr>
        <w:tc>
          <w:tcPr>
            <w:tcW w:w="69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700,000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270,000</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(370,000)</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84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10,339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13,100</w:t>
            </w:r>
          </w:p>
        </w:tc>
      </w:tr>
      <w:tr>
        <w:trPr>
          <w:trHeight w:val="21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(139,993)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(302,274)</w:t>
            </w:r>
          </w:p>
        </w:tc>
      </w:tr>
      <w:tr>
        <w:trPr>
          <w:trHeight w:val="216"/>
        </w:trPr>
        <w:tc>
          <w:tcPr>
            <w:tcW w:w="6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(125,709)</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(112,440)</w:t>
            </w:r>
          </w:p>
        </w:tc>
      </w:tr>
      <w:tr>
        <w:trPr>
          <w:trHeight w:val="210"/>
        </w:trPr>
        <w:tc>
          <w:tcPr>
            <w:tcW w:w="6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42,240</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(503,651)</w:t>
            </w:r>
          </w:p>
        </w:tc>
      </w:tr>
      <w:tr>
        <w:trPr>
          <w:trHeight w:val="88"/>
        </w:trPr>
        <w:tc>
          <w:tcPr>
            <w:tcW w:w="69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2,354</w:t>
            </w:r>
          </w:p>
        </w:tc>
      </w:tr>
      <w:tr>
        <w:trPr>
          <w:trHeight w:val="88"/>
        </w:trPr>
        <w:tc>
          <w:tcPr>
            <w:tcW w:w="69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216"/>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(217,362)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(74,280)</w:t>
            </w:r>
          </w:p>
        </w:tc>
      </w:tr>
      <w:tr>
        <w:trPr>
          <w:trHeight w:val="21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405,612</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479,892</w:t>
            </w:r>
          </w:p>
        </w:tc>
      </w:tr>
      <w:tr>
        <w:trPr>
          <w:trHeight w:val="21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188,250</w:t>
            </w:r>
          </w:p>
        </w:tc>
        <w:tc>
          <w:tcPr>
            <w:tcW w:w="4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405,612</w:t>
            </w: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our related earnings call to the most directly comparable measures calculated and reported in accordance with U.S. GAAP for the three and twelve month periods ended October 31,</w:t>
      </w:r>
    </w:p>
    <w:p>
      <w:pPr>
        <w:spacing w:after="0"/>
        <w:rPr>
          <w:sz w:val="20"/>
          <w:szCs w:val="20"/>
          <w:color w:val="auto"/>
        </w:rPr>
      </w:pPr>
      <w:r>
        <w:rPr>
          <w:rFonts w:ascii="Times New Roman" w:cs="Times New Roman" w:eastAsia="Times New Roman" w:hAnsi="Times New Roman"/>
          <w:sz w:val="18"/>
          <w:szCs w:val="18"/>
          <w:color w:val="auto"/>
        </w:rPr>
        <w:t>2022 and October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83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75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October 31, 2021</w:t>
            </w: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398,845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289,386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1,504,596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1,338,492</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225</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1,650</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399,070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289,386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1,506,246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1,338,492</w:t>
            </w:r>
          </w:p>
        </w:tc>
      </w:tr>
      <w:tr>
        <w:trPr>
          <w:trHeight w:val="88"/>
        </w:trPr>
        <w:tc>
          <w:tcPr>
            <w:tcW w:w="3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88"/>
        </w:trPr>
        <w:tc>
          <w:tcPr>
            <w:tcW w:w="3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74,160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575,663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518,280</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544</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4,000</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(11,325)</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150,956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74,160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579,663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506,955</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13.1 %</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8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0"/>
        </w:trPr>
        <w:tc>
          <w:tcPr>
            <w:tcW w:w="37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12.8 %</w:t>
            </w:r>
          </w:p>
        </w:tc>
      </w:tr>
      <w:tr>
        <w:trPr>
          <w:trHeight w:val="88"/>
        </w:trPr>
        <w:tc>
          <w:tcPr>
            <w:tcW w:w="3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143,252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69,298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552,546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499,818</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544</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4,000</w:t>
            </w:r>
          </w:p>
        </w:tc>
        <w:tc>
          <w:tcPr>
            <w:tcW w:w="20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(11,325)</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143,796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69,298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556,546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488,493</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09"/>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117,557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60,108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443,342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409,880</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437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3,177</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(75)</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(9,022)</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(734)</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(339)</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(2,303)</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(8,185)</w:t>
            </w:r>
          </w:p>
        </w:tc>
      </w:tr>
      <w:tr>
        <w:trPr>
          <w:trHeight w:val="20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117,260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59,694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444,216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392,673</w:t>
            </w:r>
          </w:p>
        </w:tc>
      </w:tr>
      <w:tr>
        <w:trPr>
          <w:trHeight w:val="88"/>
        </w:trPr>
        <w:tc>
          <w:tcPr>
            <w:tcW w:w="37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1.12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0.56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3.78</w:t>
            </w:r>
          </w:p>
        </w:tc>
      </w:tr>
      <w:tr>
        <w:trPr>
          <w:trHeight w:val="216"/>
        </w:trPr>
        <w:tc>
          <w:tcPr>
            <w:tcW w:w="37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8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Litigation settlement, net</w:t>
            </w:r>
            <w:r>
              <w:rPr>
                <w:rFonts w:ascii="Times New Roman" w:cs="Times New Roman" w:eastAsia="Times New Roman" w:hAnsi="Times New Roman"/>
                <w:sz w:val="21"/>
                <w:szCs w:val="21"/>
                <w:color w:val="auto"/>
                <w:vertAlign w:val="superscript"/>
              </w:rPr>
              <w:t>2</w:t>
            </w:r>
          </w:p>
        </w:tc>
        <w:tc>
          <w:tcPr>
            <w:tcW w:w="1000" w:type="dxa"/>
            <w:vAlign w:val="bottom"/>
          </w:tcPr>
          <w:p>
            <w:pPr>
              <w:spacing w:after="0"/>
              <w:rPr>
                <w:sz w:val="18"/>
                <w:szCs w:val="18"/>
                <w:color w:val="auto"/>
              </w:rPr>
            </w:pPr>
          </w:p>
        </w:tc>
        <w:tc>
          <w:tcPr>
            <w:tcW w:w="14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(0.08)</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(0.01)</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(0.08)</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3.62</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37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18.0 %</w:t>
            </w:r>
          </w:p>
        </w:tc>
      </w:tr>
      <w:tr>
        <w:trPr>
          <w:trHeight w:val="216"/>
        </w:trPr>
        <w:tc>
          <w:tcPr>
            <w:tcW w:w="378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1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10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20.2 %</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04" w:right="339" w:bottom="1440" w:gutter="0" w:footer="0" w:header="0"/>
        </w:sectPr>
      </w:pPr>
    </w:p>
    <w:bookmarkStart w:id="14" w:name="page15"/>
    <w:bookmarkEnd w:id="14"/>
    <w:p>
      <w:pPr>
        <w:jc w:val="both"/>
        <w:ind w:left="260" w:hanging="171"/>
        <w:spacing w:after="0" w:line="233" w:lineRule="auto"/>
        <w:tabs>
          <w:tab w:leader="none" w:pos="292"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13, 2022, the company completed the acquisition of Intimidator. Acquisition-related costs for the three month period ended October 31, 2022 represent integration costs and acquisition-related costs for the twelve month period ended October 31, 2022 represent transaction and integration costs incurred in connection with the acquisition. No acquisition-related costs were incurred during the three and twelve month periods ended October 31, 2021.</w:t>
      </w:r>
    </w:p>
    <w:p>
      <w:pPr>
        <w:spacing w:after="0" w:line="150" w:lineRule="exact"/>
        <w:rPr>
          <w:sz w:val="20"/>
          <w:szCs w:val="20"/>
          <w:color w:val="auto"/>
        </w:rPr>
      </w:pPr>
    </w:p>
    <w:p>
      <w:pPr>
        <w:jc w:val="both"/>
        <w:ind w:left="260" w:hanging="171"/>
        <w:spacing w:after="0" w:line="242" w:lineRule="auto"/>
        <w:tabs>
          <w:tab w:leader="none" w:pos="376"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SG&amp;A expense within the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 Additionally, during the third quarter of fiscal 2021, the company recorded a charge related to a legal settlement for a series of ongoing patent infringement disputes within SG&amp;A expense in the Condensed Consolidated Statements of Earnings. Accordingly, litigation settlements, net represents the charge incurred for the settlement of the patent infringement disputes for the three month period ended October 31, 2021. Litigation settlements, net for the twelve month period ended October 31, 2021 represents the net amount recorded for the settlement of the Infringement Action, as well as the charge incurred for the settlement of the patent infringement disputes. No amounts were recorded for litigation settlement, net during the three and twelve month periods ended October 31, 2022.</w:t>
      </w:r>
    </w:p>
    <w:p>
      <w:pPr>
        <w:spacing w:after="0" w:line="330" w:lineRule="exact"/>
        <w:rPr>
          <w:sz w:val="20"/>
          <w:szCs w:val="20"/>
          <w:color w:val="auto"/>
        </w:rPr>
      </w:pPr>
    </w:p>
    <w:p>
      <w:pPr>
        <w:jc w:val="both"/>
        <w:ind w:left="260" w:hanging="171"/>
        <w:spacing w:after="0" w:line="235" w:lineRule="auto"/>
        <w:tabs>
          <w:tab w:leader="none" w:pos="23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twelve month periods ended October 31, 2022 and October 31,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defines free cash flow as net cash provided by operating activities less purchases of property, plant and equipment.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twelve</w:t>
      </w:r>
      <w:r>
        <w:rPr>
          <w:rFonts w:ascii="Times New Roman" w:cs="Times New Roman" w:eastAsia="Times New Roman" w:hAnsi="Times New Roman"/>
          <w:sz w:val="18"/>
          <w:szCs w:val="18"/>
          <w:color w:val="auto"/>
        </w:rPr>
        <w:t xml:space="preserve"> month periods ended October 31, 2022 and October 31, 2021:</w:t>
      </w:r>
    </w:p>
    <w:p>
      <w:pPr>
        <w:spacing w:after="0" w:line="18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2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2022</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2021</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297,172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555,469</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w:t>
            </w:r>
          </w:p>
        </w:tc>
        <w:tc>
          <w:tcPr>
            <w:tcW w:w="2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143,478</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104,012</w:t>
            </w:r>
          </w:p>
        </w:tc>
      </w:tr>
      <w:tr>
        <w:trPr>
          <w:trHeight w:val="209"/>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2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153,694</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451,457</w:t>
            </w:r>
          </w:p>
        </w:tc>
      </w:tr>
      <w:tr>
        <w:trPr>
          <w:trHeight w:val="216"/>
        </w:trPr>
        <w:tc>
          <w:tcPr>
            <w:tcW w:w="5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443,342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409,880</w:t>
            </w:r>
          </w:p>
        </w:tc>
      </w:tr>
      <w:tr>
        <w:trPr>
          <w:trHeight w:val="234"/>
        </w:trPr>
        <w:tc>
          <w:tcPr>
            <w:tcW w:w="5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2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34.7 %</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52"/>
    </w:lvl>
  </w:abstractNum>
  <w:abstractNum w:abstractNumId="2">
    <w:nsid w:val="507ED7AB"/>
    <w:multiLevelType w:val="hybridMultilevel"/>
    <w:lvl w:ilvl="0">
      <w:lvlJc w:val="left"/>
      <w:lvlText w:val="(%1)"/>
      <w:numFmt w:val="decimal"/>
      <w:start w:val="95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2022-12-21T07:54:31Z</dcterms:created>
  <dcterms:modified xsi:type="dcterms:W3CDTF">2022-12-21T07:54:31Z</dcterms:modified>
</cp:coreProperties>
</file>