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042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0427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HOFFMAN MICHAEL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12/04/2014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Chairman, Pres. &amp; CEO</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66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6"/>
            <w:vMerge w:val="restart"/>
          </w:tcPr>
          <w:p>
            <w:pPr>
              <w:ind w:left="48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60" w:type="dxa"/>
            <w:vAlign w:val="bottom"/>
            <w:gridSpan w:val="5"/>
            <w:vMerge w:val="continue"/>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80" w:type="dxa"/>
            <w:vAlign w:val="bottom"/>
            <w:gridSpan w:val="3"/>
          </w:tcPr>
          <w:p>
            <w:pPr>
              <w:ind w:left="480"/>
              <w:spacing w:after="0"/>
              <w:rPr>
                <w:sz w:val="20"/>
                <w:szCs w:val="20"/>
                <w:color w:val="auto"/>
              </w:rPr>
            </w:pPr>
            <w:r>
              <w:rPr>
                <w:rFonts w:ascii="Arial" w:cs="Arial" w:eastAsia="Arial" w:hAnsi="Arial"/>
                <w:sz w:val="13"/>
                <w:szCs w:val="13"/>
                <w:color w:val="auto"/>
              </w:rPr>
              <w:t>Line)</w:t>
            </w: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820" w:type="dxa"/>
            <w:vAlign w:val="bottom"/>
          </w:tcPr>
          <w:p>
            <w:pPr>
              <w:jc w:val="right"/>
              <w:ind w:right="305"/>
              <w:spacing w:after="0"/>
              <w:rPr>
                <w:sz w:val="20"/>
                <w:szCs w:val="20"/>
                <w:color w:val="auto"/>
              </w:rPr>
            </w:pPr>
            <w:r>
              <w:rPr>
                <w:rFonts w:ascii="Arial" w:cs="Arial" w:eastAsia="Arial" w:hAnsi="Arial"/>
                <w:sz w:val="17"/>
                <w:szCs w:val="17"/>
                <w:color w:val="0000FF"/>
              </w:rPr>
              <w:t>55420-1196</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0" w:type="dxa"/>
            <w:vAlign w:val="bottom"/>
            <w:gridSpan w:val="5"/>
          </w:tcPr>
          <w:p>
            <w:pPr>
              <w:ind w:left="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160" w:type="dxa"/>
            <w:vAlign w:val="bottom"/>
            <w:gridSpan w:val="4"/>
            <w:vMerge w:val="restart"/>
          </w:tcPr>
          <w:p>
            <w:pPr>
              <w:ind w:left="34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16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20" w:type="dxa"/>
            <w:vAlign w:val="bottom"/>
            <w:vMerge w:val="restart"/>
          </w:tcPr>
          <w:p>
            <w:pPr>
              <w:ind w:left="120"/>
              <w:spacing w:after="0"/>
              <w:rPr>
                <w:sz w:val="20"/>
                <w:szCs w:val="20"/>
                <w:color w:val="auto"/>
              </w:rPr>
            </w:pPr>
            <w:r>
              <w:rPr>
                <w:rFonts w:ascii="Arial" w:cs="Arial" w:eastAsia="Arial" w:hAnsi="Arial"/>
                <w:sz w:val="13"/>
                <w:szCs w:val="13"/>
                <w:color w:val="auto"/>
              </w:rPr>
              <w:t>(State)</w:t>
            </w:r>
          </w:p>
        </w:tc>
        <w:tc>
          <w:tcPr>
            <w:tcW w:w="2200" w:type="dxa"/>
            <w:vAlign w:val="bottom"/>
            <w:gridSpan w:val="2"/>
            <w:vMerge w:val="restart"/>
          </w:tcPr>
          <w:p>
            <w:pPr>
              <w:ind w:left="58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20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4340" w:type="dxa"/>
            <w:vAlign w:val="bottom"/>
            <w:tcBorders>
              <w:bottom w:val="single" w:sz="8" w:color="2C2C2C"/>
            </w:tcBorders>
            <w:gridSpan w:val="7"/>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360" w:type="dxa"/>
            <w:vAlign w:val="bottom"/>
            <w:tcBorders>
              <w:top w:val="single" w:sz="8" w:color="2C2C2C"/>
            </w:tcBorders>
            <w:gridSpan w:val="9"/>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2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0" w:type="dxa"/>
            <w:vAlign w:val="bottom"/>
            <w:gridSpan w:val="2"/>
          </w:tcPr>
          <w:p>
            <w:pPr>
              <w:ind w:left="11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0" w:type="dxa"/>
            <w:vAlign w:val="bottom"/>
            <w:gridSpan w:val="2"/>
          </w:tcPr>
          <w:p>
            <w:pPr>
              <w:ind w:left="11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2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0" w:type="dxa"/>
            <w:vAlign w:val="bottom"/>
            <w:gridSpan w:val="2"/>
          </w:tcPr>
          <w:p>
            <w:pPr>
              <w:ind w:left="11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0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200" w:type="dxa"/>
            <w:vAlign w:val="bottom"/>
            <w:tcBorders>
              <w:bottom w:val="single" w:sz="8" w:color="2C2C2C"/>
            </w:tcBorders>
            <w:gridSpan w:val="2"/>
          </w:tcPr>
          <w:p>
            <w:pPr>
              <w:jc w:val="right"/>
              <w:ind w:right="93"/>
              <w:spacing w:after="0"/>
              <w:rPr>
                <w:sz w:val="20"/>
                <w:szCs w:val="20"/>
                <w:color w:val="auto"/>
              </w:rPr>
            </w:pPr>
            <w:r>
              <w:rPr>
                <w:rFonts w:ascii="Arial" w:cs="Arial" w:eastAsia="Arial" w:hAnsi="Arial"/>
                <w:sz w:val="17"/>
                <w:szCs w:val="17"/>
                <w:color w:val="0000FF"/>
              </w:rPr>
              <w:t>12/04/2014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rPr>
              <w:t>52,546</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right="10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584,661.471</w:t>
            </w:r>
            <w:r>
              <w:rPr>
                <w:rFonts w:ascii="Arial" w:cs="Arial" w:eastAsia="Arial" w:hAnsi="Arial"/>
                <w:sz w:val="22"/>
                <w:szCs w:val="22"/>
                <w:color w:val="008000"/>
                <w:w w:val="88"/>
                <w:vertAlign w:val="superscript"/>
              </w:rPr>
              <w:t>(2)</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3"/>
                <w:szCs w:val="23"/>
                <w:color w:val="auto"/>
              </w:rPr>
            </w:pPr>
          </w:p>
        </w:tc>
        <w:tc>
          <w:tcPr>
            <w:tcW w:w="2200" w:type="dxa"/>
            <w:vAlign w:val="bottom"/>
            <w:gridSpan w:val="2"/>
          </w:tcPr>
          <w:p>
            <w:pPr>
              <w:jc w:val="right"/>
              <w:ind w:right="93"/>
              <w:spacing w:after="0"/>
              <w:rPr>
                <w:sz w:val="20"/>
                <w:szCs w:val="20"/>
                <w:color w:val="auto"/>
              </w:rPr>
            </w:pPr>
            <w:r>
              <w:rPr>
                <w:rFonts w:ascii="Arial" w:cs="Arial" w:eastAsia="Arial" w:hAnsi="Arial"/>
                <w:sz w:val="17"/>
                <w:szCs w:val="17"/>
                <w:color w:val="0000FF"/>
              </w:rPr>
              <w:t>12/04/2014</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F</w:t>
            </w:r>
          </w:p>
        </w:tc>
        <w:tc>
          <w:tcPr>
            <w:tcW w:w="840" w:type="dxa"/>
            <w:vAlign w:val="bottom"/>
          </w:tcPr>
          <w:p>
            <w:pPr>
              <w:jc w:val="right"/>
              <w:ind w:right="91"/>
              <w:spacing w:after="0"/>
              <w:rPr>
                <w:sz w:val="20"/>
                <w:szCs w:val="20"/>
                <w:color w:val="auto"/>
              </w:rPr>
            </w:pPr>
            <w:r>
              <w:rPr>
                <w:rFonts w:ascii="Arial" w:cs="Arial" w:eastAsia="Arial" w:hAnsi="Arial"/>
                <w:sz w:val="17"/>
                <w:szCs w:val="17"/>
                <w:color w:val="0000FF"/>
              </w:rPr>
              <w:t>25,328</w:t>
            </w:r>
          </w:p>
        </w:tc>
        <w:tc>
          <w:tcPr>
            <w:tcW w:w="500" w:type="dxa"/>
            <w:vAlign w:val="bottom"/>
          </w:tcPr>
          <w:p>
            <w:pPr>
              <w:jc w:val="center"/>
              <w:spacing w:after="0"/>
              <w:rPr>
                <w:sz w:val="20"/>
                <w:szCs w:val="20"/>
                <w:color w:val="auto"/>
              </w:rPr>
            </w:pPr>
            <w:r>
              <w:rPr>
                <w:rFonts w:ascii="Arial" w:cs="Arial" w:eastAsia="Arial" w:hAnsi="Arial"/>
                <w:sz w:val="17"/>
                <w:szCs w:val="17"/>
                <w:color w:val="0000FF"/>
              </w:rPr>
              <w:t>D</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64.97</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3"/>
              </w:rPr>
              <w:t>559,333.471</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Held by</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Michael J.</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Hoffman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8"/>
              </w:rPr>
              <w:t>122,595.369</w:t>
            </w:r>
            <w:r>
              <w:rPr>
                <w:rFonts w:ascii="Arial" w:cs="Arial" w:eastAsia="Arial" w:hAnsi="Arial"/>
                <w:sz w:val="22"/>
                <w:szCs w:val="22"/>
                <w:color w:val="008000"/>
                <w:w w:val="88"/>
                <w:vertAlign w:val="superscript"/>
              </w:rPr>
              <w:t>(3)</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Irrevocable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Lifetime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Family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Trust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The Toro</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Company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9"/>
              </w:rPr>
              <w:t>66,428.996</w:t>
            </w:r>
            <w:r>
              <w:rPr>
                <w:rFonts w:ascii="Arial" w:cs="Arial" w:eastAsia="Arial" w:hAnsi="Arial"/>
                <w:sz w:val="22"/>
                <w:szCs w:val="22"/>
                <w:color w:val="008000"/>
                <w:w w:val="89"/>
                <w:vertAlign w:val="superscript"/>
              </w:rPr>
              <w:t>(4)</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Investment,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Savings &amp;</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ESOP</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4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62.75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12/05/2014</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70,400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12/05/2024</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70,400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70,400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2012 to Fiscal 2014 Performance Period under The Toro Company 2010 Equity and Incentive Plan, as amended (the "2010 Plan"), as approved by the registrant's Compensation &amp; Human Resources Committee of its Board of Directors on December 2, 2014, and which was conditioned upon and subject to confirmation by the registrant's Fiscal 2014 financial results that were released on December 4, 2014. Performance Share Awards are paid in shares of common stock under the 2010 Plan.</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2,357.237 shares of common stock acquired by the reporting person under The Toro Company Dividend Reinvestment Plan (the "DRIP") since the date of his last report.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825.507 shares of common stock acquired by the reporting person under the DRIP since the date of his last report.</w:t>
      </w:r>
    </w:p>
    <w:p>
      <w:pPr>
        <w:spacing w:after="0" w:line="51"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444.885 net shares acquired by the reporting person since the date of his last report under the dividend reinvestment feature of The Toro Company Investment, Savings &amp; ESOP less quarterly non-discretionary administrative fees.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12/08/2014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2019-12-17T03:16:21Z</dcterms:created>
  <dcterms:modified xsi:type="dcterms:W3CDTF">2019-12-17T03:16:21Z</dcterms:modified>
</cp:coreProperties>
</file>