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74295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120650</wp:posOffset>
            </wp:positionV>
            <wp:extent cx="1757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p>
      <w:pPr>
        <w:spacing w:after="0" w:line="321"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1-8649</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54" w:lineRule="exact"/>
        <w:rPr>
          <w:sz w:val="24"/>
          <w:szCs w:val="24"/>
          <w:color w:val="auto"/>
        </w:rPr>
      </w:pPr>
    </w:p>
    <w:p>
      <w:pPr>
        <w:sectPr>
          <w:pgSz w:w="11900" w:h="16838" w:orient="portrait"/>
          <w:cols w:equalWidth="0" w:num="3">
            <w:col w:w="4640" w:space="720"/>
            <w:col w:w="2660" w:space="720"/>
            <w:col w:w="2500"/>
          </w:cols>
          <w:pgMar w:left="320" w:top="1187" w:right="339" w:bottom="1440" w:gutter="0" w:footer="0" w:header="0"/>
          <w:type w:val="continuous"/>
        </w:sectPr>
      </w:pPr>
    </w:p>
    <w:p>
      <w:pPr>
        <w:ind w:left="620"/>
        <w:spacing w:after="0"/>
        <w:rPr>
          <w:sz w:val="20"/>
          <w:szCs w:val="20"/>
          <w:color w:val="auto"/>
        </w:rPr>
      </w:pPr>
      <w:r>
        <w:rPr>
          <w:rFonts w:ascii="Arial" w:cs="Arial" w:eastAsia="Arial" w:hAnsi="Arial"/>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000" w:space="720"/>
            <w:col w:w="2560" w:space="720"/>
            <w:col w:w="3240"/>
          </w:cols>
          <w:pgMar w:left="320" w:top="1187" w:right="339" w:bottom="1440" w:gutter="0" w:footer="0" w:header="0"/>
          <w:type w:val="continuous"/>
        </w:sectPr>
      </w:pP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8111 Lyndale Avenue South</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Bloomington, Minnesota 55420-1196</w:t>
      </w:r>
    </w:p>
    <w:p>
      <w:pPr>
        <w:jc w:val="center"/>
        <w:spacing w:after="0"/>
        <w:rPr>
          <w:sz w:val="20"/>
          <w:szCs w:val="20"/>
          <w:color w:val="auto"/>
        </w:rPr>
      </w:pPr>
      <w:r>
        <w:rPr>
          <w:rFonts w:ascii="Arial" w:cs="Arial" w:eastAsia="Arial" w:hAnsi="Arial"/>
          <w:sz w:val="20"/>
          <w:szCs w:val="20"/>
          <w:b w:val="1"/>
          <w:bCs w:val="1"/>
          <w:color w:val="auto"/>
        </w:rPr>
        <w:t>Telephone number: (952) 888-8801</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120650</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50" w:type="dxa"/>
        <w:tblCellMar>
          <w:top w:w="0" w:type="dxa"/>
          <w:left w:w="0" w:type="dxa"/>
          <w:bottom w:w="0" w:type="dxa"/>
          <w:right w:w="0" w:type="dxa"/>
        </w:tblCellMar>
      </w:tblPr>
      <w:tr>
        <w:trPr>
          <w:trHeight w:val="226"/>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5" w:lineRule="exact"/>
        <w:rPr>
          <w:sz w:val="24"/>
          <w:szCs w:val="24"/>
          <w:color w:val="auto"/>
        </w:rPr>
      </w:pPr>
    </w:p>
    <w:p>
      <w:pPr>
        <w:jc w:val="both"/>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9" w:lineRule="exact"/>
        <w:rPr>
          <w:sz w:val="24"/>
          <w:szCs w:val="24"/>
          <w:color w:val="auto"/>
        </w:rPr>
      </w:pPr>
    </w:p>
    <w:p>
      <w:pPr>
        <w:jc w:val="both"/>
        <w:spacing w:after="0" w:line="24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On September 2, 2021, The Toro Company announced its earnings for the three and nine month periods ended July 30, 2021.</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(d)  Exhibits.</w:t>
            </w:r>
          </w:p>
        </w:tc>
        <w:tc>
          <w:tcPr>
            <w:tcW w:w="4760" w:type="dxa"/>
            <w:vAlign w:val="bottom"/>
          </w:tcPr>
          <w:p>
            <w:pPr>
              <w:spacing w:after="0"/>
              <w:rPr>
                <w:sz w:val="21"/>
                <w:szCs w:val="21"/>
                <w:color w:val="auto"/>
              </w:rPr>
            </w:pPr>
          </w:p>
        </w:tc>
        <w:tc>
          <w:tcPr>
            <w:tcW w:w="4100" w:type="dxa"/>
            <w:vAlign w:val="bottom"/>
          </w:tcPr>
          <w:p>
            <w:pPr>
              <w:spacing w:after="0"/>
              <w:rPr>
                <w:sz w:val="21"/>
                <w:szCs w:val="21"/>
                <w:color w:val="auto"/>
              </w:rPr>
            </w:pPr>
          </w:p>
        </w:tc>
      </w:tr>
      <w:tr>
        <w:trPr>
          <w:trHeight w:val="479"/>
        </w:trPr>
        <w:tc>
          <w:tcPr>
            <w:tcW w:w="238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886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06"/>
        </w:trPr>
        <w:tc>
          <w:tcPr>
            <w:tcW w:w="2380" w:type="dxa"/>
            <w:vAlign w:val="bottom"/>
          </w:tcPr>
          <w:p>
            <w:pPr>
              <w:ind w:left="220"/>
              <w:spacing w:after="0" w:line="206" w:lineRule="exact"/>
              <w:rPr>
                <w:sz w:val="20"/>
                <w:szCs w:val="20"/>
                <w:color w:val="auto"/>
              </w:rPr>
            </w:pPr>
            <w:r>
              <w:rPr>
                <w:rFonts w:ascii="Arial" w:cs="Arial" w:eastAsia="Arial" w:hAnsi="Arial"/>
                <w:sz w:val="20"/>
                <w:szCs w:val="20"/>
                <w:color w:val="auto"/>
              </w:rPr>
              <w:t>99.1</w:t>
            </w:r>
          </w:p>
        </w:tc>
        <w:tc>
          <w:tcPr>
            <w:tcW w:w="8860" w:type="dxa"/>
            <w:vAlign w:val="bottom"/>
            <w:gridSpan w:val="2"/>
          </w:tcPr>
          <w:p>
            <w:pPr>
              <w:spacing w:after="0" w:line="206" w:lineRule="exact"/>
              <w:rPr>
                <w:rFonts w:ascii="Arial" w:cs="Arial" w:eastAsia="Arial" w:hAnsi="Arial"/>
                <w:sz w:val="20"/>
                <w:szCs w:val="20"/>
                <w:color w:val="0000FF"/>
              </w:rPr>
            </w:pPr>
            <w:hyperlink w:anchor="page5">
              <w:r>
                <w:rPr>
                  <w:rFonts w:ascii="Arial" w:cs="Arial" w:eastAsia="Arial" w:hAnsi="Arial"/>
                  <w:sz w:val="20"/>
                  <w:szCs w:val="20"/>
                  <w:color w:val="0000FF"/>
                </w:rPr>
                <w:t>Press release dated September 2, 2021 (furnished herewith).</w:t>
              </w:r>
            </w:hyperlink>
          </w:p>
        </w:tc>
      </w:tr>
      <w:tr>
        <w:trPr>
          <w:trHeight w:val="20"/>
        </w:trPr>
        <w:tc>
          <w:tcPr>
            <w:tcW w:w="2380" w:type="dxa"/>
            <w:vAlign w:val="bottom"/>
          </w:tcPr>
          <w:p>
            <w:pPr>
              <w:spacing w:after="0" w:line="20" w:lineRule="exact"/>
              <w:rPr>
                <w:sz w:val="1"/>
                <w:szCs w:val="1"/>
                <w:color w:val="auto"/>
              </w:rPr>
            </w:pPr>
          </w:p>
        </w:tc>
        <w:tc>
          <w:tcPr>
            <w:tcW w:w="4760" w:type="dxa"/>
            <w:vAlign w:val="bottom"/>
            <w:shd w:val="clear" w:color="auto" w:fill="0000FF"/>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268"/>
        </w:trPr>
        <w:tc>
          <w:tcPr>
            <w:tcW w:w="2380" w:type="dxa"/>
            <w:vAlign w:val="bottom"/>
          </w:tcPr>
          <w:p>
            <w:pPr>
              <w:ind w:left="220"/>
              <w:spacing w:after="0"/>
              <w:rPr>
                <w:sz w:val="20"/>
                <w:szCs w:val="20"/>
                <w:color w:val="auto"/>
              </w:rPr>
            </w:pPr>
            <w:r>
              <w:rPr>
                <w:rFonts w:ascii="Arial" w:cs="Arial" w:eastAsia="Arial" w:hAnsi="Arial"/>
                <w:sz w:val="20"/>
                <w:szCs w:val="20"/>
                <w:color w:val="auto"/>
              </w:rPr>
              <w:t>104</w:t>
            </w:r>
          </w:p>
        </w:tc>
        <w:tc>
          <w:tcPr>
            <w:tcW w:w="886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23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THE TORO COMPANY</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(Registrant)</w:t>
            </w:r>
          </w:p>
        </w:tc>
      </w:tr>
      <w:tr>
        <w:trPr>
          <w:trHeight w:val="509"/>
        </w:trPr>
        <w:tc>
          <w:tcPr>
            <w:tcW w:w="6320" w:type="dxa"/>
            <w:vAlign w:val="bottom"/>
          </w:tcPr>
          <w:p>
            <w:pPr>
              <w:spacing w:after="0"/>
              <w:rPr>
                <w:sz w:val="20"/>
                <w:szCs w:val="20"/>
                <w:color w:val="auto"/>
              </w:rPr>
            </w:pPr>
            <w:r>
              <w:rPr>
                <w:rFonts w:ascii="Arial" w:cs="Arial" w:eastAsia="Arial" w:hAnsi="Arial"/>
                <w:sz w:val="20"/>
                <w:szCs w:val="20"/>
                <w:color w:val="auto"/>
              </w:rPr>
              <w:t>Date: September 2, 2021</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33"/>
        </w:trPr>
        <w:tc>
          <w:tcPr>
            <w:tcW w:w="63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Renee J. Peterson</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Vice President, Chief Financial Officer</w:t>
            </w:r>
          </w:p>
        </w:tc>
      </w:tr>
    </w:tbl>
    <w:p>
      <w:pPr>
        <w:sectPr>
          <w:pgSz w:w="11900" w:h="16838" w:orient="portrait"/>
          <w:cols w:equalWidth="0" w:num="1">
            <w:col w:w="11220"/>
          </w:cols>
          <w:pgMar w:left="320" w:top="892"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Sr. Managing Director, Global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Record Third-Quarter Fiscal 2021 Results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Continued Broad-Based Demand Across Professional and Residential Segments</w:t>
      </w:r>
    </w:p>
    <w:p>
      <w:pPr>
        <w:spacing w:after="0" w:line="263" w:lineRule="exact"/>
        <w:rPr>
          <w:sz w:val="20"/>
          <w:szCs w:val="20"/>
          <w:color w:val="auto"/>
        </w:rPr>
      </w:pPr>
    </w:p>
    <w:p>
      <w:pPr>
        <w:ind w:left="660" w:right="220" w:hanging="328"/>
        <w:spacing w:after="0" w:line="225"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Third-quarter net sales up 16.2% year over year to $977 million; Professional segment net sales up 15.2%, Residential segment net sales up 23.0%</w:t>
      </w:r>
    </w:p>
    <w:p>
      <w:pPr>
        <w:ind w:left="640" w:hanging="308"/>
        <w:spacing w:after="0" w:line="225" w:lineRule="auto"/>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diluted EPS of $0.89; *Adjusted diluted EPS of $0.92, up 12.2% year over year</w:t>
      </w: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Raises full-year fiscal 2021 net sales and *adjusted diluted EPS guidance</w:t>
      </w:r>
    </w:p>
    <w:p>
      <w:pPr>
        <w:spacing w:after="0" w:line="313"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b w:val="1"/>
          <w:bCs w:val="1"/>
          <w:color w:val="auto"/>
        </w:rPr>
        <w:t>BLOOMINGTON, Minn.—(BUSINESS WIRE) — September 2, 2021—</w:t>
      </w:r>
      <w:r>
        <w:rPr>
          <w:rFonts w:ascii="Arial" w:cs="Arial" w:eastAsia="Arial" w:hAnsi="Arial"/>
          <w:sz w:val="20"/>
          <w:szCs w:val="20"/>
          <w:color w:val="auto"/>
        </w:rPr>
        <w:t>The Toro Company (NYSE: TTC)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fiscal third quarter ended July 30, 2021.</w:t>
      </w:r>
    </w:p>
    <w:p>
      <w:pPr>
        <w:spacing w:after="0" w:line="71" w:lineRule="exact"/>
        <w:rPr>
          <w:sz w:val="20"/>
          <w:szCs w:val="20"/>
          <w:color w:val="auto"/>
        </w:rPr>
      </w:pPr>
    </w:p>
    <w:p>
      <w:pPr>
        <w:ind w:right="540"/>
        <w:spacing w:after="0" w:line="230" w:lineRule="auto"/>
        <w:rPr>
          <w:sz w:val="20"/>
          <w:szCs w:val="20"/>
          <w:color w:val="auto"/>
        </w:rPr>
      </w:pPr>
      <w:r>
        <w:rPr>
          <w:rFonts w:ascii="Arial" w:cs="Arial" w:eastAsia="Arial" w:hAnsi="Arial"/>
          <w:sz w:val="20"/>
          <w:szCs w:val="20"/>
          <w:color w:val="auto"/>
        </w:rPr>
        <w:t>“Robust sales continued throughout the quarter in both our professional and residential segments,” said Richard M. Olson, chairman and chief executive officer. “As we capitalized on the current demand environment and focused on serving our customers, our dedicated team and channel partners demonstrated extraordinary resolve in navigating global supply chain challenges.</w:t>
      </w:r>
    </w:p>
    <w:p>
      <w:pPr>
        <w:spacing w:after="0" w:line="90"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“We delivered double-digit net sales growth for the second quarter in a row for the professional segment, with continued strength in landscape contractor and golf markets worldwide, increased pre-season shipments of BOSS snow and ice management products, and higher demand for rental and specialty construction equipment and Ventrac products. Residential segment net sales were also up double-digits on top of a very strong third quarter last year, driven by increased retail demand for zero-turn and walk power mowers. Customers are excited about our new and enhanced products across both segments, including our expanding line of battery-powered offerings. Our continued investment in key technology areas underscores our commitment to provide a broad range of innovative and sustainable solutions.”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FISCAL 2021 FINANCIAL HIGHLIGHTS</w:t>
      </w:r>
    </w:p>
    <w:p>
      <w:pPr>
        <w:spacing w:after="0" w:line="15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sales of $976.8 million, up 16.2% from $841.0 million in the third quarter of fiscal 2020.</w:t>
      </w:r>
    </w:p>
    <w:p>
      <w:pPr>
        <w:spacing w:after="0" w:line="229" w:lineRule="exact"/>
        <w:rPr>
          <w:rFonts w:ascii="Arial" w:cs="Arial" w:eastAsia="Arial" w:hAnsi="Arial"/>
          <w:sz w:val="20"/>
          <w:szCs w:val="20"/>
          <w:b w:val="1"/>
          <w:bCs w:val="1"/>
          <w:color w:val="auto"/>
        </w:rPr>
      </w:pPr>
    </w:p>
    <w:p>
      <w:pPr>
        <w:ind w:left="660" w:right="460" w:hanging="328"/>
        <w:spacing w:after="0" w:line="236"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earnings of $96.3 million, up 8.3% from $89.0 million in the third quarter of fiscal 2020; *adjusted net earnings of $99.4 million, up 12.1% from $88.7 million in the third quarter of fiscal 2020.</w:t>
      </w:r>
    </w:p>
    <w:p>
      <w:pPr>
        <w:spacing w:after="0" w:line="222" w:lineRule="exact"/>
        <w:rPr>
          <w:rFonts w:ascii="Arial" w:cs="Arial" w:eastAsia="Arial" w:hAnsi="Arial"/>
          <w:sz w:val="20"/>
          <w:szCs w:val="20"/>
          <w:b w:val="1"/>
          <w:bCs w:val="1"/>
          <w:color w:val="auto"/>
        </w:rPr>
      </w:pPr>
    </w:p>
    <w:p>
      <w:pPr>
        <w:ind w:left="660" w:right="600" w:hanging="328"/>
        <w:spacing w:after="0" w:line="257"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Reported EPS of $0.89 per diluted share, up 8.5% from $0.82 per diluted share in the third quarter of fiscal 2020; *adjusted EPS of $0.92 per diluted share, up 12.2% from $0.82 per diluted share in the third quarter of fiscal 2020.</w:t>
      </w:r>
    </w:p>
    <w:p>
      <w:pPr>
        <w:sectPr>
          <w:pgSz w:w="11900" w:h="16838" w:orient="portrait"/>
          <w:cols w:equalWidth="0" w:num="1">
            <w:col w:w="11240"/>
          </w:cols>
          <w:pgMar w:left="320" w:top="1440"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YEAR-TO-DATE FISCAL 2021 FINANCIAL HIGHLIGHTS</w:t>
      </w:r>
    </w:p>
    <w:p>
      <w:pPr>
        <w:spacing w:after="0" w:line="145"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b w:val="1"/>
          <w:bCs w:val="1"/>
          <w:color w:val="auto"/>
        </w:rPr>
      </w:pPr>
      <w:r>
        <w:rPr>
          <w:rFonts w:ascii="Arial" w:cs="Arial" w:eastAsia="Arial" w:hAnsi="Arial"/>
          <w:sz w:val="20"/>
          <w:szCs w:val="20"/>
          <w:color w:val="auto"/>
        </w:rPr>
        <w:t>Net sales of $3.0 billion, up 18.2% from $2.54 billion in the same prior-year period.</w:t>
      </w:r>
    </w:p>
    <w:p>
      <w:pPr>
        <w:spacing w:after="0" w:line="229" w:lineRule="exact"/>
        <w:rPr>
          <w:rFonts w:ascii="Arial" w:cs="Arial" w:eastAsia="Arial" w:hAnsi="Arial"/>
          <w:sz w:val="20"/>
          <w:szCs w:val="20"/>
          <w:b w:val="1"/>
          <w:bCs w:val="1"/>
          <w:color w:val="auto"/>
        </w:rPr>
      </w:pPr>
    </w:p>
    <w:p>
      <w:pPr>
        <w:ind w:left="660" w:right="400" w:hanging="328"/>
        <w:spacing w:after="0" w:line="23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earnings of $349.8 million, up 35.8% from $257.5 million in the same prior-year period; *adjusted net earnings of $333.0 million, up 28.8% from $258.6 million in the first nine months of fiscal 2020.</w:t>
      </w:r>
    </w:p>
    <w:p>
      <w:pPr>
        <w:spacing w:after="0" w:line="222" w:lineRule="exact"/>
        <w:rPr>
          <w:rFonts w:ascii="Arial" w:cs="Arial" w:eastAsia="Arial" w:hAnsi="Arial"/>
          <w:sz w:val="20"/>
          <w:szCs w:val="20"/>
          <w:color w:val="auto"/>
        </w:rPr>
      </w:pPr>
    </w:p>
    <w:p>
      <w:pPr>
        <w:ind w:left="660" w:right="20" w:hanging="328"/>
        <w:spacing w:after="0" w:line="23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Reported EPS of $3.21 per diluted share, up 35.4% from $2.37 per diluted share in the same prior-year period; *adjusted EPS of $3.06 per diluted share, up 28.6% from $2.38 per diluted share in the first nine months of fiscal 2020.</w:t>
      </w:r>
    </w:p>
    <w:p>
      <w:pPr>
        <w:spacing w:after="0" w:line="222" w:lineRule="exact"/>
        <w:rPr>
          <w:rFonts w:ascii="Arial" w:cs="Arial" w:eastAsia="Arial" w:hAnsi="Arial"/>
          <w:sz w:val="20"/>
          <w:szCs w:val="20"/>
          <w:color w:val="auto"/>
        </w:rPr>
      </w:pPr>
    </w:p>
    <w:p>
      <w:pPr>
        <w:jc w:val="both"/>
        <w:ind w:left="660" w:right="480" w:hanging="328"/>
        <w:spacing w:after="0" w:line="23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Deployed $100.0 million to pay down debt and returned $261.8 million to shareholders through regular dividends of $84.7 million and share repurchases of $177.1 million. As of July 30, 2021, the company had ample liquidity of $1.1 billion.</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5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“As we enter the final quarter of our fiscal year, we anticipate continued strong demand for our innovative product offerings, and are encouraged by the benefits we are realizing from our productivity and synergy initiatives,” added Olson. “We continue to align our actions with market dynamics and are prudently managing expenses for what is likely to be a challenging supply chain, inflation and labor environment into next year. All in, we are positioned to deliver excellent results for the full fiscal year, including record organic growth as we approach $4 billion in annual revenue. I am deeply inspired by our team’s ability to deliver such impressive results in this incredibly dynamic operating environment.</w:t>
      </w:r>
    </w:p>
    <w:p>
      <w:pPr>
        <w:spacing w:after="0" w:line="87" w:lineRule="exact"/>
        <w:rPr>
          <w:sz w:val="20"/>
          <w:szCs w:val="20"/>
          <w:color w:val="auto"/>
        </w:rPr>
      </w:pPr>
    </w:p>
    <w:p>
      <w:pPr>
        <w:ind w:right="320"/>
        <w:spacing w:after="0" w:line="230" w:lineRule="auto"/>
        <w:rPr>
          <w:sz w:val="20"/>
          <w:szCs w:val="20"/>
          <w:color w:val="auto"/>
        </w:rPr>
      </w:pPr>
      <w:r>
        <w:rPr>
          <w:rFonts w:ascii="Arial" w:cs="Arial" w:eastAsia="Arial" w:hAnsi="Arial"/>
          <w:sz w:val="20"/>
          <w:szCs w:val="20"/>
          <w:color w:val="auto"/>
        </w:rPr>
        <w:t>“Looking ahead, we remain focused on our enterprise strategic priorities of accelerating profitable growth, driving productivity and operational excellence, and empowering people. We are actively prioritizing investments in key technology areas of alternative power, smart connected and autonomous, and ensuring we have capacity to meet expected future growth,” concluded Olson.</w:t>
      </w:r>
    </w:p>
    <w:p>
      <w:pPr>
        <w:spacing w:after="0" w:line="117" w:lineRule="exact"/>
        <w:rPr>
          <w:sz w:val="20"/>
          <w:szCs w:val="20"/>
          <w:color w:val="auto"/>
        </w:rPr>
      </w:pPr>
    </w:p>
    <w:p>
      <w:pPr>
        <w:ind w:right="160"/>
        <w:spacing w:after="0" w:line="229" w:lineRule="auto"/>
        <w:rPr>
          <w:sz w:val="20"/>
          <w:szCs w:val="20"/>
          <w:color w:val="auto"/>
        </w:rPr>
      </w:pPr>
      <w:r>
        <w:rPr>
          <w:rFonts w:ascii="Arial" w:cs="Arial" w:eastAsia="Arial" w:hAnsi="Arial"/>
          <w:sz w:val="20"/>
          <w:szCs w:val="20"/>
          <w:color w:val="auto"/>
        </w:rPr>
        <w:t>The company is increasing its full-year fiscal 2021 guidance, and now expects net sales growth of about 17%, up from a range of 12% to 15% previously, and *adjusted EPS in the range of $3.53 to $3.57 per diluted share, up from the prior range of $3.45 to $3.55 per diluted share. The company’s updated guidance is based on management’s current visibility, and reflects expectations of a strong demand environment, coupled with continuing supply chain, inflation and labor pressures. The *adjusted diluted EPS guidance range excludes the benefit of the excess tax deduction for stock-based compensation and the net impact of certain legal settlements.</w:t>
      </w:r>
    </w:p>
    <w:p>
      <w:pPr>
        <w:sectPr>
          <w:pgSz w:w="11900" w:h="16838" w:orient="portrait"/>
          <w:cols w:equalWidth="0" w:num="1">
            <w:col w:w="11220"/>
          </w:cols>
          <w:pgMar w:left="320" w:top="827" w:right="35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FISCAL THIRD-QUARTER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59" w:lineRule="exact"/>
        <w:rPr>
          <w:sz w:val="20"/>
          <w:szCs w:val="20"/>
          <w:color w:val="auto"/>
        </w:rPr>
      </w:pPr>
    </w:p>
    <w:p>
      <w:pPr>
        <w:ind w:left="660" w:right="100" w:hanging="328"/>
        <w:spacing w:after="0" w:line="23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$718.5 million, up 15.2% compared with $623.6 million in the same period last year. The increase was primarily driven by strong demand for landscape contractor, golf, snow and ice management, rental and specialty construction, and Ventrac products, slightly offset by decreased sales of underground construction equipment due to product availability.</w:t>
      </w:r>
    </w:p>
    <w:p>
      <w:pPr>
        <w:spacing w:after="0" w:line="225"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Professional segment earnings for the third quarter were $122.3 million, up 7.6% compared with $113.7 million in the same period last year, and when expressed as a percentage of net sales, 17.0%, down from 18.2%. The 120 basis point decrease was largely due to higher material and freight costs, partially offset by net price realization and productivity improvements.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59" w:lineRule="exact"/>
        <w:rPr>
          <w:sz w:val="20"/>
          <w:szCs w:val="20"/>
          <w:color w:val="auto"/>
        </w:rPr>
      </w:pPr>
    </w:p>
    <w:p>
      <w:pPr>
        <w:jc w:val="both"/>
        <w:ind w:left="660" w:right="360" w:hanging="328"/>
        <w:spacing w:after="0" w:line="257" w:lineRule="auto"/>
        <w:tabs>
          <w:tab w:leader="none" w:pos="648" w:val="left"/>
        </w:tabs>
        <w:numPr>
          <w:ilvl w:val="0"/>
          <w:numId w:val="8"/>
        </w:numPr>
        <w:rPr>
          <w:rFonts w:ascii="Arial" w:cs="Arial" w:eastAsia="Arial" w:hAnsi="Arial"/>
          <w:sz w:val="19"/>
          <w:szCs w:val="19"/>
          <w:color w:val="auto"/>
        </w:rPr>
      </w:pPr>
      <w:r>
        <w:rPr>
          <w:rFonts w:ascii="Arial" w:cs="Arial" w:eastAsia="Arial" w:hAnsi="Arial"/>
          <w:sz w:val="19"/>
          <w:szCs w:val="19"/>
          <w:color w:val="auto"/>
        </w:rPr>
        <w:t>Residential segment net sales for the third quarter were $252.1 million, up 23.0% compared with $205.0 million in the same period last year. The increase was primarily due to strong retail demand for zero-turn and walk power mowers.</w:t>
      </w:r>
    </w:p>
    <w:p>
      <w:pPr>
        <w:spacing w:after="0" w:line="207" w:lineRule="exact"/>
        <w:rPr>
          <w:rFonts w:ascii="Arial" w:cs="Arial" w:eastAsia="Arial" w:hAnsi="Arial"/>
          <w:sz w:val="19"/>
          <w:szCs w:val="19"/>
          <w:color w:val="auto"/>
        </w:rPr>
      </w:pPr>
    </w:p>
    <w:p>
      <w:pPr>
        <w:ind w:left="660" w:right="80" w:hanging="328"/>
        <w:spacing w:after="0" w:line="230"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$31.5 million, up 10.5% compared with $28.5 million in the same period last year, and when expressed as a percentage of net sales, 12.5%, down from 13.9%. The 140 basis point decrease was largely driven by higher material and freight costs, partially offset by net price realization, productivity improvements and product mix.</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59"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auto"/>
        </w:rPr>
        <w:t>Gross margin for the third quarter was 33.9%, down 110 basis points compared with 35.0% for the same prior-year period. *Adjusted gross margin for the third quarter was 33.9%, down 130 basis points compared with 35.2% for the prior-year period. The decreases in gross margin and adjusted gross margin were primarily due to higher material and freight costs, partially offset by net price realization and productivity improvements.</w:t>
      </w:r>
    </w:p>
    <w:p>
      <w:pPr>
        <w:spacing w:after="0" w:line="104"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SG&amp;A expense as a percentage of net sales for the third quarter increased 20 basis points to 21.4% from 21.2% in the prior-year period. The increase was primarily driven by more normalized spending compared with a year ago and a legal settlement in the third quarter of this year.</w:t>
      </w:r>
    </w:p>
    <w:p>
      <w:pPr>
        <w:spacing w:after="0" w:line="103"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color w:val="auto"/>
        </w:rPr>
        <w:t>Operating earnings as a percentage of net sales decreased 130 basis points to 12.5% for the third quarter. *Adjusted operating earnings as a percentage of net sales decreased 80 basis points to 13.1% for the third quarter.</w:t>
      </w:r>
    </w:p>
    <w:p>
      <w:pPr>
        <w:spacing w:after="0" w:line="115" w:lineRule="exact"/>
        <w:rPr>
          <w:sz w:val="20"/>
          <w:szCs w:val="20"/>
          <w:color w:val="auto"/>
        </w:rPr>
      </w:pPr>
    </w:p>
    <w:p>
      <w:pPr>
        <w:ind w:right="260"/>
        <w:spacing w:after="0" w:line="236" w:lineRule="auto"/>
        <w:rPr>
          <w:sz w:val="20"/>
          <w:szCs w:val="20"/>
          <w:color w:val="auto"/>
        </w:rPr>
      </w:pPr>
      <w:r>
        <w:rPr>
          <w:rFonts w:ascii="Arial" w:cs="Arial" w:eastAsia="Arial" w:hAnsi="Arial"/>
          <w:sz w:val="20"/>
          <w:szCs w:val="20"/>
          <w:color w:val="auto"/>
        </w:rPr>
        <w:t>Interest expense was down $1.3 million for the third quarter to $7.0 million, driven by lower debt levels and decreased interest rates.</w:t>
      </w:r>
    </w:p>
    <w:p>
      <w:pPr>
        <w:spacing w:after="0" w:line="101" w:lineRule="exact"/>
        <w:rPr>
          <w:sz w:val="20"/>
          <w:szCs w:val="20"/>
          <w:color w:val="auto"/>
        </w:rPr>
      </w:pPr>
    </w:p>
    <w:p>
      <w:pPr>
        <w:ind w:right="200"/>
        <w:spacing w:after="0" w:line="232" w:lineRule="auto"/>
        <w:rPr>
          <w:sz w:val="20"/>
          <w:szCs w:val="20"/>
          <w:color w:val="auto"/>
        </w:rPr>
      </w:pPr>
      <w:r>
        <w:rPr>
          <w:rFonts w:ascii="Arial" w:cs="Arial" w:eastAsia="Arial" w:hAnsi="Arial"/>
          <w:sz w:val="20"/>
          <w:szCs w:val="20"/>
          <w:color w:val="auto"/>
        </w:rPr>
        <w:t>The effective tax rate for the third quarter was 18.0% compared with 19.8% for the third quarter of fiscal 2020. The *adjusted effective tax rate for the third quarter was 19.3% compared with 20.9% for the third quarter of fiscal 2020. The decreases were primarily driven by one-time adjustments related to prior years, partially offset by the geographic mix of earnings.</w:t>
      </w:r>
    </w:p>
    <w:p>
      <w:pPr>
        <w:spacing w:after="0" w:line="87"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ectPr>
          <w:pgSz w:w="11900" w:h="16838" w:orient="portrait"/>
          <w:cols w:equalWidth="0" w:num="1">
            <w:col w:w="11240"/>
          </w:cols>
          <w:pgMar w:left="320" w:top="827"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5" w:lineRule="auto"/>
        <w:rPr>
          <w:sz w:val="20"/>
          <w:szCs w:val="20"/>
          <w:color w:val="auto"/>
        </w:rPr>
      </w:pPr>
      <w:r>
        <w:rPr>
          <w:rFonts w:ascii="Arial" w:cs="Arial" w:eastAsia="Arial" w:hAnsi="Arial"/>
          <w:sz w:val="20"/>
          <w:szCs w:val="20"/>
          <w:b w:val="1"/>
          <w:bCs w:val="1"/>
          <w:color w:val="auto"/>
        </w:rPr>
        <w:t>September 2, 2021 at 10:00 a.m. CDT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jc w:val="both"/>
        <w:ind w:right="40"/>
        <w:spacing w:after="0" w:line="23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CDT on September 2, 2021.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45"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$3.4 billion in fiscal 2020, The Toro Company’s global presence extends to more than 125 countries through a family of brands that includes Toro, Ditch Witch, Exmark, BOSS Snowplow, Ventrac, American Augers, Subsite Electronics, HammerHead, Trencor, Unique Lighting Systems, Irritrol, Hayter, Pope, Perrot, Lawn-Boy and Radius HDD.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45"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This press release and our related earnings call references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gross profit, gross margin, operating earnings, earnings before income taxes, net earnings, net earnings per diluted share,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7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not related to its regular ongoing business, including, without limitation, certain non-cash, large, and/or unpredictable charges and benefits; acquisitions and dispositions; legal judgments, settlements, or other matters; and tax positions. Further, the company believes that these non-GAAP financial measures, when considered in conjunction with the financial measures prepared in accordance with U.S. GAAP, provide investors with useful supplemental financial information to better understand its core operational performance and liquidity.</w:t>
      </w:r>
    </w:p>
    <w:p>
      <w:pPr>
        <w:spacing w:after="0" w:line="16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ectPr>
          <w:pgSz w:w="11900" w:h="16838" w:orient="portrait"/>
          <w:cols w:equalWidth="0" w:num="1">
            <w:col w:w="11240"/>
          </w:cols>
          <w:pgMar w:left="320" w:top="827"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Forward-looking statements in this release include the company’s fiscal 2021 financial guidance. Particular risks and uncertainties that may affect the company’s operating results or financial position include: COVID-19 related factors, risks and challenges; adverse worldwide economic conditions;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00"/>
          </w:cols>
          <w:pgMar w:left="320" w:top="827" w:right="37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color w:val="auto"/>
        </w:rPr>
        <w:t>6 -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2"/>
        </w:trPr>
        <w:tc>
          <w:tcPr>
            <w:tcW w:w="4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30, 2021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31, 2020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30, 2021</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9"/>
              </w:rPr>
              <w:t>July 31, 2020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976,836</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840,972</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2,998,929</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2,537,853</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645,719</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546,398</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1,949,823</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1,648,474</w:t>
            </w:r>
          </w:p>
        </w:tc>
        <w:tc>
          <w:tcPr>
            <w:tcW w:w="0" w:type="dxa"/>
            <w:vAlign w:val="bottom"/>
          </w:tcPr>
          <w:p>
            <w:pPr>
              <w:spacing w:after="0"/>
              <w:rPr>
                <w:sz w:val="1"/>
                <w:szCs w:val="1"/>
                <w:color w:val="auto"/>
              </w:rPr>
            </w:pPr>
          </w:p>
        </w:tc>
      </w:tr>
      <w:tr>
        <w:trPr>
          <w:trHeight w:val="209"/>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331,117</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294,574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1,049,106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889,379</w:t>
            </w:r>
          </w:p>
        </w:tc>
        <w:tc>
          <w:tcPr>
            <w:tcW w:w="0" w:type="dxa"/>
            <w:vAlign w:val="bottom"/>
          </w:tcPr>
          <w:p>
            <w:pPr>
              <w:spacing w:after="0"/>
              <w:rPr>
                <w:sz w:val="1"/>
                <w:szCs w:val="1"/>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6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33.9 %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35.0 %</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35.0 %</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35.0 %</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6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209,178</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178,622</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604,986</w:t>
            </w: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556,503</w:t>
            </w:r>
          </w:p>
        </w:tc>
        <w:tc>
          <w:tcPr>
            <w:tcW w:w="0" w:type="dxa"/>
            <w:vAlign w:val="bottom"/>
          </w:tcPr>
          <w:p>
            <w:pPr>
              <w:spacing w:after="0"/>
              <w:rPr>
                <w:sz w:val="1"/>
                <w:szCs w:val="1"/>
                <w:color w:val="auto"/>
              </w:rPr>
            </w:pPr>
          </w:p>
        </w:tc>
      </w:tr>
      <w:tr>
        <w:trPr>
          <w:trHeight w:val="209"/>
        </w:trPr>
        <w:tc>
          <w:tcPr>
            <w:tcW w:w="418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64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121,939</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115,952</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444,120</w:t>
            </w:r>
          </w:p>
        </w:tc>
        <w:tc>
          <w:tcPr>
            <w:tcW w:w="260" w:type="dxa"/>
            <w:vAlign w:val="bottom"/>
          </w:tcPr>
          <w:p>
            <w:pPr>
              <w:spacing w:after="0"/>
              <w:rPr>
                <w:sz w:val="18"/>
                <w:szCs w:val="18"/>
                <w:color w:val="auto"/>
              </w:rPr>
            </w:pPr>
          </w:p>
        </w:tc>
        <w:tc>
          <w:tcPr>
            <w:tcW w:w="1380" w:type="dxa"/>
            <w:vAlign w:val="bottom"/>
          </w:tcPr>
          <w:p>
            <w:pPr>
              <w:jc w:val="right"/>
              <w:ind w:right="115"/>
              <w:spacing w:after="0"/>
              <w:rPr>
                <w:sz w:val="20"/>
                <w:szCs w:val="20"/>
                <w:color w:val="auto"/>
              </w:rPr>
            </w:pPr>
            <w:r>
              <w:rPr>
                <w:rFonts w:ascii="Arial" w:cs="Arial" w:eastAsia="Arial" w:hAnsi="Arial"/>
                <w:sz w:val="17"/>
                <w:szCs w:val="17"/>
                <w:color w:val="auto"/>
              </w:rPr>
              <w:t>332,876</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(7,016)</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(8,304)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(21,662)</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(25,119)</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2,528</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3,345</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8,062</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10,746</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117,451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110,993</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430,520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318,503</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21,131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22,025</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80,748</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60,998</w:t>
            </w:r>
          </w:p>
        </w:tc>
        <w:tc>
          <w:tcPr>
            <w:tcW w:w="0" w:type="dxa"/>
            <w:vAlign w:val="bottom"/>
          </w:tcPr>
          <w:p>
            <w:pPr>
              <w:spacing w:after="0"/>
              <w:rPr>
                <w:sz w:val="1"/>
                <w:szCs w:val="1"/>
                <w:color w:val="auto"/>
              </w:rPr>
            </w:pPr>
          </w:p>
        </w:tc>
      </w:tr>
      <w:tr>
        <w:trPr>
          <w:trHeight w:val="234"/>
        </w:trPr>
        <w:tc>
          <w:tcPr>
            <w:tcW w:w="41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96,320</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88,968</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349,772</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257,505</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0.90</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0.83</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3.25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37"/>
        </w:trPr>
        <w:tc>
          <w:tcPr>
            <w:tcW w:w="4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6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0.89</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0.82</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3.21</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w:t>
            </w:r>
          </w:p>
        </w:tc>
        <w:tc>
          <w:tcPr>
            <w:tcW w:w="6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107,130</w:t>
            </w:r>
          </w:p>
        </w:tc>
        <w:tc>
          <w:tcPr>
            <w:tcW w:w="2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107,710</w:t>
            </w:r>
          </w:p>
        </w:tc>
        <w:tc>
          <w:tcPr>
            <w:tcW w:w="2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107,667</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107,561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 Basic</w:t>
            </w:r>
          </w:p>
        </w:tc>
        <w:tc>
          <w:tcPr>
            <w:tcW w:w="6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4180" w:type="dxa"/>
            <w:vAlign w:val="bottom"/>
            <w:shd w:val="clear" w:color="auto" w:fill="CCEEFF"/>
          </w:tcPr>
          <w:p>
            <w:pPr>
              <w:ind w:left="20"/>
              <w:spacing w:after="0" w:line="162" w:lineRule="exact"/>
              <w:rPr>
                <w:sz w:val="20"/>
                <w:szCs w:val="20"/>
                <w:color w:val="auto"/>
              </w:rPr>
            </w:pPr>
            <w:r>
              <w:rPr>
                <w:rFonts w:ascii="Arial" w:cs="Arial" w:eastAsia="Arial" w:hAnsi="Arial"/>
                <w:sz w:val="17"/>
                <w:szCs w:val="17"/>
                <w:color w:val="auto"/>
              </w:rPr>
              <w:t>Weighted-average number of shares of common stock</w:t>
            </w:r>
          </w:p>
        </w:tc>
        <w:tc>
          <w:tcPr>
            <w:tcW w:w="6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108,363</w:t>
            </w:r>
          </w:p>
        </w:tc>
        <w:tc>
          <w:tcPr>
            <w:tcW w:w="2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108,543</w:t>
            </w:r>
          </w:p>
        </w:tc>
        <w:tc>
          <w:tcPr>
            <w:tcW w:w="2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108,818</w:t>
            </w:r>
          </w:p>
        </w:tc>
        <w:tc>
          <w:tcPr>
            <w:tcW w:w="2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108,569</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outstanding — Diluted</w:t>
            </w:r>
          </w:p>
        </w:tc>
        <w:tc>
          <w:tcPr>
            <w:tcW w:w="6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Nine Months Ended</w:t>
            </w:r>
          </w:p>
        </w:tc>
      </w:tr>
      <w:tr>
        <w:trPr>
          <w:trHeight w:val="21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1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w w:val="95"/>
              </w:rPr>
              <w:t>July 30, 2021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5"/>
              </w:rPr>
              <w:t>July 31, 2020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7"/>
              </w:rPr>
              <w:t>July 30, 2021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7"/>
              </w:rPr>
              <w:t>July 31, 2020</w:t>
            </w:r>
          </w:p>
        </w:tc>
      </w:tr>
      <w:tr>
        <w:trPr>
          <w:trHeight w:val="21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718,477</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623,615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2,197,058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1,879,423</w:t>
            </w: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20" w:type="dxa"/>
            <w:vAlign w:val="bottom"/>
          </w:tcPr>
          <w:p>
            <w:pPr>
              <w:spacing w:after="0"/>
              <w:rPr>
                <w:sz w:val="18"/>
                <w:szCs w:val="18"/>
                <w:color w:val="auto"/>
              </w:rPr>
            </w:pP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252,117</w:t>
            </w:r>
          </w:p>
        </w:tc>
        <w:tc>
          <w:tcPr>
            <w:tcW w:w="240" w:type="dxa"/>
            <w:vAlign w:val="bottom"/>
          </w:tcPr>
          <w:p>
            <w:pPr>
              <w:spacing w:after="0"/>
              <w:rPr>
                <w:sz w:val="18"/>
                <w:szCs w:val="18"/>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color w:val="auto"/>
              </w:rPr>
              <w:t>204,961</w:t>
            </w:r>
          </w:p>
        </w:tc>
        <w:tc>
          <w:tcPr>
            <w:tcW w:w="24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784,852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632,807</w:t>
            </w: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6,242</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12,396</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17,019</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25,623</w:t>
            </w:r>
          </w:p>
        </w:tc>
      </w:tr>
      <w:tr>
        <w:trPr>
          <w:trHeight w:val="210"/>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976,836</w:t>
            </w:r>
          </w:p>
        </w:tc>
        <w:tc>
          <w:tcPr>
            <w:tcW w:w="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840,972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2,998,929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2,537,853</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37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191,665</w:t>
            </w: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150,014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638,921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508,001</w:t>
            </w:r>
          </w:p>
        </w:tc>
      </w:tr>
      <w:tr>
        <w:trPr>
          <w:trHeight w:val="491"/>
        </w:trPr>
        <w:tc>
          <w:tcPr>
            <w:tcW w:w="37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7"/>
                <w:szCs w:val="17"/>
                <w:b w:val="1"/>
                <w:bCs w:val="1"/>
                <w:color w:val="auto"/>
              </w:rPr>
              <w:t>Nine Months Ended</w:t>
            </w:r>
          </w:p>
        </w:tc>
      </w:tr>
      <w:tr>
        <w:trPr>
          <w:trHeight w:val="21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w:t>
            </w:r>
          </w:p>
        </w:tc>
        <w:tc>
          <w:tcPr>
            <w:tcW w:w="1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7"/>
              </w:rPr>
              <w:t>July 30, 2021</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7"/>
              </w:rPr>
              <w:t>July 31, 2020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w w:val="97"/>
              </w:rPr>
              <w:t>July 30, 2021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97"/>
              </w:rPr>
              <w:t>July 31, 2020</w:t>
            </w:r>
          </w:p>
        </w:tc>
      </w:tr>
      <w:tr>
        <w:trPr>
          <w:trHeight w:val="20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122,331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113,652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406,279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322,385</w:t>
            </w:r>
          </w:p>
        </w:tc>
      </w:tr>
      <w:tr>
        <w:trPr>
          <w:trHeight w:val="216"/>
        </w:trPr>
        <w:tc>
          <w:tcPr>
            <w:tcW w:w="372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142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31,548</w:t>
            </w:r>
          </w:p>
        </w:tc>
        <w:tc>
          <w:tcPr>
            <w:tcW w:w="240" w:type="dxa"/>
            <w:vAlign w:val="bottom"/>
          </w:tcPr>
          <w:p>
            <w:pPr>
              <w:spacing w:after="0"/>
              <w:rPr>
                <w:sz w:val="18"/>
                <w:szCs w:val="18"/>
                <w:color w:val="auto"/>
              </w:rPr>
            </w:pPr>
          </w:p>
        </w:tc>
        <w:tc>
          <w:tcPr>
            <w:tcW w:w="1340" w:type="dxa"/>
            <w:vAlign w:val="bottom"/>
          </w:tcPr>
          <w:p>
            <w:pPr>
              <w:jc w:val="right"/>
              <w:ind w:right="15"/>
              <w:spacing w:after="0"/>
              <w:rPr>
                <w:sz w:val="20"/>
                <w:szCs w:val="20"/>
                <w:color w:val="auto"/>
              </w:rPr>
            </w:pPr>
            <w:r>
              <w:rPr>
                <w:rFonts w:ascii="Arial" w:cs="Arial" w:eastAsia="Arial" w:hAnsi="Arial"/>
                <w:sz w:val="17"/>
                <w:szCs w:val="17"/>
                <w:color w:val="auto"/>
              </w:rPr>
              <w:t>28,545</w:t>
            </w:r>
          </w:p>
        </w:tc>
        <w:tc>
          <w:tcPr>
            <w:tcW w:w="24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109,642</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87,233</w:t>
            </w:r>
          </w:p>
        </w:tc>
      </w:tr>
      <w:tr>
        <w:trPr>
          <w:trHeight w:val="216"/>
        </w:trPr>
        <w:tc>
          <w:tcPr>
            <w:tcW w:w="3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(36,428)</w:t>
            </w: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(31,204)</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(85,401)</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(91,115)</w:t>
            </w:r>
          </w:p>
        </w:tc>
      </w:tr>
      <w:tr>
        <w:trPr>
          <w:trHeight w:val="210"/>
        </w:trPr>
        <w:tc>
          <w:tcPr>
            <w:tcW w:w="3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117,451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110,993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430,520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318,503</w:t>
            </w: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t>7 -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7"/>
                <w:szCs w:val="17"/>
                <w:b w:val="1"/>
                <w:bCs w:val="1"/>
                <w:color w:val="auto"/>
                <w:w w:val="95"/>
              </w:rPr>
              <w:t>July 30, 2021</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7"/>
                <w:szCs w:val="17"/>
                <w:b w:val="1"/>
                <w:bCs w:val="1"/>
                <w:color w:val="auto"/>
                <w:w w:val="93"/>
              </w:rPr>
              <w:t>July 31, 2020</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75"/>
              <w:spacing w:after="0" w:line="176" w:lineRule="exact"/>
              <w:rPr>
                <w:sz w:val="20"/>
                <w:szCs w:val="20"/>
                <w:color w:val="auto"/>
              </w:rPr>
            </w:pPr>
            <w:r>
              <w:rPr>
                <w:rFonts w:ascii="Arial" w:cs="Arial" w:eastAsia="Arial" w:hAnsi="Arial"/>
                <w:sz w:val="17"/>
                <w:szCs w:val="17"/>
                <w:b w:val="1"/>
                <w:bCs w:val="1"/>
                <w:color w:val="auto"/>
                <w:w w:val="96"/>
              </w:rPr>
              <w:t>October 31,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22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8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535,330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394,141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479,892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301,234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294,672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665,648</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656,208</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652,433</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8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43,577</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39,225</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34,188</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1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1,545,789</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1,384,246</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1,427,648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456,992</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457,891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467,919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421,958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424,228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426,497</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413,270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408,305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72,236</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81,634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19,272</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22,580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19,745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6,362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9,772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1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18,943</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20,242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20,318</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2,968,049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2,813,863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5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w w:val="99"/>
              </w:rPr>
              <w:t>LIABILITIES AND STOCKHOLDERS’ EQUITY</w:t>
            </w:r>
          </w:p>
        </w:tc>
        <w:tc>
          <w:tcPr>
            <w:tcW w:w="17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Current portion of long-term debt</w:t>
            </w: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104,217</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108,869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99,873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411,413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268,747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427,407</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404,314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376,524</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18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15,403</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15,182</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15,447</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1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958,440</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797,112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855,797</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587,345</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782,036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691,250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60,002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69,752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74,381</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71,346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70,435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50,703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39,585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2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18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6"/>
                <w:szCs w:val="16"/>
                <w:color w:val="auto"/>
              </w:rPr>
              <w:t>106,441</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107,264</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184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1,157,428</w:t>
            </w:r>
          </w:p>
        </w:tc>
        <w:tc>
          <w:tcPr>
            <w:tcW w:w="2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981,344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1,041,507</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2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18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(26,691)</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(34,576)</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(34,262)</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22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1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1,237,178</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1,054,032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1,114,828</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2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2,968,049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2,813,863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9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00" w:lineRule="exact"/>
        <w:rPr>
          <w:sz w:val="20"/>
          <w:szCs w:val="20"/>
          <w:color w:val="auto"/>
        </w:rPr>
      </w:pPr>
    </w:p>
    <w:p>
      <w:pPr>
        <w:ind w:left="9100"/>
        <w:spacing w:after="0"/>
        <w:rPr>
          <w:sz w:val="20"/>
          <w:szCs w:val="20"/>
          <w:color w:val="auto"/>
        </w:rPr>
      </w:pPr>
      <w:r>
        <w:rPr>
          <w:rFonts w:ascii="Arial" w:cs="Arial" w:eastAsia="Arial" w:hAnsi="Arial"/>
          <w:sz w:val="17"/>
          <w:szCs w:val="17"/>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93"/>
              </w:rPr>
              <w:t>July 30, 2021</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w w:val="93"/>
              </w:rPr>
              <w:t>July 31, 2020</w:t>
            </w:r>
          </w:p>
        </w:tc>
      </w:tr>
      <w:tr>
        <w:trPr>
          <w:trHeight w:val="209"/>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349,772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257,505</w:t>
            </w: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(4,694)</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(6,161)</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Distributions from finance affiliate, net</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5,167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7,729</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5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55,301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55,272</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17,493</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14,591</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Fair value step-up adjustment to acquired inventory</w:t>
            </w:r>
          </w:p>
        </w:tc>
        <w:tc>
          <w:tcPr>
            <w:tcW w:w="15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3,951</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Stock-based compensation expense</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16,176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Deferred income taxes</w:t>
            </w:r>
          </w:p>
        </w:tc>
        <w:tc>
          <w:tcPr>
            <w:tcW w:w="15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699</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(3,425)</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r>
      <w:tr>
        <w:trPr>
          <w:trHeight w:val="216"/>
        </w:trPr>
        <w:tc>
          <w:tcPr>
            <w:tcW w:w="70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Receivables, net</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(17,687)</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(20,080)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18,248</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w:t>
            </w:r>
          </w:p>
        </w:tc>
      </w:tr>
      <w:tr>
        <w:trPr>
          <w:trHeight w:val="21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Accounts payable, accrued liabilities, and other liabilities</w:t>
            </w: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100,563</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(42,817)</w:t>
            </w:r>
          </w:p>
        </w:tc>
      </w:tr>
      <w:tr>
        <w:trPr>
          <w:trHeight w:val="209"/>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operating activities</w:t>
            </w:r>
          </w:p>
        </w:tc>
        <w:tc>
          <w:tcPr>
            <w:tcW w:w="1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477,135</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305,876</w:t>
            </w:r>
          </w:p>
        </w:tc>
      </w:tr>
      <w:tr>
        <w:trPr>
          <w:trHeight w:val="237"/>
        </w:trPr>
        <w:tc>
          <w:tcPr>
            <w:tcW w:w="7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(47,961)</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(46,627)</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(14,874)</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(138,225)</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Asset acquisitions, net of cash acquired</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(27,176)</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asset disposals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588</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16"/>
        </w:trPr>
        <w:tc>
          <w:tcPr>
            <w:tcW w:w="70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Proceeds from sale of a business</w:t>
            </w: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18,732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70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(70,691)</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(184,648)</w:t>
            </w:r>
          </w:p>
        </w:tc>
      </w:tr>
      <w:tr>
        <w:trPr>
          <w:trHeight w:val="236"/>
        </w:trPr>
        <w:tc>
          <w:tcPr>
            <w:tcW w:w="7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Borrowings under debt arrangements</w:t>
            </w:r>
          </w:p>
        </w:tc>
        <w:tc>
          <w:tcPr>
            <w:tcW w:w="15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636,025</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under debt arrangements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(446,025)</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520" w:type="dxa"/>
            <w:vAlign w:val="bottom"/>
          </w:tcPr>
          <w:p>
            <w:pPr>
              <w:spacing w:after="0"/>
              <w:rPr>
                <w:sz w:val="18"/>
                <w:szCs w:val="18"/>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12,535</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11,939</w:t>
            </w:r>
          </w:p>
        </w:tc>
      </w:tr>
      <w:tr>
        <w:trPr>
          <w:trHeight w:val="216"/>
        </w:trPr>
        <w:tc>
          <w:tcPr>
            <w:tcW w:w="7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r>
      <w:tr>
        <w:trPr>
          <w:trHeight w:val="216"/>
        </w:trPr>
        <w:tc>
          <w:tcPr>
            <w:tcW w:w="7040" w:type="dxa"/>
            <w:vAlign w:val="bottom"/>
          </w:tcPr>
          <w:p>
            <w:pPr>
              <w:ind w:left="140"/>
              <w:spacing w:after="0"/>
              <w:rPr>
                <w:sz w:val="20"/>
                <w:szCs w:val="20"/>
                <w:color w:val="auto"/>
              </w:rPr>
            </w:pPr>
            <w:r>
              <w:rPr>
                <w:rFonts w:ascii="Arial" w:cs="Arial" w:eastAsia="Arial" w:hAnsi="Arial"/>
                <w:sz w:val="17"/>
                <w:szCs w:val="17"/>
                <w:color w:val="auto"/>
              </w:rPr>
              <w:t>Purchases of TTC common stock</w:t>
            </w:r>
          </w:p>
        </w:tc>
        <w:tc>
          <w:tcPr>
            <w:tcW w:w="1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(177,152)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Dividends paid on TTC common stock</w:t>
            </w:r>
          </w:p>
        </w:tc>
        <w:tc>
          <w:tcPr>
            <w:tcW w:w="1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(84,677)</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(80,683)</w:t>
            </w:r>
          </w:p>
        </w:tc>
      </w:tr>
      <w:tr>
        <w:trPr>
          <w:trHeight w:val="209"/>
        </w:trPr>
        <w:tc>
          <w:tcPr>
            <w:tcW w:w="70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provided by financing activities</w:t>
            </w: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(351,169)</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119,154</w:t>
            </w:r>
          </w:p>
        </w:tc>
      </w:tr>
      <w:tr>
        <w:trPr>
          <w:trHeight w:val="237"/>
        </w:trPr>
        <w:tc>
          <w:tcPr>
            <w:tcW w:w="70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163</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1,931</w:t>
            </w:r>
          </w:p>
        </w:tc>
      </w:tr>
      <w:tr>
        <w:trPr>
          <w:trHeight w:val="237"/>
        </w:trPr>
        <w:tc>
          <w:tcPr>
            <w:tcW w:w="70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increase in cash and cash equivalents</w:t>
            </w: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55,438</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242,313</w:t>
            </w:r>
          </w:p>
        </w:tc>
      </w:tr>
      <w:tr>
        <w:trPr>
          <w:trHeight w:val="210"/>
        </w:trPr>
        <w:tc>
          <w:tcPr>
            <w:tcW w:w="7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479,892</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151,828</w:t>
            </w:r>
          </w:p>
        </w:tc>
      </w:tr>
      <w:tr>
        <w:trPr>
          <w:trHeight w:val="210"/>
        </w:trPr>
        <w:tc>
          <w:tcPr>
            <w:tcW w:w="7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535,330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394,141</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t>9 -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because the company believes they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and benefits not related to the company's regular, ongoing business, including, without limitation, certain non-cash, large, and/or unpredictable charges and benefits; acquisitions or dispositions; legal judgments, settlements or other matters; and tax positions.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and cash flows. These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reconciliation of financial performance measures calculated and reported in accordance with U.S. GAAP to the most directly comparable non-GAAP financial performance measures included within the accompanying press release for the three and nine month periods ended July 30, 2021 and July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26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Nine Months Ended</w:t>
            </w:r>
          </w:p>
        </w:tc>
      </w:tr>
      <w:tr>
        <w:trPr>
          <w:trHeight w:val="211"/>
        </w:trPr>
        <w:tc>
          <w:tcPr>
            <w:tcW w:w="38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30, 2021</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31, 2020</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30, 2021</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9"/>
              </w:rPr>
              <w:t>July 31, 2020</w:t>
            </w: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331,117</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294,574</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1,049,106</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889,379</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102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1,087</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3,950</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3</w:t>
            </w:r>
          </w:p>
        </w:tc>
        <w:tc>
          <w:tcPr>
            <w:tcW w:w="10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857</w:t>
            </w: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gross profit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331,117</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295,661</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1,049,106</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894,186</w:t>
            </w:r>
          </w:p>
        </w:tc>
      </w:tr>
      <w:tr>
        <w:trPr>
          <w:trHeight w:val="74"/>
        </w:trPr>
        <w:tc>
          <w:tcPr>
            <w:tcW w:w="38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w:t>
            </w:r>
          </w:p>
        </w:tc>
        <w:tc>
          <w:tcPr>
            <w:tcW w:w="1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35.0 %</w:t>
            </w:r>
          </w:p>
        </w:tc>
      </w:tr>
      <w:tr>
        <w:trPr>
          <w:trHeight w:val="216"/>
        </w:trPr>
        <w:tc>
          <w:tcPr>
            <w:tcW w:w="38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 %</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r>
      <w:tr>
        <w:trPr>
          <w:trHeight w:val="209"/>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gross margin</w:t>
            </w:r>
          </w:p>
        </w:tc>
        <w:tc>
          <w:tcPr>
            <w:tcW w:w="10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35.2 %</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35.0 %</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35.2 %</w:t>
            </w:r>
          </w:p>
        </w:tc>
      </w:tr>
      <w:tr>
        <w:trPr>
          <w:trHeight w:val="75"/>
        </w:trPr>
        <w:tc>
          <w:tcPr>
            <w:tcW w:w="38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121,939</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115,952</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444,120</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332,876</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2"/>
                <w:szCs w:val="22"/>
                <w:color w:val="auto"/>
                <w:vertAlign w:val="superscript"/>
              </w:rPr>
              <w:t>1</w:t>
            </w:r>
          </w:p>
        </w:tc>
        <w:tc>
          <w:tcPr>
            <w:tcW w:w="102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5,750</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(11,325)</w:t>
            </w:r>
          </w:p>
        </w:tc>
        <w:tc>
          <w:tcPr>
            <w:tcW w:w="26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1,161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6,183</w:t>
            </w:r>
          </w:p>
        </w:tc>
      </w:tr>
      <w:tr>
        <w:trPr>
          <w:trHeight w:val="216"/>
        </w:trPr>
        <w:tc>
          <w:tcPr>
            <w:tcW w:w="38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3</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857</w:t>
            </w:r>
          </w:p>
        </w:tc>
      </w:tr>
      <w:tr>
        <w:trPr>
          <w:trHeight w:val="21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operating earnings</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127,689</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117,113</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432,795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339,916</w:t>
            </w:r>
          </w:p>
        </w:tc>
      </w:tr>
      <w:tr>
        <w:trPr>
          <w:trHeight w:val="74"/>
        </w:trPr>
        <w:tc>
          <w:tcPr>
            <w:tcW w:w="38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117,451</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110,993</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430,520</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318,503</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2"/>
                <w:szCs w:val="22"/>
                <w:color w:val="auto"/>
                <w:vertAlign w:val="superscript"/>
              </w:rPr>
              <w:t>1</w:t>
            </w:r>
          </w:p>
        </w:tc>
        <w:tc>
          <w:tcPr>
            <w:tcW w:w="102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5,750</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(11,325)</w:t>
            </w:r>
          </w:p>
        </w:tc>
        <w:tc>
          <w:tcPr>
            <w:tcW w:w="26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1,161</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6,183</w:t>
            </w:r>
          </w:p>
        </w:tc>
      </w:tr>
      <w:tr>
        <w:trPr>
          <w:trHeight w:val="216"/>
        </w:trPr>
        <w:tc>
          <w:tcPr>
            <w:tcW w:w="38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3</w:t>
            </w:r>
          </w:p>
        </w:tc>
        <w:tc>
          <w:tcPr>
            <w:tcW w:w="10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857</w:t>
            </w:r>
          </w:p>
        </w:tc>
      </w:tr>
      <w:tr>
        <w:trPr>
          <w:trHeight w:val="210"/>
        </w:trPr>
        <w:tc>
          <w:tcPr>
            <w:tcW w:w="3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earnings before income taxes</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123,201</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112,154</w:t>
            </w:r>
          </w:p>
        </w:tc>
        <w:tc>
          <w:tcPr>
            <w:tcW w:w="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419,195</w:t>
            </w:r>
          </w:p>
        </w:tc>
        <w:tc>
          <w:tcPr>
            <w:tcW w:w="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325,543</w:t>
            </w:r>
          </w:p>
        </w:tc>
      </w:tr>
      <w:tr>
        <w:trPr>
          <w:trHeight w:val="75"/>
        </w:trPr>
        <w:tc>
          <w:tcPr>
            <w:tcW w:w="38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96,320</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88,968</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349,772</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257,505</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2"/>
                <w:szCs w:val="22"/>
                <w:color w:val="auto"/>
                <w:vertAlign w:val="superscript"/>
              </w:rPr>
              <w:t>1</w:t>
            </w:r>
          </w:p>
        </w:tc>
        <w:tc>
          <w:tcPr>
            <w:tcW w:w="102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4,525</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(8,947)</w:t>
            </w:r>
          </w:p>
        </w:tc>
        <w:tc>
          <w:tcPr>
            <w:tcW w:w="26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924</w:t>
            </w: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4,922</w:t>
            </w: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7"/>
                <w:szCs w:val="17"/>
                <w:color w:val="auto"/>
              </w:rPr>
              <w:t>Management actions</w:t>
            </w:r>
            <w:r>
              <w:rPr>
                <w:rFonts w:ascii="Arial" w:cs="Arial" w:eastAsia="Arial" w:hAnsi="Arial"/>
                <w:sz w:val="22"/>
                <w:szCs w:val="22"/>
                <w:color w:val="auto"/>
                <w:vertAlign w:val="superscript"/>
              </w:rPr>
              <w:t>3</w:t>
            </w:r>
          </w:p>
        </w:tc>
        <w:tc>
          <w:tcPr>
            <w:tcW w:w="102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682</w:t>
            </w:r>
          </w:p>
        </w:tc>
      </w:tr>
      <w:tr>
        <w:trPr>
          <w:trHeight w:val="216"/>
        </w:trPr>
        <w:tc>
          <w:tcPr>
            <w:tcW w:w="38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2"/>
                <w:szCs w:val="22"/>
                <w:color w:val="auto"/>
                <w:vertAlign w:val="superscript"/>
              </w:rPr>
              <w:t>4</w:t>
            </w:r>
          </w:p>
        </w:tc>
        <w:tc>
          <w:tcPr>
            <w:tcW w:w="10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(1,397)</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(1,173)</w:t>
            </w: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(7,846)</w:t>
            </w:r>
          </w:p>
        </w:tc>
        <w:tc>
          <w:tcPr>
            <w:tcW w:w="2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(4,550)</w:t>
            </w:r>
          </w:p>
        </w:tc>
      </w:tr>
      <w:tr>
        <w:trPr>
          <w:trHeight w:val="210"/>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net earnings</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99,448</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88,719</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332,979</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258,559</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3"/>
          </w:tcPr>
          <w:p>
            <w:pPr>
              <w:jc w:val="right"/>
              <w:ind w:right="815"/>
              <w:spacing w:after="0"/>
              <w:rPr>
                <w:sz w:val="20"/>
                <w:szCs w:val="20"/>
                <w:color w:val="auto"/>
              </w:rPr>
            </w:pPr>
            <w:r>
              <w:rPr>
                <w:rFonts w:ascii="Arial" w:cs="Arial" w:eastAsia="Arial" w:hAnsi="Arial"/>
                <w:sz w:val="17"/>
                <w:szCs w:val="17"/>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ind w:right="795"/>
              <w:spacing w:after="0"/>
              <w:rPr>
                <w:sz w:val="20"/>
                <w:szCs w:val="20"/>
                <w:color w:val="auto"/>
              </w:rPr>
            </w:pPr>
            <w:r>
              <w:rPr>
                <w:rFonts w:ascii="Arial" w:cs="Arial" w:eastAsia="Arial" w:hAnsi="Arial"/>
                <w:sz w:val="17"/>
                <w:szCs w:val="17"/>
                <w:b w:val="1"/>
                <w:bCs w:val="1"/>
                <w:color w:val="auto"/>
              </w:rPr>
              <w:t>Nine Months Ended</w:t>
            </w:r>
          </w:p>
        </w:tc>
      </w:tr>
      <w:tr>
        <w:trPr>
          <w:trHeight w:val="212"/>
        </w:trPr>
        <w:tc>
          <w:tcPr>
            <w:tcW w:w="38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30, 2021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31, 2020</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w w:val="99"/>
              </w:rPr>
              <w:t>July 30, 2021</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9"/>
              </w:rPr>
              <w:t>July 31, 2020</w:t>
            </w:r>
          </w:p>
        </w:tc>
      </w:tr>
      <w:tr>
        <w:trPr>
          <w:trHeight w:val="209"/>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0.89</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0.82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3.21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2.37</w:t>
            </w:r>
          </w:p>
        </w:tc>
      </w:tr>
      <w:tr>
        <w:trPr>
          <w:trHeight w:val="216"/>
        </w:trPr>
        <w:tc>
          <w:tcPr>
            <w:tcW w:w="3860" w:type="dxa"/>
            <w:vAlign w:val="bottom"/>
          </w:tcPr>
          <w:p>
            <w:pPr>
              <w:ind w:left="140"/>
              <w:spacing w:after="0" w:line="216" w:lineRule="exact"/>
              <w:rPr>
                <w:sz w:val="20"/>
                <w:szCs w:val="20"/>
                <w:color w:val="auto"/>
              </w:rPr>
            </w:pPr>
            <w:r>
              <w:rPr>
                <w:rFonts w:ascii="Arial" w:cs="Arial" w:eastAsia="Arial" w:hAnsi="Arial"/>
                <w:sz w:val="17"/>
                <w:szCs w:val="17"/>
                <w:color w:val="auto"/>
              </w:rPr>
              <w:t>Litigation settlements, net</w:t>
            </w:r>
            <w:r>
              <w:rPr>
                <w:rFonts w:ascii="Arial" w:cs="Arial" w:eastAsia="Arial" w:hAnsi="Arial"/>
                <w:sz w:val="22"/>
                <w:szCs w:val="22"/>
                <w:color w:val="auto"/>
                <w:vertAlign w:val="superscript"/>
              </w:rPr>
              <w:t>1</w:t>
            </w:r>
          </w:p>
        </w:tc>
        <w:tc>
          <w:tcPr>
            <w:tcW w:w="104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8"/>
                <w:szCs w:val="18"/>
                <w:color w:val="auto"/>
              </w:rPr>
            </w:pPr>
          </w:p>
        </w:tc>
        <w:tc>
          <w:tcPr>
            <w:tcW w:w="1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20" w:type="dxa"/>
            <w:vAlign w:val="bottom"/>
          </w:tcPr>
          <w:p>
            <w:pPr>
              <w:jc w:val="right"/>
              <w:ind w:right="135"/>
              <w:spacing w:after="0"/>
              <w:rPr>
                <w:sz w:val="20"/>
                <w:szCs w:val="20"/>
                <w:color w:val="auto"/>
              </w:rPr>
            </w:pPr>
            <w:r>
              <w:rPr>
                <w:rFonts w:ascii="Arial" w:cs="Arial" w:eastAsia="Arial" w:hAnsi="Arial"/>
                <w:sz w:val="17"/>
                <w:szCs w:val="17"/>
                <w:color w:val="auto"/>
              </w:rPr>
              <w:t>(0.08)</w:t>
            </w:r>
          </w:p>
        </w:tc>
        <w:tc>
          <w:tcPr>
            <w:tcW w:w="240" w:type="dxa"/>
            <w:vAlign w:val="bottom"/>
          </w:tcPr>
          <w:p>
            <w:pPr>
              <w:spacing w:after="0"/>
              <w:rPr>
                <w:sz w:val="18"/>
                <w:szCs w:val="18"/>
                <w:color w:val="auto"/>
              </w:rPr>
            </w:pPr>
          </w:p>
        </w:tc>
        <w:tc>
          <w:tcPr>
            <w:tcW w:w="1360" w:type="dxa"/>
            <w:vAlign w:val="bottom"/>
          </w:tcPr>
          <w:p>
            <w:pPr>
              <w:jc w:val="right"/>
              <w:ind w:right="115"/>
              <w:spacing w:after="0"/>
              <w:rPr>
                <w:sz w:val="20"/>
                <w:szCs w:val="20"/>
                <w:color w:val="auto"/>
              </w:rPr>
            </w:pPr>
            <w:r>
              <w:rPr>
                <w:rFonts w:ascii="Arial" w:cs="Arial" w:eastAsia="Arial" w:hAnsi="Arial"/>
                <w:sz w:val="17"/>
                <w:szCs w:val="17"/>
                <w:color w:val="auto"/>
              </w:rPr>
              <w:t>—</w:t>
            </w:r>
          </w:p>
        </w:tc>
      </w:tr>
      <w:tr>
        <w:trPr>
          <w:trHeight w:val="216"/>
        </w:trPr>
        <w:tc>
          <w:tcPr>
            <w:tcW w:w="386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2"/>
                <w:szCs w:val="22"/>
                <w:color w:val="auto"/>
                <w:vertAlign w:val="superscript"/>
              </w:rPr>
              <w:t>2</w:t>
            </w: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0.01</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0.05</w:t>
            </w:r>
          </w:p>
        </w:tc>
      </w:tr>
      <w:tr>
        <w:trPr>
          <w:trHeight w:val="216"/>
        </w:trPr>
        <w:tc>
          <w:tcPr>
            <w:tcW w:w="386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2"/>
                <w:szCs w:val="22"/>
                <w:color w:val="auto"/>
                <w:vertAlign w:val="superscript"/>
              </w:rPr>
              <w:t>4</w:t>
            </w: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(0.01)</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(0.07)</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(0.04)</w:t>
            </w:r>
          </w:p>
        </w:tc>
      </w:tr>
      <w:tr>
        <w:trPr>
          <w:trHeight w:val="235"/>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earnings per diluted share</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0.92</w:t>
            </w:r>
          </w:p>
        </w:tc>
        <w:tc>
          <w:tcPr>
            <w:tcW w:w="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0.82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3.06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2.38</w:t>
            </w:r>
          </w:p>
        </w:tc>
      </w:tr>
      <w:tr>
        <w:trPr>
          <w:trHeight w:val="20"/>
        </w:trPr>
        <w:tc>
          <w:tcPr>
            <w:tcW w:w="38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38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0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18.0 %</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19.8 %</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18.8 %</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19.2 %</w:t>
            </w:r>
          </w:p>
        </w:tc>
      </w:tr>
      <w:tr>
        <w:trPr>
          <w:trHeight w:val="216"/>
        </w:trPr>
        <w:tc>
          <w:tcPr>
            <w:tcW w:w="386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2"/>
                <w:szCs w:val="22"/>
                <w:color w:val="auto"/>
                <w:vertAlign w:val="superscript"/>
              </w:rPr>
              <w:t>4</w:t>
            </w:r>
          </w:p>
        </w:tc>
        <w:tc>
          <w:tcPr>
            <w:tcW w:w="10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1.8 %</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1.4 %</w:t>
            </w:r>
          </w:p>
        </w:tc>
      </w:tr>
      <w:tr>
        <w:trPr>
          <w:trHeight w:val="21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effective tax rate</w:t>
            </w: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19.3 %</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20.9 %</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20.6 %</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20.6 %</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left="260" w:right="160" w:hanging="171"/>
        <w:spacing w:after="0" w:line="259" w:lineRule="auto"/>
        <w:tabs>
          <w:tab w:leader="none" w:pos="256"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 Additionally, during the third quarter of fiscal 2021, the company recorded a charge related to a legal settlement for a series of ongoing patent infringement disputes within selling, general and administrative expense in the Condensed Consolidated Statements of Earnings. Accordingly, litigation settlements, net represents the charge incurred for the settlement of the patent infringement disputes for the three month period ended July 30, 2021. Litigation settlements, net for the nine month period ended July 30, 2021 represents the net amount recorded for the settlement of the Infringement Action, as well as the charge incurred for the settlement of the patent infringement disputes.</w:t>
      </w:r>
    </w:p>
    <w:p>
      <w:pPr>
        <w:spacing w:after="0" w:line="86" w:lineRule="exact"/>
        <w:rPr>
          <w:sz w:val="20"/>
          <w:szCs w:val="20"/>
          <w:color w:val="auto"/>
        </w:rPr>
      </w:pPr>
    </w:p>
    <w:p>
      <w:pPr>
        <w:jc w:val="both"/>
        <w:ind w:left="260" w:right="160" w:hanging="171"/>
        <w:spacing w:after="0" w:line="239" w:lineRule="auto"/>
        <w:tabs>
          <w:tab w:leader="none" w:pos="35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On March 2, 2020, the company completed the acquisition of Venture Products, Inc. ("Venture Products") and on April 1, 2019, the company completed the acquisition of The Charles Machine Works, Inc. ("CMW"). Acquisition-related costs for the three month period ended July 31, 2020 represent integration costs and charges incurred for the take-down of the inventory fair value step-up amount resulting from purchase accounting adjustments related to the acquisition of Venture Products. Acquisition-related costs for the nine month period ended July 31, 2020 represent transaction costs incurred for the company's acquisition of Venture Products, as well as integration costs and charges incurred for the take-down of the inventory fair value step-up amount resulting from purchase accounting adjustments related to the acquisitions of Venture Products and CMW. No acquisition-related costs were incurred during the three and nine month periods ended July 30, 2021.</w:t>
      </w:r>
    </w:p>
    <w:p>
      <w:pPr>
        <w:spacing w:after="0" w:line="91" w:lineRule="exact"/>
        <w:rPr>
          <w:sz w:val="20"/>
          <w:szCs w:val="20"/>
          <w:color w:val="auto"/>
        </w:rPr>
      </w:pPr>
    </w:p>
    <w:p>
      <w:pPr>
        <w:jc w:val="both"/>
        <w:ind w:left="260" w:right="160" w:hanging="171"/>
        <w:spacing w:after="0" w:line="233" w:lineRule="auto"/>
        <w:tabs>
          <w:tab w:leader="none" w:pos="28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During the third quarter of fiscal 2019, the company announced the wind down of its Toro-branded large horizontal directional drill and riding trencher product line ("Toro underground wind down"). Management actions represent inventory write-down charges incurred during the nine month period ended July 31, 2020 for the Toro underground wind down. No charges were incurred for the Toro underground wind down for three month period ended July 31, 2020 and the three and nine month periods ended July 30, 2021.</w:t>
      </w:r>
    </w:p>
    <w:p>
      <w:pPr>
        <w:spacing w:after="0" w:line="94" w:lineRule="exact"/>
        <w:rPr>
          <w:sz w:val="20"/>
          <w:szCs w:val="20"/>
          <w:color w:val="auto"/>
        </w:rPr>
      </w:pPr>
    </w:p>
    <w:p>
      <w:pPr>
        <w:jc w:val="both"/>
        <w:ind w:left="260" w:right="160" w:hanging="171"/>
        <w:spacing w:after="0" w:line="236" w:lineRule="auto"/>
        <w:tabs>
          <w:tab w:leader="none" w:pos="283"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net earnings per diluted share, and effective tax rate. These amounts represent the discrete tax benefits recorded as excess tax deductions for stock-based compensation during the three and nine month periods ended July 30, 2021 and July 31, 2020.</w:t>
      </w:r>
    </w:p>
    <w:p>
      <w:pPr>
        <w:sectPr>
          <w:pgSz w:w="11900" w:h="16838" w:orient="portrait"/>
          <w:cols w:equalWidth="0" w:num="1">
            <w:col w:w="11240"/>
          </w:cols>
          <w:pgMar w:left="320" w:top="935" w:right="339" w:bottom="1440" w:gutter="0" w:footer="0" w:header="0"/>
        </w:sectPr>
      </w:pPr>
    </w:p>
    <w:bookmarkStart w:id="14" w:name="page15"/>
    <w:bookmarkEnd w:id="14"/>
    <w:p>
      <w:pPr>
        <w:ind w:left="180"/>
        <w:spacing w:after="0"/>
        <w:rPr>
          <w:sz w:val="20"/>
          <w:szCs w:val="20"/>
          <w:color w:val="auto"/>
        </w:rPr>
      </w:pPr>
      <w:r>
        <w:rPr>
          <w:rFonts w:ascii="Arial" w:cs="Arial" w:eastAsia="Arial" w:hAnsi="Arial"/>
          <w:sz w:val="18"/>
          <w:szCs w:val="18"/>
          <w:color w:val="auto"/>
        </w:rPr>
        <w:t>11 - The Toro Company Reports Record Third-Quarter Fiscal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6350</wp:posOffset>
            </wp:positionV>
            <wp:extent cx="6926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defines non-GAAP free cash flow as net cash provided by operating activities less purchases of property, plant and equipment. Non-GAAP free cash flow conversion percentage represents non-GAAP free cash flow as a percentage of net earnings. The company considers non-GAAP free cash flow and non-GAAP free cash flow conversion percentage to be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net cash provided by operating activities, the most directly comparable GAAP financial measure, to non-GAAP free cash flow for the nine month periods ended July 30, 2021 and July 31, 2020:</w:t>
      </w:r>
    </w:p>
    <w:p>
      <w:pPr>
        <w:spacing w:after="0" w:line="91" w:lineRule="exact"/>
        <w:rPr>
          <w:sz w:val="20"/>
          <w:szCs w:val="20"/>
          <w:color w:val="auto"/>
        </w:rPr>
      </w:pPr>
    </w:p>
    <w:p>
      <w:pPr>
        <w:ind w:left="8740"/>
        <w:spacing w:after="0"/>
        <w:rPr>
          <w:sz w:val="20"/>
          <w:szCs w:val="20"/>
          <w:color w:val="auto"/>
        </w:rPr>
      </w:pPr>
      <w:r>
        <w:rPr>
          <w:rFonts w:ascii="Arial" w:cs="Arial" w:eastAsia="Arial" w:hAnsi="Arial"/>
          <w:sz w:val="17"/>
          <w:szCs w:val="17"/>
          <w:b w:val="1"/>
          <w:bCs w:val="1"/>
          <w:color w:val="auto"/>
        </w:rPr>
        <w:t>Nine Months Ended</w:t>
      </w:r>
    </w:p>
    <w:p>
      <w:pPr>
        <w:spacing w:after="0" w:line="2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5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w w:val="99"/>
              </w:rPr>
              <w:t>July 30, 2021</w:t>
            </w: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99"/>
              </w:rPr>
              <w:t>July 31, 2020</w:t>
            </w:r>
          </w:p>
        </w:tc>
      </w:tr>
      <w:tr>
        <w:trPr>
          <w:trHeight w:val="209"/>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2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477,135</w:t>
            </w:r>
          </w:p>
        </w:tc>
        <w:tc>
          <w:tcPr>
            <w:tcW w:w="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305,876</w:t>
            </w:r>
          </w:p>
        </w:tc>
      </w:tr>
      <w:tr>
        <w:trPr>
          <w:trHeight w:val="216"/>
        </w:trPr>
        <w:tc>
          <w:tcPr>
            <w:tcW w:w="56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2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47,961</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46,627</w:t>
            </w: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Non-GAAP free cash flow</w:t>
            </w:r>
          </w:p>
        </w:tc>
        <w:tc>
          <w:tcPr>
            <w:tcW w:w="2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429,174</w:t>
            </w: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259,249</w:t>
            </w:r>
          </w:p>
        </w:tc>
      </w:tr>
      <w:tr>
        <w:trPr>
          <w:trHeight w:val="216"/>
        </w:trPr>
        <w:tc>
          <w:tcPr>
            <w:tcW w:w="56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2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349,772</w:t>
            </w:r>
          </w:p>
        </w:tc>
        <w:tc>
          <w:tcPr>
            <w:tcW w:w="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257,505</w:t>
            </w:r>
          </w:p>
        </w:tc>
      </w:tr>
      <w:tr>
        <w:trPr>
          <w:trHeight w:val="234"/>
        </w:trPr>
        <w:tc>
          <w:tcPr>
            <w:tcW w:w="5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Non-GAAP free cash flow conversion percentage</w:t>
            </w:r>
          </w:p>
        </w:tc>
        <w:tc>
          <w:tcPr>
            <w:tcW w:w="2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122.7 %</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100.7 %</w:t>
            </w:r>
          </w:p>
        </w:tc>
      </w:tr>
      <w:tr>
        <w:trPr>
          <w:trHeight w:val="20"/>
        </w:trPr>
        <w:tc>
          <w:tcPr>
            <w:tcW w:w="56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1)"/>
      <w:numFmt w:val="decimal"/>
      <w:start w:val="952"/>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2021-09-02T07:47:01Z</dcterms:created>
  <dcterms:modified xsi:type="dcterms:W3CDTF">2021-09-02T07:47:01Z</dcterms:modified>
</cp:coreProperties>
</file>