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No._2_)*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891092108</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891092108</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516,798</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207,723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1,441,121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1,441,121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4.6%</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right="20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and I.R.S. Identification Numbers of Reporting Persons--Furnish the full legal name of each person for whom the report is filed--i.e.,</w:t>
      </w: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person required to sign the schedule itself--including each member of a group. Do not include the name of a person required to be identified in the report but who is not a reporting person. Reporting persons are also requested to furnish their I.R.S. identification numbers, although disclosure of such numbers is voluntary, not mandatory (see "SPECIAL INSTRUCTIONS FOR COMPLYING WITH SCHEDULE 13G", below).</w:t>
      </w:r>
    </w:p>
    <w:p>
      <w:pPr>
        <w:spacing w:after="0" w:line="211" w:lineRule="exact"/>
        <w:rPr>
          <w:rFonts w:ascii="Courier New" w:cs="Courier New" w:eastAsia="Courier New" w:hAnsi="Courier New"/>
          <w:sz w:val="16"/>
          <w:szCs w:val="16"/>
          <w:color w:val="auto"/>
        </w:rPr>
      </w:pPr>
    </w:p>
    <w:p>
      <w:pPr>
        <w:ind w:right="19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w:t>
      </w:r>
    </w:p>
    <w:p>
      <w:pPr>
        <w:spacing w:after="0" w:line="5"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check row 2(a). If the reporting person disclaims membership in a group or describes a relationship with other person but does not affirm the existence of a group, please check row 2(b)[unless it is a joint filing pursuant to Rule 13d-1(k)(1) in which case it may not be necessary to check row 2(b)].</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Organization--Furnish citizenship if the named reporting person is a natural person. Otherwise, furnish place of organization.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Aggregated Amount Beneficially Owned By Each Reporting Person, etc.--</w:t>
      </w:r>
    </w:p>
    <w:p>
      <w:pPr>
        <w:spacing w:after="0" w:line="4" w:lineRule="exact"/>
        <w:rPr>
          <w:sz w:val="20"/>
          <w:szCs w:val="20"/>
          <w:color w:val="auto"/>
        </w:rPr>
      </w:pPr>
    </w:p>
    <w:p>
      <w:pPr>
        <w:ind w:right="273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ind w:right="2099" w:firstLine="8"/>
        <w:spacing w:after="0" w:line="236"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under the Securities Exchange Act of 1934.</w:t>
      </w:r>
    </w:p>
    <w:p>
      <w:pPr>
        <w:spacing w:after="0" w:line="209" w:lineRule="exact"/>
        <w:rPr>
          <w:sz w:val="20"/>
          <w:szCs w:val="20"/>
          <w:color w:val="auto"/>
        </w:rPr>
      </w:pPr>
    </w:p>
    <w:p>
      <w:pPr>
        <w:ind w:right="2519" w:firstLine="8"/>
        <w:spacing w:after="0" w:line="236"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000" w:type="dxa"/>
            <w:vAlign w:val="bottom"/>
          </w:tcPr>
          <w:p>
            <w:pPr>
              <w:ind w:left="940"/>
              <w:spacing w:after="0"/>
              <w:rPr>
                <w:sz w:val="20"/>
                <w:szCs w:val="20"/>
                <w:color w:val="auto"/>
              </w:rPr>
            </w:pPr>
            <w:r>
              <w:rPr>
                <w:rFonts w:ascii="Courier New" w:cs="Courier New" w:eastAsia="Courier New" w:hAnsi="Courier New"/>
                <w:sz w:val="18"/>
                <w:szCs w:val="18"/>
                <w:color w:val="auto"/>
              </w:rPr>
              <w:t>Category</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Symbol</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 Dealer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BD</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Advisor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 or Endowment Fund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ectPr>
          <w:pgSz w:w="11900" w:h="16838" w:orient="portrait"/>
          <w:cols w:equalWidth="0" w:num="1">
            <w:col w:w="10219"/>
          </w:cols>
          <w:pgMar w:left="240" w:top="142" w:right="1440" w:bottom="0" w:gutter="0" w:footer="0" w:header="0"/>
        </w:sectPr>
      </w:pPr>
    </w:p>
    <w:bookmarkStart w:id="2" w:name="page3"/>
    <w:bookmarkEnd w:id="2"/>
    <w:p>
      <w:pPr>
        <w:ind w:right="251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right="187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13d- 2(b) and 13d-2(d). Statements filed pursuant to Rule 13d-1(d) shall be filed not later than February 14 following the calendar year covered by the statement pursuant to Rules 13d-1(d) and 13d-2(b).</w:t>
      </w:r>
    </w:p>
    <w:p>
      <w:pPr>
        <w:spacing w:after="0" w:line="212"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67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negative, so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TORO COMPANY</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8111 Lyndale Avenue South, Bloomington, Minnesota  55420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891092108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13d-1(b) or 13d-2(b) or (c),</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1,441,121</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4.6%</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516,798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207,723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1,441,121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EARNEST Partners, LLC is filing as an investment adviser in accordance with 240.13d-1(b)(1)(ii)(E). No client interest relates to more than five percent of the class.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212"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w:t>
      </w:r>
    </w:p>
    <w:p>
      <w:pPr>
        <w:sectPr>
          <w:pgSz w:w="11900" w:h="16838" w:orient="portrait"/>
          <w:cols w:equalWidth="0" w:num="1">
            <w:col w:w="10219"/>
          </w:cols>
          <w:pgMar w:left="240" w:top="136" w:right="1440" w:bottom="0" w:gutter="0" w:footer="0" w:header="0"/>
        </w:sectPr>
      </w:pPr>
    </w:p>
    <w:bookmarkStart w:id="4" w:name="page5"/>
    <w:bookmarkEnd w:id="4"/>
    <w:p>
      <w:pPr>
        <w:jc w:val="both"/>
        <w:ind w:right="1999"/>
        <w:spacing w:after="0" w:line="279" w:lineRule="auto"/>
        <w:rPr>
          <w:sz w:val="20"/>
          <w:szCs w:val="20"/>
          <w:color w:val="auto"/>
        </w:rPr>
      </w:pPr>
      <w:r>
        <w:rPr>
          <w:rFonts w:ascii="Courier New" w:cs="Courier New" w:eastAsia="Courier New" w:hAnsi="Courier New"/>
          <w:sz w:val="16"/>
          <w:szCs w:val="16"/>
          <w:color w:val="auto"/>
        </w:rPr>
        <w:t>identity and the Item 3 classification of the relevant subsidiary. If a parent holding company has filed this schedule pursuant to Rule 13d-1(c) or Rule 13d-1(d), attach an exhibit stating the identification of the relevant subsidiary.</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2, 2011</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criminal violations (See 18 U.S.C. 1001)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24"/>
    </w:lvl>
  </w:abstractNum>
  <w:abstractNum w:abstractNumId="4">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109CF92E"/>
    <w:multiLevelType w:val="hybridMultilevel"/>
    <w:lvl w:ilvl="0">
      <w:lvlJc w:val="left"/>
      <w:lvlText w:val="-"/>
      <w:numFmt w:val="bullet"/>
      <w:start w:val="1"/>
    </w:lvl>
    <w:lvl w:ilvl="1">
      <w:lvlJc w:val="left"/>
      <w:lvlText w:val="4"/>
      <w:numFmt w:val="bullet"/>
      <w:start w:val="1"/>
    </w:lvl>
  </w:abstractNum>
  <w:abstractNum w:abstractNumId="6">
    <w:nsid w:val="DED7263"/>
    <w:multiLevelType w:val="hybridMultilevel"/>
    <w:lvl w:ilvl="0">
      <w:lvlJc w:val="left"/>
      <w:lvlText w:val="-"/>
      <w:numFmt w:val="bullet"/>
      <w:start w:val="1"/>
    </w:lvl>
    <w:lvl w:ilvl="1">
      <w:lvlJc w:val="left"/>
      <w:lvlText w:val="8"/>
      <w:numFmt w:val="bullet"/>
      <w:start w:val="1"/>
    </w:lvl>
  </w:abstractNum>
  <w:abstractNum w:abstractNumId="7">
    <w:nsid w:val="7FDCC233"/>
    <w:multiLevelType w:val="hybridMultilevel"/>
    <w:lvl w:ilvl="0">
      <w:lvlJc w:val="left"/>
      <w:lvlText w:val="-"/>
      <w:numFmt w:val="bullet"/>
      <w:start w:val="1"/>
    </w:lvl>
    <w:lvl w:ilvl="1">
      <w:lvlJc w:val="left"/>
      <w:lvlText w:val="9"/>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2019-12-10T06:09:13Z</dcterms:created>
  <dcterms:modified xsi:type="dcterms:W3CDTF">2019-12-10T06:09:13Z</dcterms:modified>
</cp:coreProperties>
</file>