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68311_s8.htm"/>
      <w:bookmarkStart w:id="1" w:name="ksef20068311_s8"/>
      <w:bookmarkEnd w:id="0"/>
      <w:bookmarkEnd w:id="1"/>
      <w:r>
        <w:rPr>
          <w:rFonts w:ascii="Times New Roman" w:hAnsi="Times New Roman"/>
          <w:b/>
          <w:color w:val="000000"/>
          <w:sz w:val="20"/>
        </w:rPr>
        <w:t>As filed with the Securities and Exchange Commission on March 20, 2026</w:t>
      </w:r>
    </w:p>
    <w:p>
      <w:pPr>
        <w:pStyle w:val="TextBody"/>
        <w:bidi w:val="0"/>
        <w:spacing w:before="0" w:after="0"/>
        <w:ind w:left="1800" w:right="0" w:firstLine="6480"/>
        <w:jc w:val="left"/>
        <w:rPr>
          <w:rFonts w:ascii="Times New Roman" w:hAnsi="Times New Roman"/>
          <w:b/>
          <w:color w:val="000000"/>
          <w:sz w:val="20"/>
        </w:rPr>
      </w:pPr>
      <w:r>
        <w:rPr>
          <w:rFonts w:ascii="Times New Roman" w:hAnsi="Times New Roman"/>
          <w:b/>
          <w:color w:val="000000"/>
          <w:sz w:val="20"/>
        </w:rPr>
        <w:t>Registration No. 333-_______</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 THE SECURITIES ACT OF 1933</w:t>
      </w:r>
    </w:p>
    <w:p>
      <w:pPr>
        <w:pStyle w:val="TextBody"/>
        <w:bidi w:val="0"/>
        <w:spacing w:before="0" w:after="0"/>
        <w:jc w:val="center"/>
        <w:rPr>
          <w:b/>
          <w:i/>
        </w:rPr>
      </w:pPr>
      <w:r>
        <w:rPr>
          <w:b/>
          <w:i/>
        </w:rPr>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THE TORO COMPANY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f2eee7d5d96c416b8cedfce4fd15d6cc"/>
      <w:bookmarkStart w:id="3" w:name="zf2eee7d5d96c416b8cedfce4fd15d6cc"/>
      <w:bookmarkEnd w:id="3"/>
    </w:p>
    <w:tbl>
      <w:tblPr>
        <w:tblW w:w="9130" w:type="dxa"/>
        <w:jc w:val="left"/>
        <w:tblInd w:w="0" w:type="dxa"/>
        <w:tblLayout w:type="fixed"/>
        <w:tblCellMar>
          <w:top w:w="0" w:type="dxa"/>
          <w:left w:w="0" w:type="dxa"/>
          <w:bottom w:w="0" w:type="dxa"/>
          <w:right w:w="0" w:type="dxa"/>
        </w:tblCellMar>
      </w:tblPr>
      <w:tblGrid>
        <w:gridCol w:w="5615"/>
        <w:gridCol w:w="60"/>
        <w:gridCol w:w="3455"/>
      </w:tblGrid>
      <w:tr>
        <w:trPr/>
        <w:tc>
          <w:tcPr>
            <w:tcW w:w="5615" w:type="dxa"/>
            <w:tcBorders/>
            <w:vAlign w:val="center"/>
          </w:tcPr>
          <w:p>
            <w:pPr>
              <w:pStyle w:val="TableContents"/>
              <w:bidi w:val="0"/>
              <w:spacing w:before="0" w:after="0"/>
              <w:jc w:val="center"/>
              <w:rPr>
                <w:b/>
              </w:rPr>
            </w:pPr>
            <w:r>
              <w:rPr>
                <w:b/>
              </w:rPr>
              <w:t>Delaware</w:t>
            </w:r>
          </w:p>
          <w:p>
            <w:pPr>
              <w:pStyle w:val="TableContents"/>
              <w:bidi w:val="0"/>
              <w:spacing w:before="0" w:after="0"/>
              <w:jc w:val="center"/>
              <w:rPr/>
            </w:pPr>
            <w:r>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center"/>
              <w:rPr>
                <w:b/>
              </w:rPr>
            </w:pPr>
            <w:r>
              <w:rPr>
                <w:b/>
              </w:rPr>
              <w:t>41-0580470</w:t>
            </w:r>
          </w:p>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8111 Lyndale Avenue South</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Bloomington, Minnesota 55420-1196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2"/>
        </w:rPr>
      </w:pPr>
      <w:r>
        <w:rPr>
          <w:rFonts w:ascii="Times New Roman" w:hAnsi="Times New Roman"/>
          <w:b/>
          <w:color w:val="000000"/>
          <w:sz w:val="32"/>
        </w:rPr>
        <w:t>The Toro Company 2026 Equity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Joanna M. Totsky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Vice President, General Counsel and Corporate Secretary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Toro Company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8111 Lyndale Avenue South</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Bloomington, Minnesota 55420-1196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of agent for service)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(952) 888-8801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Copies requested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Amy E. Culbert,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Fox Rothschild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City Center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33 South Sixth Street, Suite 3600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Minneapolis, Minnesota  55402-3601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(612) 607-7000</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a42bfe3b909c475e87cdfafd2e6da303"/>
      <w:bookmarkStart w:id="5" w:name="za42bfe3b909c475e87cdfafd2e6da303"/>
      <w:bookmarkEnd w:id="5"/>
    </w:p>
    <w:tbl>
      <w:tblPr>
        <w:tblW w:w="5478" w:type="dxa"/>
        <w:jc w:val="left"/>
        <w:tblInd w:w="0" w:type="dxa"/>
        <w:tblLayout w:type="fixed"/>
        <w:tblCellMar>
          <w:top w:w="0" w:type="dxa"/>
          <w:left w:w="0" w:type="dxa"/>
          <w:bottom w:w="0" w:type="dxa"/>
          <w:right w:w="0" w:type="dxa"/>
        </w:tblCellMar>
      </w:tblPr>
      <w:tblGrid>
        <w:gridCol w:w="23"/>
        <w:gridCol w:w="2450"/>
        <w:gridCol w:w="60"/>
        <w:gridCol w:w="2945"/>
      </w:tblGrid>
      <w:tr>
        <w:trPr/>
        <w:tc>
          <w:tcPr>
            <w:tcW w:w="23" w:type="dxa"/>
            <w:tcBorders/>
            <w:vAlign w:val="center"/>
          </w:tcPr>
          <w:p>
            <w:pPr>
              <w:pStyle w:val="TableContents"/>
              <w:bidi w:val="0"/>
              <w:spacing w:before="0" w:after="0"/>
              <w:jc w:val="left"/>
              <w:rPr/>
            </w:pPr>
            <w:r>
              <w:rPr/>
            </w:r>
          </w:p>
        </w:tc>
        <w:tc>
          <w:tcPr>
            <w:tcW w:w="2450" w:type="dxa"/>
            <w:tcBorders/>
            <w:vAlign w:val="center"/>
          </w:tcPr>
          <w:p>
            <w:pPr>
              <w:pStyle w:val="TableContents"/>
              <w:bidi w:val="0"/>
              <w:spacing w:before="0" w:after="0"/>
              <w:jc w:val="left"/>
              <w:rPr/>
            </w:pPr>
            <w:r>
              <w:rPr/>
              <w:t>Large accelerated filer  ☑</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pPr>
            <w:r>
              <w:rPr/>
              <w:t>Accelerated filer  ☐</w:t>
            </w:r>
          </w:p>
        </w:tc>
      </w:tr>
      <w:tr>
        <w:trPr/>
        <w:tc>
          <w:tcPr>
            <w:tcW w:w="23" w:type="dxa"/>
            <w:tcBorders/>
            <w:vAlign w:val="center"/>
          </w:tcPr>
          <w:p>
            <w:pPr>
              <w:pStyle w:val="TableContents"/>
              <w:bidi w:val="0"/>
              <w:spacing w:before="0" w:after="0"/>
              <w:jc w:val="left"/>
              <w:rPr/>
            </w:pPr>
            <w:r>
              <w:rPr/>
            </w:r>
          </w:p>
        </w:tc>
        <w:tc>
          <w:tcPr>
            <w:tcW w:w="2450" w:type="dxa"/>
            <w:tcBorders/>
            <w:vAlign w:val="center"/>
          </w:tcPr>
          <w:p>
            <w:pPr>
              <w:pStyle w:val="TableContents"/>
              <w:bidi w:val="0"/>
              <w:spacing w:before="0" w:after="0"/>
              <w:jc w:val="left"/>
              <w:rPr/>
            </w:pPr>
            <w:r>
              <w:rPr/>
              <w:t>Non-accelerated filer    ☐</w:t>
            </w:r>
          </w:p>
        </w:tc>
        <w:tc>
          <w:tcPr>
            <w:tcW w:w="6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pPr>
            <w:r>
              <w:rPr/>
              <w:t>Smaller reporting company  ☐</w:t>
            </w:r>
          </w:p>
        </w:tc>
      </w:tr>
      <w:tr>
        <w:trPr/>
        <w:tc>
          <w:tcPr>
            <w:tcW w:w="2533" w:type="dxa"/>
            <w:gridSpan w:val="3"/>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jc w:val="left"/>
              <w:rPr/>
            </w:pPr>
            <w:r>
              <w:rPr/>
              <w:t>Emerging growth company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March 17, 2026 (the “Effective Date”), the stockholders of The Toro Company (the “Registrant” or the “Company”) approved and adopted The Toro Company 2026 Equity Plan (the “2026 Plan”), which was approved by the Company’s Board of Directors on January 20, 2026. As of the Effective Date, the Company’s authority to grant new awards under The Toro Company 2022 Equity and Incentive Plan (the “2022 Plan”), terminated upon stockholder approval of the 2026 Plan on such date. The maximum number of shares of the Company’s common stock, par value $0.01 per share (the “Common Stock”), available for issuance under the 2026 Plan, subject to adjustment pursuant to the terms of the 2026 Plan, is (i) 3,650,000 shares of Common Stock (the “New 2026 Plan Shares”); (ii) 1,568,361 shares of Common Stock remaining available for issuance under the 2022 Plan but not subject to outstanding awards under the 2022 Plan as of the Effective Date (the “2022 Plan Carryover Shares”); and (iii) shares of Common Stock subject to awards outstanding under the 2022 Plan as of the Effective Date but only to the extent such awards are subsequently forfeited, cancelled, expire, or otherwise terminate without the issuance of such shares of Common Stock after the Effective Date (“2022 Plan Unused Award Shares”).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filed this Registration Statement on Form S-8 (this “Registration Statement”) with the Securities and Exchange Commission (the “SEC”) under the Securities Act of 1933, as amended (the “Securities Act”), to register: (i) the 3,650,000 New 2026 Plan Shares; (ii) 235,539 of the 1,568,361 2022 Plan Carryover Shares not previously included in the Registration Statement on Form S-8 (Registration No. 333-263792) referred to below or any other Registration Statement on Form S-8 previously filed by the Company; and (iii) such indeterminate number of shares of Common Stock as may become available under the 2026 Plan as a result of the adjustment provisions thereof pursuant to Rule 416(a) under the Securities Act.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March 23, 2022, the Company filed with the SEC a Registration Statement on Form S-8 (Registration No. 333-263792) registering an aggregate of 3,765,966 shares of Common Stock issuable under the 2022 Plan (the “2022 Plan Registration Statement”). Contemporaneously with the filing of this Registration Statement, the Company is filing with the SEC a Post-Effective Amendment No. 1 to the 2022 Plan Registration Statement, pursuant to the undertaking in Item 512(a)(1)(iii) of SEC Regulation S-K, which requires the Company to disclose a material change in the plan of distribution as it was originally disclosed in the 2022 Plan Registration Statement, to reflect that the Company’s authority to grant new awards under the 2022 Plan terminated and to add the 2026 Plan and reflect that, as of the Effective Date, the previously registered 2022 Plan Carryover Shares and any 2022 Plan Unused Award Shares previously included in the 2022 Plan Registration Statement may be issued under the 2026 Plan.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PART</w:t>
      </w:r>
      <w:r>
        <w:rPr>
          <w:rFonts w:ascii="Times New Roman" w:hAnsi="Times New Roman"/>
          <w:color w:val="000000"/>
          <w:sz w:val="20"/>
        </w:rPr>
        <w:t> </w:t>
      </w:r>
      <w:r>
        <w:rPr>
          <w:rFonts w:ascii="Times New Roman" w:hAnsi="Times New Roman"/>
          <w:b/>
          <w:color w:val="000000"/>
          <w:sz w:val="20"/>
        </w:rPr>
        <w:t>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b62fa61f04d5447f98b4f417326da175"/>
      <w:bookmarkStart w:id="7" w:name="zb62fa61f04d5447f98b4f417326da175"/>
      <w:bookmarkEnd w:id="7"/>
    </w:p>
    <w:tbl>
      <w:tblPr>
        <w:tblW w:w="2710" w:type="dxa"/>
        <w:jc w:val="left"/>
        <w:tblInd w:w="0" w:type="dxa"/>
        <w:tblLayout w:type="fixed"/>
        <w:tblCellMar>
          <w:top w:w="0" w:type="dxa"/>
          <w:left w:w="0" w:type="dxa"/>
          <w:bottom w:w="0" w:type="dxa"/>
          <w:right w:w="0" w:type="dxa"/>
        </w:tblCellMar>
      </w:tblPr>
      <w:tblGrid>
        <w:gridCol w:w="740"/>
        <w:gridCol w:w="197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1970" w:type="dxa"/>
            <w:tcBorders/>
            <w:vAlign w:val="center"/>
          </w:tcPr>
          <w:p>
            <w:pPr>
              <w:pStyle w:val="TableContents"/>
              <w:bidi w:val="0"/>
              <w:spacing w:before="0" w:after="0"/>
              <w:jc w:val="both"/>
              <w:rPr>
                <w:b/>
                <w:color w:val="000000"/>
              </w:rPr>
            </w:pPr>
            <w:r>
              <w:rPr>
                <w:b/>
                <w:color w:val="000000"/>
              </w:rPr>
              <w:t>Plan Information.*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19d369c716d34575b666344d6011b0bf"/>
      <w:bookmarkStart w:id="9" w:name="z19d369c716d34575b666344d6011b0bf"/>
      <w:bookmarkEnd w:id="9"/>
    </w:p>
    <w:tbl>
      <w:tblPr>
        <w:tblW w:w="7465" w:type="dxa"/>
        <w:jc w:val="left"/>
        <w:tblInd w:w="0" w:type="dxa"/>
        <w:tblLayout w:type="fixed"/>
        <w:tblCellMar>
          <w:top w:w="0" w:type="dxa"/>
          <w:left w:w="0" w:type="dxa"/>
          <w:bottom w:w="0" w:type="dxa"/>
          <w:right w:w="0" w:type="dxa"/>
        </w:tblCellMar>
      </w:tblPr>
      <w:tblGrid>
        <w:gridCol w:w="740"/>
        <w:gridCol w:w="6725"/>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6725" w:type="dxa"/>
            <w:tcBorders/>
            <w:vAlign w:val="center"/>
          </w:tcPr>
          <w:p>
            <w:pPr>
              <w:pStyle w:val="TableContents"/>
              <w:bidi w:val="0"/>
              <w:spacing w:before="0" w:after="0"/>
              <w:jc w:val="both"/>
              <w:rPr>
                <w:b/>
                <w:color w:val="000000"/>
              </w:rPr>
            </w:pPr>
            <w:r>
              <w:rPr>
                <w:b/>
                <w:color w:val="000000"/>
              </w:rPr>
              <w:t>Registrant Information and Employee Plan Annual Information.*</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0" w:name="z842454df4c264706a2b607f81e22860f"/>
      <w:bookmarkStart w:id="11" w:name="z842454df4c264706a2b607f81e22860f"/>
      <w:bookmarkEnd w:id="1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pPr>
            <w:r>
              <w:rPr/>
              <w:t>As permitted under Rule 428 under the Securities Act and the Note to Part I of Form S-8, this Registration Statement omits the information specified in Part I of this Registration Statement.</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72d093ffb112440a9d2c6e2368b578a7"/>
      <w:bookmarkStart w:id="13" w:name="z72d093ffb112440a9d2c6e2368b578a7"/>
      <w:bookmarkEnd w:id="13"/>
    </w:p>
    <w:tbl>
      <w:tblPr>
        <w:tblW w:w="5110" w:type="dxa"/>
        <w:jc w:val="left"/>
        <w:tblInd w:w="0" w:type="dxa"/>
        <w:tblLayout w:type="fixed"/>
        <w:tblCellMar>
          <w:top w:w="0" w:type="dxa"/>
          <w:left w:w="0" w:type="dxa"/>
          <w:bottom w:w="0" w:type="dxa"/>
          <w:right w:w="0" w:type="dxa"/>
        </w:tblCellMar>
      </w:tblPr>
      <w:tblGrid>
        <w:gridCol w:w="740"/>
        <w:gridCol w:w="437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4370" w:type="dxa"/>
            <w:tcBorders/>
            <w:vAlign w:val="center"/>
          </w:tcPr>
          <w:p>
            <w:pPr>
              <w:pStyle w:val="TableContents"/>
              <w:bidi w:val="0"/>
              <w:spacing w:before="0" w:after="0"/>
              <w:jc w:val="both"/>
              <w:rPr>
                <w:b/>
                <w:color w:val="000000"/>
              </w:rPr>
            </w:pPr>
            <w:r>
              <w:rPr>
                <w:b/>
                <w:color w:val="000000"/>
              </w:rPr>
              <w:t>Incorporation of Documents by Reference.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rules of the SEC allow the Registrant to incorporate by reference information into this Registration Statement. This means that the Registrant may disclose important information to you by referring you to another document.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documents previously filed by the Registrant with the SEC are incorporated by reference into this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84da152343f4e54ba494ae05d041b3c"/>
      <w:bookmarkStart w:id="15" w:name="ze84da152343f4e54ba494ae05d041b3c"/>
      <w:bookmarkEnd w:id="15"/>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(a)</w:t>
            </w:r>
          </w:p>
        </w:tc>
        <w:tc>
          <w:tcPr>
            <w:tcW w:w="9896" w:type="dxa"/>
            <w:tcBorders/>
            <w:vAlign w:val="center"/>
          </w:tcPr>
          <w:p>
            <w:pPr>
              <w:pStyle w:val="TableContents"/>
              <w:bidi w:val="0"/>
              <w:spacing w:before="0" w:after="0"/>
              <w:jc w:val="both"/>
              <w:rPr/>
            </w:pPr>
            <w:r>
              <w:rPr/>
              <w:t xml:space="preserve">The Registrant’s Annual Report on Form 10-K for the fiscal year ended </w:t>
            </w:r>
            <w:r>
              <w:fldChar w:fldCharType="begin"/>
            </w:r>
            <w:r>
              <w:rPr>
                <w:rStyle w:val="InternetLink"/>
              </w:rPr>
              <w:instrText xml:space="preserve"> HYPERLINK "https://www.sec.gov/ix?doc=/Archives/edgar/data/737758/000073775825000115/ttc-20251031.htm" \l "i48d5f3126f774e7d8644348e10cb5871_193"</w:instrText>
            </w:r>
            <w:r>
              <w:rPr>
                <w:rStyle w:val="InternetLink"/>
              </w:rPr>
              <w:fldChar w:fldCharType="separate"/>
            </w:r>
            <w:r>
              <w:rPr>
                <w:rStyle w:val="InternetLink"/>
              </w:rPr>
              <w:t>October 31, 2025</w:t>
            </w:r>
            <w:r>
              <w:rPr>
                <w:rStyle w:val="InternetLink"/>
              </w:rPr>
              <w:fldChar w:fldCharType="end"/>
            </w:r>
            <w:r>
              <w:rPr/>
              <w:t xml:space="preserve"> (File No. 1-8649);</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46b5d020cc194dc4ba415215474bf07c"/>
      <w:bookmarkStart w:id="17" w:name="z46b5d020cc194dc4ba415215474bf07c"/>
      <w:bookmarkEnd w:id="17"/>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pPr>
            <w:r>
              <w:rPr/>
            </w:r>
          </w:p>
        </w:tc>
        <w:tc>
          <w:tcPr>
            <w:tcW w:w="281" w:type="dxa"/>
            <w:tcBorders/>
            <w:vAlign w:val="center"/>
          </w:tcPr>
          <w:p>
            <w:pPr>
              <w:pStyle w:val="TableContents"/>
              <w:bidi w:val="0"/>
              <w:spacing w:before="0" w:after="283"/>
              <w:jc w:val="left"/>
              <w:rPr/>
            </w:pPr>
            <w:r>
              <w:rPr/>
              <w:t>(b)</w:t>
            </w:r>
          </w:p>
        </w:tc>
        <w:tc>
          <w:tcPr>
            <w:tcW w:w="9886" w:type="dxa"/>
            <w:tcBorders/>
            <w:vAlign w:val="center"/>
          </w:tcPr>
          <w:p>
            <w:pPr>
              <w:pStyle w:val="TableContents"/>
              <w:bidi w:val="0"/>
              <w:spacing w:before="0" w:after="0"/>
              <w:jc w:val="both"/>
              <w:rPr/>
            </w:pPr>
            <w:r>
              <w:rPr/>
              <w:t xml:space="preserve">The Registrant’s Quarterly Report on Form 10-Q for the quarterly period ended </w:t>
            </w:r>
            <w:hyperlink r:id="rId2">
              <w:r>
                <w:rPr>
                  <w:rStyle w:val="InternetLink"/>
                </w:rPr>
                <w:t>January 30, 2026</w:t>
              </w:r>
            </w:hyperlink>
            <w:r>
              <w:rPr/>
              <w:t xml:space="preserve"> (File No. 1-8649);</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94359cfb853415482fa3c716f78bb18"/>
      <w:bookmarkStart w:id="19" w:name="z794359cfb853415482fa3c716f78bb18"/>
      <w:bookmarkEnd w:id="19"/>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0"/>
              <w:jc w:val="both"/>
              <w:rPr/>
            </w:pPr>
            <w:r>
              <w:rPr/>
              <w:t xml:space="preserve">The Registrant’s Current Report on Form 8-K filed on </w:t>
            </w:r>
            <w:hyperlink r:id="rId3">
              <w:r>
                <w:rPr>
                  <w:rStyle w:val="InternetLink"/>
                </w:rPr>
                <w:t>December 9, 2025</w:t>
              </w:r>
            </w:hyperlink>
            <w:r>
              <w:rPr/>
              <w:t xml:space="preserve"> and </w:t>
            </w:r>
            <w:hyperlink r:id="rId4">
              <w:r>
                <w:rPr>
                  <w:rStyle w:val="InternetLink"/>
                </w:rPr>
                <w:t>March 20, 2026</w:t>
              </w:r>
            </w:hyperlink>
            <w:r>
              <w:rPr/>
              <w:t xml:space="preserve"> (File No. 1-8649) and Amendment No. 1 to Current Report on Form 8-K/A filed on </w:t>
            </w:r>
            <w:hyperlink r:id="rId5">
              <w:r>
                <w:rPr>
                  <w:rStyle w:val="InternetLink"/>
                </w:rPr>
                <w:t>February 17, 2026</w:t>
              </w:r>
            </w:hyperlink>
            <w:r>
              <w:rPr/>
              <w: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3ab326b37de14d3db1dd2e41778dac91"/>
      <w:bookmarkStart w:id="21" w:name="z3ab326b37de14d3db1dd2e41778dac91"/>
      <w:bookmarkEnd w:id="21"/>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0"/>
              <w:jc w:val="both"/>
              <w:rPr/>
            </w:pPr>
            <w:r>
              <w:rPr/>
              <w:t>(d)</w:t>
            </w:r>
          </w:p>
        </w:tc>
        <w:tc>
          <w:tcPr>
            <w:tcW w:w="9874" w:type="dxa"/>
            <w:tcBorders/>
            <w:vAlign w:val="center"/>
          </w:tcPr>
          <w:p>
            <w:pPr>
              <w:pStyle w:val="TableContents"/>
              <w:bidi w:val="0"/>
              <w:spacing w:before="0" w:after="0"/>
              <w:jc w:val="both"/>
              <w:rPr/>
            </w:pPr>
            <w:r>
              <w:rPr/>
              <w:t xml:space="preserve">The Registrant’s Definitive Proxy Statement on Schedule 14A, filed on </w:t>
            </w:r>
            <w:hyperlink r:id="rId6">
              <w:r>
                <w:rPr>
                  <w:rStyle w:val="InternetLink"/>
                </w:rPr>
                <w:t>February 3, 2026</w:t>
              </w:r>
            </w:hyperlink>
            <w:r>
              <w:rPr/>
              <w:t>, for the Company’s 2026 Annual Meeting of Stockholders held on March 17, 2026;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b41ca34031164ea5b1c7954e8425d308"/>
      <w:bookmarkStart w:id="23" w:name="zb41ca34031164ea5b1c7954e8425d308"/>
      <w:bookmarkEnd w:id="23"/>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pPr>
            <w:r>
              <w:rPr/>
            </w:r>
          </w:p>
        </w:tc>
        <w:tc>
          <w:tcPr>
            <w:tcW w:w="218" w:type="dxa"/>
            <w:tcBorders/>
            <w:vAlign w:val="center"/>
          </w:tcPr>
          <w:p>
            <w:pPr>
              <w:pStyle w:val="TableContents"/>
              <w:bidi w:val="0"/>
              <w:spacing w:before="0" w:after="283"/>
              <w:jc w:val="left"/>
              <w:rPr/>
            </w:pPr>
            <w:r>
              <w:rPr/>
              <w:t>(e)</w:t>
            </w:r>
          </w:p>
        </w:tc>
        <w:tc>
          <w:tcPr>
            <w:tcW w:w="9949" w:type="dxa"/>
            <w:tcBorders/>
            <w:vAlign w:val="center"/>
          </w:tcPr>
          <w:p>
            <w:pPr>
              <w:pStyle w:val="TableContents"/>
              <w:bidi w:val="0"/>
              <w:spacing w:before="0" w:after="0"/>
              <w:jc w:val="both"/>
              <w:rPr/>
            </w:pPr>
            <w:r>
              <w:rPr/>
              <w:t xml:space="preserve">The description of the Registrant’s Common Stock contained in the Description of Securities Registered Pursuant to Section 12 of the Securities Exchange Act of 1934 filed as </w:t>
            </w:r>
            <w:hyperlink r:id="rId7">
              <w:r>
                <w:rPr>
                  <w:rStyle w:val="InternetLink"/>
                </w:rPr>
                <w:t>Exhibit 4.1</w:t>
              </w:r>
            </w:hyperlink>
            <w:r>
              <w:rPr/>
              <w:t xml:space="preserve"> to the Registrant’s Current Report on Form 8-K as filed with the SEC on March 20, 2026, including any amendments or reports filed for the purpose of updating such description (File No. 1-8649).</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all documents filed with the SEC by the Registrant (other than portions of such documents which are furnished and not filed) pursuant to Sections 13(a), 13(c), 14 and 15(d) of the Securities Exchange Act of 1934, as amended (the “Exchange Act”) on or after the date of this Registration Statement and prior to the filing of a post-effective amendment to this Registration Statement which indicates that all securities offered hereby have been sold or which deregisters all such securities then remaining unsold, shall be incorporated or deemed to be incorporated by reference in this Registration Statement and to be a part hereof from the time of filing of such documents.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Any statement contained in the documents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incorporated or deemed to be incorporated by reference in this Registration Statement modifies or supersedes such statement. Any such statement so modified or superseded shall not be deemed, except as so modified or superseded, to constitute a part of this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c3acd009ec444a738be916d0c9e47df7"/>
      <w:bookmarkStart w:id="25" w:name="zc3acd009ec444a738be916d0c9e47df7"/>
      <w:bookmarkEnd w:id="25"/>
    </w:p>
    <w:tbl>
      <w:tblPr>
        <w:tblW w:w="3295" w:type="dxa"/>
        <w:jc w:val="left"/>
        <w:tblInd w:w="0" w:type="dxa"/>
        <w:tblLayout w:type="fixed"/>
        <w:tblCellMar>
          <w:top w:w="0" w:type="dxa"/>
          <w:left w:w="0" w:type="dxa"/>
          <w:bottom w:w="0" w:type="dxa"/>
          <w:right w:w="0" w:type="dxa"/>
        </w:tblCellMar>
      </w:tblPr>
      <w:tblGrid>
        <w:gridCol w:w="740"/>
        <w:gridCol w:w="255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55" w:type="dxa"/>
            <w:tcBorders/>
            <w:vAlign w:val="center"/>
          </w:tcPr>
          <w:p>
            <w:pPr>
              <w:pStyle w:val="TableContents"/>
              <w:bidi w:val="0"/>
              <w:spacing w:before="0" w:after="0"/>
              <w:jc w:val="both"/>
              <w:rPr>
                <w:b/>
                <w:color w:val="000000"/>
              </w:rPr>
            </w:pPr>
            <w:r>
              <w:rPr>
                <w:b/>
                <w:color w:val="000000"/>
              </w:rPr>
              <w:t>Description of Securities.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ee6ba1be08194b778fac9fc0b067b37e"/>
      <w:bookmarkStart w:id="27" w:name="zee6ba1be08194b778fac9fc0b067b37e"/>
      <w:bookmarkEnd w:id="27"/>
    </w:p>
    <w:tbl>
      <w:tblPr>
        <w:tblW w:w="4945" w:type="dxa"/>
        <w:jc w:val="left"/>
        <w:tblInd w:w="0" w:type="dxa"/>
        <w:tblLayout w:type="fixed"/>
        <w:tblCellMar>
          <w:top w:w="0" w:type="dxa"/>
          <w:left w:w="0" w:type="dxa"/>
          <w:bottom w:w="0" w:type="dxa"/>
          <w:right w:w="0" w:type="dxa"/>
        </w:tblCellMar>
      </w:tblPr>
      <w:tblGrid>
        <w:gridCol w:w="740"/>
        <w:gridCol w:w="420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4205" w:type="dxa"/>
            <w:tcBorders/>
            <w:vAlign w:val="center"/>
          </w:tcPr>
          <w:p>
            <w:pPr>
              <w:pStyle w:val="TableContents"/>
              <w:bidi w:val="0"/>
              <w:spacing w:before="0" w:after="0"/>
              <w:jc w:val="both"/>
              <w:rPr>
                <w:b/>
                <w:color w:val="000000"/>
              </w:rPr>
            </w:pPr>
            <w:r>
              <w:rPr>
                <w:b/>
                <w:color w:val="000000"/>
              </w:rPr>
              <w:t>Interests of Named Experts and Counsel.</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opinion of counsel as to the legality of the securities being registered, which is Exhibit 5.1 to this Registration Statement, is rendered by Joanna M. Totsky, Vice President, General Counsel and Corporate Secretary of the Registrant. Ms. Totsky is eligible to participate in the 2026 Plan and beneficially owns, or has rights to acquire, an aggregate of less than 0.5% of the Registrant’s outstanding Common Stock.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 w:name="zf737edde21f448c7a5d226e8f4263b17"/>
      <w:bookmarkStart w:id="29" w:name="zf737edde21f448c7a5d226e8f4263b17"/>
      <w:bookmarkEnd w:id="29"/>
    </w:p>
    <w:tbl>
      <w:tblPr>
        <w:tblW w:w="5005" w:type="dxa"/>
        <w:jc w:val="left"/>
        <w:tblInd w:w="0" w:type="dxa"/>
        <w:tblLayout w:type="fixed"/>
        <w:tblCellMar>
          <w:top w:w="0" w:type="dxa"/>
          <w:left w:w="0" w:type="dxa"/>
          <w:bottom w:w="0" w:type="dxa"/>
          <w:right w:w="0" w:type="dxa"/>
        </w:tblCellMar>
      </w:tblPr>
      <w:tblGrid>
        <w:gridCol w:w="740"/>
        <w:gridCol w:w="426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4265" w:type="dxa"/>
            <w:tcBorders/>
            <w:vAlign w:val="center"/>
          </w:tcPr>
          <w:p>
            <w:pPr>
              <w:pStyle w:val="TableContents"/>
              <w:bidi w:val="0"/>
              <w:spacing w:before="0" w:after="0"/>
              <w:jc w:val="both"/>
              <w:rPr>
                <w:b/>
                <w:color w:val="000000"/>
              </w:rPr>
            </w:pPr>
            <w:r>
              <w:rPr>
                <w:b/>
                <w:color w:val="000000"/>
              </w:rPr>
              <w:t>Indemnification of Directors and Officers.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Delaware General Corporation Law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145(a) of the General Corporation Law of the State of Delaware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Additionally,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action, suit or proceeding referred to in subsections (a) and (b) of Section 145, or in defense of any claim, issue or matter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any breach of the director’s or officer’s duty of loyalty to the corporation or its stockholders; for acts or omissions not in good faith or which involve intentional misconduct or a knowing violation of law; for unlawful payments of dividends or unlawful stock repurchases, redemptions or other distributions, in the case of a director; for any transaction from which the director or officer derived an improper personal benefit; or, in any action by or in the right of the corporation, in the case of an officer. No such provision shall eliminate or limit the liability of a director or officer for any act or omission occurring prior to the date when such provision becomes effective.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The Registrant’s Restated Certificate of Incorporation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Article X of the Registrant’s Restated Certificate of Incorporation mandates indemnification of a director or officer of the Registrant or a person serving at the request of the Registrant as a director, officer, employee, or agent of another entity to the fullest extent authorized by the DGCL against expenses, liability and loss and authorizes the Board of Directors to express such rights in written contracts.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Article X of the Registrant’s Restated Certificate of Incorporation provides, in accordance with Section 102(b)(7) of the DGCL, for the elimination of the personal liability of a director or officer to the Registrant or its stockholders for monetary damages for breach of fiduciary duty as a director or officer under certain circumstances.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Registrant has entered into indemnification agreements with each of its non-employee directors pursuant to which the Registrant has agreed to indemnify each such director to the fullest extent permitted by law against any expenses, judgments, fines, penalties, and amounts paid or owing that arise out of events or occurrences related to such director’s status, capacities, and activities with the Registrant.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Insurance Policies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Registrant also maintains liability insurance policies which provide for indemnification of a director or officer of the Registrant or a person serving at the request of the Registrant as a director, officer, employee, or agent of another entity against certain liabilities under certain circumstances.</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The Toro Company 2026 Equity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20.22 of The Toro Company 2026 Equity Plan provides that subject to any limitations and requirements of Delaware law, each individual who is or will have been a member of the Board of Directors, or a committee appointed by the Board of Directors, or an officer or employee of the Registrant to whom authority was delegated in accordance with Article 3 of the 2026 Plan, and acting in good faith will be indemnified and held harmless by the Registrant against and from any loss, cost, liability or expense that may be imposed upon or reasonably incurred by such individual in connection with or resulting from any claim, action, suit or proceeding to which such individual may be a party or in which such individual may be involved by reason of any action taken or failure to act under the 2026 Plan and against and from any and all amounts paid by such individual in settlement thereof, with the Registrant’s approval, or paid by such individual in satisfaction of any judgment in any such action, suit or proceeding against such individual, provided such individual will give the Registrant an opportunity, at its own expense, to handle and defend the same before such individual undertakes to handle and defend it on such individual’s own behalf.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above discussion of Sections 102(b)(7) and 145 of the DGCL, the Registrant’s Restated Certificate of Incorporation, indemnification agreements, insurance policies and the 2026 Plan is not intended to be exhaustive and is qualified in its entirety by the DGCL, Registrant’s Restated Certificate of Incorporation, indemnification agreements, insurance policies and the 2026 Plan.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Registrant understands that it is the position of the SEC that insofar as the foregoing provisions may be invoked to disclaim liability for damages arising under the Securities Act, that such provisions are against public policy as expressed in the Securities Act and are therefore unenforceable.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d54526326cd84ff99d833ab1ea354008"/>
      <w:bookmarkStart w:id="31" w:name="zd54526326cd84ff99d833ab1ea354008"/>
      <w:bookmarkEnd w:id="31"/>
    </w:p>
    <w:tbl>
      <w:tblPr>
        <w:tblW w:w="4720" w:type="dxa"/>
        <w:jc w:val="left"/>
        <w:tblInd w:w="0" w:type="dxa"/>
        <w:tblLayout w:type="fixed"/>
        <w:tblCellMar>
          <w:top w:w="0" w:type="dxa"/>
          <w:left w:w="0" w:type="dxa"/>
          <w:bottom w:w="0" w:type="dxa"/>
          <w:right w:w="0" w:type="dxa"/>
        </w:tblCellMar>
      </w:tblPr>
      <w:tblGrid>
        <w:gridCol w:w="740"/>
        <w:gridCol w:w="3980"/>
      </w:tblGrid>
      <w:tr>
        <w:trPr/>
        <w:tc>
          <w:tcPr>
            <w:tcW w:w="740" w:type="dxa"/>
            <w:tcBorders/>
            <w:vAlign w:val="center"/>
          </w:tcPr>
          <w:p>
            <w:pPr>
              <w:pStyle w:val="TableContents"/>
              <w:bidi w:val="0"/>
              <w:spacing w:before="0" w:after="283"/>
              <w:jc w:val="left"/>
              <w:rPr>
                <w:b/>
                <w:color w:val="000000"/>
              </w:rPr>
            </w:pPr>
            <w:r>
              <w:rPr>
                <w:b/>
                <w:color w:val="000000"/>
              </w:rPr>
              <w:t>Item 7.</w:t>
            </w:r>
          </w:p>
        </w:tc>
        <w:tc>
          <w:tcPr>
            <w:tcW w:w="3980" w:type="dxa"/>
            <w:tcBorders/>
            <w:vAlign w:val="center"/>
          </w:tcPr>
          <w:p>
            <w:pPr>
              <w:pStyle w:val="TableContents"/>
              <w:bidi w:val="0"/>
              <w:spacing w:before="0" w:after="0"/>
              <w:jc w:val="both"/>
              <w:rPr>
                <w:b/>
                <w:color w:val="000000"/>
              </w:rPr>
            </w:pPr>
            <w:r>
              <w:rPr>
                <w:b/>
                <w:color w:val="000000"/>
              </w:rPr>
              <w:t>Exemption from Registration Claimed.</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26eb1eeaa37a4cc09a092e28dfd6506f"/>
      <w:bookmarkStart w:id="33" w:name="z26eb1eeaa37a4cc09a092e28dfd6506f"/>
      <w:bookmarkEnd w:id="33"/>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color w:val="000000"/>
              </w:rPr>
            </w:pPr>
            <w:r>
              <w:rPr>
                <w:b/>
                <w:color w:val="000000"/>
              </w:rPr>
              <w:t>Item 8.</w:t>
            </w:r>
          </w:p>
        </w:tc>
        <w:tc>
          <w:tcPr>
            <w:tcW w:w="935" w:type="dxa"/>
            <w:tcBorders/>
            <w:vAlign w:val="center"/>
          </w:tcPr>
          <w:p>
            <w:pPr>
              <w:pStyle w:val="TableContents"/>
              <w:bidi w:val="0"/>
              <w:spacing w:before="0" w:after="0"/>
              <w:jc w:val="both"/>
              <w:rPr>
                <w:b/>
                <w:color w:val="000000"/>
              </w:rPr>
            </w:pPr>
            <w:r>
              <w:rPr>
                <w:b/>
                <w:color w:val="000000"/>
              </w:rPr>
              <w:t>Exhibits.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exhibits are filed with or incorporated by reference into this Registration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3ec0794758c14efb8eaaf408f307d167"/>
      <w:bookmarkStart w:id="35" w:name="z3ec0794758c14efb8eaaf408f307d167"/>
      <w:bookmarkEnd w:id="35"/>
    </w:p>
    <w:tbl>
      <w:tblPr>
        <w:tblW w:w="10205" w:type="dxa"/>
        <w:jc w:val="left"/>
        <w:tblInd w:w="0" w:type="dxa"/>
        <w:tblLayout w:type="fixed"/>
        <w:tblCellMar>
          <w:top w:w="0" w:type="dxa"/>
          <w:left w:w="0" w:type="dxa"/>
          <w:bottom w:w="28" w:type="dxa"/>
          <w:right w:w="0" w:type="dxa"/>
        </w:tblCellMar>
      </w:tblPr>
      <w:tblGrid>
        <w:gridCol w:w="948"/>
        <w:gridCol w:w="60"/>
        <w:gridCol w:w="9197"/>
      </w:tblGrid>
      <w:tr>
        <w:trPr/>
        <w:tc>
          <w:tcPr>
            <w:tcW w:w="948" w:type="dxa"/>
            <w:tcBorders>
              <w:bottom w:val="single" w:sz="12" w:space="0" w:color="000000"/>
            </w:tcBorders>
            <w:vAlign w:val="center"/>
          </w:tcPr>
          <w:p>
            <w:pPr>
              <w:pStyle w:val="TableContents"/>
              <w:bidi w:val="0"/>
              <w:spacing w:before="0" w:after="0"/>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97" w:type="dxa"/>
            <w:tcBorders>
              <w:bottom w:val="single" w:sz="12" w:space="0" w:color="000000"/>
            </w:tcBorders>
            <w:vAlign w:val="center"/>
          </w:tcPr>
          <w:p>
            <w:pPr>
              <w:pStyle w:val="TableContents"/>
              <w:bidi w:val="0"/>
              <w:spacing w:before="0" w:after="0"/>
              <w:jc w:val="both"/>
              <w:rPr>
                <w:b/>
              </w:rPr>
            </w:pPr>
            <w:r>
              <w:rPr>
                <w:b/>
              </w:rPr>
              <w:t>Description</w:t>
            </w:r>
          </w:p>
        </w:tc>
      </w:tr>
      <w:tr>
        <w:trPr/>
        <w:tc>
          <w:tcPr>
            <w:tcW w:w="948" w:type="dxa"/>
            <w:tcBorders/>
            <w:shd w:fill="CCEEFF" w:val="clear"/>
            <w:tcMar>
              <w:bottom w:w="0" w:type="dxa"/>
            </w:tcMar>
            <w:vAlign w:val="center"/>
          </w:tcPr>
          <w:p>
            <w:pPr>
              <w:pStyle w:val="TableContents"/>
              <w:bidi w:val="0"/>
              <w:spacing w:before="0" w:after="0"/>
              <w:jc w:val="center"/>
              <w:rPr/>
            </w:pPr>
            <w:hyperlink r:id="rId8">
              <w:r>
                <w:rPr>
                  <w:rStyle w:val="InternetLink"/>
                </w:rPr>
                <w:t>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97" w:type="dxa"/>
            <w:tcBorders/>
            <w:shd w:fill="CCEEFF" w:val="clear"/>
            <w:tcMar>
              <w:bottom w:w="0" w:type="dxa"/>
            </w:tcMar>
            <w:vAlign w:val="center"/>
          </w:tcPr>
          <w:p>
            <w:pPr>
              <w:pStyle w:val="TableContents"/>
              <w:bidi w:val="0"/>
              <w:spacing w:before="0" w:after="0"/>
              <w:jc w:val="both"/>
              <w:rPr/>
            </w:pPr>
            <w:r>
              <w:rPr/>
              <w:t>Restated Certificate of Incorporation of The Toro Company (incorporated by reference to Exhibit 3.2 to Registrant’s Current Report on Form 8-K as filed with the SEC on March 20, 2026, SEC File No. 1-8649)</w:t>
            </w:r>
          </w:p>
        </w:tc>
      </w:tr>
      <w:tr>
        <w:trPr/>
        <w:tc>
          <w:tcPr>
            <w:tcW w:w="948" w:type="dxa"/>
            <w:tcBorders/>
            <w:tcMar>
              <w:bottom w:w="0" w:type="dxa"/>
            </w:tcMar>
            <w:vAlign w:val="center"/>
          </w:tcPr>
          <w:p>
            <w:pPr>
              <w:pStyle w:val="TableContents"/>
              <w:bidi w:val="0"/>
              <w:spacing w:before="0" w:after="0"/>
              <w:jc w:val="center"/>
              <w:rPr/>
            </w:pPr>
            <w:hyperlink r:id="rId9">
              <w:r>
                <w:rPr>
                  <w:rStyle w:val="InternetLink"/>
                </w:rPr>
                <w:t>4.2</w:t>
              </w:r>
            </w:hyperlink>
          </w:p>
        </w:tc>
        <w:tc>
          <w:tcPr>
            <w:tcW w:w="60" w:type="dxa"/>
            <w:tcBorders/>
            <w:tcMar>
              <w:bottom w:w="0" w:type="dxa"/>
            </w:tcMar>
            <w:vAlign w:val="center"/>
          </w:tcPr>
          <w:p>
            <w:pPr>
              <w:pStyle w:val="TableContents"/>
              <w:bidi w:val="0"/>
              <w:spacing w:before="0" w:after="283"/>
              <w:jc w:val="left"/>
              <w:rPr/>
            </w:pPr>
            <w:r>
              <w:rPr/>
              <w:t> </w:t>
            </w:r>
          </w:p>
        </w:tc>
        <w:tc>
          <w:tcPr>
            <w:tcW w:w="9197" w:type="dxa"/>
            <w:tcBorders/>
            <w:tcMar>
              <w:bottom w:w="0" w:type="dxa"/>
            </w:tcMar>
            <w:vAlign w:val="center"/>
          </w:tcPr>
          <w:p>
            <w:pPr>
              <w:pStyle w:val="TableContents"/>
              <w:bidi w:val="0"/>
              <w:spacing w:before="0" w:after="0"/>
              <w:jc w:val="both"/>
              <w:rPr/>
            </w:pPr>
            <w:r>
              <w:rPr/>
              <w:t>Amended and Restated Bylaws of The Toro Company (incorporated by reference to Exhibit 3.3 to Registrant’s Current Report on Form 8-K as filed with the SEC on March 20, 2026, SEC File No. 1-8649)</w:t>
            </w:r>
          </w:p>
        </w:tc>
      </w:tr>
      <w:tr>
        <w:trPr/>
        <w:tc>
          <w:tcPr>
            <w:tcW w:w="948" w:type="dxa"/>
            <w:tcBorders/>
            <w:shd w:fill="CCEEFF" w:val="clear"/>
            <w:tcMar>
              <w:bottom w:w="0" w:type="dxa"/>
            </w:tcMar>
            <w:vAlign w:val="center"/>
          </w:tcPr>
          <w:p>
            <w:pPr>
              <w:pStyle w:val="TableContents"/>
              <w:bidi w:val="0"/>
              <w:spacing w:before="0" w:after="0"/>
              <w:jc w:val="center"/>
              <w:rPr/>
            </w:pPr>
            <w:hyperlink w:anchor="ef20068311_ex5-1.htm">
              <w:r>
                <w:rPr>
                  <w:rStyle w:val="InternetLink"/>
                </w:rPr>
                <w:t>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97" w:type="dxa"/>
            <w:tcBorders/>
            <w:shd w:fill="CCEEFF" w:val="clear"/>
            <w:tcMar>
              <w:bottom w:w="0" w:type="dxa"/>
            </w:tcMar>
            <w:vAlign w:val="center"/>
          </w:tcPr>
          <w:p>
            <w:pPr>
              <w:pStyle w:val="TableContents"/>
              <w:bidi w:val="0"/>
              <w:spacing w:before="0" w:after="0"/>
              <w:jc w:val="both"/>
              <w:rPr/>
            </w:pPr>
            <w:r>
              <w:rPr/>
              <w:t>Opinion of Counsel Regarding Legality (filed herewith)</w:t>
            </w:r>
          </w:p>
        </w:tc>
      </w:tr>
      <w:tr>
        <w:trPr/>
        <w:tc>
          <w:tcPr>
            <w:tcW w:w="948" w:type="dxa"/>
            <w:tcBorders/>
            <w:tcMar>
              <w:bottom w:w="0" w:type="dxa"/>
            </w:tcMar>
            <w:vAlign w:val="center"/>
          </w:tcPr>
          <w:p>
            <w:pPr>
              <w:pStyle w:val="TableContents"/>
              <w:bidi w:val="0"/>
              <w:spacing w:before="0" w:after="0"/>
              <w:jc w:val="center"/>
              <w:rPr/>
            </w:pPr>
            <w:hyperlink w:anchor="ef20068311_ex5-1.htm">
              <w:r>
                <w:rPr>
                  <w:rStyle w:val="InternetLink"/>
                </w:rPr>
                <w:t>23.1</w:t>
              </w:r>
            </w:hyperlink>
          </w:p>
        </w:tc>
        <w:tc>
          <w:tcPr>
            <w:tcW w:w="60" w:type="dxa"/>
            <w:tcBorders/>
            <w:tcMar>
              <w:bottom w:w="0" w:type="dxa"/>
            </w:tcMar>
            <w:vAlign w:val="center"/>
          </w:tcPr>
          <w:p>
            <w:pPr>
              <w:pStyle w:val="TableContents"/>
              <w:bidi w:val="0"/>
              <w:spacing w:before="0" w:after="283"/>
              <w:jc w:val="left"/>
              <w:rPr/>
            </w:pPr>
            <w:r>
              <w:rPr/>
              <w:t> </w:t>
            </w:r>
          </w:p>
        </w:tc>
        <w:tc>
          <w:tcPr>
            <w:tcW w:w="9197" w:type="dxa"/>
            <w:tcBorders/>
            <w:tcMar>
              <w:bottom w:w="0" w:type="dxa"/>
            </w:tcMar>
            <w:vAlign w:val="center"/>
          </w:tcPr>
          <w:p>
            <w:pPr>
              <w:pStyle w:val="TableContents"/>
              <w:bidi w:val="0"/>
              <w:spacing w:before="0" w:after="0"/>
              <w:jc w:val="both"/>
              <w:rPr/>
            </w:pPr>
            <w:r>
              <w:rPr/>
              <w:t>Consent of Counsel (included as part of Exhibit 5.1)</w:t>
            </w:r>
          </w:p>
        </w:tc>
      </w:tr>
      <w:tr>
        <w:trPr/>
        <w:tc>
          <w:tcPr>
            <w:tcW w:w="948" w:type="dxa"/>
            <w:tcBorders/>
            <w:shd w:fill="CCEEFF" w:val="clear"/>
            <w:tcMar>
              <w:bottom w:w="0" w:type="dxa"/>
            </w:tcMar>
            <w:vAlign w:val="center"/>
          </w:tcPr>
          <w:p>
            <w:pPr>
              <w:pStyle w:val="TableContents"/>
              <w:bidi w:val="0"/>
              <w:spacing w:before="0" w:after="0"/>
              <w:jc w:val="center"/>
              <w:rPr/>
            </w:pPr>
            <w:hyperlink w:anchor="ef20068311_ex23-2.htm">
              <w:r>
                <w:rPr>
                  <w:rStyle w:val="InternetLink"/>
                </w:rPr>
                <w:t>23.2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97" w:type="dxa"/>
            <w:tcBorders/>
            <w:shd w:fill="CCEEFF" w:val="clear"/>
            <w:tcMar>
              <w:bottom w:w="0" w:type="dxa"/>
            </w:tcMar>
            <w:vAlign w:val="center"/>
          </w:tcPr>
          <w:p>
            <w:pPr>
              <w:pStyle w:val="TableContents"/>
              <w:bidi w:val="0"/>
              <w:spacing w:before="0" w:after="0"/>
              <w:jc w:val="both"/>
              <w:rPr/>
            </w:pPr>
            <w:r>
              <w:rPr/>
              <w:t>Consent of KPMG LLP (filed herewith)</w:t>
            </w:r>
          </w:p>
        </w:tc>
      </w:tr>
      <w:tr>
        <w:trPr/>
        <w:tc>
          <w:tcPr>
            <w:tcW w:w="948" w:type="dxa"/>
            <w:tcBorders/>
            <w:tcMar>
              <w:bottom w:w="0" w:type="dxa"/>
            </w:tcMar>
            <w:vAlign w:val="center"/>
          </w:tcPr>
          <w:p>
            <w:pPr>
              <w:pStyle w:val="TableContents"/>
              <w:bidi w:val="0"/>
              <w:spacing w:before="0" w:after="0"/>
              <w:jc w:val="center"/>
              <w:rPr/>
            </w:pPr>
            <w:hyperlink w:anchor="ef20068311_ex24-1.htm">
              <w:r>
                <w:rPr>
                  <w:rStyle w:val="InternetLink"/>
                </w:rPr>
                <w:t>24.1</w:t>
              </w:r>
            </w:hyperlink>
          </w:p>
        </w:tc>
        <w:tc>
          <w:tcPr>
            <w:tcW w:w="60" w:type="dxa"/>
            <w:tcBorders/>
            <w:tcMar>
              <w:bottom w:w="0" w:type="dxa"/>
            </w:tcMar>
            <w:vAlign w:val="center"/>
          </w:tcPr>
          <w:p>
            <w:pPr>
              <w:pStyle w:val="TableContents"/>
              <w:bidi w:val="0"/>
              <w:spacing w:before="0" w:after="283"/>
              <w:jc w:val="left"/>
              <w:rPr/>
            </w:pPr>
            <w:r>
              <w:rPr/>
              <w:t> </w:t>
            </w:r>
          </w:p>
        </w:tc>
        <w:tc>
          <w:tcPr>
            <w:tcW w:w="9197" w:type="dxa"/>
            <w:tcBorders/>
            <w:tcMar>
              <w:bottom w:w="0" w:type="dxa"/>
            </w:tcMar>
            <w:vAlign w:val="center"/>
          </w:tcPr>
          <w:p>
            <w:pPr>
              <w:pStyle w:val="TableContents"/>
              <w:bidi w:val="0"/>
              <w:spacing w:before="0" w:after="0"/>
              <w:jc w:val="both"/>
              <w:rPr/>
            </w:pPr>
            <w:r>
              <w:rPr/>
              <w:t>Power of Attorney (filed herewith)</w:t>
            </w:r>
          </w:p>
        </w:tc>
      </w:tr>
      <w:tr>
        <w:trPr/>
        <w:tc>
          <w:tcPr>
            <w:tcW w:w="948" w:type="dxa"/>
            <w:tcBorders/>
            <w:shd w:fill="CCEEFF" w:val="clear"/>
            <w:tcMar>
              <w:bottom w:w="0" w:type="dxa"/>
            </w:tcMar>
            <w:vAlign w:val="center"/>
          </w:tcPr>
          <w:p>
            <w:pPr>
              <w:pStyle w:val="TableContents"/>
              <w:bidi w:val="0"/>
              <w:spacing w:before="0" w:after="0"/>
              <w:jc w:val="center"/>
              <w:rPr/>
            </w:pPr>
            <w:hyperlink r:id="rId10">
              <w:r>
                <w:rPr>
                  <w:rStyle w:val="InternetLink"/>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97" w:type="dxa"/>
            <w:tcBorders/>
            <w:shd w:fill="CCEEFF" w:val="clear"/>
            <w:tcMar>
              <w:bottom w:w="0" w:type="dxa"/>
            </w:tcMar>
            <w:vAlign w:val="center"/>
          </w:tcPr>
          <w:p>
            <w:pPr>
              <w:pStyle w:val="TableContents"/>
              <w:bidi w:val="0"/>
              <w:spacing w:before="0" w:after="0"/>
              <w:jc w:val="both"/>
              <w:rPr/>
            </w:pPr>
            <w:r>
              <w:rPr/>
              <w:t>The Toro Company 2026 Equity Plan (incorporated by reference to Exhibit 10.1 to Registrant’s Current Report on Form 8-K as filed with the SEC on March 20, 2026, SEC File No. 1-8649)</w:t>
            </w:r>
          </w:p>
        </w:tc>
      </w:tr>
      <w:tr>
        <w:trPr/>
        <w:tc>
          <w:tcPr>
            <w:tcW w:w="948" w:type="dxa"/>
            <w:tcBorders/>
            <w:tcMar>
              <w:bottom w:w="0" w:type="dxa"/>
            </w:tcMar>
            <w:vAlign w:val="center"/>
          </w:tcPr>
          <w:p>
            <w:pPr>
              <w:pStyle w:val="TableContents"/>
              <w:bidi w:val="0"/>
              <w:spacing w:before="0" w:after="0"/>
              <w:jc w:val="center"/>
              <w:rPr/>
            </w:pPr>
            <w:hyperlink w:anchor="ef20068311_ex107.htm">
              <w:r>
                <w:rPr>
                  <w:rStyle w:val="InternetLink"/>
                </w:rPr>
                <w:t>107</w:t>
              </w:r>
            </w:hyperlink>
          </w:p>
        </w:tc>
        <w:tc>
          <w:tcPr>
            <w:tcW w:w="60" w:type="dxa"/>
            <w:tcBorders/>
            <w:tcMar>
              <w:bottom w:w="0" w:type="dxa"/>
            </w:tcMar>
            <w:vAlign w:val="center"/>
          </w:tcPr>
          <w:p>
            <w:pPr>
              <w:pStyle w:val="TableContents"/>
              <w:bidi w:val="0"/>
              <w:spacing w:before="0" w:after="283"/>
              <w:jc w:val="left"/>
              <w:rPr/>
            </w:pPr>
            <w:r>
              <w:rPr/>
              <w:t> </w:t>
            </w:r>
          </w:p>
        </w:tc>
        <w:tc>
          <w:tcPr>
            <w:tcW w:w="9197" w:type="dxa"/>
            <w:tcBorders/>
            <w:tcMar>
              <w:bottom w:w="0" w:type="dxa"/>
            </w:tcMar>
            <w:vAlign w:val="center"/>
          </w:tcPr>
          <w:p>
            <w:pPr>
              <w:pStyle w:val="TableContents"/>
              <w:bidi w:val="0"/>
              <w:spacing w:before="0" w:after="0"/>
              <w:jc w:val="both"/>
              <w:rPr/>
            </w:pPr>
            <w:r>
              <w:rPr/>
              <w:t>Filing Fee Table (filed herewith)</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6" w:name="za0c352593c424a588ad9ffccdb0205b2"/>
      <w:bookmarkStart w:id="37" w:name="za0c352593c424a588ad9ffccdb0205b2"/>
      <w:bookmarkEnd w:id="37"/>
    </w:p>
    <w:tbl>
      <w:tblPr>
        <w:tblW w:w="2230" w:type="dxa"/>
        <w:jc w:val="left"/>
        <w:tblInd w:w="0" w:type="dxa"/>
        <w:tblLayout w:type="fixed"/>
        <w:tblCellMar>
          <w:top w:w="0" w:type="dxa"/>
          <w:left w:w="0" w:type="dxa"/>
          <w:bottom w:w="0" w:type="dxa"/>
          <w:right w:w="0" w:type="dxa"/>
        </w:tblCellMar>
      </w:tblPr>
      <w:tblGrid>
        <w:gridCol w:w="740"/>
        <w:gridCol w:w="1490"/>
      </w:tblGrid>
      <w:tr>
        <w:trPr/>
        <w:tc>
          <w:tcPr>
            <w:tcW w:w="740" w:type="dxa"/>
            <w:tcBorders/>
            <w:vAlign w:val="center"/>
          </w:tcPr>
          <w:p>
            <w:pPr>
              <w:pStyle w:val="TableContents"/>
              <w:bidi w:val="0"/>
              <w:spacing w:before="0" w:after="0"/>
              <w:jc w:val="both"/>
              <w:rPr>
                <w:b/>
                <w:color w:val="000000"/>
              </w:rPr>
            </w:pPr>
            <w:r>
              <w:rPr>
                <w:b/>
                <w:color w:val="000000"/>
              </w:rPr>
              <w:t>Item 9.</w:t>
            </w:r>
          </w:p>
        </w:tc>
        <w:tc>
          <w:tcPr>
            <w:tcW w:w="1490" w:type="dxa"/>
            <w:tcBorders/>
            <w:vAlign w:val="center"/>
          </w:tcPr>
          <w:p>
            <w:pPr>
              <w:pStyle w:val="TableContents"/>
              <w:bidi w:val="0"/>
              <w:spacing w:before="0" w:after="0"/>
              <w:jc w:val="both"/>
              <w:rPr>
                <w:b/>
                <w:color w:val="000000"/>
              </w:rPr>
            </w:pPr>
            <w:r>
              <w:rPr>
                <w:b/>
                <w:color w:val="000000"/>
              </w:rPr>
              <w:t>Undertakings.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jc w:val="left"/>
        <w:rPr>
          <w:color w:val="000000"/>
        </w:rPr>
      </w:pPr>
      <w:r>
        <w:rPr>
          <w:color w:val="000000"/>
        </w:rPr>
        <w:t> </w:t>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i/>
          <w:color w:val="000000"/>
          <w:sz w:val="20"/>
        </w:rPr>
        <w:t>Provided, however</w:t>
      </w:r>
      <w:r>
        <w:rPr>
          <w:rFonts w:ascii="Times New Roman" w:hAnsi="Times New Roman"/>
          <w:color w:val="000000"/>
          <w:sz w:val="20"/>
        </w:rPr>
        <w:t>, that paragraphs (a)(1)(i) and (a)(1)(ii)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the Registration Statement.</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the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March 20,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08b44b2b6df845e09687cb4eefe083ad"/>
      <w:bookmarkStart w:id="39" w:name="z08b44b2b6df845e09687cb4eefe083ad"/>
      <w:bookmarkEnd w:id="39"/>
    </w:p>
    <w:tbl>
      <w:tblPr>
        <w:tblW w:w="4480" w:type="dxa"/>
        <w:jc w:val="left"/>
        <w:tblInd w:w="0" w:type="dxa"/>
        <w:tblLayout w:type="fixed"/>
        <w:tblCellMar>
          <w:top w:w="0" w:type="dxa"/>
          <w:left w:w="0" w:type="dxa"/>
          <w:bottom w:w="0" w:type="dxa"/>
          <w:right w:w="0" w:type="dxa"/>
        </w:tblCellMar>
      </w:tblPr>
      <w:tblGrid>
        <w:gridCol w:w="60"/>
        <w:gridCol w:w="365"/>
        <w:gridCol w:w="4055"/>
      </w:tblGrid>
      <w:tr>
        <w:trPr/>
        <w:tc>
          <w:tcPr>
            <w:tcW w:w="60" w:type="dxa"/>
            <w:tcBorders/>
            <w:vAlign w:val="center"/>
          </w:tcPr>
          <w:p>
            <w:pPr>
              <w:pStyle w:val="TableContents"/>
              <w:bidi w:val="0"/>
              <w:spacing w:before="0" w:after="283"/>
              <w:jc w:val="left"/>
              <w:rPr/>
            </w:pPr>
            <w:r>
              <w:rPr/>
              <w:t> </w:t>
            </w:r>
          </w:p>
        </w:tc>
        <w:tc>
          <w:tcPr>
            <w:tcW w:w="4420" w:type="dxa"/>
            <w:gridSpan w:val="2"/>
            <w:tcBorders/>
            <w:vAlign w:val="center"/>
          </w:tcPr>
          <w:p>
            <w:pPr>
              <w:pStyle w:val="TableContents"/>
              <w:bidi w:val="0"/>
              <w:spacing w:before="0" w:after="0"/>
              <w:jc w:val="left"/>
              <w:rPr>
                <w:b/>
              </w:rPr>
            </w:pPr>
            <w:r>
              <w:rPr>
                <w:b/>
              </w:rPr>
              <w:t>THE TORO COMPANY</w:t>
            </w:r>
          </w:p>
        </w:tc>
      </w:tr>
      <w:tr>
        <w:trPr/>
        <w:tc>
          <w:tcPr>
            <w:tcW w:w="60" w:type="dxa"/>
            <w:tcBorders/>
            <w:vAlign w:val="center"/>
          </w:tcPr>
          <w:p>
            <w:pPr>
              <w:pStyle w:val="TableContents"/>
              <w:bidi w:val="0"/>
              <w:spacing w:before="0" w:after="283"/>
              <w:jc w:val="left"/>
              <w:rPr/>
            </w:pPr>
            <w:r>
              <w:rPr/>
              <w:t> </w:t>
            </w:r>
          </w:p>
        </w:tc>
        <w:tc>
          <w:tcPr>
            <w:tcW w:w="4420" w:type="dxa"/>
            <w:gridSpan w:val="2"/>
            <w:tcBorders/>
            <w:vAlign w:val="center"/>
          </w:tcPr>
          <w:p>
            <w:pPr>
              <w:pStyle w:val="TableContents"/>
              <w:bidi w:val="0"/>
              <w:spacing w:before="0" w:after="0"/>
              <w:jc w:val="left"/>
              <w:rPr/>
            </w:pPr>
            <w:r>
              <w:rPr/>
              <w:t>(Registrant)</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4055" w:type="dxa"/>
            <w:tcBorders>
              <w:bottom w:val="single" w:sz="12" w:space="0" w:color="000000"/>
            </w:tcBorders>
            <w:tcMar>
              <w:bottom w:w="28" w:type="dxa"/>
            </w:tcMar>
            <w:vAlign w:val="center"/>
          </w:tcPr>
          <w:p>
            <w:pPr>
              <w:pStyle w:val="TableContents"/>
              <w:bidi w:val="0"/>
              <w:spacing w:before="0" w:after="0"/>
              <w:ind w:left="360" w:right="0" w:hanging="0"/>
              <w:jc w:val="left"/>
              <w:rPr/>
            </w:pPr>
            <w:r>
              <w:rPr/>
              <w:t>/s/ Angela C. Drake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pPr>
            <w:r>
              <w:rPr/>
              <w:t>Angela C. Drake</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color w:val="000000"/>
              </w:rPr>
            </w:pPr>
            <w:r>
              <w:rPr>
                <w:color w:val="000000"/>
              </w:rPr>
              <w:t>Vice President and Chief Financial Officer</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Pursuant to the requirements of the Securities Act, this Registration Statement has been signed by the following persons in the capacities and on the dates indicated.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23ecfa97152e4da282f9d88daf9cb921"/>
      <w:bookmarkStart w:id="41" w:name="z23ecfa97152e4da282f9d88daf9cb921"/>
      <w:bookmarkEnd w:id="41"/>
    </w:p>
    <w:tbl>
      <w:tblPr>
        <w:tblW w:w="10205" w:type="dxa"/>
        <w:jc w:val="left"/>
        <w:tblInd w:w="0" w:type="dxa"/>
        <w:tblLayout w:type="fixed"/>
        <w:tblCellMar>
          <w:top w:w="0" w:type="dxa"/>
          <w:left w:w="0" w:type="dxa"/>
          <w:bottom w:w="28" w:type="dxa"/>
          <w:right w:w="0" w:type="dxa"/>
        </w:tblCellMar>
      </w:tblPr>
      <w:tblGrid>
        <w:gridCol w:w="5844"/>
        <w:gridCol w:w="60"/>
        <w:gridCol w:w="3395"/>
        <w:gridCol w:w="906"/>
      </w:tblGrid>
      <w:tr>
        <w:trPr/>
        <w:tc>
          <w:tcPr>
            <w:tcW w:w="5844" w:type="dxa"/>
            <w:tcBorders>
              <w:bottom w:val="single" w:sz="12" w:space="0" w:color="000000"/>
            </w:tcBorders>
            <w:vAlign w:val="center"/>
          </w:tcPr>
          <w:p>
            <w:pPr>
              <w:pStyle w:val="TableContents"/>
              <w:bidi w:val="0"/>
              <w:spacing w:before="0" w:after="0"/>
              <w:jc w:val="both"/>
              <w:rPr>
                <w:b/>
              </w:rPr>
            </w:pPr>
            <w:r>
              <w:rPr>
                <w:b/>
              </w:rPr>
              <w:t>Signature</w:t>
            </w:r>
          </w:p>
        </w:tc>
        <w:tc>
          <w:tcPr>
            <w:tcW w:w="60" w:type="dxa"/>
            <w:tcBorders>
              <w:bottom w:val="single" w:sz="12" w:space="0" w:color="000000"/>
            </w:tcBorders>
            <w:vAlign w:val="center"/>
          </w:tcPr>
          <w:p>
            <w:pPr>
              <w:pStyle w:val="TableContents"/>
              <w:bidi w:val="0"/>
              <w:spacing w:before="0" w:after="283"/>
              <w:jc w:val="left"/>
              <w:rPr/>
            </w:pPr>
            <w:r>
              <w:rPr/>
              <w:t> </w:t>
            </w:r>
          </w:p>
        </w:tc>
        <w:tc>
          <w:tcPr>
            <w:tcW w:w="3395" w:type="dxa"/>
            <w:tcBorders>
              <w:bottom w:val="single" w:sz="12" w:space="0" w:color="000000"/>
            </w:tcBorders>
            <w:vAlign w:val="center"/>
          </w:tcPr>
          <w:p>
            <w:pPr>
              <w:pStyle w:val="TableContents"/>
              <w:bidi w:val="0"/>
              <w:spacing w:before="0" w:after="0"/>
              <w:jc w:val="both"/>
              <w:rPr>
                <w:b/>
              </w:rPr>
            </w:pPr>
            <w:r>
              <w:rPr>
                <w:b/>
              </w:rPr>
              <w:t>Title</w:t>
            </w:r>
          </w:p>
        </w:tc>
        <w:tc>
          <w:tcPr>
            <w:tcW w:w="906" w:type="dxa"/>
            <w:tcBorders>
              <w:bottom w:val="single" w:sz="12" w:space="0" w:color="000000"/>
            </w:tcBorders>
            <w:vAlign w:val="center"/>
          </w:tcPr>
          <w:p>
            <w:pPr>
              <w:pStyle w:val="TableContents"/>
              <w:bidi w:val="0"/>
              <w:spacing w:before="0" w:after="0"/>
              <w:jc w:val="both"/>
              <w:rPr>
                <w:b/>
              </w:rPr>
            </w:pPr>
            <w:r>
              <w:rPr>
                <w:b/>
              </w:rPr>
              <w:t>Date</w:t>
            </w:r>
          </w:p>
        </w:tc>
      </w:tr>
      <w:tr>
        <w:trPr/>
        <w:tc>
          <w:tcPr>
            <w:tcW w:w="58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95"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left"/>
              <w:rPr/>
            </w:pPr>
            <w:r>
              <w:rPr/>
              <w:t> </w:t>
            </w:r>
          </w:p>
        </w:tc>
      </w:tr>
      <w:tr>
        <w:trPr/>
        <w:tc>
          <w:tcPr>
            <w:tcW w:w="5844" w:type="dxa"/>
            <w:tcBorders>
              <w:bottom w:val="single" w:sz="12" w:space="0" w:color="000000"/>
            </w:tcBorders>
            <w:vAlign w:val="center"/>
          </w:tcPr>
          <w:p>
            <w:pPr>
              <w:pStyle w:val="TableContents"/>
              <w:bidi w:val="0"/>
              <w:spacing w:before="0" w:after="0"/>
              <w:jc w:val="both"/>
              <w:rPr/>
            </w:pPr>
            <w:r>
              <w:rPr/>
              <w:t>/s/ Richard M. Olson          </w:t>
            </w:r>
          </w:p>
        </w:tc>
        <w:tc>
          <w:tcPr>
            <w:tcW w:w="60" w:type="dxa"/>
            <w:vMerge w:val="restart"/>
            <w:tcBorders/>
            <w:tcMar>
              <w:bottom w:w="0" w:type="dxa"/>
            </w:tcMar>
            <w:vAlign w:val="center"/>
          </w:tcPr>
          <w:p>
            <w:pPr>
              <w:pStyle w:val="TableContents"/>
              <w:bidi w:val="0"/>
              <w:spacing w:before="0" w:after="283"/>
              <w:jc w:val="left"/>
              <w:rPr/>
            </w:pPr>
            <w:r>
              <w:rPr/>
              <w:t> </w:t>
            </w:r>
          </w:p>
        </w:tc>
        <w:tc>
          <w:tcPr>
            <w:tcW w:w="3395" w:type="dxa"/>
            <w:vMerge w:val="restart"/>
            <w:tcBorders/>
            <w:tcMar>
              <w:bottom w:w="0" w:type="dxa"/>
            </w:tcMar>
            <w:vAlign w:val="center"/>
          </w:tcPr>
          <w:p>
            <w:pPr>
              <w:pStyle w:val="TableContents"/>
              <w:bidi w:val="0"/>
              <w:spacing w:before="0" w:after="0"/>
              <w:jc w:val="both"/>
              <w:rPr>
                <w:color w:val="000000"/>
              </w:rPr>
            </w:pPr>
            <w:r>
              <w:rPr>
                <w:color w:val="000000"/>
              </w:rPr>
              <w:t>Chairman of the Board and Chief Executive Officer and Director (principal executive officer)</w:t>
            </w:r>
          </w:p>
        </w:tc>
        <w:tc>
          <w:tcPr>
            <w:tcW w:w="906" w:type="dxa"/>
            <w:vMerge w:val="restart"/>
            <w:tcBorders/>
            <w:tcMar>
              <w:bottom w:w="0" w:type="dxa"/>
            </w:tcMar>
            <w:vAlign w:val="center"/>
          </w:tcPr>
          <w:p>
            <w:pPr>
              <w:pStyle w:val="TableContents"/>
              <w:bidi w:val="0"/>
              <w:spacing w:before="0" w:after="0"/>
              <w:jc w:val="both"/>
              <w:rPr/>
            </w:pPr>
            <w:r>
              <w:rPr/>
              <w:t>March 20, 2026</w:t>
            </w:r>
          </w:p>
        </w:tc>
      </w:tr>
      <w:tr>
        <w:trPr/>
        <w:tc>
          <w:tcPr>
            <w:tcW w:w="5844" w:type="dxa"/>
            <w:tcBorders/>
            <w:tcMar>
              <w:bottom w:w="0" w:type="dxa"/>
            </w:tcMar>
            <w:vAlign w:val="center"/>
          </w:tcPr>
          <w:p>
            <w:pPr>
              <w:pStyle w:val="TableContents"/>
              <w:bidi w:val="0"/>
              <w:spacing w:before="0" w:after="283"/>
              <w:jc w:val="left"/>
              <w:rPr/>
            </w:pPr>
            <w:r>
              <w:rPr/>
              <w:t>Richard M. Olson</w:t>
            </w:r>
          </w:p>
        </w:tc>
        <w:tc>
          <w:tcPr>
            <w:tcW w:w="60" w:type="dxa"/>
            <w:vMerge w:val="continue"/>
            <w:tcBorders/>
            <w:tcMar>
              <w:bottom w:w="0" w:type="dxa"/>
            </w:tcMar>
            <w:vAlign w:val="center"/>
          </w:tcPr>
          <w:p>
            <w:pPr>
              <w:pStyle w:val="Normal"/>
              <w:bidi w:val="0"/>
              <w:jc w:val="left"/>
              <w:rPr/>
            </w:pPr>
            <w:r>
              <w:rPr/>
            </w:r>
          </w:p>
        </w:tc>
        <w:tc>
          <w:tcPr>
            <w:tcW w:w="3395" w:type="dxa"/>
            <w:vMerge w:val="continue"/>
            <w:tcBorders/>
            <w:tcMar>
              <w:bottom w:w="0" w:type="dxa"/>
            </w:tcMar>
            <w:vAlign w:val="center"/>
          </w:tcPr>
          <w:p>
            <w:pPr>
              <w:pStyle w:val="Normal"/>
              <w:bidi w:val="0"/>
              <w:jc w:val="left"/>
              <w:rPr/>
            </w:pPr>
            <w:r>
              <w:rPr/>
            </w:r>
          </w:p>
        </w:tc>
        <w:tc>
          <w:tcPr>
            <w:tcW w:w="906" w:type="dxa"/>
            <w:vMerge w:val="continue"/>
            <w:tcBorders/>
            <w:tcMar>
              <w:bottom w:w="0" w:type="dxa"/>
            </w:tcMar>
            <w:vAlign w:val="center"/>
          </w:tcPr>
          <w:p>
            <w:pPr>
              <w:pStyle w:val="Normal"/>
              <w:bidi w:val="0"/>
              <w:jc w:val="left"/>
              <w:rPr/>
            </w:pPr>
            <w:r>
              <w:rPr/>
            </w:r>
          </w:p>
        </w:tc>
      </w:tr>
      <w:tr>
        <w:trPr/>
        <w:tc>
          <w:tcPr>
            <w:tcW w:w="58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95"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left"/>
              <w:rPr/>
            </w:pPr>
            <w:r>
              <w:rPr/>
              <w:t> </w:t>
            </w:r>
          </w:p>
        </w:tc>
      </w:tr>
      <w:tr>
        <w:trPr/>
        <w:tc>
          <w:tcPr>
            <w:tcW w:w="5844" w:type="dxa"/>
            <w:tcBorders>
              <w:bottom w:val="single" w:sz="12" w:space="0" w:color="000000"/>
            </w:tcBorders>
            <w:vAlign w:val="center"/>
          </w:tcPr>
          <w:p>
            <w:pPr>
              <w:pStyle w:val="TableContents"/>
              <w:bidi w:val="0"/>
              <w:spacing w:before="0" w:after="0"/>
              <w:jc w:val="both"/>
              <w:rPr/>
            </w:pPr>
            <w:r>
              <w:rPr/>
              <w:t>/s/Angela C. Drake          </w:t>
            </w:r>
          </w:p>
        </w:tc>
        <w:tc>
          <w:tcPr>
            <w:tcW w:w="60" w:type="dxa"/>
            <w:vMerge w:val="restart"/>
            <w:tcBorders/>
            <w:tcMar>
              <w:bottom w:w="0" w:type="dxa"/>
            </w:tcMar>
            <w:vAlign w:val="center"/>
          </w:tcPr>
          <w:p>
            <w:pPr>
              <w:pStyle w:val="TableContents"/>
              <w:bidi w:val="0"/>
              <w:spacing w:before="0" w:after="283"/>
              <w:jc w:val="left"/>
              <w:rPr/>
            </w:pPr>
            <w:r>
              <w:rPr/>
              <w:t> </w:t>
            </w:r>
          </w:p>
        </w:tc>
        <w:tc>
          <w:tcPr>
            <w:tcW w:w="3395" w:type="dxa"/>
            <w:vMerge w:val="restart"/>
            <w:tcBorders/>
            <w:tcMar>
              <w:bottom w:w="0" w:type="dxa"/>
            </w:tcMar>
            <w:vAlign w:val="center"/>
          </w:tcPr>
          <w:p>
            <w:pPr>
              <w:pStyle w:val="TableContents"/>
              <w:bidi w:val="0"/>
              <w:spacing w:before="0" w:after="0"/>
              <w:jc w:val="left"/>
              <w:rPr>
                <w:color w:val="000000"/>
              </w:rPr>
            </w:pPr>
            <w:r>
              <w:rPr>
                <w:color w:val="000000"/>
              </w:rPr>
              <w:t>Vice President and Chief Financial Officer</w:t>
            </w:r>
          </w:p>
          <w:p>
            <w:pPr>
              <w:pStyle w:val="TableContents"/>
              <w:bidi w:val="0"/>
              <w:spacing w:before="0" w:after="0"/>
              <w:jc w:val="both"/>
              <w:rPr>
                <w:color w:val="000000"/>
              </w:rPr>
            </w:pPr>
            <w:r>
              <w:rPr>
                <w:color w:val="000000"/>
              </w:rPr>
              <w:t>(principal financial and accounting officer)</w:t>
            </w:r>
          </w:p>
        </w:tc>
        <w:tc>
          <w:tcPr>
            <w:tcW w:w="906" w:type="dxa"/>
            <w:vMerge w:val="restart"/>
            <w:tcBorders/>
            <w:tcMar>
              <w:bottom w:w="0" w:type="dxa"/>
            </w:tcMar>
            <w:vAlign w:val="center"/>
          </w:tcPr>
          <w:p>
            <w:pPr>
              <w:pStyle w:val="TableContents"/>
              <w:bidi w:val="0"/>
              <w:spacing w:before="0" w:after="0"/>
              <w:jc w:val="both"/>
              <w:rPr/>
            </w:pPr>
            <w:r>
              <w:rPr/>
              <w:t>March 20, 2026</w:t>
            </w:r>
          </w:p>
        </w:tc>
      </w:tr>
      <w:tr>
        <w:trPr/>
        <w:tc>
          <w:tcPr>
            <w:tcW w:w="5844" w:type="dxa"/>
            <w:tcBorders/>
            <w:tcMar>
              <w:bottom w:w="0" w:type="dxa"/>
            </w:tcMar>
            <w:vAlign w:val="center"/>
          </w:tcPr>
          <w:p>
            <w:pPr>
              <w:pStyle w:val="TableContents"/>
              <w:bidi w:val="0"/>
              <w:spacing w:before="0" w:after="283"/>
              <w:jc w:val="left"/>
              <w:rPr/>
            </w:pPr>
            <w:r>
              <w:rPr/>
              <w:t>Angela C. Drake</w:t>
            </w:r>
          </w:p>
        </w:tc>
        <w:tc>
          <w:tcPr>
            <w:tcW w:w="60" w:type="dxa"/>
            <w:vMerge w:val="continue"/>
            <w:tcBorders/>
            <w:tcMar>
              <w:bottom w:w="0" w:type="dxa"/>
            </w:tcMar>
            <w:vAlign w:val="center"/>
          </w:tcPr>
          <w:p>
            <w:pPr>
              <w:pStyle w:val="Normal"/>
              <w:bidi w:val="0"/>
              <w:jc w:val="left"/>
              <w:rPr/>
            </w:pPr>
            <w:r>
              <w:rPr/>
            </w:r>
          </w:p>
        </w:tc>
        <w:tc>
          <w:tcPr>
            <w:tcW w:w="3395" w:type="dxa"/>
            <w:vMerge w:val="continue"/>
            <w:tcBorders/>
            <w:tcMar>
              <w:bottom w:w="0" w:type="dxa"/>
            </w:tcMar>
            <w:vAlign w:val="center"/>
          </w:tcPr>
          <w:p>
            <w:pPr>
              <w:pStyle w:val="Normal"/>
              <w:bidi w:val="0"/>
              <w:jc w:val="left"/>
              <w:rPr/>
            </w:pPr>
            <w:r>
              <w:rPr/>
            </w:r>
          </w:p>
        </w:tc>
        <w:tc>
          <w:tcPr>
            <w:tcW w:w="906" w:type="dxa"/>
            <w:vMerge w:val="continue"/>
            <w:tcBorders/>
            <w:tcMar>
              <w:bottom w:w="0" w:type="dxa"/>
            </w:tcMar>
            <w:vAlign w:val="center"/>
          </w:tcPr>
          <w:p>
            <w:pPr>
              <w:pStyle w:val="Normal"/>
              <w:bidi w:val="0"/>
              <w:jc w:val="left"/>
              <w:rPr/>
            </w:pPr>
            <w:r>
              <w:rPr/>
            </w:r>
          </w:p>
        </w:tc>
      </w:tr>
      <w:tr>
        <w:trPr/>
        <w:tc>
          <w:tcPr>
            <w:tcW w:w="58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95" w:type="dxa"/>
            <w:tcBorders/>
            <w:tcMar>
              <w:bottom w:w="0" w:type="dxa"/>
            </w:tcMar>
            <w:vAlign w:val="center"/>
          </w:tcPr>
          <w:p>
            <w:pPr>
              <w:pStyle w:val="TableContents"/>
              <w:bidi w:val="0"/>
              <w:spacing w:before="0" w:after="283"/>
              <w:jc w:val="left"/>
              <w:rPr/>
            </w:pPr>
            <w:r>
              <w:rPr/>
              <w:t> </w:t>
            </w:r>
          </w:p>
        </w:tc>
        <w:tc>
          <w:tcPr>
            <w:tcW w:w="906" w:type="dxa"/>
            <w:tcBorders/>
            <w:tcMar>
              <w:bottom w:w="0" w:type="dxa"/>
            </w:tcMar>
            <w:vAlign w:val="center"/>
          </w:tcPr>
          <w:p>
            <w:pPr>
              <w:pStyle w:val="TableContents"/>
              <w:bidi w:val="0"/>
              <w:spacing w:before="0" w:after="283"/>
              <w:jc w:val="left"/>
              <w:rPr/>
            </w:pPr>
            <w:r>
              <w:rPr/>
              <w:t> </w:t>
            </w:r>
          </w:p>
        </w:tc>
      </w:tr>
      <w:tr>
        <w:trPr/>
        <w:tc>
          <w:tcPr>
            <w:tcW w:w="5844" w:type="dxa"/>
            <w:tcBorders>
              <w:bottom w:val="single" w:sz="12" w:space="0" w:color="000000"/>
            </w:tcBorders>
            <w:vAlign w:val="center"/>
          </w:tcPr>
          <w:p>
            <w:pPr>
              <w:pStyle w:val="TableContents"/>
              <w:bidi w:val="0"/>
              <w:spacing w:before="0" w:after="0"/>
              <w:jc w:val="both"/>
              <w:rPr/>
            </w:pPr>
            <w:r>
              <w:rPr/>
              <w:t xml:space="preserve">/s/ Angela C. Drake          </w:t>
            </w:r>
          </w:p>
        </w:tc>
        <w:tc>
          <w:tcPr>
            <w:tcW w:w="60" w:type="dxa"/>
            <w:vMerge w:val="restart"/>
            <w:tcBorders/>
            <w:tcMar>
              <w:bottom w:w="0" w:type="dxa"/>
            </w:tcMar>
            <w:vAlign w:val="center"/>
          </w:tcPr>
          <w:p>
            <w:pPr>
              <w:pStyle w:val="TableContents"/>
              <w:bidi w:val="0"/>
              <w:spacing w:before="0" w:after="283"/>
              <w:jc w:val="left"/>
              <w:rPr/>
            </w:pPr>
            <w:r>
              <w:rPr/>
              <w:t> </w:t>
            </w:r>
          </w:p>
        </w:tc>
        <w:tc>
          <w:tcPr>
            <w:tcW w:w="3395" w:type="dxa"/>
            <w:vMerge w:val="restart"/>
            <w:tcBorders/>
            <w:tcMar>
              <w:bottom w:w="0" w:type="dxa"/>
            </w:tcMar>
            <w:vAlign w:val="center"/>
          </w:tcPr>
          <w:p>
            <w:pPr>
              <w:pStyle w:val="TableContents"/>
              <w:bidi w:val="0"/>
              <w:spacing w:before="0" w:after="0"/>
              <w:jc w:val="both"/>
              <w:rPr/>
            </w:pPr>
            <w:r>
              <w:rPr/>
              <w:t>Directors</w:t>
            </w:r>
          </w:p>
        </w:tc>
        <w:tc>
          <w:tcPr>
            <w:tcW w:w="906" w:type="dxa"/>
            <w:vMerge w:val="restart"/>
            <w:tcBorders/>
            <w:tcMar>
              <w:bottom w:w="0" w:type="dxa"/>
            </w:tcMar>
            <w:vAlign w:val="center"/>
          </w:tcPr>
          <w:p>
            <w:pPr>
              <w:pStyle w:val="TableContents"/>
              <w:bidi w:val="0"/>
              <w:spacing w:before="0" w:after="0"/>
              <w:jc w:val="both"/>
              <w:rPr/>
            </w:pPr>
            <w:r>
              <w:rPr/>
              <w:t>March 20, 2026</w:t>
            </w:r>
          </w:p>
        </w:tc>
      </w:tr>
      <w:tr>
        <w:trPr/>
        <w:tc>
          <w:tcPr>
            <w:tcW w:w="5844" w:type="dxa"/>
            <w:tcBorders/>
            <w:tcMar>
              <w:bottom w:w="0" w:type="dxa"/>
            </w:tcMar>
            <w:vAlign w:val="center"/>
          </w:tcPr>
          <w:p>
            <w:pPr>
              <w:pStyle w:val="TableContents"/>
              <w:bidi w:val="0"/>
              <w:spacing w:before="0" w:after="0"/>
              <w:jc w:val="both"/>
              <w:rPr/>
            </w:pPr>
            <w:r>
              <w:rPr/>
              <w:t>Angela C. Drake</w:t>
            </w:r>
          </w:p>
          <w:p>
            <w:pPr>
              <w:pStyle w:val="TableContents"/>
              <w:bidi w:val="0"/>
              <w:spacing w:before="0" w:after="0"/>
              <w:jc w:val="left"/>
              <w:rPr/>
            </w:pPr>
            <w:r>
              <w:rPr/>
              <w:t>As attorney in fact for Dianne C. Craig, Gary L. Ellis, Eric P. Hansotia, Jeffrey L. Harmening, D. Christian Koch, Joyce A. Mullen, James C. O’Rourke, and Jill M. Pemberton</w:t>
            </w:r>
          </w:p>
        </w:tc>
        <w:tc>
          <w:tcPr>
            <w:tcW w:w="60" w:type="dxa"/>
            <w:vMerge w:val="continue"/>
            <w:tcBorders/>
            <w:tcMar>
              <w:bottom w:w="0" w:type="dxa"/>
            </w:tcMar>
            <w:vAlign w:val="center"/>
          </w:tcPr>
          <w:p>
            <w:pPr>
              <w:pStyle w:val="Normal"/>
              <w:bidi w:val="0"/>
              <w:jc w:val="left"/>
              <w:rPr/>
            </w:pPr>
            <w:r>
              <w:rPr/>
            </w:r>
          </w:p>
        </w:tc>
        <w:tc>
          <w:tcPr>
            <w:tcW w:w="3395" w:type="dxa"/>
            <w:vMerge w:val="continue"/>
            <w:tcBorders/>
            <w:tcMar>
              <w:bottom w:w="0" w:type="dxa"/>
            </w:tcMar>
            <w:vAlign w:val="center"/>
          </w:tcPr>
          <w:p>
            <w:pPr>
              <w:pStyle w:val="Normal"/>
              <w:bidi w:val="0"/>
              <w:jc w:val="left"/>
              <w:rPr/>
            </w:pPr>
            <w:r>
              <w:rPr/>
            </w:r>
          </w:p>
        </w:tc>
        <w:tc>
          <w:tcPr>
            <w:tcW w:w="906"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2" w:name="ef20068311_ex5-1.htm"/>
      <w:bookmarkStart w:id="43" w:name="ksef20068311_ex51"/>
      <w:bookmarkStart w:id="44" w:name="ef20068311_ex5-1.htm"/>
      <w:bookmarkStart w:id="45" w:name="ksef20068311_ex51"/>
      <w:bookmarkEnd w:id="44"/>
      <w:bookmarkEnd w:id="4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Exhibits 5.1 and 23.1</w:t>
      </w:r>
    </w:p>
    <w:p>
      <w:pPr>
        <w:pStyle w:val="TextBody"/>
        <w:bidi w:val="0"/>
        <w:spacing w:before="0" w:after="0"/>
        <w:jc w:val="left"/>
        <w:rPr/>
      </w:pPr>
      <w:r>
        <w:rPr/>
      </w:r>
    </w:p>
    <w:p>
      <w:pPr>
        <w:pStyle w:val="TextBody"/>
        <w:bidi w:val="0"/>
        <w:spacing w:before="0" w:after="0"/>
        <w:ind w:left="360" w:right="0" w:hanging="0"/>
        <w:jc w:val="left"/>
        <w:rPr>
          <w:color w:val="000000"/>
        </w:rPr>
      </w:pPr>
      <w:r>
        <w:rPr>
          <w:color w:val="000000"/>
        </w:rPr>
        <w:drawing>
          <wp:inline distT="0" distB="0" distL="0" distR="0">
            <wp:extent cx="219075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2190750" cy="295275"/>
                    </a:xfrm>
                    <a:prstGeom prst="rect">
                      <a:avLst/>
                    </a:prstGeom>
                  </pic:spPr>
                </pic:pic>
              </a:graphicData>
            </a:graphic>
          </wp:inline>
        </w:drawing>
      </w:r>
    </w:p>
    <w:p>
      <w:pPr>
        <w:pStyle w:val="HorizontalLine"/>
        <w:pBdr>
          <w:bottom w:val="single" w:sz="12" w:space="0" w:color="808080"/>
        </w:pBdr>
        <w:bidi w:val="0"/>
        <w:jc w:val="left"/>
        <w:rPr/>
      </w:pPr>
      <w:r>
        <w:rPr/>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8111 Lyndale Avenue South, Bloomington, Minnesota  55420-1196</w:t>
      </w:r>
    </w:p>
    <w:p>
      <w:pPr>
        <w:pStyle w:val="TextBody"/>
        <w:bidi w:val="0"/>
        <w:spacing w:before="0" w:after="0"/>
        <w:jc w:val="center"/>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20,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Toro Company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8111 Lyndale Avenue South</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Bloomington, Minnesota 55420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Registration Statement on Form S-8 for The Toro Company 2026 Equity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am the Vice President, General Counsel and Corporate Secretary of The Toro Company (the “Company”). In connection with the Registration Statement on Form S-8 filed by the Company with the Securities and Exchange Commission (the “SEC”) relating to the registration of (i) 3,650,000 shares (the “New 2026 Plan Shares”) of the Company’s common stock, par value $0.01 per share (“Common Stock”), issuable pursuant to awards under The Toro Company 2026 Equity Plan (the “2026 Plan”); (ii) 235,539 of the 1,568,361 shares of Common Stock remaining available for issuance under The Toro Company 2022 Equity and Incentive Plan (the “2022 Plan”), as of the effective date of the 2026 Plan (the “Effective Date”) but not subject to outstanding awards as of the Effective Date, which have not previously been registered by the Company under a Registration Statement on Form S-8 previously filed by the Company with the SEC (the “Unregistered 2022 Plan Carryover Shares” and together with the New 2026 Plan Shares, the “Shares”); and (iii) such indeterminate number of shares of Common Stock as may become available under the 2026 Plan as a result of the adjustment provisions thereof, please be advised that as counsel to the Company, upon examination of such corporate documents and records as I have deemed necessary or appropriate for the purpose of rendering this opinion, it is my opinion that the Shares being offered by the Company, when issued in accordance with proper corporate authorizations, will be legally issued, fully paid and non-assessable.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foregoing opinion is limited to the Federal laws of the United States and the General Corporation Law of the State of Delaware (including the statutory provisions, all applicable provisions of the Delaware Constitution and reported judicial decisions interpreting the foregoing), and I am expressing no opinion as to the effect of the laws of any other jurisdiction.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Securities Act of 1933, as amended.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c09863c0214347e9ad796f9e92c58848"/>
      <w:bookmarkStart w:id="47" w:name="zc09863c0214347e9ad796f9e92c58848"/>
      <w:bookmarkEnd w:id="47"/>
    </w:p>
    <w:tbl>
      <w:tblPr>
        <w:tblW w:w="5525" w:type="dxa"/>
        <w:jc w:val="left"/>
        <w:tblInd w:w="0" w:type="dxa"/>
        <w:tblLayout w:type="fixed"/>
        <w:tblCellMar>
          <w:top w:w="0" w:type="dxa"/>
          <w:left w:w="0" w:type="dxa"/>
          <w:bottom w:w="0" w:type="dxa"/>
          <w:right w:w="0" w:type="dxa"/>
        </w:tblCellMar>
      </w:tblPr>
      <w:tblGrid>
        <w:gridCol w:w="60"/>
        <w:gridCol w:w="5465"/>
      </w:tblGrid>
      <w:tr>
        <w:trPr/>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65" w:type="dxa"/>
            <w:tcBorders>
              <w:bottom w:val="single" w:sz="12" w:space="0" w:color="000000"/>
            </w:tcBorders>
            <w:tcMar>
              <w:bottom w:w="28" w:type="dxa"/>
            </w:tcMar>
            <w:vAlign w:val="center"/>
          </w:tcPr>
          <w:p>
            <w:pPr>
              <w:pStyle w:val="TableContents"/>
              <w:bidi w:val="0"/>
              <w:spacing w:before="0" w:after="0"/>
              <w:jc w:val="left"/>
              <w:rPr/>
            </w:pPr>
            <w:r>
              <w:rPr/>
              <w:t>/s/ Joanna M. Totsky</w:t>
            </w:r>
          </w:p>
        </w:tc>
      </w:tr>
      <w:tr>
        <w:trPr/>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pPr>
            <w:r>
              <w:rPr/>
              <w:t>Joanna M. Totsky</w:t>
            </w:r>
          </w:p>
        </w:tc>
      </w:tr>
      <w:tr>
        <w:trPr/>
        <w:tc>
          <w:tcPr>
            <w:tcW w:w="6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0"/>
              <w:jc w:val="left"/>
              <w:rPr/>
            </w:pPr>
            <w:r>
              <w:rPr/>
              <w:t>Vice President, General Counsel and Corporate Secretary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8" w:name="ef20068311_ex23-2.htm"/>
      <w:bookmarkStart w:id="49" w:name="ksef20068311_ex232"/>
      <w:bookmarkStart w:id="50" w:name="ef20068311_ex23-2.htm"/>
      <w:bookmarkStart w:id="51" w:name="ksef20068311_ex232"/>
      <w:bookmarkEnd w:id="50"/>
      <w:bookmarkEnd w:id="51"/>
      <w:r>
        <w:br w:type="page"/>
      </w:r>
    </w:p>
    <w:p>
      <w:pPr>
        <w:pStyle w:val="TextBody"/>
        <w:bidi w:val="0"/>
        <w:spacing w:before="0" w:after="0"/>
        <w:ind w:left="360" w:right="0" w:hanging="360"/>
        <w:jc w:val="right"/>
        <w:rPr>
          <w:rFonts w:ascii="Times New Roman" w:hAnsi="Times New Roman"/>
          <w:b/>
          <w:color w:val="000000"/>
          <w:sz w:val="20"/>
        </w:rPr>
      </w:pPr>
      <w:r>
        <w:rPr>
          <w:rFonts w:ascii="Times New Roman" w:hAnsi="Times New Roman"/>
          <w:b/>
          <w:color w:val="000000"/>
          <w:sz w:val="20"/>
        </w:rPr>
        <w:t>Exhibit 23.2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consent to the use of our report dated December 17, 2025, with respect to the consolidated financial statements of The Toro Company and subsidiaries, and the effectiveness of internal control over financial reporting,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Minneapolis, Minnesota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March 20,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2" w:name="ef20068311_ex24-1.htm"/>
      <w:bookmarkStart w:id="53" w:name="ksef20068311_ex241"/>
      <w:bookmarkStart w:id="54" w:name="ef20068311_ex24-1.htm"/>
      <w:bookmarkStart w:id="55" w:name="ksef20068311_ex241"/>
      <w:bookmarkEnd w:id="54"/>
      <w:bookmarkEnd w:id="5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directors of The Toro Company, a Delaware corporation (the “Company”), hereby authorize and appoint Richard M. Olson and Angela C. Drake, each of them severally, the individual’s true and lawful attorneys-in-fact and agents, with power to act with or without the other, and with full power of substitution and resubstitution, for the person and in his or her name, place and stead, in any and all capacities, to sign his or her name to a Registration Statement on Form S-8 relating to The Toro Company 2026 Equity Plan (the “Registration Statement”), and any and all additional amendments thereto (including without limitation additional post-effective amendments to register or de-register shares), provided that the Registration Statement and any future amendment, in final form, be approved by said attorney-in-fact; and his or her name, when thus signed, shall have the same force and effect as though I had manually signed said document or documents.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Dated: March 20,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56c8c2abed0a4c3c971f22e20ed4083b"/>
      <w:bookmarkStart w:id="57" w:name="z56c8c2abed0a4c3c971f22e20ed4083b"/>
      <w:bookmarkEnd w:id="57"/>
    </w:p>
    <w:tbl>
      <w:tblPr>
        <w:tblW w:w="3250" w:type="dxa"/>
        <w:jc w:val="left"/>
        <w:tblInd w:w="0" w:type="dxa"/>
        <w:tblLayout w:type="fixed"/>
        <w:tblCellMar>
          <w:top w:w="0" w:type="dxa"/>
          <w:left w:w="0" w:type="dxa"/>
          <w:bottom w:w="28" w:type="dxa"/>
          <w:right w:w="0" w:type="dxa"/>
        </w:tblCellMar>
      </w:tblPr>
      <w:tblGrid>
        <w:gridCol w:w="2330"/>
        <w:gridCol w:w="60"/>
        <w:gridCol w:w="60"/>
        <w:gridCol w:w="800"/>
      </w:tblGrid>
      <w:tr>
        <w:trPr/>
        <w:tc>
          <w:tcPr>
            <w:tcW w:w="2390" w:type="dxa"/>
            <w:gridSpan w:val="2"/>
            <w:tcBorders>
              <w:bottom w:val="single" w:sz="12" w:space="0" w:color="000000"/>
            </w:tcBorders>
            <w:vAlign w:val="center"/>
          </w:tcPr>
          <w:p>
            <w:pPr>
              <w:pStyle w:val="TableContents"/>
              <w:bidi w:val="0"/>
              <w:spacing w:before="0" w:after="0"/>
              <w:jc w:val="center"/>
              <w:rPr>
                <w:b/>
              </w:rPr>
            </w:pPr>
            <w:r>
              <w:rPr>
                <w:b/>
              </w:rPr>
              <w:t>Signature</w:t>
            </w:r>
          </w:p>
        </w:tc>
        <w:tc>
          <w:tcPr>
            <w:tcW w:w="60" w:type="dxa"/>
            <w:tcBorders/>
            <w:tcMar>
              <w:bottom w:w="0" w:type="dxa"/>
            </w:tcMar>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0"/>
              <w:jc w:val="center"/>
              <w:rPr>
                <w:b/>
              </w:rPr>
            </w:pPr>
            <w:r>
              <w:rPr>
                <w:b/>
              </w:rPr>
              <w:t>Title</w:t>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Dianne C. Craig</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Dianne C. Craig</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Gary L. Ellis</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Gary L. Ellis</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Eric P. Hansotia</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Eric P. Hansotia</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Jeffrey L. Harmening</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Jeffrey L. Harmening</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D. Christian Koch</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D. Christian Koch</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Joyce A. Mullen</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Joyce A. Mullen</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James C. O’Rourke</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0"/>
              <w:jc w:val="left"/>
              <w:rPr/>
            </w:pPr>
            <w:r>
              <w:rPr/>
              <w:t>James C. O’Rourke</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r>
        <w:trPr/>
        <w:tc>
          <w:tcPr>
            <w:tcW w:w="23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r>
      <w:tr>
        <w:trPr/>
        <w:tc>
          <w:tcPr>
            <w:tcW w:w="2330" w:type="dxa"/>
            <w:tcBorders>
              <w:bottom w:val="single" w:sz="12" w:space="0" w:color="000000"/>
            </w:tcBorders>
            <w:vAlign w:val="center"/>
          </w:tcPr>
          <w:p>
            <w:pPr>
              <w:pStyle w:val="TableContents"/>
              <w:bidi w:val="0"/>
              <w:spacing w:before="0" w:after="0"/>
              <w:jc w:val="left"/>
              <w:rPr/>
            </w:pPr>
            <w:r>
              <w:rPr/>
              <w:t>/s/ Jill M. Pemberton</w:t>
            </w:r>
          </w:p>
        </w:tc>
        <w:tc>
          <w:tcPr>
            <w:tcW w:w="60" w:type="dxa"/>
            <w:tcBorders/>
            <w:tcMar>
              <w:bottom w:w="0" w:type="dxa"/>
            </w:tcMar>
            <w:vAlign w:val="center"/>
          </w:tcPr>
          <w:p>
            <w:pPr>
              <w:pStyle w:val="TableContents"/>
              <w:bidi w:val="0"/>
              <w:spacing w:before="0" w:after="283"/>
              <w:jc w:val="left"/>
              <w:rPr/>
            </w:pPr>
            <w:r>
              <w:rPr/>
              <w:t> </w:t>
            </w:r>
          </w:p>
        </w:tc>
        <w:tc>
          <w:tcPr>
            <w:tcW w:w="60" w:type="dxa"/>
            <w:vMerge w:val="restart"/>
            <w:tcBorders/>
            <w:tcMar>
              <w:bottom w:w="0" w:type="dxa"/>
            </w:tcMar>
            <w:vAlign w:val="center"/>
          </w:tcPr>
          <w:p>
            <w:pPr>
              <w:pStyle w:val="TableContents"/>
              <w:bidi w:val="0"/>
              <w:spacing w:before="0" w:after="283"/>
              <w:jc w:val="center"/>
              <w:rPr/>
            </w:pPr>
            <w:r>
              <w:rPr/>
              <w:t> </w:t>
            </w:r>
          </w:p>
        </w:tc>
        <w:tc>
          <w:tcPr>
            <w:tcW w:w="800" w:type="dxa"/>
            <w:vMerge w:val="restart"/>
            <w:tcBorders/>
            <w:tcMar>
              <w:bottom w:w="0" w:type="dxa"/>
            </w:tcMar>
            <w:vAlign w:val="center"/>
          </w:tcPr>
          <w:p>
            <w:pPr>
              <w:pStyle w:val="TableContents"/>
              <w:bidi w:val="0"/>
              <w:spacing w:before="0" w:after="0"/>
              <w:jc w:val="center"/>
              <w:rPr/>
            </w:pPr>
            <w:r>
              <w:rPr/>
              <w:t>Director</w:t>
            </w:r>
          </w:p>
        </w:tc>
      </w:tr>
      <w:tr>
        <w:trPr/>
        <w:tc>
          <w:tcPr>
            <w:tcW w:w="2390" w:type="dxa"/>
            <w:gridSpan w:val="2"/>
            <w:tcBorders/>
            <w:tcMar>
              <w:bottom w:w="0" w:type="dxa"/>
            </w:tcMar>
            <w:vAlign w:val="center"/>
          </w:tcPr>
          <w:p>
            <w:pPr>
              <w:pStyle w:val="TableContents"/>
              <w:bidi w:val="0"/>
              <w:spacing w:before="0" w:after="283"/>
              <w:jc w:val="left"/>
              <w:rPr/>
            </w:pPr>
            <w:r>
              <w:rPr/>
              <w:t>Jill M. Pemberton</w:t>
            </w:r>
          </w:p>
        </w:tc>
        <w:tc>
          <w:tcPr>
            <w:tcW w:w="60" w:type="dxa"/>
            <w:vMerge w:val="continue"/>
            <w:tcBorders/>
            <w:tcMar>
              <w:bottom w:w="0" w:type="dxa"/>
            </w:tcMar>
            <w:vAlign w:val="center"/>
          </w:tcPr>
          <w:p>
            <w:pPr>
              <w:pStyle w:val="Normal"/>
              <w:bidi w:val="0"/>
              <w:jc w:val="left"/>
              <w:rPr/>
            </w:pPr>
            <w:r>
              <w:rPr/>
            </w:r>
          </w:p>
        </w:tc>
        <w:tc>
          <w:tcPr>
            <w:tcW w:w="800"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58" w:name="ef20068311_ex107.htm"/>
      <w:bookmarkStart w:id="59" w:name="ksef20068311_ex107"/>
      <w:bookmarkStart w:id="60" w:name="ef20068311_ex107.htm"/>
      <w:bookmarkStart w:id="61" w:name="ksef20068311_ex107"/>
      <w:bookmarkEnd w:id="60"/>
      <w:bookmarkEnd w:id="61"/>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The Toro Company</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992"/>
        <w:gridCol w:w="1143"/>
        <w:gridCol w:w="1325"/>
        <w:gridCol w:w="1297"/>
        <w:gridCol w:w="1251"/>
        <w:gridCol w:w="1466"/>
        <w:gridCol w:w="1246"/>
        <w:gridCol w:w="1485"/>
      </w:tblGrid>
      <w:tr>
        <w:trPr/>
        <w:tc>
          <w:tcPr>
            <w:tcW w:w="992"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1251" w:type="dxa"/>
            <w:tcBorders/>
            <w:vAlign w:val="center"/>
          </w:tcPr>
          <w:p>
            <w:pPr>
              <w:pStyle w:val="TableContents"/>
              <w:bidi w:val="0"/>
              <w:spacing w:before="0" w:after="283"/>
              <w:jc w:val="left"/>
              <w:rPr/>
            </w:pPr>
            <w:r>
              <w:rPr/>
              <w:t> </w:t>
            </w:r>
          </w:p>
        </w:tc>
        <w:tc>
          <w:tcPr>
            <w:tcW w:w="146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485" w:type="dxa"/>
            <w:tcBorders/>
            <w:vAlign w:val="center"/>
          </w:tcPr>
          <w:p>
            <w:pPr>
              <w:pStyle w:val="TableContents"/>
              <w:bidi w:val="0"/>
              <w:spacing w:before="0" w:after="283"/>
              <w:jc w:val="left"/>
              <w:rPr/>
            </w:pPr>
            <w:r>
              <w:rPr/>
              <w:t> </w:t>
            </w:r>
          </w:p>
        </w:tc>
      </w:tr>
      <w:tr>
        <w:trPr/>
        <w:tc>
          <w:tcPr>
            <w:tcW w:w="99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14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25"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9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Amount Registered</w:t>
            </w:r>
            <w:r>
              <w:rPr>
                <w:b/>
                <w:position w:val="8"/>
                <w:sz w:val="19"/>
              </w:rPr>
              <w:t>(1)</w:t>
            </w:r>
          </w:p>
        </w:tc>
        <w:tc>
          <w:tcPr>
            <w:tcW w:w="12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 xml:space="preserve">Proposed Maximum Offering </w:t>
              <w:br/>
              <w:t>Price Per Unit</w:t>
            </w:r>
            <w:r>
              <w:rPr>
                <w:b/>
                <w:position w:val="8"/>
                <w:sz w:val="19"/>
              </w:rPr>
              <w:t>(2)</w:t>
            </w:r>
          </w:p>
        </w:tc>
        <w:tc>
          <w:tcPr>
            <w:tcW w:w="14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485"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b/>
              </w:rPr>
            </w:pPr>
            <w:r>
              <w:rPr>
                <w:b/>
              </w:rPr>
              <w:t>Amount of Registration Fee</w:t>
            </w:r>
            <w:r>
              <w:rPr>
                <w:b/>
                <w:position w:val="8"/>
                <w:sz w:val="19"/>
              </w:rPr>
              <w:t>(3)</w:t>
            </w:r>
          </w:p>
        </w:tc>
      </w:tr>
      <w:tr>
        <w:trPr/>
        <w:tc>
          <w:tcPr>
            <w:tcW w:w="99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14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w:t>
            </w:r>
          </w:p>
        </w:tc>
        <w:tc>
          <w:tcPr>
            <w:tcW w:w="132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457(c) and 457(h) </w:t>
            </w:r>
          </w:p>
        </w:tc>
        <w:tc>
          <w:tcPr>
            <w:tcW w:w="129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3,650,000 shares </w:t>
            </w:r>
          </w:p>
        </w:tc>
        <w:tc>
          <w:tcPr>
            <w:tcW w:w="125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$94.52 </w:t>
            </w:r>
          </w:p>
        </w:tc>
        <w:tc>
          <w:tcPr>
            <w:tcW w:w="14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$344,998,000 </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$138.10 per $1,000,000 </w:t>
            </w:r>
          </w:p>
        </w:tc>
        <w:tc>
          <w:tcPr>
            <w:tcW w:w="148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$47,644.22 </w:t>
            </w:r>
          </w:p>
        </w:tc>
      </w:tr>
      <w:tr>
        <w:trPr/>
        <w:tc>
          <w:tcPr>
            <w:tcW w:w="99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Equity </w:t>
            </w:r>
          </w:p>
        </w:tc>
        <w:tc>
          <w:tcPr>
            <w:tcW w:w="114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Common Stock, par value $0.01 per share </w:t>
            </w:r>
          </w:p>
        </w:tc>
        <w:tc>
          <w:tcPr>
            <w:tcW w:w="132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457(c) and 457(h) </w:t>
            </w:r>
          </w:p>
        </w:tc>
        <w:tc>
          <w:tcPr>
            <w:tcW w:w="129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235,539 shares </w:t>
            </w:r>
          </w:p>
        </w:tc>
        <w:tc>
          <w:tcPr>
            <w:tcW w:w="125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$94.52 </w:t>
            </w:r>
          </w:p>
        </w:tc>
        <w:tc>
          <w:tcPr>
            <w:tcW w:w="146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$22,263,146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spacing w:val="0"/>
                <w:sz w:val="20"/>
              </w:rPr>
              <w:t>$138.10 per $1,000,000</w:t>
            </w:r>
            <w:r>
              <w:rPr/>
              <w:t> </w:t>
            </w:r>
          </w:p>
        </w:tc>
        <w:tc>
          <w:tcPr>
            <w:tcW w:w="148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$3,074.54 </w:t>
            </w:r>
          </w:p>
        </w:tc>
      </w:tr>
      <w:tr>
        <w:trPr/>
        <w:tc>
          <w:tcPr>
            <w:tcW w:w="4757"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6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$367,261,146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$50,718.76 </w:t>
            </w:r>
          </w:p>
        </w:tc>
      </w:tr>
      <w:tr>
        <w:trPr/>
        <w:tc>
          <w:tcPr>
            <w:tcW w:w="4757"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8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 </w:t>
            </w:r>
          </w:p>
        </w:tc>
      </w:tr>
      <w:tr>
        <w:trPr/>
        <w:tc>
          <w:tcPr>
            <w:tcW w:w="4757"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51"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6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$50,718.76 </w:t>
            </w:r>
          </w:p>
        </w:tc>
      </w:tr>
    </w:tbl>
    <w:tbl>
      <w:tblPr>
        <w:tblW w:w="10205" w:type="dxa"/>
        <w:jc w:val="left"/>
        <w:tblInd w:w="0" w:type="dxa"/>
        <w:tblLayout w:type="fixed"/>
        <w:tblCellMar>
          <w:top w:w="28" w:type="dxa"/>
          <w:left w:w="28" w:type="dxa"/>
          <w:bottom w:w="28" w:type="dxa"/>
          <w:right w:w="28" w:type="dxa"/>
        </w:tblCellMar>
      </w:tblPr>
      <w:tblGrid>
        <w:gridCol w:w="307"/>
        <w:gridCol w:w="9898"/>
      </w:tblGrid>
      <w:tr>
        <w:trPr/>
        <w:tc>
          <w:tcPr>
            <w:tcW w:w="307"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left"/>
              <w:rPr/>
            </w:pPr>
            <w:r>
              <w:rPr/>
              <w:t> </w:t>
            </w:r>
          </w:p>
        </w:tc>
      </w:tr>
      <w:tr>
        <w:trPr/>
        <w:tc>
          <w:tcPr>
            <w:tcW w:w="307"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89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Pursuant to Rule 416 under the Securities Act of 1933, as amended (“Securities Act”), this registration statement will also cover any additional shares of common stock, par value $0.01 per share, of The Toro Company (“Common Stock”) that become issuable under The Toro Company 2026 Equity Plan (“2026 Plan”) by reason of any stock split, stock dividend, recapitalization or other similar transaction effected without the registrant’s receipt of consideration which would increase the number of outstanding shares of Common Stock. </w:t>
            </w:r>
          </w:p>
        </w:tc>
      </w:tr>
    </w:tbl>
    <w:tbl>
      <w:tblPr>
        <w:tblW w:w="10205" w:type="dxa"/>
        <w:jc w:val="left"/>
        <w:tblInd w:w="0" w:type="dxa"/>
        <w:tblLayout w:type="fixed"/>
        <w:tblCellMar>
          <w:top w:w="28" w:type="dxa"/>
          <w:left w:w="28" w:type="dxa"/>
          <w:bottom w:w="28" w:type="dxa"/>
          <w:right w:w="28" w:type="dxa"/>
        </w:tblCellMar>
      </w:tblPr>
      <w:tblGrid>
        <w:gridCol w:w="330"/>
        <w:gridCol w:w="9875"/>
      </w:tblGrid>
      <w:tr>
        <w:trPr/>
        <w:tc>
          <w:tcPr>
            <w:tcW w:w="3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330"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75"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Estimated solely for the purpose of calculating the amount of the registration fee and calculated pursuant to Rule 457(c) and Rule 457(h) under the Securities Act based on the average of the high and low sales prices of the Common Stock on March 17, 2026, as reported by The New York Stock Exchange. </w:t>
            </w:r>
          </w:p>
        </w:tc>
      </w:tr>
    </w:tbl>
    <w:tbl>
      <w:tblPr>
        <w:tblW w:w="4202" w:type="dxa"/>
        <w:jc w:val="left"/>
        <w:tblInd w:w="0" w:type="dxa"/>
        <w:tblLayout w:type="fixed"/>
        <w:tblCellMar>
          <w:top w:w="28" w:type="dxa"/>
          <w:left w:w="28" w:type="dxa"/>
          <w:bottom w:w="28" w:type="dxa"/>
          <w:right w:w="28" w:type="dxa"/>
        </w:tblCellMar>
      </w:tblPr>
      <w:tblGrid>
        <w:gridCol w:w="391"/>
        <w:gridCol w:w="3811"/>
      </w:tblGrid>
      <w:tr>
        <w:trPr/>
        <w:tc>
          <w:tcPr>
            <w:tcW w:w="391"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391"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(3) </w:t>
            </w:r>
          </w:p>
        </w:tc>
        <w:tc>
          <w:tcPr>
            <w:tcW w:w="3811"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The Registrant does not have any fee offsets.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737758/000073775826000009/ttc-20260130.htm" TargetMode="External"/><Relationship Id="rId3" Type="http://schemas.openxmlformats.org/officeDocument/2006/relationships/hyperlink" Target="https://www.sec.gov/ix?doc=/Archives/edgar/data/737758/000162828025056159/ttc-20251208.htm" TargetMode="External"/><Relationship Id="rId4" Type="http://schemas.openxmlformats.org/officeDocument/2006/relationships/hyperlink" Target="https://www.sec.gov/ix?doc=/Archives/edgar/data/0000737758/000162828026019979/ttc-20260317.htm" TargetMode="External"/><Relationship Id="rId5" Type="http://schemas.openxmlformats.org/officeDocument/2006/relationships/hyperlink" Target="https://www.sec.gov/ix?doc=/Archives/edgar/data/737758/000162828026008467/ttc-20251208.htm" TargetMode="External"/><Relationship Id="rId6" Type="http://schemas.openxmlformats.org/officeDocument/2006/relationships/hyperlink" Target="https://www.sec.gov/ix?doc=/Archives/edgar/data/737758/000162828026004993/ttc-20260202.htm" TargetMode="External"/><Relationship Id="rId7" Type="http://schemas.openxmlformats.org/officeDocument/2006/relationships/hyperlink" Target="https://www.sec.gov/Archives/edgar/data/737758/000162828026019979/ex41ttcdescriptionofsecuri.htm" TargetMode="External"/><Relationship Id="rId8" Type="http://schemas.openxmlformats.org/officeDocument/2006/relationships/hyperlink" Target="https://www.sec.gov/Archives/edgar/data/737758/000162828026019979/ex32ttcrestatedcharter2025.htm" TargetMode="External"/><Relationship Id="rId9" Type="http://schemas.openxmlformats.org/officeDocument/2006/relationships/hyperlink" Target="https://www.sec.gov/Archives/edgar/data/737758/000162828026019979/ex33ttcbylawamendmentsasap.htm" TargetMode="External"/><Relationship Id="rId10" Type="http://schemas.openxmlformats.org/officeDocument/2006/relationships/hyperlink" Target="https://www.sec.gov/Archives/edgar/data/737758/000162828026019979/ex101ttc2026equityplan.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5087</Words>
  <Characters>26807</Characters>
  <CharactersWithSpaces>31976</CharactersWithSpaces>
  <Paragraphs>435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