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182245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Date of Report (Date of earliest event reported): </w:t>
      </w:r>
      <w:r>
        <w:rPr>
          <w:rFonts w:ascii="Times New Roman" w:cs="Times New Roman" w:eastAsia="Times New Roman" w:hAnsi="Times New Roman"/>
          <w:sz w:val="19"/>
          <w:szCs w:val="19"/>
          <w:b w:val="1"/>
          <w:bCs w:val="1"/>
          <w:color w:val="auto"/>
        </w:rPr>
        <w:t>April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180975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TORO COMPANY</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163830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tbl>
      <w:tblPr>
        <w:tblLayout w:type="fixed"/>
        <w:tblInd w:w="600" w:type="dxa"/>
        <w:tblCellMar>
          <w:top w:w="0" w:type="dxa"/>
          <w:left w:w="0" w:type="dxa"/>
          <w:bottom w:w="0" w:type="dxa"/>
          <w:right w:w="0" w:type="dxa"/>
        </w:tblCellMar>
      </w:tblPr>
      <w:tr>
        <w:trPr>
          <w:trHeight w:val="243"/>
        </w:trPr>
        <w:tc>
          <w:tcPr>
            <w:tcW w:w="2800" w:type="dxa"/>
            <w:vAlign w:val="bottom"/>
          </w:tcPr>
          <w:p>
            <w:pPr>
              <w:jc w:val="center"/>
              <w:ind w:right="70"/>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4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1-8649</w:t>
            </w:r>
          </w:p>
        </w:tc>
        <w:tc>
          <w:tcPr>
            <w:tcW w:w="2520" w:type="dxa"/>
            <w:vAlign w:val="bottom"/>
          </w:tcPr>
          <w:p>
            <w:pPr>
              <w:jc w:val="right"/>
              <w:ind w:right="550"/>
              <w:spacing w:after="0"/>
              <w:rPr>
                <w:sz w:val="20"/>
                <w:szCs w:val="20"/>
                <w:color w:val="auto"/>
              </w:rPr>
            </w:pPr>
            <w:r>
              <w:rPr>
                <w:rFonts w:ascii="Times New Roman" w:cs="Times New Roman" w:eastAsia="Times New Roman" w:hAnsi="Times New Roman"/>
                <w:sz w:val="20"/>
                <w:szCs w:val="20"/>
                <w:b w:val="1"/>
                <w:bCs w:val="1"/>
                <w:color w:val="auto"/>
              </w:rPr>
              <w:t>41-0580470</w:t>
            </w:r>
          </w:p>
        </w:tc>
      </w:tr>
      <w:tr>
        <w:trPr>
          <w:trHeight w:val="203"/>
        </w:trPr>
        <w:tc>
          <w:tcPr>
            <w:tcW w:w="2800" w:type="dxa"/>
            <w:vAlign w:val="bottom"/>
          </w:tcPr>
          <w:p>
            <w:pPr>
              <w:jc w:val="center"/>
              <w:ind w:right="70"/>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4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(Commission File Number)</w:t>
            </w:r>
          </w:p>
        </w:tc>
        <w:tc>
          <w:tcPr>
            <w:tcW w:w="2520" w:type="dxa"/>
            <w:vAlign w:val="bottom"/>
          </w:tcPr>
          <w:p>
            <w:pPr>
              <w:jc w:val="center"/>
              <w:ind w:left="190"/>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2800" w:type="dxa"/>
            <w:vAlign w:val="bottom"/>
          </w:tcPr>
          <w:p>
            <w:pPr>
              <w:jc w:val="center"/>
              <w:ind w:right="90"/>
              <w:spacing w:after="0"/>
              <w:rPr>
                <w:sz w:val="20"/>
                <w:szCs w:val="20"/>
                <w:color w:val="auto"/>
              </w:rPr>
            </w:pPr>
            <w:r>
              <w:rPr>
                <w:rFonts w:ascii="Times New Roman" w:cs="Times New Roman" w:eastAsia="Times New Roman" w:hAnsi="Times New Roman"/>
                <w:sz w:val="16"/>
                <w:szCs w:val="16"/>
                <w:color w:val="auto"/>
              </w:rPr>
              <w:t>of Incorporation)</w:t>
            </w:r>
          </w:p>
        </w:tc>
        <w:tc>
          <w:tcPr>
            <w:tcW w:w="47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425"/>
        </w:trPr>
        <w:tc>
          <w:tcPr>
            <w:tcW w:w="2800" w:type="dxa"/>
            <w:vAlign w:val="bottom"/>
          </w:tcPr>
          <w:p>
            <w:pPr>
              <w:jc w:val="center"/>
              <w:ind w:right="70"/>
              <w:spacing w:after="0"/>
              <w:rPr>
                <w:sz w:val="20"/>
                <w:szCs w:val="20"/>
                <w:color w:val="auto"/>
              </w:rPr>
            </w:pPr>
            <w:r>
              <w:rPr>
                <w:rFonts w:ascii="Times New Roman" w:cs="Times New Roman" w:eastAsia="Times New Roman" w:hAnsi="Times New Roman"/>
                <w:sz w:val="20"/>
                <w:szCs w:val="20"/>
                <w:b w:val="1"/>
                <w:bCs w:val="1"/>
                <w:color w:val="auto"/>
                <w:w w:val="96"/>
              </w:rPr>
              <w:t>8111 Lyndale Avenue South</w:t>
            </w:r>
          </w:p>
        </w:tc>
        <w:tc>
          <w:tcPr>
            <w:tcW w:w="47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43"/>
        </w:trPr>
        <w:tc>
          <w:tcPr>
            <w:tcW w:w="2800" w:type="dxa"/>
            <w:vAlign w:val="bottom"/>
          </w:tcPr>
          <w:p>
            <w:pPr>
              <w:jc w:val="center"/>
              <w:ind w:right="70"/>
              <w:spacing w:after="0"/>
              <w:rPr>
                <w:sz w:val="20"/>
                <w:szCs w:val="20"/>
                <w:color w:val="auto"/>
              </w:rPr>
            </w:pPr>
            <w:r>
              <w:rPr>
                <w:rFonts w:ascii="Times New Roman" w:cs="Times New Roman" w:eastAsia="Times New Roman" w:hAnsi="Times New Roman"/>
                <w:sz w:val="20"/>
                <w:szCs w:val="20"/>
                <w:b w:val="1"/>
                <w:bCs w:val="1"/>
                <w:color w:val="auto"/>
                <w:w w:val="99"/>
              </w:rPr>
              <w:t>Bloomington, Minnesota</w:t>
            </w:r>
          </w:p>
        </w:tc>
        <w:tc>
          <w:tcPr>
            <w:tcW w:w="4720" w:type="dxa"/>
            <w:vAlign w:val="bottom"/>
          </w:tcPr>
          <w:p>
            <w:pPr>
              <w:spacing w:after="0"/>
              <w:rPr>
                <w:sz w:val="21"/>
                <w:szCs w:val="21"/>
                <w:color w:val="auto"/>
              </w:rPr>
            </w:pPr>
          </w:p>
        </w:tc>
        <w:tc>
          <w:tcPr>
            <w:tcW w:w="2520" w:type="dxa"/>
            <w:vAlign w:val="bottom"/>
          </w:tcPr>
          <w:p>
            <w:pPr>
              <w:jc w:val="right"/>
              <w:ind w:right="790"/>
              <w:spacing w:after="0"/>
              <w:rPr>
                <w:sz w:val="20"/>
                <w:szCs w:val="20"/>
                <w:color w:val="auto"/>
              </w:rPr>
            </w:pPr>
            <w:r>
              <w:rPr>
                <w:rFonts w:ascii="Times New Roman" w:cs="Times New Roman" w:eastAsia="Times New Roman" w:hAnsi="Times New Roman"/>
                <w:sz w:val="20"/>
                <w:szCs w:val="20"/>
                <w:b w:val="1"/>
                <w:bCs w:val="1"/>
                <w:color w:val="auto"/>
              </w:rPr>
              <w:t>55420</w:t>
            </w:r>
          </w:p>
        </w:tc>
      </w:tr>
      <w:tr>
        <w:trPr>
          <w:trHeight w:val="210"/>
        </w:trPr>
        <w:tc>
          <w:tcPr>
            <w:tcW w:w="2800" w:type="dxa"/>
            <w:vAlign w:val="bottom"/>
          </w:tcPr>
          <w:p>
            <w:pPr>
              <w:jc w:val="center"/>
              <w:ind w:right="7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720" w:type="dxa"/>
            <w:vAlign w:val="bottom"/>
          </w:tcPr>
          <w:p>
            <w:pPr>
              <w:spacing w:after="0"/>
              <w:rPr>
                <w:sz w:val="18"/>
                <w:szCs w:val="18"/>
                <w:color w:val="auto"/>
              </w:rPr>
            </w:pPr>
          </w:p>
        </w:tc>
        <w:tc>
          <w:tcPr>
            <w:tcW w:w="2520" w:type="dxa"/>
            <w:vAlign w:val="bottom"/>
          </w:tcPr>
          <w:p>
            <w:pPr>
              <w:jc w:val="center"/>
              <w:ind w:left="190"/>
              <w:spacing w:after="0"/>
              <w:rPr>
                <w:sz w:val="20"/>
                <w:szCs w:val="20"/>
                <w:color w:val="auto"/>
              </w:rPr>
            </w:pPr>
            <w:r>
              <w:rPr>
                <w:rFonts w:ascii="Times New Roman" w:cs="Times New Roman" w:eastAsia="Times New Roman" w:hAnsi="Times New Roman"/>
                <w:sz w:val="16"/>
                <w:szCs w:val="16"/>
                <w:color w:val="auto"/>
              </w:rPr>
              <w:t>(Zip Code)</w:t>
            </w:r>
          </w:p>
        </w:tc>
      </w:tr>
      <w:tr>
        <w:trPr>
          <w:trHeight w:val="379"/>
        </w:trPr>
        <w:tc>
          <w:tcPr>
            <w:tcW w:w="280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(952) 888-8801</w:t>
            </w:r>
          </w:p>
        </w:tc>
        <w:tc>
          <w:tcPr>
            <w:tcW w:w="2520" w:type="dxa"/>
            <w:vAlign w:val="bottom"/>
          </w:tcPr>
          <w:p>
            <w:pPr>
              <w:spacing w:after="0"/>
              <w:rPr>
                <w:sz w:val="24"/>
                <w:szCs w:val="24"/>
                <w:color w:val="auto"/>
              </w:rPr>
            </w:pPr>
          </w:p>
        </w:tc>
      </w:tr>
      <w:tr>
        <w:trPr>
          <w:trHeight w:val="234"/>
        </w:trPr>
        <w:tc>
          <w:tcPr>
            <w:tcW w:w="2800" w:type="dxa"/>
            <w:vAlign w:val="bottom"/>
          </w:tcPr>
          <w:p>
            <w:pPr>
              <w:spacing w:after="0"/>
              <w:rPr>
                <w:sz w:val="20"/>
                <w:szCs w:val="20"/>
                <w:color w:val="auto"/>
              </w:rPr>
            </w:pPr>
          </w:p>
        </w:tc>
        <w:tc>
          <w:tcPr>
            <w:tcW w:w="4720" w:type="dxa"/>
            <w:vAlign w:val="bottom"/>
          </w:tcPr>
          <w:p>
            <w:pPr>
              <w:jc w:val="center"/>
              <w:ind w:right="8"/>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520" w:type="dxa"/>
            <w:vAlign w:val="bottom"/>
          </w:tcPr>
          <w:p>
            <w:pPr>
              <w:spacing w:after="0"/>
              <w:rPr>
                <w:sz w:val="20"/>
                <w:szCs w:val="20"/>
                <w:color w:val="auto"/>
              </w:rPr>
            </w:pPr>
          </w:p>
        </w:tc>
      </w:tr>
      <w:tr>
        <w:trPr>
          <w:trHeight w:val="378"/>
        </w:trPr>
        <w:tc>
          <w:tcPr>
            <w:tcW w:w="2800" w:type="dxa"/>
            <w:vAlign w:val="bottom"/>
          </w:tcPr>
          <w:p>
            <w:pPr>
              <w:spacing w:after="0"/>
              <w:rPr>
                <w:sz w:val="24"/>
                <w:szCs w:val="24"/>
                <w:color w:val="auto"/>
              </w:rPr>
            </w:pPr>
          </w:p>
        </w:tc>
        <w:tc>
          <w:tcPr>
            <w:tcW w:w="4720" w:type="dxa"/>
            <w:vAlign w:val="bottom"/>
          </w:tcPr>
          <w:p>
            <w:pPr>
              <w:jc w:val="center"/>
              <w:ind w:right="8"/>
              <w:spacing w:after="0"/>
              <w:rPr>
                <w:sz w:val="20"/>
                <w:szCs w:val="20"/>
                <w:color w:val="auto"/>
              </w:rPr>
            </w:pPr>
            <w:r>
              <w:rPr>
                <w:rFonts w:ascii="Times New Roman" w:cs="Times New Roman" w:eastAsia="Times New Roman" w:hAnsi="Times New Roman"/>
                <w:sz w:val="20"/>
                <w:szCs w:val="20"/>
                <w:b w:val="1"/>
                <w:bCs w:val="1"/>
                <w:color w:val="auto"/>
                <w:w w:val="98"/>
              </w:rPr>
              <w:t>Not Applicable</w:t>
            </w:r>
          </w:p>
        </w:tc>
        <w:tc>
          <w:tcPr>
            <w:tcW w:w="2520" w:type="dxa"/>
            <w:vAlign w:val="bottom"/>
          </w:tcPr>
          <w:p>
            <w:pPr>
              <w:spacing w:after="0"/>
              <w:rPr>
                <w:sz w:val="24"/>
                <w:szCs w:val="24"/>
                <w:color w:val="auto"/>
              </w:rPr>
            </w:pPr>
          </w:p>
        </w:tc>
      </w:tr>
      <w:tr>
        <w:trPr>
          <w:trHeight w:val="210"/>
        </w:trPr>
        <w:tc>
          <w:tcPr>
            <w:tcW w:w="280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25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167005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00"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ind w:left="92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1"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721360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1 – Registrant’s Business and Operations</w:t>
      </w:r>
    </w:p>
    <w:p>
      <w:pPr>
        <w:spacing w:after="0" w:line="22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1.01</w:t>
      </w:r>
      <w:r>
        <w:rPr>
          <w:sz w:val="20"/>
          <w:szCs w:val="20"/>
          <w:color w:val="auto"/>
        </w:rPr>
        <w:tab/>
      </w:r>
      <w:r>
        <w:rPr>
          <w:rFonts w:ascii="Times New Roman" w:cs="Times New Roman" w:eastAsia="Times New Roman" w:hAnsi="Times New Roman"/>
          <w:sz w:val="19"/>
          <w:szCs w:val="19"/>
          <w:b w:val="1"/>
          <w:bCs w:val="1"/>
          <w:color w:val="auto"/>
        </w:rPr>
        <w:t>Entry into a Material Definitive Agreement.</w:t>
      </w:r>
    </w:p>
    <w:p>
      <w:pPr>
        <w:spacing w:after="0" w:line="233" w:lineRule="exact"/>
        <w:rPr>
          <w:sz w:val="20"/>
          <w:szCs w:val="20"/>
          <w:color w:val="auto"/>
        </w:rPr>
      </w:pPr>
    </w:p>
    <w:p>
      <w:pPr>
        <w:ind w:firstLine="761"/>
        <w:spacing w:after="0" w:line="244" w:lineRule="auto"/>
        <w:rPr>
          <w:sz w:val="20"/>
          <w:szCs w:val="20"/>
          <w:color w:val="auto"/>
        </w:rPr>
      </w:pPr>
      <w:r>
        <w:rPr>
          <w:rFonts w:ascii="Times New Roman" w:cs="Times New Roman" w:eastAsia="Times New Roman" w:hAnsi="Times New Roman"/>
          <w:sz w:val="20"/>
          <w:szCs w:val="20"/>
          <w:color w:val="auto"/>
        </w:rPr>
        <w:t>On April 30, 2019, The Toro Company (“Toro”) entered into a note purchase agreement (the “Note Purchase Agreement”) with the purchasers named therein pursuant to which Toro agreed to issue and sell, and the purchasers agreed to purchase, an aggregate principal amount of $100 million of Toro’s 3.81% Series A Senior Notes due June 15, 2029 (the “Series A Notes”) and $100 million of its 3.91% Series B Senior Notes due June 15, 2031 (the “Series B Notes” and, together with the Series A Notes, the “Notes”). Subject to the satisfaction of customary closing conditions, the Notes may be issued under the Note Purchase Agreement at any time on or prior to June 27, 2019. The Notes will be issued in a private placement to certain “accredited investors” pursuant to Section 4(a)(2) of the Securities Act of 1933, as amended (the “Securities Act”).</w:t>
      </w:r>
    </w:p>
    <w:p>
      <w:pPr>
        <w:spacing w:after="0" w:line="200" w:lineRule="exact"/>
        <w:rPr>
          <w:sz w:val="20"/>
          <w:szCs w:val="20"/>
          <w:color w:val="auto"/>
        </w:rPr>
      </w:pPr>
    </w:p>
    <w:p>
      <w:pPr>
        <w:ind w:right="260" w:firstLine="761"/>
        <w:spacing w:after="0" w:line="269" w:lineRule="auto"/>
        <w:rPr>
          <w:sz w:val="20"/>
          <w:szCs w:val="20"/>
          <w:color w:val="auto"/>
        </w:rPr>
      </w:pPr>
      <w:r>
        <w:rPr>
          <w:rFonts w:ascii="Times New Roman" w:cs="Times New Roman" w:eastAsia="Times New Roman" w:hAnsi="Times New Roman"/>
          <w:sz w:val="20"/>
          <w:szCs w:val="20"/>
          <w:color w:val="auto"/>
        </w:rPr>
        <w:t>The Notes will be senior unsecured obligations of Toro. Interest on the Notes will be payable semiannually on the 15th day of June and December in each year, commencing on December 15, 2019.</w:t>
      </w:r>
    </w:p>
    <w:p>
      <w:pPr>
        <w:spacing w:after="0" w:line="173" w:lineRule="exact"/>
        <w:rPr>
          <w:sz w:val="20"/>
          <w:szCs w:val="20"/>
          <w:color w:val="auto"/>
        </w:rPr>
      </w:pPr>
    </w:p>
    <w:p>
      <w:pPr>
        <w:ind w:right="40" w:firstLine="761"/>
        <w:spacing w:after="0" w:line="244" w:lineRule="auto"/>
        <w:rPr>
          <w:sz w:val="20"/>
          <w:szCs w:val="20"/>
          <w:color w:val="auto"/>
        </w:rPr>
      </w:pPr>
      <w:r>
        <w:rPr>
          <w:rFonts w:ascii="Times New Roman" w:cs="Times New Roman" w:eastAsia="Times New Roman" w:hAnsi="Times New Roman"/>
          <w:sz w:val="20"/>
          <w:szCs w:val="20"/>
          <w:color w:val="auto"/>
        </w:rPr>
        <w:t>Toro will have the right to prepay all or a portion of any series of Notes upon notice to the holders for 100% of the principal amount so prepaid plus a make-whole premium, as set forth in the Note Purchase Agreement, plus accrued and unpaid interest, if any, to the date of prepayment. In addition, at any time on or after the date that is 90 days prior to the maturity date of the applicable series of Notes, Toro will have the right to prepay all of such series of Notes for 100% of the principal amount so prepaid, plus accrued and unpaid interest, if any, to the date of prepayment. Upon the occurrence of certain change of control events, holders of the Notes will have the right to require that Toro purchase such holder’s Notes in cash at a purchase price equal to 100% of the principal amount thereof plus accrued and unpaid interest, if any, to the date of repurchase.</w:t>
      </w:r>
    </w:p>
    <w:p>
      <w:pPr>
        <w:spacing w:after="0" w:line="200" w:lineRule="exact"/>
        <w:rPr>
          <w:sz w:val="20"/>
          <w:szCs w:val="20"/>
          <w:color w:val="auto"/>
        </w:rPr>
      </w:pPr>
    </w:p>
    <w:p>
      <w:pPr>
        <w:ind w:right="180" w:firstLine="761"/>
        <w:spacing w:after="0" w:line="245" w:lineRule="auto"/>
        <w:rPr>
          <w:sz w:val="20"/>
          <w:szCs w:val="20"/>
          <w:color w:val="auto"/>
        </w:rPr>
      </w:pPr>
      <w:r>
        <w:rPr>
          <w:rFonts w:ascii="Times New Roman" w:cs="Times New Roman" w:eastAsia="Times New Roman" w:hAnsi="Times New Roman"/>
          <w:sz w:val="20"/>
          <w:szCs w:val="20"/>
          <w:color w:val="auto"/>
        </w:rPr>
        <w:t>The Note Purchase Agreement contains customary representations and warranties of Toro, as well as certain customary covenants, including, without limitation, financial covenants, such as the maintenance of minimum interest coverage and maximum leverage ratios, and other covenants, which, among other things, provide limitations on transactions with affiliates, merger, consolidation and sale of assets, liens and priority debt. The Note Purchase Agreement also contains customary events of default (subject in certain cases to specified cure periods), including, but not limited to, non-payment, breach of covenants, material inaccuracies of representations and warranties, cross defaults, and bankruptcy or other insolvency events.</w:t>
      </w:r>
    </w:p>
    <w:p>
      <w:pPr>
        <w:spacing w:after="0" w:line="199" w:lineRule="exact"/>
        <w:rPr>
          <w:sz w:val="20"/>
          <w:szCs w:val="20"/>
          <w:color w:val="auto"/>
        </w:rPr>
      </w:pPr>
    </w:p>
    <w:p>
      <w:pPr>
        <w:ind w:firstLine="761"/>
        <w:spacing w:after="0" w:line="269" w:lineRule="auto"/>
        <w:rPr>
          <w:sz w:val="20"/>
          <w:szCs w:val="20"/>
          <w:color w:val="auto"/>
        </w:rPr>
      </w:pPr>
      <w:r>
        <w:rPr>
          <w:rFonts w:ascii="Times New Roman" w:cs="Times New Roman" w:eastAsia="Times New Roman" w:hAnsi="Times New Roman"/>
          <w:sz w:val="20"/>
          <w:szCs w:val="20"/>
          <w:color w:val="auto"/>
        </w:rPr>
        <w:t>Toro expects to use the proceeds from the Notes to repay indebtedness under its existing senior unsecured revolving credit facility and for general corporate purposes.</w:t>
      </w:r>
    </w:p>
    <w:p>
      <w:pPr>
        <w:spacing w:after="0" w:line="173" w:lineRule="exact"/>
        <w:rPr>
          <w:sz w:val="20"/>
          <w:szCs w:val="20"/>
          <w:color w:val="auto"/>
        </w:rPr>
      </w:pPr>
    </w:p>
    <w:p>
      <w:pPr>
        <w:jc w:val="both"/>
        <w:ind w:right="920" w:firstLine="761"/>
        <w:spacing w:after="0" w:line="254" w:lineRule="auto"/>
        <w:rPr>
          <w:sz w:val="20"/>
          <w:szCs w:val="20"/>
          <w:color w:val="auto"/>
        </w:rPr>
      </w:pPr>
      <w:r>
        <w:rPr>
          <w:rFonts w:ascii="Times New Roman" w:cs="Times New Roman" w:eastAsia="Times New Roman" w:hAnsi="Times New Roman"/>
          <w:sz w:val="20"/>
          <w:szCs w:val="20"/>
          <w:color w:val="auto"/>
        </w:rPr>
        <w:t>The Notes will not be registered under the Securities Act or any state securities laws and may not be offered or sold absent registration under the Securities Act, or pursuant to an applicable exemption from, or in a transaction not subject to, the registration requirements of the Securities Act and applicable state securities laws.</w:t>
      </w:r>
    </w:p>
    <w:p>
      <w:pPr>
        <w:spacing w:after="0" w:line="188" w:lineRule="exact"/>
        <w:rPr>
          <w:sz w:val="20"/>
          <w:szCs w:val="20"/>
          <w:color w:val="auto"/>
        </w:rPr>
      </w:pPr>
    </w:p>
    <w:p>
      <w:pPr>
        <w:ind w:right="40" w:firstLine="761"/>
        <w:spacing w:after="0" w:line="254" w:lineRule="auto"/>
        <w:rPr>
          <w:sz w:val="20"/>
          <w:szCs w:val="20"/>
          <w:color w:val="auto"/>
        </w:rPr>
      </w:pPr>
      <w:r>
        <w:rPr>
          <w:rFonts w:ascii="Times New Roman" w:cs="Times New Roman" w:eastAsia="Times New Roman" w:hAnsi="Times New Roman"/>
          <w:sz w:val="20"/>
          <w:szCs w:val="20"/>
          <w:color w:val="auto"/>
        </w:rPr>
        <w:t>The foregoing description of the Note Purchase Agreement is a summary and is qualified in its entirety by reference to the terms of the Note Purchase Agreement, which is filed as Exhibit 10.1 to this Current Report on Form 8-K and is incorporated by reference into this Item 1.01.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9"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Section 2— Financial Information</w:t>
      </w:r>
    </w:p>
    <w:p>
      <w:pPr>
        <w:spacing w:after="0" w:line="229"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20"/>
          <w:szCs w:val="20"/>
          <w:b w:val="1"/>
          <w:bCs w:val="1"/>
          <w:color w:val="auto"/>
        </w:rPr>
        <w:t>Item 2.03</w:t>
      </w:r>
      <w:r>
        <w:rPr>
          <w:sz w:val="20"/>
          <w:szCs w:val="20"/>
          <w:color w:val="auto"/>
        </w:rPr>
        <w:tab/>
      </w:r>
      <w:r>
        <w:rPr>
          <w:rFonts w:ascii="Times New Roman" w:cs="Times New Roman" w:eastAsia="Times New Roman" w:hAnsi="Times New Roman"/>
          <w:sz w:val="19"/>
          <w:szCs w:val="19"/>
          <w:b w:val="1"/>
          <w:bCs w:val="1"/>
          <w:color w:val="auto"/>
        </w:rPr>
        <w:t>Creation of a Direct Financial Obligation or an Obligation under an Off-Balance Sheet Arrangement of a Registrant.</w:t>
      </w:r>
    </w:p>
    <w:p>
      <w:pPr>
        <w:spacing w:after="0" w:line="233" w:lineRule="exact"/>
        <w:rPr>
          <w:sz w:val="20"/>
          <w:szCs w:val="20"/>
          <w:color w:val="auto"/>
        </w:rPr>
      </w:pPr>
    </w:p>
    <w:p>
      <w:pPr>
        <w:ind w:right="60" w:firstLine="761"/>
        <w:spacing w:after="0" w:line="269" w:lineRule="auto"/>
        <w:rPr>
          <w:sz w:val="20"/>
          <w:szCs w:val="20"/>
          <w:color w:val="auto"/>
        </w:rPr>
      </w:pPr>
      <w:r>
        <w:rPr>
          <w:rFonts w:ascii="Times New Roman" w:cs="Times New Roman" w:eastAsia="Times New Roman" w:hAnsi="Times New Roman"/>
          <w:sz w:val="20"/>
          <w:szCs w:val="20"/>
          <w:color w:val="auto"/>
        </w:rPr>
        <w:t>The information included, or incorporated by reference, in Item 1.01 of this Current Report is incorporated by reference into this Item 2.03 of this Current Report on Form 8-K.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9—Financial Statements and Exhibits</w:t>
      </w:r>
    </w:p>
    <w:p>
      <w:pPr>
        <w:spacing w:after="0" w:line="229"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29" w:lineRule="exact"/>
        <w:rPr>
          <w:sz w:val="20"/>
          <w:szCs w:val="20"/>
          <w:color w:val="auto"/>
        </w:rPr>
      </w:pPr>
    </w:p>
    <w:p>
      <w:pPr>
        <w:ind w:left="1040" w:hanging="1032"/>
        <w:spacing w:after="0"/>
        <w:tabs>
          <w:tab w:leader="none" w:pos="104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720" w:type="dxa"/>
            <w:vAlign w:val="bottom"/>
          </w:tcPr>
          <w:p>
            <w:pPr>
              <w:spacing w:after="0"/>
              <w:rPr>
                <w:sz w:val="22"/>
                <w:szCs w:val="22"/>
                <w:color w:val="auto"/>
              </w:rPr>
            </w:pPr>
          </w:p>
        </w:tc>
        <w:tc>
          <w:tcPr>
            <w:tcW w:w="3220" w:type="dxa"/>
            <w:vAlign w:val="bottom"/>
            <w:tcBorders>
              <w:bottom w:val="single" w:sz="8" w:color="auto"/>
            </w:tcBorders>
          </w:tcPr>
          <w:p>
            <w:pPr>
              <w:spacing w:after="0"/>
              <w:rPr>
                <w:sz w:val="22"/>
                <w:szCs w:val="22"/>
                <w:color w:val="auto"/>
              </w:rPr>
            </w:pPr>
          </w:p>
        </w:tc>
        <w:tc>
          <w:tcPr>
            <w:tcW w:w="574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304"/>
        </w:trPr>
        <w:tc>
          <w:tcPr>
            <w:tcW w:w="1740" w:type="dxa"/>
            <w:vAlign w:val="bottom"/>
          </w:tcPr>
          <w:p>
            <w:pPr>
              <w:jc w:val="right"/>
              <w:ind w:right="601"/>
              <w:spacing w:after="0"/>
              <w:rPr>
                <w:sz w:val="20"/>
                <w:szCs w:val="20"/>
                <w:color w:val="auto"/>
              </w:rPr>
            </w:pPr>
            <w:r>
              <w:rPr>
                <w:rFonts w:ascii="Times New Roman" w:cs="Times New Roman" w:eastAsia="Times New Roman" w:hAnsi="Times New Roman"/>
                <w:sz w:val="20"/>
                <w:szCs w:val="20"/>
                <w:color w:val="auto"/>
              </w:rPr>
              <w:t>10.1</w:t>
            </w:r>
          </w:p>
        </w:tc>
        <w:tc>
          <w:tcPr>
            <w:tcW w:w="720" w:type="dxa"/>
            <w:vAlign w:val="bottom"/>
          </w:tcPr>
          <w:p>
            <w:pPr>
              <w:spacing w:after="0"/>
              <w:rPr>
                <w:sz w:val="24"/>
                <w:szCs w:val="24"/>
                <w:color w:val="auto"/>
              </w:rPr>
            </w:pPr>
          </w:p>
        </w:tc>
        <w:tc>
          <w:tcPr>
            <w:tcW w:w="8580" w:type="dxa"/>
            <w:vAlign w:val="bottom"/>
            <w:tcBorders>
              <w:bottom w:val="single" w:sz="8" w:color="0000EE"/>
            </w:tcBorders>
            <w:gridSpan w:val="2"/>
          </w:tcPr>
          <w:p>
            <w:pPr>
              <w:spacing w:after="0"/>
              <w:rPr>
                <w:rFonts w:ascii="Times New Roman" w:cs="Times New Roman" w:eastAsia="Times New Roman" w:hAnsi="Times New Roman"/>
                <w:sz w:val="20"/>
                <w:szCs w:val="20"/>
                <w:color w:val="0000EE"/>
                <w:w w:val="98"/>
              </w:rPr>
            </w:pPr>
            <w:hyperlink w:anchor="page5">
              <w:r>
                <w:rPr>
                  <w:rFonts w:ascii="Times New Roman" w:cs="Times New Roman" w:eastAsia="Times New Roman" w:hAnsi="Times New Roman"/>
                  <w:sz w:val="20"/>
                  <w:szCs w:val="20"/>
                  <w:color w:val="0000EE"/>
                  <w:w w:val="98"/>
                </w:rPr>
                <w:t>Note Purchase Agreement, dated as of April 30, 2019, by and among The Toro Company and the purchasers</w:t>
              </w:r>
            </w:hyperlink>
          </w:p>
        </w:tc>
        <w:tc>
          <w:tcPr>
            <w:tcW w:w="380" w:type="dxa"/>
            <w:vAlign w:val="bottom"/>
          </w:tcPr>
          <w:p>
            <w:pPr>
              <w:spacing w:after="0"/>
              <w:rPr>
                <w:sz w:val="24"/>
                <w:szCs w:val="24"/>
                <w:color w:val="auto"/>
              </w:rPr>
            </w:pPr>
          </w:p>
        </w:tc>
      </w:tr>
      <w:tr>
        <w:trPr>
          <w:trHeight w:val="210"/>
        </w:trPr>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20" w:type="dxa"/>
            <w:vAlign w:val="bottom"/>
            <w:tcBorders>
              <w:bottom w:val="single" w:sz="8" w:color="0000EE"/>
            </w:tcBorders>
          </w:tcPr>
          <w:p>
            <w:pPr>
              <w:spacing w:after="0" w:line="209" w:lineRule="exact"/>
              <w:rPr>
                <w:rFonts w:ascii="Times New Roman" w:cs="Times New Roman" w:eastAsia="Times New Roman" w:hAnsi="Times New Roman"/>
                <w:sz w:val="20"/>
                <w:szCs w:val="20"/>
                <w:color w:val="0000EE"/>
                <w:w w:val="98"/>
              </w:rPr>
            </w:pPr>
            <w:hyperlink w:anchor="page5">
              <w:r>
                <w:rPr>
                  <w:rFonts w:ascii="Times New Roman" w:cs="Times New Roman" w:eastAsia="Times New Roman" w:hAnsi="Times New Roman"/>
                  <w:sz w:val="20"/>
                  <w:szCs w:val="20"/>
                  <w:color w:val="0000EE"/>
                  <w:w w:val="98"/>
                </w:rPr>
                <w:t>listed on the Purchaser Schedule thereto.</w:t>
              </w:r>
            </w:hyperlink>
          </w:p>
        </w:tc>
        <w:tc>
          <w:tcPr>
            <w:tcW w:w="5740" w:type="dxa"/>
            <w:vAlign w:val="bottom"/>
            <w:gridSpan w:val="2"/>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80" w:type="dxa"/>
            <w:vAlign w:val="bottom"/>
          </w:tcPr>
          <w:p>
            <w:pPr>
              <w:spacing w:after="0"/>
              <w:rPr>
                <w:sz w:val="21"/>
                <w:szCs w:val="21"/>
                <w:color w:val="auto"/>
              </w:rPr>
            </w:pPr>
          </w:p>
        </w:tc>
        <w:tc>
          <w:tcPr>
            <w:tcW w:w="7740" w:type="dxa"/>
            <w:vAlign w:val="bottom"/>
            <w:gridSpan w:val="2"/>
          </w:tcPr>
          <w:p>
            <w:pPr>
              <w:ind w:left="2100"/>
              <w:spacing w:after="0"/>
              <w:rPr>
                <w:sz w:val="20"/>
                <w:szCs w:val="20"/>
                <w:color w:val="auto"/>
              </w:rPr>
            </w:pPr>
            <w:r>
              <w:rPr>
                <w:rFonts w:ascii="Times New Roman" w:cs="Times New Roman" w:eastAsia="Times New Roman" w:hAnsi="Times New Roman"/>
                <w:sz w:val="20"/>
                <w:szCs w:val="20"/>
                <w:b w:val="1"/>
                <w:bCs w:val="1"/>
                <w:color w:val="auto"/>
              </w:rPr>
              <w:t>THE TORO COMPANY</w:t>
            </w:r>
          </w:p>
        </w:tc>
      </w:tr>
      <w:tr>
        <w:trPr>
          <w:trHeight w:val="262"/>
        </w:trPr>
        <w:tc>
          <w:tcPr>
            <w:tcW w:w="3680" w:type="dxa"/>
            <w:vAlign w:val="bottom"/>
          </w:tcPr>
          <w:p>
            <w:pPr>
              <w:spacing w:after="0"/>
              <w:rPr>
                <w:sz w:val="22"/>
                <w:szCs w:val="22"/>
                <w:color w:val="auto"/>
              </w:rPr>
            </w:pPr>
          </w:p>
        </w:tc>
        <w:tc>
          <w:tcPr>
            <w:tcW w:w="7740" w:type="dxa"/>
            <w:vAlign w:val="bottom"/>
            <w:gridSpan w:val="2"/>
          </w:tcPr>
          <w:p>
            <w:pPr>
              <w:ind w:left="2100"/>
              <w:spacing w:after="0"/>
              <w:rPr>
                <w:sz w:val="20"/>
                <w:szCs w:val="20"/>
                <w:color w:val="auto"/>
              </w:rPr>
            </w:pPr>
            <w:r>
              <w:rPr>
                <w:rFonts w:ascii="Times New Roman" w:cs="Times New Roman" w:eastAsia="Times New Roman" w:hAnsi="Times New Roman"/>
                <w:sz w:val="20"/>
                <w:szCs w:val="20"/>
                <w:b w:val="1"/>
                <w:bCs w:val="1"/>
                <w:color w:val="auto"/>
              </w:rPr>
              <w:t>(Registrant)</w:t>
            </w:r>
          </w:p>
        </w:tc>
      </w:tr>
      <w:tr>
        <w:trPr>
          <w:trHeight w:val="696"/>
        </w:trPr>
        <w:tc>
          <w:tcPr>
            <w:tcW w:w="3680" w:type="dxa"/>
            <w:vAlign w:val="bottom"/>
          </w:tcPr>
          <w:p>
            <w:pPr>
              <w:spacing w:after="0"/>
              <w:rPr>
                <w:sz w:val="20"/>
                <w:szCs w:val="20"/>
                <w:color w:val="auto"/>
              </w:rPr>
            </w:pPr>
            <w:r>
              <w:rPr>
                <w:rFonts w:ascii="Times New Roman" w:cs="Times New Roman" w:eastAsia="Times New Roman" w:hAnsi="Times New Roman"/>
                <w:sz w:val="20"/>
                <w:szCs w:val="20"/>
                <w:color w:val="auto"/>
              </w:rPr>
              <w:t>Date: April 30, 2019</w:t>
            </w:r>
          </w:p>
        </w:tc>
        <w:tc>
          <w:tcPr>
            <w:tcW w:w="7740" w:type="dxa"/>
            <w:vAlign w:val="bottom"/>
            <w:gridSpan w:val="2"/>
          </w:tcPr>
          <w:p>
            <w:pPr>
              <w:ind w:left="2100"/>
              <w:spacing w:after="0"/>
              <w:rPr>
                <w:sz w:val="20"/>
                <w:szCs w:val="20"/>
                <w:color w:val="auto"/>
              </w:rPr>
            </w:pPr>
            <w:r>
              <w:rPr>
                <w:rFonts w:ascii="Times New Roman" w:cs="Times New Roman" w:eastAsia="Times New Roman" w:hAnsi="Times New Roman"/>
                <w:sz w:val="20"/>
                <w:szCs w:val="20"/>
                <w:color w:val="auto"/>
              </w:rPr>
              <w:t>By: /s/ Timothy P. Dordell</w:t>
            </w:r>
          </w:p>
        </w:tc>
      </w:tr>
      <w:tr>
        <w:trPr>
          <w:trHeight w:val="227"/>
        </w:trPr>
        <w:tc>
          <w:tcPr>
            <w:tcW w:w="36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220" w:type="dxa"/>
            <w:vAlign w:val="bottom"/>
            <w:tcBorders>
              <w:top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Timothy P. Dordell</w:t>
            </w:r>
          </w:p>
        </w:tc>
      </w:tr>
      <w:tr>
        <w:trPr>
          <w:trHeight w:val="258"/>
        </w:trPr>
        <w:tc>
          <w:tcPr>
            <w:tcW w:w="368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Vice President, Secretary and General Counsel</w:t>
            </w:r>
          </w:p>
        </w:tc>
      </w:tr>
      <w:tr>
        <w:trPr>
          <w:trHeight w:val="642"/>
        </w:trPr>
        <w:tc>
          <w:tcPr>
            <w:tcW w:w="3680" w:type="dxa"/>
            <w:vAlign w:val="bottom"/>
          </w:tcPr>
          <w:p>
            <w:pPr>
              <w:spacing w:after="0"/>
              <w:rPr>
                <w:sz w:val="24"/>
                <w:szCs w:val="24"/>
                <w:color w:val="auto"/>
              </w:rPr>
            </w:pPr>
          </w:p>
        </w:tc>
        <w:tc>
          <w:tcPr>
            <w:tcW w:w="2520" w:type="dxa"/>
            <w:vAlign w:val="bottom"/>
          </w:tcPr>
          <w:p>
            <w:pPr>
              <w:jc w:val="right"/>
              <w:ind w:right="343"/>
              <w:spacing w:after="0"/>
              <w:rPr>
                <w:sz w:val="20"/>
                <w:szCs w:val="20"/>
                <w:color w:val="auto"/>
              </w:rPr>
            </w:pPr>
            <w:r>
              <w:rPr>
                <w:rFonts w:ascii="Times New Roman" w:cs="Times New Roman" w:eastAsia="Times New Roman" w:hAnsi="Times New Roman"/>
                <w:sz w:val="18"/>
                <w:szCs w:val="18"/>
                <w:color w:val="auto"/>
              </w:rPr>
              <w:t>3</w:t>
            </w:r>
          </w:p>
        </w:tc>
        <w:tc>
          <w:tcPr>
            <w:tcW w:w="5220" w:type="dxa"/>
            <w:vAlign w:val="bottom"/>
          </w:tcPr>
          <w:p>
            <w:pPr>
              <w:spacing w:after="0"/>
              <w:rPr>
                <w:sz w:val="24"/>
                <w:szCs w:val="24"/>
                <w:color w:val="auto"/>
              </w:rPr>
            </w:pPr>
          </w:p>
        </w:tc>
      </w:tr>
    </w:tbl>
    <w:p>
      <w:pPr>
        <w:sectPr>
          <w:pgSz w:w="11900" w:h="16838" w:orient="portrait"/>
          <w:cols w:equalWidth="0" w:num="1">
            <w:col w:w="11420"/>
          </w:cols>
          <w:pgMar w:left="240" w:top="329"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XECUTION</w:t>
      </w:r>
      <w:r>
        <w:rPr>
          <w:rFonts w:ascii="Times New Roman" w:cs="Times New Roman" w:eastAsia="Times New Roman" w:hAnsi="Times New Roman"/>
          <w:sz w:val="22"/>
          <w:szCs w:val="22"/>
          <w:color w:val="auto"/>
        </w:rPr>
        <w:t xml:space="preserve"> V</w:t>
      </w:r>
      <w:r>
        <w:rPr>
          <w:rFonts w:ascii="Times New Roman" w:cs="Times New Roman" w:eastAsia="Times New Roman" w:hAnsi="Times New Roman"/>
          <w:sz w:val="14"/>
          <w:szCs w:val="14"/>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ORO</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$200,000,000</w:t>
      </w:r>
    </w:p>
    <w:p>
      <w:pPr>
        <w:spacing w:after="0" w:line="200" w:lineRule="exact"/>
        <w:rPr>
          <w:sz w:val="20"/>
          <w:szCs w:val="20"/>
          <w:color w:val="auto"/>
        </w:rPr>
      </w:pPr>
    </w:p>
    <w:p>
      <w:pPr>
        <w:spacing w:after="0" w:line="22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$100,000,000 3.81% Senior Notes, Series A, due June 15, 2029</w:t>
      </w:r>
    </w:p>
    <w:p>
      <w:pPr>
        <w:spacing w:after="0" w:line="1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$100,000,000 3.91% Senior Notes, Series B, due June 15, 2031</w:t>
      </w:r>
    </w:p>
    <w:p>
      <w:pPr>
        <w:spacing w:after="0" w:line="39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______________</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OTE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URCHASE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______________</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1194435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1211580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1936750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7"/>
        </w:trPr>
        <w:tc>
          <w:tcPr>
            <w:tcW w:w="2180" w:type="dxa"/>
            <w:vAlign w:val="bottom"/>
          </w:tcPr>
          <w:p>
            <w:pPr>
              <w:spacing w:after="0"/>
              <w:rPr>
                <w:sz w:val="24"/>
                <w:szCs w:val="24"/>
                <w:color w:val="auto"/>
              </w:rPr>
            </w:pPr>
          </w:p>
        </w:tc>
        <w:tc>
          <w:tcPr>
            <w:tcW w:w="7680" w:type="dxa"/>
            <w:vAlign w:val="bottom"/>
          </w:tcPr>
          <w:p>
            <w:pPr>
              <w:ind w:left="2660"/>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ABLE OF</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ONTENTS</w:t>
            </w:r>
          </w:p>
        </w:tc>
        <w:tc>
          <w:tcPr>
            <w:tcW w:w="1560" w:type="dxa"/>
            <w:vAlign w:val="bottom"/>
          </w:tcPr>
          <w:p>
            <w:pPr>
              <w:spacing w:after="0"/>
              <w:rPr>
                <w:sz w:val="24"/>
                <w:szCs w:val="24"/>
                <w:color w:val="auto"/>
              </w:rPr>
            </w:pPr>
          </w:p>
        </w:tc>
      </w:tr>
      <w:tr>
        <w:trPr>
          <w:trHeight w:val="459"/>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p>
        </w:tc>
        <w:tc>
          <w:tcPr>
            <w:tcW w:w="7680" w:type="dxa"/>
            <w:vAlign w:val="bottom"/>
          </w:tcPr>
          <w:p>
            <w:pPr>
              <w:ind w:left="4120"/>
              <w:spacing w:after="0"/>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14"/>
                <w:szCs w:val="14"/>
                <w:color w:val="auto"/>
              </w:rPr>
              <w:t>EADING</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AGE</w:t>
            </w:r>
          </w:p>
        </w:tc>
      </w:tr>
      <w:tr>
        <w:trPr>
          <w:trHeight w:val="459"/>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w:t>
            </w:r>
          </w:p>
        </w:tc>
        <w:tc>
          <w:tcPr>
            <w:tcW w:w="76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UTHORIZATION OF</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NCREMENTAL</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EVERAGE</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EE</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39"/>
        </w:trPr>
        <w:tc>
          <w:tcPr>
            <w:tcW w:w="2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Section 1.1.</w:t>
            </w:r>
          </w:p>
        </w:tc>
        <w:tc>
          <w:tcPr>
            <w:tcW w:w="768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Authorization of Notes</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83"/>
        </w:trPr>
        <w:tc>
          <w:tcPr>
            <w:tcW w:w="2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Section 1.2.</w:t>
            </w:r>
          </w:p>
        </w:tc>
        <w:tc>
          <w:tcPr>
            <w:tcW w:w="768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Incremental Leverage Fee</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59"/>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2.</w:t>
            </w:r>
          </w:p>
        </w:tc>
        <w:tc>
          <w:tcPr>
            <w:tcW w:w="76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ALE AND</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URCHASE OF</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459"/>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3.</w:t>
            </w:r>
          </w:p>
        </w:tc>
        <w:tc>
          <w:tcPr>
            <w:tcW w:w="76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LOSING</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459"/>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4.</w:t>
            </w:r>
          </w:p>
        </w:tc>
        <w:tc>
          <w:tcPr>
            <w:tcW w:w="76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ONDITIONS TO</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LOSING</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339"/>
        </w:trPr>
        <w:tc>
          <w:tcPr>
            <w:tcW w:w="2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Section 4.1.</w:t>
            </w:r>
          </w:p>
        </w:tc>
        <w:tc>
          <w:tcPr>
            <w:tcW w:w="768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4.2.</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Performance; No Default</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4.3.</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Compliance Certificates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4.4.</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Opinions of Counsel</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4.5.</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Purchase Permitted By Applicable Law, Etc</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4.6.</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Sale of Other Notes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4.7.</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Payment of Special Counsel Fees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4.8.</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Private Placement Number</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4.9.</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Changes in Corporate Structure</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4.10.</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Funding Instructions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4.11.</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Proceedings and Documents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83"/>
        </w:trPr>
        <w:tc>
          <w:tcPr>
            <w:tcW w:w="2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Section 4.12.</w:t>
            </w:r>
          </w:p>
        </w:tc>
        <w:tc>
          <w:tcPr>
            <w:tcW w:w="768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Notice of Date of Closing</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459"/>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5.</w:t>
            </w:r>
          </w:p>
        </w:tc>
        <w:tc>
          <w:tcPr>
            <w:tcW w:w="76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ARRANTIES OF THE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339"/>
        </w:trPr>
        <w:tc>
          <w:tcPr>
            <w:tcW w:w="2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Section 5.1.</w:t>
            </w:r>
          </w:p>
        </w:tc>
        <w:tc>
          <w:tcPr>
            <w:tcW w:w="768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Organization; Power and Authority</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5.2.</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Authorization, Etc</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5.3.</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Disclosure</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5.4.</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Organization and Ownership of Shares of Subsidiaries; Affiliates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5.5.</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Financial Statements; Material Liabilities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5.6.</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Compliance with Laws, Other Instruments, Etc</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5.7.</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Governmental Authorizations, Etc</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5.8.</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Litigation; Observance of Agreements, Statutes and Orders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5.9.</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5.10.</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Title to Property; Leases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5.11.</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Licenses, Permits, Etc</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5.12.</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Compliance with Employee Benefit Plans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5.13.</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Private Offering by the Company</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5.14.</w:t>
            </w:r>
          </w:p>
        </w:tc>
        <w:tc>
          <w:tcPr>
            <w:tcW w:w="768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Use of Proceeds; Margin Regulations</w:t>
            </w:r>
          </w:p>
        </w:tc>
        <w:tc>
          <w:tcPr>
            <w:tcW w:w="15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83"/>
        </w:trPr>
        <w:tc>
          <w:tcPr>
            <w:tcW w:w="2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Section 5.15.</w:t>
            </w:r>
          </w:p>
        </w:tc>
        <w:tc>
          <w:tcPr>
            <w:tcW w:w="768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Existing Indebtedness; Future Liens</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bl>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i</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3"/>
        </w:trPr>
        <w:tc>
          <w:tcPr>
            <w:tcW w:w="2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Section 5.16.</w:t>
            </w:r>
          </w:p>
        </w:tc>
        <w:tc>
          <w:tcPr>
            <w:tcW w:w="71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Foreign Assets Control Regulations, Etc</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5.17.</w:t>
            </w:r>
          </w:p>
        </w:tc>
        <w:tc>
          <w:tcPr>
            <w:tcW w:w="71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Status under Certain Statutes</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5.18.</w:t>
            </w:r>
          </w:p>
        </w:tc>
        <w:tc>
          <w:tcPr>
            <w:tcW w:w="71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Environmental Matters</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83"/>
        </w:trPr>
        <w:tc>
          <w:tcPr>
            <w:tcW w:w="2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Section 5.19.</w:t>
            </w:r>
          </w:p>
        </w:tc>
        <w:tc>
          <w:tcPr>
            <w:tcW w:w="71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Ranking of Obligations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59"/>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6.</w:t>
            </w:r>
          </w:p>
        </w:tc>
        <w:tc>
          <w:tcPr>
            <w:tcW w:w="71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EPRESENTATIONS OF THE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URCHASERS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339"/>
        </w:trPr>
        <w:tc>
          <w:tcPr>
            <w:tcW w:w="2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Section 6.1.</w:t>
            </w:r>
          </w:p>
        </w:tc>
        <w:tc>
          <w:tcPr>
            <w:tcW w:w="71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Purchase for Investment</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83"/>
        </w:trPr>
        <w:tc>
          <w:tcPr>
            <w:tcW w:w="2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Section 6.2.</w:t>
            </w:r>
          </w:p>
        </w:tc>
        <w:tc>
          <w:tcPr>
            <w:tcW w:w="71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Source of Funds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59"/>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7.</w:t>
            </w:r>
          </w:p>
        </w:tc>
        <w:tc>
          <w:tcPr>
            <w:tcW w:w="71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NFORMATION AS TO</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339"/>
        </w:trPr>
        <w:tc>
          <w:tcPr>
            <w:tcW w:w="2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Section 7.1.</w:t>
            </w:r>
          </w:p>
        </w:tc>
        <w:tc>
          <w:tcPr>
            <w:tcW w:w="71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Financial and Business Information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7.2.</w:t>
            </w:r>
          </w:p>
        </w:tc>
        <w:tc>
          <w:tcPr>
            <w:tcW w:w="71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Officer’s Certificate</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7.3.</w:t>
            </w:r>
          </w:p>
        </w:tc>
        <w:tc>
          <w:tcPr>
            <w:tcW w:w="71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Visitation</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r>
      <w:tr>
        <w:trPr>
          <w:trHeight w:val="283"/>
        </w:trPr>
        <w:tc>
          <w:tcPr>
            <w:tcW w:w="2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Section 7.4.</w:t>
            </w:r>
          </w:p>
        </w:tc>
        <w:tc>
          <w:tcPr>
            <w:tcW w:w="71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Electronic Delivery</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459"/>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8.</w:t>
            </w:r>
          </w:p>
        </w:tc>
        <w:tc>
          <w:tcPr>
            <w:tcW w:w="71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AYMENT AND</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REPAYMENT OF THE</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18"/>
        </w:trPr>
        <w:tc>
          <w:tcPr>
            <w:tcW w:w="2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Section 8.1.</w:t>
            </w:r>
          </w:p>
        </w:tc>
        <w:tc>
          <w:tcPr>
            <w:tcW w:w="71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Maturity</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7"/>
        </w:trPr>
        <w:tc>
          <w:tcPr>
            <w:tcW w:w="2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Section 8.2.</w:t>
            </w:r>
          </w:p>
        </w:tc>
        <w:tc>
          <w:tcPr>
            <w:tcW w:w="7140" w:type="dxa"/>
            <w:vAlign w:val="bottom"/>
          </w:tcPr>
          <w:p>
            <w:pPr>
              <w:ind w:left="920"/>
              <w:spacing w:after="0" w:line="253" w:lineRule="exact"/>
              <w:rPr>
                <w:sz w:val="20"/>
                <w:szCs w:val="20"/>
                <w:color w:val="auto"/>
              </w:rPr>
            </w:pPr>
            <w:r>
              <w:rPr>
                <w:rFonts w:ascii="Times New Roman" w:cs="Times New Roman" w:eastAsia="Times New Roman" w:hAnsi="Times New Roman"/>
                <w:sz w:val="22"/>
                <w:szCs w:val="22"/>
                <w:color w:val="auto"/>
              </w:rPr>
              <w:t>Optional Prepayments with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8.3.</w:t>
            </w:r>
          </w:p>
        </w:tc>
        <w:tc>
          <w:tcPr>
            <w:tcW w:w="71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Allocation of Partial Prepayments</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8.4.</w:t>
            </w:r>
          </w:p>
        </w:tc>
        <w:tc>
          <w:tcPr>
            <w:tcW w:w="71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Maturity; Surrender, Etc</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w:t>
            </w:r>
          </w:p>
        </w:tc>
      </w:tr>
      <w:tr>
        <w:trPr>
          <w:trHeight w:val="223"/>
        </w:trPr>
        <w:tc>
          <w:tcPr>
            <w:tcW w:w="2180" w:type="dxa"/>
            <w:vAlign w:val="bottom"/>
          </w:tcPr>
          <w:p>
            <w:pPr>
              <w:ind w:left="560"/>
              <w:spacing w:after="0" w:line="223" w:lineRule="exact"/>
              <w:rPr>
                <w:sz w:val="20"/>
                <w:szCs w:val="20"/>
                <w:color w:val="auto"/>
              </w:rPr>
            </w:pPr>
            <w:r>
              <w:rPr>
                <w:rFonts w:ascii="Times New Roman" w:cs="Times New Roman" w:eastAsia="Times New Roman" w:hAnsi="Times New Roman"/>
                <w:sz w:val="22"/>
                <w:szCs w:val="22"/>
                <w:color w:val="auto"/>
              </w:rPr>
              <w:t>Section 8.5.</w:t>
            </w:r>
          </w:p>
        </w:tc>
        <w:tc>
          <w:tcPr>
            <w:tcW w:w="7140" w:type="dxa"/>
            <w:vAlign w:val="bottom"/>
          </w:tcPr>
          <w:p>
            <w:pPr>
              <w:ind w:left="920"/>
              <w:spacing w:after="0" w:line="223" w:lineRule="exact"/>
              <w:rPr>
                <w:sz w:val="20"/>
                <w:szCs w:val="20"/>
                <w:color w:val="auto"/>
              </w:rPr>
            </w:pPr>
            <w:r>
              <w:rPr>
                <w:rFonts w:ascii="Times New Roman" w:cs="Times New Roman" w:eastAsia="Times New Roman" w:hAnsi="Times New Roman"/>
                <w:sz w:val="22"/>
                <w:szCs w:val="22"/>
                <w:color w:val="auto"/>
              </w:rPr>
              <w:t>Purchase of Notes</w:t>
            </w:r>
          </w:p>
        </w:tc>
        <w:tc>
          <w:tcPr>
            <w:tcW w:w="210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21</w:t>
            </w:r>
          </w:p>
        </w:tc>
      </w:tr>
      <w:tr>
        <w:trPr>
          <w:trHeight w:val="277"/>
        </w:trPr>
        <w:tc>
          <w:tcPr>
            <w:tcW w:w="2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Section 8.6.</w:t>
            </w:r>
          </w:p>
        </w:tc>
        <w:tc>
          <w:tcPr>
            <w:tcW w:w="7140" w:type="dxa"/>
            <w:vAlign w:val="bottom"/>
          </w:tcPr>
          <w:p>
            <w:pPr>
              <w:ind w:left="920"/>
              <w:spacing w:after="0" w:line="253" w:lineRule="exact"/>
              <w:rPr>
                <w:sz w:val="20"/>
                <w:szCs w:val="20"/>
                <w:color w:val="auto"/>
              </w:rPr>
            </w:pPr>
            <w:r>
              <w:rPr>
                <w:rFonts w:ascii="Times New Roman" w:cs="Times New Roman" w:eastAsia="Times New Roman" w:hAnsi="Times New Roman"/>
                <w:sz w:val="22"/>
                <w:szCs w:val="22"/>
                <w:color w:val="auto"/>
              </w:rPr>
              <w:t>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23"/>
        </w:trPr>
        <w:tc>
          <w:tcPr>
            <w:tcW w:w="2180" w:type="dxa"/>
            <w:vAlign w:val="bottom"/>
          </w:tcPr>
          <w:p>
            <w:pPr>
              <w:ind w:left="560"/>
              <w:spacing w:after="0" w:line="223" w:lineRule="exact"/>
              <w:rPr>
                <w:sz w:val="20"/>
                <w:szCs w:val="20"/>
                <w:color w:val="auto"/>
              </w:rPr>
            </w:pPr>
            <w:r>
              <w:rPr>
                <w:rFonts w:ascii="Times New Roman" w:cs="Times New Roman" w:eastAsia="Times New Roman" w:hAnsi="Times New Roman"/>
                <w:sz w:val="22"/>
                <w:szCs w:val="22"/>
                <w:color w:val="auto"/>
              </w:rPr>
              <w:t>Section 8.7.</w:t>
            </w:r>
          </w:p>
        </w:tc>
        <w:tc>
          <w:tcPr>
            <w:tcW w:w="7140" w:type="dxa"/>
            <w:vAlign w:val="bottom"/>
          </w:tcPr>
          <w:p>
            <w:pPr>
              <w:ind w:left="920"/>
              <w:spacing w:after="0" w:line="223" w:lineRule="exact"/>
              <w:rPr>
                <w:sz w:val="20"/>
                <w:szCs w:val="20"/>
                <w:color w:val="auto"/>
              </w:rPr>
            </w:pPr>
            <w:r>
              <w:rPr>
                <w:rFonts w:ascii="Times New Roman" w:cs="Times New Roman" w:eastAsia="Times New Roman" w:hAnsi="Times New Roman"/>
                <w:sz w:val="22"/>
                <w:szCs w:val="22"/>
                <w:color w:val="auto"/>
              </w:rPr>
              <w:t>Change of Control</w:t>
            </w:r>
          </w:p>
        </w:tc>
        <w:tc>
          <w:tcPr>
            <w:tcW w:w="210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23</w:t>
            </w:r>
          </w:p>
        </w:tc>
      </w:tr>
      <w:tr>
        <w:trPr>
          <w:trHeight w:val="339"/>
        </w:trPr>
        <w:tc>
          <w:tcPr>
            <w:tcW w:w="2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Section 8.8.</w:t>
            </w:r>
          </w:p>
        </w:tc>
        <w:tc>
          <w:tcPr>
            <w:tcW w:w="7140" w:type="dxa"/>
            <w:vAlign w:val="bottom"/>
          </w:tcPr>
          <w:p>
            <w:pPr>
              <w:ind w:left="920"/>
              <w:spacing w:after="0" w:line="253" w:lineRule="exact"/>
              <w:rPr>
                <w:sz w:val="20"/>
                <w:szCs w:val="20"/>
                <w:color w:val="auto"/>
              </w:rPr>
            </w:pPr>
            <w:r>
              <w:rPr>
                <w:rFonts w:ascii="Times New Roman" w:cs="Times New Roman" w:eastAsia="Times New Roman" w:hAnsi="Times New Roman"/>
                <w:sz w:val="22"/>
                <w:szCs w:val="22"/>
                <w:color w:val="auto"/>
              </w:rPr>
              <w:t>Payments Due on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Business Days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437"/>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9.</w:t>
            </w:r>
          </w:p>
        </w:tc>
        <w:tc>
          <w:tcPr>
            <w:tcW w:w="71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FFIRMATIVE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OVENANTS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39"/>
        </w:trPr>
        <w:tc>
          <w:tcPr>
            <w:tcW w:w="2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Section 9.1.</w:t>
            </w:r>
          </w:p>
        </w:tc>
        <w:tc>
          <w:tcPr>
            <w:tcW w:w="71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Compliance with Laws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9.2.</w:t>
            </w:r>
          </w:p>
        </w:tc>
        <w:tc>
          <w:tcPr>
            <w:tcW w:w="71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Insurance</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9.3.</w:t>
            </w:r>
          </w:p>
        </w:tc>
        <w:tc>
          <w:tcPr>
            <w:tcW w:w="71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Maintenance of Properties</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9.4.</w:t>
            </w:r>
          </w:p>
        </w:tc>
        <w:tc>
          <w:tcPr>
            <w:tcW w:w="71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Payment of Taxes and Claims</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9.5.</w:t>
            </w:r>
          </w:p>
        </w:tc>
        <w:tc>
          <w:tcPr>
            <w:tcW w:w="71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Corporate Existence, Etc</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9.6.</w:t>
            </w:r>
          </w:p>
        </w:tc>
        <w:tc>
          <w:tcPr>
            <w:tcW w:w="71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Books and Records</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9.7.</w:t>
            </w:r>
          </w:p>
        </w:tc>
        <w:tc>
          <w:tcPr>
            <w:tcW w:w="71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Subsidiary Guarantors</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83"/>
        </w:trPr>
        <w:tc>
          <w:tcPr>
            <w:tcW w:w="2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Section 9.8</w:t>
            </w:r>
          </w:p>
        </w:tc>
        <w:tc>
          <w:tcPr>
            <w:tcW w:w="71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Priority of Obligations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459"/>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10.</w:t>
            </w:r>
          </w:p>
        </w:tc>
        <w:tc>
          <w:tcPr>
            <w:tcW w:w="71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EGATIVE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OVENANTS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39"/>
        </w:trPr>
        <w:tc>
          <w:tcPr>
            <w:tcW w:w="2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Section 10.1.</w:t>
            </w:r>
          </w:p>
        </w:tc>
        <w:tc>
          <w:tcPr>
            <w:tcW w:w="71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10.2.</w:t>
            </w:r>
          </w:p>
        </w:tc>
        <w:tc>
          <w:tcPr>
            <w:tcW w:w="71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Merger, Consolidation, Etc</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10.3.</w:t>
            </w:r>
          </w:p>
        </w:tc>
        <w:tc>
          <w:tcPr>
            <w:tcW w:w="71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Sale of Assets, Etc</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10.4.</w:t>
            </w:r>
          </w:p>
        </w:tc>
        <w:tc>
          <w:tcPr>
            <w:tcW w:w="71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Line of Business</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10.5.</w:t>
            </w:r>
          </w:p>
        </w:tc>
        <w:tc>
          <w:tcPr>
            <w:tcW w:w="71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Economic Sanctions, Etc</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10.6.</w:t>
            </w:r>
          </w:p>
        </w:tc>
        <w:tc>
          <w:tcPr>
            <w:tcW w:w="71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Liens</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10.7.</w:t>
            </w:r>
          </w:p>
        </w:tc>
        <w:tc>
          <w:tcPr>
            <w:tcW w:w="71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Minimum Interest Coverage Ratio</w:t>
            </w:r>
          </w:p>
        </w:tc>
        <w:tc>
          <w:tcPr>
            <w:tcW w:w="2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83"/>
        </w:trPr>
        <w:tc>
          <w:tcPr>
            <w:tcW w:w="2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Section 10.8.</w:t>
            </w:r>
          </w:p>
        </w:tc>
        <w:tc>
          <w:tcPr>
            <w:tcW w:w="71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Maximum Leverage Ratio</w:t>
            </w:r>
          </w:p>
        </w:tc>
        <w:tc>
          <w:tcPr>
            <w:tcW w:w="2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bl>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ii</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22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Section 10.9.</w:t>
            </w:r>
          </w:p>
        </w:tc>
        <w:tc>
          <w:tcPr>
            <w:tcW w:w="7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Priority Indebtedness</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43"/>
        </w:trPr>
        <w:tc>
          <w:tcPr>
            <w:tcW w:w="22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10.10</w:t>
            </w:r>
          </w:p>
        </w:tc>
        <w:tc>
          <w:tcPr>
            <w:tcW w:w="75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Red Iron</w:t>
            </w:r>
          </w:p>
        </w:tc>
        <w:tc>
          <w:tcPr>
            <w:tcW w:w="1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83"/>
        </w:trPr>
        <w:tc>
          <w:tcPr>
            <w:tcW w:w="22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Section 10.11.</w:t>
            </w:r>
          </w:p>
        </w:tc>
        <w:tc>
          <w:tcPr>
            <w:tcW w:w="7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Restricted Payments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78"/>
        </w:trPr>
        <w:tc>
          <w:tcPr>
            <w:tcW w:w="2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11.</w:t>
            </w:r>
          </w:p>
        </w:tc>
        <w:tc>
          <w:tcPr>
            <w:tcW w:w="75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VENTS OF</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EFAULT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459"/>
        </w:trPr>
        <w:tc>
          <w:tcPr>
            <w:tcW w:w="2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12.</w:t>
            </w:r>
          </w:p>
        </w:tc>
        <w:tc>
          <w:tcPr>
            <w:tcW w:w="75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EMEDIES ON</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EFAULT</w:t>
            </w:r>
            <w:r>
              <w:rPr>
                <w:rFonts w:ascii="Times New Roman" w:cs="Times New Roman" w:eastAsia="Times New Roman" w:hAnsi="Times New Roman"/>
                <w:sz w:val="22"/>
                <w:szCs w:val="22"/>
                <w:color w:val="auto"/>
              </w:rPr>
              <w:t>, E</w:t>
            </w:r>
            <w:r>
              <w:rPr>
                <w:rFonts w:ascii="Times New Roman" w:cs="Times New Roman" w:eastAsia="Times New Roman" w:hAnsi="Times New Roman"/>
                <w:sz w:val="14"/>
                <w:szCs w:val="14"/>
                <w:color w:val="auto"/>
              </w:rPr>
              <w:t>TC</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420"/>
        </w:trPr>
        <w:tc>
          <w:tcPr>
            <w:tcW w:w="22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Section 12.1.</w:t>
            </w:r>
          </w:p>
        </w:tc>
        <w:tc>
          <w:tcPr>
            <w:tcW w:w="7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Acceleration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43"/>
        </w:trPr>
        <w:tc>
          <w:tcPr>
            <w:tcW w:w="22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12.2.</w:t>
            </w:r>
          </w:p>
        </w:tc>
        <w:tc>
          <w:tcPr>
            <w:tcW w:w="75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Other Remedies</w:t>
            </w:r>
          </w:p>
        </w:tc>
        <w:tc>
          <w:tcPr>
            <w:tcW w:w="1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r>
      <w:tr>
        <w:trPr>
          <w:trHeight w:val="243"/>
        </w:trPr>
        <w:tc>
          <w:tcPr>
            <w:tcW w:w="22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12.3.</w:t>
            </w:r>
          </w:p>
        </w:tc>
        <w:tc>
          <w:tcPr>
            <w:tcW w:w="75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Rescission</w:t>
            </w:r>
          </w:p>
        </w:tc>
        <w:tc>
          <w:tcPr>
            <w:tcW w:w="1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r>
      <w:tr>
        <w:trPr>
          <w:trHeight w:val="283"/>
        </w:trPr>
        <w:tc>
          <w:tcPr>
            <w:tcW w:w="22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Section 12.4.</w:t>
            </w:r>
          </w:p>
        </w:tc>
        <w:tc>
          <w:tcPr>
            <w:tcW w:w="7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No Waivers or Election of Remedies, Expenses, Etc</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459"/>
        </w:trPr>
        <w:tc>
          <w:tcPr>
            <w:tcW w:w="2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13.</w:t>
            </w:r>
          </w:p>
        </w:tc>
        <w:tc>
          <w:tcPr>
            <w:tcW w:w="75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EGISTRATION</w:t>
            </w:r>
            <w:r>
              <w:rPr>
                <w:rFonts w:ascii="Times New Roman" w:cs="Times New Roman" w:eastAsia="Times New Roman" w:hAnsi="Times New Roman"/>
                <w:sz w:val="22"/>
                <w:szCs w:val="22"/>
                <w:color w:val="auto"/>
              </w:rPr>
              <w:t>; E</w:t>
            </w:r>
            <w:r>
              <w:rPr>
                <w:rFonts w:ascii="Times New Roman" w:cs="Times New Roman" w:eastAsia="Times New Roman" w:hAnsi="Times New Roman"/>
                <w:sz w:val="14"/>
                <w:szCs w:val="14"/>
                <w:color w:val="auto"/>
              </w:rPr>
              <w:t>XCHANGE</w:t>
            </w:r>
            <w:r>
              <w:rPr>
                <w:rFonts w:ascii="Times New Roman" w:cs="Times New Roman" w:eastAsia="Times New Roman" w:hAnsi="Times New Roman"/>
                <w:sz w:val="22"/>
                <w:szCs w:val="22"/>
                <w:color w:val="auto"/>
              </w:rPr>
              <w:t>; S</w:t>
            </w:r>
            <w:r>
              <w:rPr>
                <w:rFonts w:ascii="Times New Roman" w:cs="Times New Roman" w:eastAsia="Times New Roman" w:hAnsi="Times New Roman"/>
                <w:sz w:val="14"/>
                <w:szCs w:val="14"/>
                <w:color w:val="auto"/>
              </w:rPr>
              <w:t>UBSTITUTION OF</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39"/>
        </w:trPr>
        <w:tc>
          <w:tcPr>
            <w:tcW w:w="22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Section 13.1.</w:t>
            </w:r>
          </w:p>
        </w:tc>
        <w:tc>
          <w:tcPr>
            <w:tcW w:w="7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Registration of Notes</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43"/>
        </w:trPr>
        <w:tc>
          <w:tcPr>
            <w:tcW w:w="22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13.2.</w:t>
            </w:r>
          </w:p>
        </w:tc>
        <w:tc>
          <w:tcPr>
            <w:tcW w:w="75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Transfer and Exchange of Notes</w:t>
            </w:r>
          </w:p>
        </w:tc>
        <w:tc>
          <w:tcPr>
            <w:tcW w:w="1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w:t>
            </w:r>
          </w:p>
        </w:tc>
      </w:tr>
      <w:tr>
        <w:trPr>
          <w:trHeight w:val="283"/>
        </w:trPr>
        <w:tc>
          <w:tcPr>
            <w:tcW w:w="22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Section 13.3.</w:t>
            </w:r>
          </w:p>
        </w:tc>
        <w:tc>
          <w:tcPr>
            <w:tcW w:w="7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Replacement of Notes</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459"/>
        </w:trPr>
        <w:tc>
          <w:tcPr>
            <w:tcW w:w="2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14.</w:t>
            </w:r>
          </w:p>
        </w:tc>
        <w:tc>
          <w:tcPr>
            <w:tcW w:w="75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AYMENTS ON</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OTES</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39"/>
        </w:trPr>
        <w:tc>
          <w:tcPr>
            <w:tcW w:w="22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Section 14.1.</w:t>
            </w:r>
          </w:p>
        </w:tc>
        <w:tc>
          <w:tcPr>
            <w:tcW w:w="7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Place of Payment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43"/>
        </w:trPr>
        <w:tc>
          <w:tcPr>
            <w:tcW w:w="22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14.2.</w:t>
            </w:r>
          </w:p>
        </w:tc>
        <w:tc>
          <w:tcPr>
            <w:tcW w:w="75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Payment by Wire Transfer</w:t>
            </w:r>
          </w:p>
        </w:tc>
        <w:tc>
          <w:tcPr>
            <w:tcW w:w="1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83"/>
        </w:trPr>
        <w:tc>
          <w:tcPr>
            <w:tcW w:w="22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Section 14.3.</w:t>
            </w:r>
          </w:p>
        </w:tc>
        <w:tc>
          <w:tcPr>
            <w:tcW w:w="7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FATCA Information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459"/>
        </w:trPr>
        <w:tc>
          <w:tcPr>
            <w:tcW w:w="2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15.</w:t>
            </w:r>
          </w:p>
        </w:tc>
        <w:tc>
          <w:tcPr>
            <w:tcW w:w="75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XPENSES</w:t>
            </w:r>
            <w:r>
              <w:rPr>
                <w:rFonts w:ascii="Times New Roman" w:cs="Times New Roman" w:eastAsia="Times New Roman" w:hAnsi="Times New Roman"/>
                <w:sz w:val="22"/>
                <w:szCs w:val="22"/>
                <w:color w:val="auto"/>
              </w:rPr>
              <w:t>, E</w:t>
            </w:r>
            <w:r>
              <w:rPr>
                <w:rFonts w:ascii="Times New Roman" w:cs="Times New Roman" w:eastAsia="Times New Roman" w:hAnsi="Times New Roman"/>
                <w:sz w:val="14"/>
                <w:szCs w:val="14"/>
                <w:color w:val="auto"/>
              </w:rPr>
              <w:t>TC</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39"/>
        </w:trPr>
        <w:tc>
          <w:tcPr>
            <w:tcW w:w="22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Section 15.1.</w:t>
            </w:r>
          </w:p>
        </w:tc>
        <w:tc>
          <w:tcPr>
            <w:tcW w:w="7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Transaction Expenses</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43"/>
        </w:trPr>
        <w:tc>
          <w:tcPr>
            <w:tcW w:w="22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15.2.</w:t>
            </w:r>
          </w:p>
        </w:tc>
        <w:tc>
          <w:tcPr>
            <w:tcW w:w="75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Certain Taxes</w:t>
            </w:r>
          </w:p>
        </w:tc>
        <w:tc>
          <w:tcPr>
            <w:tcW w:w="1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83"/>
        </w:trPr>
        <w:tc>
          <w:tcPr>
            <w:tcW w:w="22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Section 15.3.</w:t>
            </w:r>
          </w:p>
        </w:tc>
        <w:tc>
          <w:tcPr>
            <w:tcW w:w="7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Survival</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459"/>
        </w:trPr>
        <w:tc>
          <w:tcPr>
            <w:tcW w:w="2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16.</w:t>
            </w:r>
          </w:p>
        </w:tc>
        <w:tc>
          <w:tcPr>
            <w:tcW w:w="75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URVIVAL OF</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ARRANTIES</w:t>
            </w:r>
            <w:r>
              <w:rPr>
                <w:rFonts w:ascii="Times New Roman" w:cs="Times New Roman" w:eastAsia="Times New Roman" w:hAnsi="Times New Roman"/>
                <w:sz w:val="22"/>
                <w:szCs w:val="22"/>
                <w:color w:val="auto"/>
              </w:rPr>
              <w:t>; E</w:t>
            </w:r>
            <w:r>
              <w:rPr>
                <w:rFonts w:ascii="Times New Roman" w:cs="Times New Roman" w:eastAsia="Times New Roman" w:hAnsi="Times New Roman"/>
                <w:sz w:val="14"/>
                <w:szCs w:val="14"/>
                <w:color w:val="auto"/>
              </w:rPr>
              <w:t>NTIRE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459"/>
        </w:trPr>
        <w:tc>
          <w:tcPr>
            <w:tcW w:w="2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17.</w:t>
            </w:r>
          </w:p>
        </w:tc>
        <w:tc>
          <w:tcPr>
            <w:tcW w:w="75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MENDMENT AND</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AIVER</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339"/>
        </w:trPr>
        <w:tc>
          <w:tcPr>
            <w:tcW w:w="22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Section 17.1.</w:t>
            </w:r>
          </w:p>
        </w:tc>
        <w:tc>
          <w:tcPr>
            <w:tcW w:w="7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Requirements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43"/>
        </w:trPr>
        <w:tc>
          <w:tcPr>
            <w:tcW w:w="22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17.2.</w:t>
            </w:r>
          </w:p>
        </w:tc>
        <w:tc>
          <w:tcPr>
            <w:tcW w:w="75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Solicitation of Holders of Notes</w:t>
            </w:r>
          </w:p>
        </w:tc>
        <w:tc>
          <w:tcPr>
            <w:tcW w:w="1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43"/>
        </w:trPr>
        <w:tc>
          <w:tcPr>
            <w:tcW w:w="2220" w:type="dxa"/>
            <w:vAlign w:val="bottom"/>
            <w:gridSpan w:val="2"/>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17.3.</w:t>
            </w:r>
          </w:p>
        </w:tc>
        <w:tc>
          <w:tcPr>
            <w:tcW w:w="75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Binding Effect, etc</w:t>
            </w:r>
          </w:p>
        </w:tc>
        <w:tc>
          <w:tcPr>
            <w:tcW w:w="1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83"/>
        </w:trPr>
        <w:tc>
          <w:tcPr>
            <w:tcW w:w="222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Section 17.4.</w:t>
            </w:r>
          </w:p>
        </w:tc>
        <w:tc>
          <w:tcPr>
            <w:tcW w:w="75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Notes Held by Company, Etc</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459"/>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p>
        </w:tc>
        <w:tc>
          <w:tcPr>
            <w:tcW w:w="150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18.</w:t>
            </w:r>
          </w:p>
        </w:tc>
        <w:tc>
          <w:tcPr>
            <w:tcW w:w="75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OTICES</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459"/>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p>
        </w:tc>
        <w:tc>
          <w:tcPr>
            <w:tcW w:w="150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19.</w:t>
            </w:r>
          </w:p>
        </w:tc>
        <w:tc>
          <w:tcPr>
            <w:tcW w:w="75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EPRODUCTION OF</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OCUMENTS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459"/>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p>
        </w:tc>
        <w:tc>
          <w:tcPr>
            <w:tcW w:w="150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20.</w:t>
            </w:r>
          </w:p>
        </w:tc>
        <w:tc>
          <w:tcPr>
            <w:tcW w:w="75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ONFIDENTIAL</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NFORMATION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459"/>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p>
        </w:tc>
        <w:tc>
          <w:tcPr>
            <w:tcW w:w="150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21.</w:t>
            </w:r>
          </w:p>
        </w:tc>
        <w:tc>
          <w:tcPr>
            <w:tcW w:w="75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UBSTITUTION OF</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URCHASER</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iii</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ECTION</w:t>
            </w:r>
            <w:r>
              <w:rPr>
                <w:rFonts w:ascii="Times New Roman" w:cs="Times New Roman" w:eastAsia="Times New Roman" w:hAnsi="Times New Roman"/>
                <w:sz w:val="22"/>
                <w:szCs w:val="22"/>
                <w:color w:val="auto"/>
              </w:rPr>
              <w:t xml:space="preserve"> 22.</w:t>
            </w:r>
          </w:p>
        </w:tc>
        <w:tc>
          <w:tcPr>
            <w:tcW w:w="69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ISCELLANEOUS</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39"/>
        </w:trPr>
        <w:tc>
          <w:tcPr>
            <w:tcW w:w="2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Section 22.1.</w:t>
            </w:r>
          </w:p>
        </w:tc>
        <w:tc>
          <w:tcPr>
            <w:tcW w:w="69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Successors and Assigns</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22.2.</w:t>
            </w:r>
          </w:p>
        </w:tc>
        <w:tc>
          <w:tcPr>
            <w:tcW w:w="69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Accounting Terms</w:t>
            </w:r>
          </w:p>
        </w:tc>
        <w:tc>
          <w:tcPr>
            <w:tcW w:w="2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22.3.</w:t>
            </w:r>
          </w:p>
        </w:tc>
        <w:tc>
          <w:tcPr>
            <w:tcW w:w="69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2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22.4.</w:t>
            </w:r>
          </w:p>
        </w:tc>
        <w:tc>
          <w:tcPr>
            <w:tcW w:w="69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Construction, Etc</w:t>
            </w:r>
          </w:p>
        </w:tc>
        <w:tc>
          <w:tcPr>
            <w:tcW w:w="2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22.5.</w:t>
            </w:r>
          </w:p>
        </w:tc>
        <w:tc>
          <w:tcPr>
            <w:tcW w:w="69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Counterparts</w:t>
            </w:r>
          </w:p>
        </w:tc>
        <w:tc>
          <w:tcPr>
            <w:tcW w:w="2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r>
      <w:tr>
        <w:trPr>
          <w:trHeight w:val="243"/>
        </w:trPr>
        <w:tc>
          <w:tcPr>
            <w:tcW w:w="2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Section 22.6.</w:t>
            </w:r>
          </w:p>
        </w:tc>
        <w:tc>
          <w:tcPr>
            <w:tcW w:w="69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Governing Law</w:t>
            </w:r>
          </w:p>
        </w:tc>
        <w:tc>
          <w:tcPr>
            <w:tcW w:w="2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r>
      <w:tr>
        <w:trPr>
          <w:trHeight w:val="283"/>
        </w:trPr>
        <w:tc>
          <w:tcPr>
            <w:tcW w:w="2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Section 22.7.</w:t>
            </w:r>
          </w:p>
        </w:tc>
        <w:tc>
          <w:tcPr>
            <w:tcW w:w="69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Jurisdiction and Process; Waiver of Jury Trial</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459"/>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694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iv</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83"/>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A</w:t>
            </w:r>
          </w:p>
        </w:tc>
        <w:tc>
          <w:tcPr>
            <w:tcW w:w="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w:t>
            </w:r>
          </w:p>
        </w:tc>
        <w:tc>
          <w:tcPr>
            <w:tcW w:w="57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Defined Terms</w:t>
            </w:r>
          </w:p>
        </w:tc>
      </w:tr>
      <w:tr>
        <w:trPr>
          <w:trHeight w:val="459"/>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1-A</w:t>
            </w:r>
          </w:p>
        </w:tc>
        <w:tc>
          <w:tcPr>
            <w:tcW w:w="67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Form of 3.81% Senior Note, Series A, due June 15, 2029</w:t>
            </w:r>
          </w:p>
        </w:tc>
      </w:tr>
      <w:tr>
        <w:trPr>
          <w:trHeight w:val="459"/>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1-B</w:t>
            </w:r>
          </w:p>
        </w:tc>
        <w:tc>
          <w:tcPr>
            <w:tcW w:w="67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Form of 3.91% Senior Note, Series B, due June 15, 2031</w:t>
            </w:r>
          </w:p>
        </w:tc>
      </w:tr>
      <w:tr>
        <w:trPr>
          <w:trHeight w:val="486"/>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4.4(a)</w:t>
            </w:r>
          </w:p>
        </w:tc>
        <w:tc>
          <w:tcPr>
            <w:tcW w:w="67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Form of Opinion of Special Counsel for the Company</w:t>
            </w:r>
          </w:p>
        </w:tc>
      </w:tr>
      <w:tr>
        <w:trPr>
          <w:trHeight w:val="459"/>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4.4(b)</w:t>
            </w:r>
          </w:p>
        </w:tc>
        <w:tc>
          <w:tcPr>
            <w:tcW w:w="67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  Form of Opinion of Special Counsel for the Purchasers</w:t>
            </w:r>
          </w:p>
        </w:tc>
      </w:tr>
      <w:tr>
        <w:trPr>
          <w:trHeight w:val="459"/>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5.3</w:t>
            </w:r>
          </w:p>
        </w:tc>
        <w:tc>
          <w:tcPr>
            <w:tcW w:w="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w:t>
            </w:r>
          </w:p>
        </w:tc>
        <w:tc>
          <w:tcPr>
            <w:tcW w:w="57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Disclosure Materials</w:t>
            </w:r>
          </w:p>
        </w:tc>
      </w:tr>
      <w:tr>
        <w:trPr>
          <w:trHeight w:val="459"/>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5.4</w:t>
            </w:r>
          </w:p>
        </w:tc>
        <w:tc>
          <w:tcPr>
            <w:tcW w:w="67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w w:val="99"/>
              </w:rPr>
              <w:t>—  Subsidiaries of the Company and Ownership of Subsidiary Stock</w:t>
            </w:r>
          </w:p>
        </w:tc>
      </w:tr>
      <w:tr>
        <w:trPr>
          <w:trHeight w:val="486"/>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5.5</w:t>
            </w:r>
          </w:p>
        </w:tc>
        <w:tc>
          <w:tcPr>
            <w:tcW w:w="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w:t>
            </w:r>
          </w:p>
        </w:tc>
        <w:tc>
          <w:tcPr>
            <w:tcW w:w="57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Financial Statements</w:t>
            </w:r>
          </w:p>
        </w:tc>
      </w:tr>
      <w:tr>
        <w:trPr>
          <w:trHeight w:val="459"/>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5.15</w:t>
            </w:r>
          </w:p>
        </w:tc>
        <w:tc>
          <w:tcPr>
            <w:tcW w:w="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w:t>
            </w:r>
          </w:p>
        </w:tc>
        <w:tc>
          <w:tcPr>
            <w:tcW w:w="57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Existing Indebtedness</w:t>
            </w:r>
          </w:p>
        </w:tc>
      </w:tr>
      <w:tr>
        <w:trPr>
          <w:trHeight w:val="459"/>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5.18</w:t>
            </w:r>
          </w:p>
        </w:tc>
        <w:tc>
          <w:tcPr>
            <w:tcW w:w="980" w:type="dxa"/>
            <w:vAlign w:val="bottom"/>
          </w:tcPr>
          <w:p>
            <w:pPr>
              <w:spacing w:after="0"/>
              <w:rPr>
                <w:sz w:val="24"/>
                <w:szCs w:val="24"/>
                <w:color w:val="auto"/>
              </w:rPr>
            </w:pPr>
          </w:p>
        </w:tc>
        <w:tc>
          <w:tcPr>
            <w:tcW w:w="57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Environmental Matters</w:t>
            </w:r>
          </w:p>
        </w:tc>
      </w:tr>
      <w:tr>
        <w:trPr>
          <w:trHeight w:val="459"/>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10.6</w:t>
            </w:r>
          </w:p>
        </w:tc>
        <w:tc>
          <w:tcPr>
            <w:tcW w:w="980" w:type="dxa"/>
            <w:vAlign w:val="bottom"/>
          </w:tcPr>
          <w:p>
            <w:pPr>
              <w:spacing w:after="0"/>
              <w:rPr>
                <w:sz w:val="24"/>
                <w:szCs w:val="24"/>
                <w:color w:val="auto"/>
              </w:rPr>
            </w:pPr>
          </w:p>
        </w:tc>
        <w:tc>
          <w:tcPr>
            <w:tcW w:w="57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Existing Liens</w:t>
            </w:r>
          </w:p>
        </w:tc>
      </w:tr>
      <w:tr>
        <w:trPr>
          <w:trHeight w:val="459"/>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14.3</w:t>
            </w:r>
          </w:p>
        </w:tc>
        <w:tc>
          <w:tcPr>
            <w:tcW w:w="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w:t>
            </w:r>
          </w:p>
        </w:tc>
        <w:tc>
          <w:tcPr>
            <w:tcW w:w="57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Tax Compliance Certificate</w:t>
            </w:r>
          </w:p>
        </w:tc>
      </w:tr>
      <w:tr>
        <w:trPr>
          <w:trHeight w:val="459"/>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URCHASER</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CHEDULE</w:t>
            </w:r>
          </w:p>
        </w:tc>
        <w:tc>
          <w:tcPr>
            <w:tcW w:w="9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w:t>
            </w:r>
          </w:p>
        </w:tc>
        <w:tc>
          <w:tcPr>
            <w:tcW w:w="57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Information Relating to Purchasers</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v</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229870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99"/>
          </w:cols>
          <w:pgMar w:left="260" w:top="355"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ORO</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OMPANY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8111 L</w:t>
      </w:r>
      <w:r>
        <w:rPr>
          <w:rFonts w:ascii="Times New Roman" w:cs="Times New Roman" w:eastAsia="Times New Roman" w:hAnsi="Times New Roman"/>
          <w:sz w:val="14"/>
          <w:szCs w:val="14"/>
          <w:b w:val="1"/>
          <w:bCs w:val="1"/>
          <w:color w:val="auto"/>
        </w:rPr>
        <w:t>YNDALE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VENUE</w:t>
      </w:r>
    </w:p>
    <w:p>
      <w:pPr>
        <w:jc w:val="cente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OUTH</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LOOMINGTON</w:t>
      </w:r>
      <w:r>
        <w:rPr>
          <w:rFonts w:ascii="Times New Roman" w:cs="Times New Roman" w:eastAsia="Times New Roman" w:hAnsi="Times New Roman"/>
          <w:sz w:val="22"/>
          <w:szCs w:val="22"/>
          <w:b w:val="1"/>
          <w:bCs w:val="1"/>
          <w:color w:val="auto"/>
        </w:rPr>
        <w:t>, MN 55420</w:t>
      </w:r>
    </w:p>
    <w:p>
      <w:pPr>
        <w:spacing w:after="0" w:line="18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$100,000,000 3.81% Senior Notes, Series A, due June 15, 2029</w:t>
      </w:r>
    </w:p>
    <w:p>
      <w:pPr>
        <w:spacing w:after="0" w:line="1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$100,000,000 3.91% Senior Notes, Series B, due June 15, 2031</w:t>
      </w:r>
    </w:p>
    <w:p>
      <w:pPr>
        <w:spacing w:after="0" w:line="3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April 30, 2019</w:t>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O</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ACH OF THE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URCHASERS</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ISTED IN</w:t>
      </w:r>
    </w:p>
    <w:p>
      <w:pPr>
        <w:spacing w:after="0" w:line="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21"/>
          <w:szCs w:val="21"/>
          <w:color w:val="auto"/>
        </w:rPr>
        <w:t>P</w:t>
      </w:r>
      <w:r>
        <w:rPr>
          <w:rFonts w:ascii="Times New Roman" w:cs="Times New Roman" w:eastAsia="Times New Roman" w:hAnsi="Times New Roman"/>
          <w:sz w:val="15"/>
          <w:szCs w:val="15"/>
          <w:color w:val="auto"/>
        </w:rPr>
        <w:t xml:space="preserve">URCHASER </w:t>
      </w:r>
      <w:r>
        <w:rPr>
          <w:rFonts w:ascii="Times New Roman" w:cs="Times New Roman" w:eastAsia="Times New Roman" w:hAnsi="Times New Roman"/>
          <w:sz w:val="21"/>
          <w:szCs w:val="21"/>
          <w:color w:val="auto"/>
        </w:rPr>
        <w:t>S</w:t>
      </w:r>
      <w:r>
        <w:rPr>
          <w:rFonts w:ascii="Times New Roman" w:cs="Times New Roman" w:eastAsia="Times New Roman" w:hAnsi="Times New Roman"/>
          <w:sz w:val="15"/>
          <w:szCs w:val="15"/>
          <w:color w:val="auto"/>
        </w:rPr>
        <w:t xml:space="preserve">CHEDULE </w:t>
      </w:r>
      <w:r>
        <w:rPr>
          <w:rFonts w:ascii="Times New Roman" w:cs="Times New Roman" w:eastAsia="Times New Roman" w:hAnsi="Times New Roman"/>
          <w:sz w:val="21"/>
          <w:szCs w:val="21"/>
          <w:color w:val="auto"/>
        </w:rPr>
        <w:t>H</w:t>
      </w:r>
      <w:r>
        <w:rPr>
          <w:rFonts w:ascii="Times New Roman" w:cs="Times New Roman" w:eastAsia="Times New Roman" w:hAnsi="Times New Roman"/>
          <w:sz w:val="15"/>
          <w:szCs w:val="15"/>
          <w:color w:val="auto"/>
        </w:rPr>
        <w:t>ERETO</w:t>
      </w:r>
      <w:r>
        <w:rPr>
          <w:rFonts w:ascii="Times New Roman" w:cs="Times New Roman" w:eastAsia="Times New Roman" w:hAnsi="Times New Roman"/>
          <w:sz w:val="21"/>
          <w:szCs w:val="21"/>
          <w:color w:val="auto"/>
        </w:rPr>
        <w: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xml:space="preserve">The Toro Company,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agrees with each of the Purchasers as follows:</w:t>
      </w:r>
    </w:p>
    <w:p>
      <w:pPr>
        <w:spacing w:after="0" w:line="287"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1.</w:t>
      </w:r>
      <w:r>
        <w:rPr>
          <w:sz w:val="20"/>
          <w:szCs w:val="20"/>
          <w:color w:val="auto"/>
        </w:rPr>
        <w:tab/>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UTHORIZATION OF</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OTES AND</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NCREMENTAL</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EVERAGE</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4"/>
          <w:szCs w:val="14"/>
          <w:b w:val="1"/>
          <w:bCs w:val="1"/>
          <w:color w:val="auto"/>
        </w:rPr>
        <w:t>EE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1.1. Authorization of Notes. </w:t>
      </w:r>
      <w:r>
        <w:rPr>
          <w:rFonts w:ascii="Times New Roman" w:cs="Times New Roman" w:eastAsia="Times New Roman" w:hAnsi="Times New Roman"/>
          <w:sz w:val="22"/>
          <w:szCs w:val="22"/>
          <w:color w:val="auto"/>
        </w:rPr>
        <w:t>The Company will authorize the issue and sale of (i) $100,000,000 aggregate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principal amount of its 3.81% Senior Notes, Series A, due June 15, 2029 (the </w:t>
      </w:r>
      <w:r>
        <w:rPr>
          <w:rFonts w:ascii="Times New Roman" w:cs="Times New Roman" w:eastAsia="Times New Roman" w:hAnsi="Times New Roman"/>
          <w:sz w:val="22"/>
          <w:szCs w:val="22"/>
          <w:b w:val="1"/>
          <w:bCs w:val="1"/>
          <w:color w:val="auto"/>
        </w:rPr>
        <w:t>“Series A Notes”</w:t>
      </w:r>
      <w:r>
        <w:rPr>
          <w:rFonts w:ascii="Times New Roman" w:cs="Times New Roman" w:eastAsia="Times New Roman" w:hAnsi="Times New Roman"/>
          <w:sz w:val="22"/>
          <w:szCs w:val="22"/>
          <w:color w:val="auto"/>
        </w:rPr>
        <w:t xml:space="preserve">) and (ii) $100,000,000 aggregate principal amount of its 3.91% Senior Notes, Series B, due June 15, 2031 (the </w:t>
      </w:r>
      <w:r>
        <w:rPr>
          <w:rFonts w:ascii="Times New Roman" w:cs="Times New Roman" w:eastAsia="Times New Roman" w:hAnsi="Times New Roman"/>
          <w:sz w:val="22"/>
          <w:szCs w:val="22"/>
          <w:b w:val="1"/>
          <w:bCs w:val="1"/>
          <w:color w:val="auto"/>
        </w:rPr>
        <w:t>“Series B Notes”</w:t>
      </w:r>
      <w:r>
        <w:rPr>
          <w:rFonts w:ascii="Times New Roman" w:cs="Times New Roman" w:eastAsia="Times New Roman" w:hAnsi="Times New Roman"/>
          <w:sz w:val="22"/>
          <w:szCs w:val="22"/>
          <w:color w:val="auto"/>
        </w:rPr>
        <w:t xml:space="preserve">, together with the Series A Notes,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The Notes shall be substantially in the form set out in Schedule 1-A and Schedule 1-B, respectively. Certain capitalized and other terms used in this Agreement are defined in Schedule A and, for purposes of this Agreement, the rules of construction set forth in Section 22.4 shall govern.</w:t>
      </w:r>
    </w:p>
    <w:p>
      <w:pPr>
        <w:spacing w:after="0" w:line="216"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Section 1.2. Incremental Leverage Fee. </w:t>
      </w:r>
      <w:r>
        <w:rPr>
          <w:rFonts w:ascii="Times New Roman" w:cs="Times New Roman" w:eastAsia="Times New Roman" w:hAnsi="Times New Roman"/>
          <w:sz w:val="22"/>
          <w:szCs w:val="22"/>
          <w:color w:val="auto"/>
        </w:rPr>
        <w:t>(a) If the Leverage Ratio exceeds 3.50 to 1.00 as permitted by Section 10.8,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as evidenced by an Officer’s Certificate delivered pursuant to Section 7.2(a), an incremental leverage fee shall be due on the Notes in an aggregate amount equal to 0.50% of the aggregate outstanding principal amount of the Notes per annum, which shall be due and payable on the Notes as and to the extent provided in Section 1.2(b) below (the </w:t>
      </w:r>
      <w:r>
        <w:rPr>
          <w:rFonts w:ascii="Times New Roman" w:cs="Times New Roman" w:eastAsia="Times New Roman" w:hAnsi="Times New Roman"/>
          <w:sz w:val="22"/>
          <w:szCs w:val="22"/>
          <w:b w:val="1"/>
          <w:bCs w:val="1"/>
          <w:color w:val="auto"/>
        </w:rPr>
        <w:t>“Incremental Leverage Fee”</w:t>
      </w:r>
      <w:r>
        <w:rPr>
          <w:rFonts w:ascii="Times New Roman" w:cs="Times New Roman" w:eastAsia="Times New Roman" w:hAnsi="Times New Roman"/>
          <w:sz w:val="22"/>
          <w:szCs w:val="22"/>
          <w:color w:val="auto"/>
        </w:rPr>
        <w:t>). Such Incremental Leverage Fee shall begin to accrue on the first day of the fiscal quarter following the fiscal quarter in respect of which such Officer’s Certificate was delivered, and shall continue to accrue until the Company has provided an Officer’s Certificate pursuant to Section 7.2(a) demonstrating that, as of the last day of the fiscal quarter in respect of which such Officer’s Certificate is delivered, the Leverage Ratio is not more than 3.50 to 1.00. In the event such Officer’s Certificate evidencing that the Consolidated Leverage Ratio is not more than 3.50 to 1.00 is delivered, the Incremental Leverage Fee shall cease to accrue on and as of the last day of the fiscal quarter in respect of which such Officer’s Certificate is delivered.</w:t>
      </w:r>
    </w:p>
    <w:p>
      <w:pPr>
        <w:spacing w:after="0" w:line="211" w:lineRule="exact"/>
        <w:rPr>
          <w:sz w:val="20"/>
          <w:szCs w:val="20"/>
          <w:color w:val="auto"/>
        </w:rPr>
      </w:pPr>
    </w:p>
    <w:p>
      <w:pPr>
        <w:jc w:val="both"/>
        <w:ind w:firstLine="885"/>
        <w:spacing w:after="0" w:line="244" w:lineRule="auto"/>
        <w:tabs>
          <w:tab w:leader="none" w:pos="177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10 Business Days of the delivery of an Officer’s Certificate pursuant to Section 7.2(a) for any fiscal quarter in which the Incremental Leverage Fee accrued, the Company shall pay to each holder of a Note the amount attributable to the Incremental Leverage Fee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1" w:name="page12"/>
    <w:bookmarkEnd w:id="11"/>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8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“Incremental Leverage Fee Payment”</w:t>
      </w:r>
      <w:r>
        <w:rPr>
          <w:rFonts w:ascii="Times New Roman" w:cs="Times New Roman" w:eastAsia="Times New Roman" w:hAnsi="Times New Roman"/>
          <w:sz w:val="22"/>
          <w:szCs w:val="22"/>
          <w:color w:val="auto"/>
        </w:rPr>
        <w:t>) which shall be the product of (i) the aggregate outstanding principal amount of Notes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such holder (or its predecessor(s) in interest, to the extent of the aggregate outstanding principal amount of Notes transferred by such predecessor(s) in interest to such holder) as of the first day that the Incremental Leverage Fee begins to accrue with respect to the period covered by such Officer’s Certificate, (ii) 0.50% (to reflect the Incremental Leverage Fee) and (iii) 0.25 (to reflect that the Incremental Leverage Fee is payable quarterly). The Incremental Leverage Fee Payment, if any, shall be paid by wire transfer of immediately available funds to each holder of the Notes in accordance with the terms of this Agreement. The Company, the Purchasers and each holder agree that, for purposes of the Code, the Incremental Leverage Fee Payment constitutes additional interest.</w:t>
      </w:r>
    </w:p>
    <w:p>
      <w:pPr>
        <w:spacing w:after="0" w:line="210" w:lineRule="exact"/>
        <w:rPr>
          <w:sz w:val="20"/>
          <w:szCs w:val="20"/>
          <w:color w:val="auto"/>
        </w:rPr>
      </w:pPr>
    </w:p>
    <w:p>
      <w:pPr>
        <w:ind w:left="1780" w:hanging="895"/>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no Incremental Leverage Fee will be used in calculating any Make-Whole Amount.</w:t>
      </w:r>
    </w:p>
    <w:p>
      <w:pPr>
        <w:spacing w:after="0" w:line="283"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2.</w:t>
      </w:r>
      <w:r>
        <w:rPr>
          <w:sz w:val="20"/>
          <w:szCs w:val="20"/>
          <w:color w:val="auto"/>
        </w:rPr>
        <w:tab/>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ALE AND</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URCHASE OF</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OTES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877"/>
        <w:spacing w:after="0" w:line="256" w:lineRule="exact"/>
        <w:rPr>
          <w:sz w:val="20"/>
          <w:szCs w:val="20"/>
          <w:color w:val="auto"/>
        </w:rPr>
      </w:pPr>
      <w:r>
        <w:rPr>
          <w:rFonts w:ascii="Times New Roman" w:cs="Times New Roman" w:eastAsia="Times New Roman" w:hAnsi="Times New Roman"/>
          <w:sz w:val="22"/>
          <w:szCs w:val="22"/>
          <w:color w:val="auto"/>
        </w:rPr>
        <w:t>Subject to the terms and conditions of this Agreement, the Company will issue and sell to each Purchaser and each Purchaser will purchase from the Company, at the Closing provided for in Section 3, Notes in the principal amount specified opposite such Purchaser’s name in the Purchaser Schedule at the purchase price of 100% of the principal amount thereof. The Purchasers’ obligations hereunder are several and not joint obligations and no Purchaser shall have any liability to any Person for the performance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performance of any obligation by any other Purchaser hereunder.</w:t>
      </w:r>
    </w:p>
    <w:p>
      <w:pPr>
        <w:spacing w:after="0" w:line="220"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3.</w:t>
      </w:r>
      <w:r>
        <w:rPr>
          <w:sz w:val="20"/>
          <w:szCs w:val="20"/>
          <w:color w:val="auto"/>
        </w:rPr>
        <w:tab/>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LOSING</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both"/>
        <w:ind w:firstLine="877"/>
        <w:spacing w:after="0" w:line="233" w:lineRule="auto"/>
        <w:rPr>
          <w:sz w:val="20"/>
          <w:szCs w:val="20"/>
          <w:color w:val="auto"/>
        </w:rPr>
      </w:pPr>
      <w:r>
        <w:rPr>
          <w:rFonts w:ascii="Times New Roman" w:cs="Times New Roman" w:eastAsia="Times New Roman" w:hAnsi="Times New Roman"/>
          <w:sz w:val="22"/>
          <w:szCs w:val="22"/>
          <w:color w:val="auto"/>
        </w:rPr>
        <w:t xml:space="preserve">This Agreement shall be executed and delivered in advance of the Closing at the offices of Chapman and Cutler LLP, 111 West Monroe Street, Chicago, IL 60603, on April 30, 2019. The sale and purchase of the Notes to be purchased by each Purchaser shall occur at the offices of Chapman and Cutler LLP, 111 West Monroe Street, Chicago, IL 60603, at 10:00 a.m., Chicago time, at a closing (the </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on any date on or before June 27, 2019 as the Company may select with at least five (5) Business Days written notice to the Purchasers in accordance with Section 4.12. At the Closing the Company will deliver to each Purchaser the Notes of each Series to be purchased by such Purchaser in the form of a single Note (or such greater number of Notes in denominations of at least $100,000 as such Purchaser may request) of such Series in the amount purchased, dated the date of the Closing and registered in such Purchaser’s name (or in the name of its nominee), against delivery by such Purchaser to the Company or its order of immediately available funds in the amount of the purchase price therefor by wire transfer of immediately available funds for the account of the Company pursuant to wire instructions to be provided to the Purchasers by the Company at least five (5) Business Days prior to the Closing. If at the Closing the Company shall fail to tender such Notes to any Purchaser as provided above in this Section 3, or any of the conditions specified in Section 4 shall not have been fulfilled to such Purchaser’s satisfaction, such Purchaser shall, at its election, be relieved of all further obligations under this Agreement, without thereby waiving any rights such Purchaser may have by reason of such failure by the Company to tender such Notes or any of the conditions specified in Section 4 not having been fulfilled to such Purchaser’s satisfaction.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313"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4.</w:t>
      </w:r>
      <w:r>
        <w:rPr>
          <w:sz w:val="20"/>
          <w:szCs w:val="20"/>
          <w:color w:val="auto"/>
        </w:rPr>
        <w:tab/>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ONDITIONS TO</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LOSING</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both"/>
        <w:ind w:right="20" w:firstLine="877"/>
        <w:spacing w:after="0" w:line="258" w:lineRule="auto"/>
        <w:rPr>
          <w:sz w:val="20"/>
          <w:szCs w:val="20"/>
          <w:color w:val="auto"/>
        </w:rPr>
      </w:pPr>
      <w:r>
        <w:rPr>
          <w:rFonts w:ascii="Times New Roman" w:cs="Times New Roman" w:eastAsia="Times New Roman" w:hAnsi="Times New Roman"/>
          <w:sz w:val="22"/>
          <w:szCs w:val="22"/>
          <w:color w:val="auto"/>
        </w:rPr>
        <w:t>Each Purchaser’s obligation to purchase and pay for the Notes to be sold to such Purchaser at the Closing is subject to the fulfillment to such Purchaser’s satisfaction, prior to or at the Closing, of the following conditions:</w:t>
      </w:r>
    </w:p>
    <w:p>
      <w:pPr>
        <w:spacing w:after="0" w:line="181"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Section 4.1. Representations and Warranties</w:t>
      </w:r>
      <w:r>
        <w:rPr>
          <w:rFonts w:ascii="Times New Roman" w:cs="Times New Roman" w:eastAsia="Times New Roman" w:hAnsi="Times New Roman"/>
          <w:sz w:val="22"/>
          <w:szCs w:val="22"/>
          <w:color w:val="auto"/>
        </w:rPr>
        <w:t>. The representations and warranties of the Company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correct when made and at the Closing.</w:t>
      </w:r>
    </w:p>
    <w:p>
      <w:pPr>
        <w:spacing w:after="0" w:line="190"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Section 4.2. Performance; No Default</w:t>
      </w:r>
      <w:r>
        <w:rPr>
          <w:rFonts w:ascii="Times New Roman" w:cs="Times New Roman" w:eastAsia="Times New Roman" w:hAnsi="Times New Roman"/>
          <w:sz w:val="22"/>
          <w:szCs w:val="22"/>
          <w:color w:val="auto"/>
        </w:rPr>
        <w:t>. The Company shall have performed and complied with all agreements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contained in this Agreement required to be performed or complied with by it prior to or at the Closing. From the date of this Agreement until the Closing, before and after giving effect to the issue and sale of the Notes (and the application of the proceeds thereof as contemplated by Section 5.14), (i) no Default or Event of Default shall have occurred and be continuing, and</w:t>
      </w:r>
    </w:p>
    <w:p>
      <w:pPr>
        <w:spacing w:after="0" w:line="1" w:lineRule="exact"/>
        <w:rPr>
          <w:sz w:val="20"/>
          <w:szCs w:val="20"/>
          <w:color w:val="auto"/>
        </w:rPr>
      </w:pPr>
    </w:p>
    <w:p>
      <w:pPr>
        <w:jc w:val="both"/>
        <w:ind w:firstLine="8"/>
        <w:spacing w:after="0" w:line="235" w:lineRule="auto"/>
        <w:tabs>
          <w:tab w:leader="none" w:pos="33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Change of Control or Control Event shall have occurred. Neither the Company nor any Subsidiary shall have entered into any transaction since the date of the Investor Presentation that would have been prohibited by Section 10 had such Section applied since such date.</w:t>
      </w:r>
    </w:p>
    <w:p>
      <w:pPr>
        <w:spacing w:after="0" w:line="215" w:lineRule="exact"/>
        <w:rPr>
          <w:sz w:val="20"/>
          <w:szCs w:val="20"/>
          <w:color w:val="auto"/>
        </w:rPr>
      </w:pPr>
    </w:p>
    <w:p>
      <w:pPr>
        <w:ind w:left="88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Section 4.3.</w:t>
      </w:r>
      <w:r>
        <w:rPr>
          <w:sz w:val="20"/>
          <w:szCs w:val="20"/>
          <w:color w:val="auto"/>
        </w:rPr>
        <w:tab/>
      </w:r>
      <w:r>
        <w:rPr>
          <w:rFonts w:ascii="Times New Roman" w:cs="Times New Roman" w:eastAsia="Times New Roman" w:hAnsi="Times New Roman"/>
          <w:sz w:val="21"/>
          <w:szCs w:val="21"/>
          <w:b w:val="1"/>
          <w:bCs w:val="1"/>
          <w:color w:val="auto"/>
        </w:rPr>
        <w:t>Compliance Certificates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firstLine="885"/>
        <w:spacing w:after="0" w:line="262" w:lineRule="auto"/>
        <w:tabs>
          <w:tab w:leader="none" w:pos="142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Officer’s Certificate</w:t>
      </w:r>
      <w:r>
        <w:rPr>
          <w:rFonts w:ascii="Times New Roman" w:cs="Times New Roman" w:eastAsia="Times New Roman" w:hAnsi="Times New Roman"/>
          <w:sz w:val="22"/>
          <w:szCs w:val="22"/>
          <w:color w:val="auto"/>
        </w:rPr>
        <w:t>. The Company shall have delivered to such Purchaser an Officer’s Certificate, dated the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Closing, certifying that the conditions specified in Sections 4.1, 4.2 and 4.9 have been fulfilled.</w:t>
      </w:r>
    </w:p>
    <w:p>
      <w:pPr>
        <w:spacing w:after="0" w:line="190" w:lineRule="exact"/>
        <w:rPr>
          <w:rFonts w:ascii="Times New Roman" w:cs="Times New Roman" w:eastAsia="Times New Roman" w:hAnsi="Times New Roman"/>
          <w:sz w:val="22"/>
          <w:szCs w:val="22"/>
          <w:color w:val="auto"/>
        </w:rPr>
      </w:pPr>
    </w:p>
    <w:p>
      <w:pPr>
        <w:jc w:val="both"/>
        <w:ind w:firstLine="885"/>
        <w:spacing w:after="0" w:line="241" w:lineRule="auto"/>
        <w:tabs>
          <w:tab w:leader="none" w:pos="154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Secretary’s Certificate</w:t>
      </w:r>
      <w:r>
        <w:rPr>
          <w:rFonts w:ascii="Times New Roman" w:cs="Times New Roman" w:eastAsia="Times New Roman" w:hAnsi="Times New Roman"/>
          <w:sz w:val="22"/>
          <w:szCs w:val="22"/>
          <w:color w:val="auto"/>
        </w:rPr>
        <w:t>. The Company shall have delivered to such Purchaser a certificate of its Secretary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Assistant Secretary, dated the date of the Closing, certifying as to (i) the resolutions attached thereto and other corporate proceedings relating to the authorization, execution and delivery of the Notes and this Agreement and (ii) the Company’s organizational documents as then in effect.</w:t>
      </w:r>
    </w:p>
    <w:p>
      <w:pPr>
        <w:spacing w:after="0" w:line="213" w:lineRule="exact"/>
        <w:rPr>
          <w:sz w:val="20"/>
          <w:szCs w:val="20"/>
          <w:color w:val="auto"/>
        </w:rPr>
      </w:pPr>
    </w:p>
    <w:p>
      <w:pPr>
        <w:jc w:val="both"/>
        <w:ind w:firstLine="877"/>
        <w:spacing w:after="0" w:line="248" w:lineRule="auto"/>
        <w:rPr>
          <w:sz w:val="20"/>
          <w:szCs w:val="20"/>
          <w:color w:val="auto"/>
        </w:rPr>
      </w:pPr>
      <w:r>
        <w:rPr>
          <w:rFonts w:ascii="Times New Roman" w:cs="Times New Roman" w:eastAsia="Times New Roman" w:hAnsi="Times New Roman"/>
          <w:sz w:val="21"/>
          <w:szCs w:val="21"/>
          <w:b w:val="1"/>
          <w:bCs w:val="1"/>
          <w:color w:val="auto"/>
        </w:rPr>
        <w:t>Section 4.4. Opinions of Counsel</w:t>
      </w:r>
      <w:r>
        <w:rPr>
          <w:rFonts w:ascii="Times New Roman" w:cs="Times New Roman" w:eastAsia="Times New Roman" w:hAnsi="Times New Roman"/>
          <w:sz w:val="21"/>
          <w:szCs w:val="21"/>
          <w:color w:val="auto"/>
        </w:rPr>
        <w:t>. Such Purchaser shall have received opinions in form and substance satisfactory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Purchaser, dated the date of the Closing (a) from Latham &amp; Watkins LLP, counsel for the Company, covering the matters set forth in Schedule 4.4(a) and covering such other matters incident to the transactions contemplated hereby as such Purchaser or its counsel may reasonably request (and the Company hereby instructs its counsel to deliver such opinion to the Purchasers) and</w:t>
      </w:r>
    </w:p>
    <w:p>
      <w:pPr>
        <w:spacing w:after="0" w:line="2" w:lineRule="exact"/>
        <w:rPr>
          <w:sz w:val="20"/>
          <w:szCs w:val="20"/>
          <w:color w:val="auto"/>
        </w:rPr>
      </w:pPr>
    </w:p>
    <w:p>
      <w:pPr>
        <w:jc w:val="both"/>
        <w:ind w:firstLine="8"/>
        <w:spacing w:after="0" w:line="235" w:lineRule="auto"/>
        <w:tabs>
          <w:tab w:leader="none" w:pos="31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Chapman and Cutler LLP, the Purchasers’ special counsel in connection with such transactions, substantially in the form set forth in Schedule 4.4(b) and covering such other matters incident to such transactions as such Purchaser may reasonably request.</w:t>
      </w:r>
    </w:p>
    <w:p>
      <w:pPr>
        <w:spacing w:after="0" w:line="201"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Section 4.5. Purchase Permitted By Applicable Law, Etc</w:t>
      </w:r>
      <w:r>
        <w:rPr>
          <w:rFonts w:ascii="Times New Roman" w:cs="Times New Roman" w:eastAsia="Times New Roman" w:hAnsi="Times New Roman"/>
          <w:sz w:val="22"/>
          <w:szCs w:val="22"/>
          <w:color w:val="auto"/>
        </w:rPr>
        <w:t>. On the date of the Closing such Purchaser’s purchase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Notes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3" w:name="page14"/>
    <w:bookmarkEnd w:id="13"/>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applicable law or regulation (including Regulation T, U or X of the Board of Governors of the Federal Reserve System) and (c) not subject such Purchaser to any tax, penalty or liability under or pursuant to any applicable law or regulation, which law or regulation was not in effect on the date hereof. If requested by such Purchaser at least five Business Days prior to the date of the Closing, such Purchaser shall have received an Officer’s Certificate certifying as to such matters of fact as such Purchaser may reasonably specify to enable such Purchaser to determine whether such purchase is so permitted.</w:t>
      </w:r>
    </w:p>
    <w:p>
      <w:pPr>
        <w:spacing w:after="0" w:line="200" w:lineRule="exact"/>
        <w:rPr>
          <w:sz w:val="20"/>
          <w:szCs w:val="20"/>
          <w:color w:val="auto"/>
        </w:rPr>
      </w:pPr>
    </w:p>
    <w:p>
      <w:pPr>
        <w:jc w:val="both"/>
        <w:ind w:firstLine="877"/>
        <w:spacing w:after="0" w:line="248" w:lineRule="auto"/>
        <w:rPr>
          <w:sz w:val="20"/>
          <w:szCs w:val="20"/>
          <w:color w:val="auto"/>
        </w:rPr>
      </w:pPr>
      <w:r>
        <w:rPr>
          <w:rFonts w:ascii="Times New Roman" w:cs="Times New Roman" w:eastAsia="Times New Roman" w:hAnsi="Times New Roman"/>
          <w:sz w:val="22"/>
          <w:szCs w:val="22"/>
          <w:b w:val="1"/>
          <w:bCs w:val="1"/>
          <w:color w:val="auto"/>
        </w:rPr>
        <w:t>Section 4.6. Sale of Other Notes</w:t>
      </w:r>
      <w:r>
        <w:rPr>
          <w:rFonts w:ascii="Times New Roman" w:cs="Times New Roman" w:eastAsia="Times New Roman" w:hAnsi="Times New Roman"/>
          <w:sz w:val="22"/>
          <w:szCs w:val="22"/>
          <w:color w:val="auto"/>
        </w:rPr>
        <w:t>. Contemporaneously with the Closing the Company shall sell to each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Purchaser and each other Purchaser shall purchase the Notes to be purchased by it at the Closing as specified in the Purchaser Schedule.</w:t>
      </w:r>
    </w:p>
    <w:p>
      <w:pPr>
        <w:spacing w:after="0" w:line="200" w:lineRule="exact"/>
        <w:rPr>
          <w:sz w:val="20"/>
          <w:szCs w:val="20"/>
          <w:color w:val="auto"/>
        </w:rPr>
      </w:pPr>
    </w:p>
    <w:p>
      <w:pPr>
        <w:spacing w:after="0" w:line="263"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Section 4.7. Payment of Special Counsel Fees</w:t>
      </w:r>
      <w:r>
        <w:rPr>
          <w:rFonts w:ascii="Times New Roman" w:cs="Times New Roman" w:eastAsia="Times New Roman" w:hAnsi="Times New Roman"/>
          <w:sz w:val="22"/>
          <w:szCs w:val="22"/>
          <w:color w:val="auto"/>
        </w:rPr>
        <w:t>. Without limiting Section 15.1, the Company shall have paid 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before the Closing the reasonable and documented fees, charges and disbursements of the Purchasers’ special counsel referred to in Section 4.4 to the extent reflected in a statement of such counsel rendered to the Company at least one Business Day prior to the Closing.</w:t>
      </w:r>
    </w:p>
    <w:p>
      <w:pPr>
        <w:spacing w:after="0" w:line="213"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Section 4.8. Private Placement Number</w:t>
      </w:r>
      <w:r>
        <w:rPr>
          <w:rFonts w:ascii="Times New Roman" w:cs="Times New Roman" w:eastAsia="Times New Roman" w:hAnsi="Times New Roman"/>
          <w:sz w:val="22"/>
          <w:szCs w:val="22"/>
          <w:color w:val="auto"/>
        </w:rPr>
        <w:t>. A Private Placement Number issued by Standard &amp; Poor’s CUSIP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Bureau (in cooperation with the SVO) shall have been obtained for each Series of the Notes.</w:t>
      </w:r>
    </w:p>
    <w:p>
      <w:pPr>
        <w:spacing w:after="0" w:line="177"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Section 4.9. Changes in Corporate Structure</w:t>
      </w:r>
      <w:r>
        <w:rPr>
          <w:rFonts w:ascii="Times New Roman" w:cs="Times New Roman" w:eastAsia="Times New Roman" w:hAnsi="Times New Roman"/>
          <w:sz w:val="22"/>
          <w:szCs w:val="22"/>
          <w:color w:val="auto"/>
        </w:rPr>
        <w:t>. The Company shall not have changed its jurisdiction of incorporation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organization, as applicable, or been a party to any merger or consolidation or succeeded to all or any substantial part of the liabilities of any other entity, at any time following the date of the most recent financial statements referred to in Schedule 5.5 (it being understood that after the date of such financial statements, the Company completed its acquisition of Charles Machine Works, which was consummated via merger of a Subsidiary of the Company with and into Charles Machine Works).</w:t>
      </w:r>
    </w:p>
    <w:p>
      <w:pPr>
        <w:spacing w:after="0" w:line="218"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4.10. Funding Instructions </w:t>
      </w:r>
      <w:r>
        <w:rPr>
          <w:rFonts w:ascii="Times New Roman" w:cs="Times New Roman" w:eastAsia="Times New Roman" w:hAnsi="Times New Roman"/>
          <w:sz w:val="22"/>
          <w:szCs w:val="22"/>
          <w:color w:val="auto"/>
        </w:rPr>
        <w:t>. At least three Business Days prior to the date of the Closing, each Purchaser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received written instructions signed by a Responsible Officer on letterhead of the Company confirming the information specified in Section 3 including (i) the name and address of the transferee bank, (ii) such transferee bank’s ABA number and (iii) the account name and number into which the purchase price for the Notes is to be deposited.</w:t>
      </w:r>
    </w:p>
    <w:p>
      <w:pPr>
        <w:spacing w:after="0" w:line="213"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Section 4.11. Proceedings and Documents</w:t>
      </w:r>
      <w:r>
        <w:rPr>
          <w:rFonts w:ascii="Times New Roman" w:cs="Times New Roman" w:eastAsia="Times New Roman" w:hAnsi="Times New Roman"/>
          <w:sz w:val="22"/>
          <w:szCs w:val="22"/>
          <w:color w:val="auto"/>
        </w:rPr>
        <w:t>. All corporate and other proceedings in connection with the transactions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contemplated by this Agreement and all documents and instruments incident to such transactions shall be satisfactory to such Purchaser and its special counsel, and such Purchaser and its special counsel shall have received all such counterpart originals or certified or other copies of such documents as such Purchaser or such special counsel may reasonably request.</w:t>
      </w:r>
    </w:p>
    <w:p>
      <w:pPr>
        <w:spacing w:after="0" w:line="199"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Section 4.12. Notice of Date of Closing</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least five (5) Business Days prior to the date of the Closing,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Purchaser shall have received written notice signed by a Responsible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4" w:name="page15"/>
    <w:bookmarkEnd w:id="14"/>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Officer on letterhead of the Company confirming the date of the Closing applicable to such Notes based on such date selected for the Closing.</w:t>
      </w:r>
    </w:p>
    <w:p>
      <w:pPr>
        <w:spacing w:after="0" w:line="222"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5.</w:t>
      </w:r>
      <w:r>
        <w:rPr>
          <w:sz w:val="20"/>
          <w:szCs w:val="20"/>
          <w:color w:val="auto"/>
        </w:rPr>
        <w:tab/>
      </w: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EPRESENTATIONS AND</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ARRANTIES OF THE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Provided, that solely in the case of representations and warranties made with respect to Charles Machine Works and its Subsidiaries on the date of this Agreement (and for avoidance of doubt, not in the case of such representations and warranties made as of the date of the Closing), such representations and warranties are given to the best knowledge of the Company, the Company represents and warrants to each Purchaser that, as of the date of this Agreement and the Closing:</w:t>
      </w:r>
    </w:p>
    <w:p>
      <w:pPr>
        <w:spacing w:after="0" w:line="217"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Section 5.1. Organization; Power and Authority</w:t>
      </w:r>
      <w:r>
        <w:rPr>
          <w:rFonts w:ascii="Times New Roman" w:cs="Times New Roman" w:eastAsia="Times New Roman" w:hAnsi="Times New Roman"/>
          <w:sz w:val="22"/>
          <w:szCs w:val="22"/>
          <w:color w:val="auto"/>
        </w:rPr>
        <w:t>. The Company is a corporation duly organized, validly existing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good standing under the laws of its jurisdiction of incorporation, and is duly qualified as a foreign corporation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and the Notes and to perform the provisions hereof and thereof.</w:t>
      </w:r>
    </w:p>
    <w:p>
      <w:pPr>
        <w:spacing w:after="0" w:line="217"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Section 5.2. Authorization, Etc</w:t>
      </w:r>
      <w:r>
        <w:rPr>
          <w:rFonts w:ascii="Times New Roman" w:cs="Times New Roman" w:eastAsia="Times New Roman" w:hAnsi="Times New Roman"/>
          <w:sz w:val="22"/>
          <w:szCs w:val="22"/>
          <w:color w:val="auto"/>
        </w:rPr>
        <w:t>. This Agreement and the Notes have been duly authorized by all necessary corporate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action on the part of the Company, and this Agreement constitutes, and upon execution and delivery thereof each Note will constitute, a legal, valid and binding obligation of the Company enforceable against the Company in accordance with its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203" w:lineRule="exact"/>
        <w:rPr>
          <w:sz w:val="20"/>
          <w:szCs w:val="20"/>
          <w:color w:val="auto"/>
        </w:rPr>
      </w:pPr>
    </w:p>
    <w:p>
      <w:pPr>
        <w:jc w:val="both"/>
        <w:ind w:firstLine="877"/>
        <w:spacing w:after="0" w:line="245" w:lineRule="auto"/>
        <w:rPr>
          <w:sz w:val="20"/>
          <w:szCs w:val="20"/>
          <w:color w:val="auto"/>
        </w:rPr>
      </w:pPr>
      <w:r>
        <w:rPr>
          <w:rFonts w:ascii="Times New Roman" w:cs="Times New Roman" w:eastAsia="Times New Roman" w:hAnsi="Times New Roman"/>
          <w:sz w:val="21"/>
          <w:szCs w:val="21"/>
          <w:b w:val="1"/>
          <w:bCs w:val="1"/>
          <w:color w:val="auto"/>
        </w:rPr>
        <w:t>Section 5.3. Disclosure</w:t>
      </w:r>
      <w:r>
        <w:rPr>
          <w:rFonts w:ascii="Times New Roman" w:cs="Times New Roman" w:eastAsia="Times New Roman" w:hAnsi="Times New Roman"/>
          <w:sz w:val="21"/>
          <w:szCs w:val="21"/>
          <w:color w:val="auto"/>
        </w:rPr>
        <w:t>. The Company, through its agent, Merrill Lynch, Pierce, Fenner &amp; Smith Incorporated, has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delivered to each Purchaser a copy of a Private Placement Investor Presentation posted to IntraLinks on March 20, 2019 (the </w:t>
      </w:r>
      <w:r>
        <w:rPr>
          <w:rFonts w:ascii="Times New Roman" w:cs="Times New Roman" w:eastAsia="Times New Roman" w:hAnsi="Times New Roman"/>
          <w:sz w:val="21"/>
          <w:szCs w:val="21"/>
          <w:b w:val="1"/>
          <w:bCs w:val="1"/>
          <w:color w:val="auto"/>
        </w:rPr>
        <w:t>“Investor Presentation”</w:t>
      </w:r>
      <w:r>
        <w:rPr>
          <w:rFonts w:ascii="Times New Roman" w:cs="Times New Roman" w:eastAsia="Times New Roman" w:hAnsi="Times New Roman"/>
          <w:sz w:val="21"/>
          <w:szCs w:val="21"/>
          <w:color w:val="auto"/>
        </w:rPr>
        <w:t>), relating to the transactions contemplated hereby. The Investor Presentation, taken together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Disclosure Documents fairly describes, in all material respects, the general nature of the business of the Company and its Subsidiaries. This Agreement, the Investor Presentation, the financial statements listed in Schedule 5.5 and the documents, certificates or other writings delivered to the Purchasers by or on behalf of the Company prior to April 3, 2019 in connection with the transactions contemplated hereby and identified in Schedule 5.3 (this Agreement, the Investor Presentation and such documents, certificates or other writings and such financial statements delivered to each Purchaser being referred to, collectively, as the </w:t>
      </w:r>
      <w:r>
        <w:rPr>
          <w:rFonts w:ascii="Times New Roman" w:cs="Times New Roman" w:eastAsia="Times New Roman" w:hAnsi="Times New Roman"/>
          <w:sz w:val="21"/>
          <w:szCs w:val="21"/>
          <w:b w:val="1"/>
          <w:bCs w:val="1"/>
          <w:color w:val="auto"/>
        </w:rPr>
        <w:t>“Disclosure Documents”</w:t>
      </w:r>
      <w:r>
        <w:rPr>
          <w:rFonts w:ascii="Times New Roman" w:cs="Times New Roman" w:eastAsia="Times New Roman" w:hAnsi="Times New Roman"/>
          <w:sz w:val="21"/>
          <w:szCs w:val="21"/>
          <w:color w:val="auto"/>
        </w:rPr>
        <w:t xml:space="preserve">), taken as a whole, do not contain any untrue statement of a material fact or omit to state any material fact necessary to make the statements therein not misleading in light of the circumstances under which they were made;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with respect to any projections, estimates and other forward looking information, the Company represents only that such information was prepared in good faith based upon assumptions believed to be reasonable at the time. Except as disclosed in the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 w:name="page16"/>
    <w:bookmarkEnd w:id="15"/>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Disclosure Documents, since October 31, 2018, there has been no change in the financial condition, operations, business, properties of the Company or any Subsidiary except changes that could not, individually or in the aggregate, reasonably be expected to have a Material Adverse Effect. There is no fact known to the Company that could reasonably be expected to have a Material Adverse Effect that has not been set forth herein or in the Disclosure Documents.</w:t>
      </w:r>
    </w:p>
    <w:p>
      <w:pPr>
        <w:spacing w:after="0" w:line="204"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Section 5.4. Organization and Ownership of Shares of Subsidiaries; Affiliates</w:t>
      </w:r>
      <w:r>
        <w:rPr>
          <w:rFonts w:ascii="Times New Roman" w:cs="Times New Roman" w:eastAsia="Times New Roman" w:hAnsi="Times New Roman"/>
          <w:sz w:val="22"/>
          <w:szCs w:val="22"/>
          <w:color w:val="auto"/>
        </w:rPr>
        <w:t>. (a) Schedule 5.4 contains (except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noted therein) complete and correct lists of (i) the Company’s Subsidiaries, showing, as to each Subsidiary, the name thereof, the jurisdiction of its organization, the percentage of shares of each class of its capital stock or similar equity interests outstanding owned by the Company and each other Subsidiary and whether such Subsidiary is a Subsidiary Guarantor and (ii) the Company’s directors and senior officers as of the date of this Agreement.</w:t>
      </w:r>
    </w:p>
    <w:p>
      <w:pPr>
        <w:spacing w:after="0" w:line="222" w:lineRule="exact"/>
        <w:rPr>
          <w:sz w:val="20"/>
          <w:szCs w:val="20"/>
          <w:color w:val="auto"/>
        </w:rPr>
      </w:pPr>
    </w:p>
    <w:p>
      <w:pPr>
        <w:jc w:val="both"/>
        <w:ind w:firstLine="885"/>
        <w:spacing w:after="0" w:line="257" w:lineRule="exact"/>
        <w:tabs>
          <w:tab w:leader="none" w:pos="17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outstanding shares of capital stock or similar equity interests of each Subsidiary shown in Schedule 5.4 as being owned by the Company and its Subsidiaries have been validly issued, are fully paid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assessable and are owned by the Company or another Subsidiary free and clear of any Lien that is prohibited by this Agreement.</w:t>
      </w:r>
    </w:p>
    <w:p>
      <w:pPr>
        <w:spacing w:after="0" w:line="217" w:lineRule="exact"/>
        <w:rPr>
          <w:rFonts w:ascii="Times New Roman" w:cs="Times New Roman" w:eastAsia="Times New Roman" w:hAnsi="Times New Roman"/>
          <w:sz w:val="22"/>
          <w:szCs w:val="22"/>
          <w:color w:val="auto"/>
        </w:rPr>
      </w:pPr>
    </w:p>
    <w:p>
      <w:pPr>
        <w:jc w:val="both"/>
        <w:ind w:firstLine="885"/>
        <w:spacing w:after="0" w:line="235" w:lineRule="auto"/>
        <w:tabs>
          <w:tab w:leader="none" w:pos="176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Subsidiary is a corporation or other legal entity duly organized, validly existing and, where applicable, in good standing under the laws of its jurisdiction of organization, and is, where applicable, duly qualified as a foreign corporation or other legal entity and, where applicable,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 except to such extent that could not, individually or in the aggregate, reasonably be expected to have a Material Adverse Effect.</w:t>
      </w:r>
    </w:p>
    <w:p>
      <w:pPr>
        <w:spacing w:after="0" w:line="206" w:lineRule="exact"/>
        <w:rPr>
          <w:rFonts w:ascii="Times New Roman" w:cs="Times New Roman" w:eastAsia="Times New Roman" w:hAnsi="Times New Roman"/>
          <w:sz w:val="22"/>
          <w:szCs w:val="22"/>
          <w:color w:val="auto"/>
        </w:rPr>
      </w:pPr>
    </w:p>
    <w:p>
      <w:pPr>
        <w:jc w:val="both"/>
        <w:ind w:firstLine="885"/>
        <w:spacing w:after="0" w:line="239" w:lineRule="auto"/>
        <w:tabs>
          <w:tab w:leader="none" w:pos="17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Subsidiary is subject to any legal, regulatory, contractual or other restriction (other than the agreements listed on Schedule 5.4 and limitations imposed by applicable law rule or regulation) restricting the ability of such Subsidiary to pay dividends out of profits or make any other similar distributions of profits to the Company or any of its Subsidiaries that owns outstanding shares of capital stock or similar equity interests of such Subsidiary.</w:t>
      </w:r>
    </w:p>
    <w:p>
      <w:pPr>
        <w:spacing w:after="0" w:line="217" w:lineRule="exact"/>
        <w:rPr>
          <w:sz w:val="20"/>
          <w:szCs w:val="20"/>
          <w:color w:val="auto"/>
        </w:rPr>
      </w:pPr>
    </w:p>
    <w:p>
      <w:pPr>
        <w:jc w:val="both"/>
        <w:ind w:firstLine="877"/>
        <w:spacing w:after="0" w:line="251" w:lineRule="exact"/>
        <w:rPr>
          <w:sz w:val="20"/>
          <w:szCs w:val="20"/>
          <w:color w:val="auto"/>
        </w:rPr>
      </w:pPr>
      <w:r>
        <w:rPr>
          <w:rFonts w:ascii="Times New Roman" w:cs="Times New Roman" w:eastAsia="Times New Roman" w:hAnsi="Times New Roman"/>
          <w:sz w:val="22"/>
          <w:szCs w:val="22"/>
          <w:b w:val="1"/>
          <w:bCs w:val="1"/>
          <w:color w:val="auto"/>
        </w:rPr>
        <w:t>Section 5.5. Financial Statements; Material Liabilities</w:t>
      </w:r>
      <w:r>
        <w:rPr>
          <w:rFonts w:ascii="Times New Roman" w:cs="Times New Roman" w:eastAsia="Times New Roman" w:hAnsi="Times New Roman"/>
          <w:sz w:val="22"/>
          <w:szCs w:val="22"/>
          <w:color w:val="auto"/>
        </w:rPr>
        <w:t>. The Company has delivered to each Purchaser copies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financial statements of the Company and its Subsidiaries listed on Schedule 5.5 (it being understood the filing of such financial statements with the EDGAR filing system on the Securities and Exchange Commission website constitutes delivery). All of such financial statements (including in each case the related schedules and notes) fairly present in all material respects the consolidated financial position of the Company and its Subsidiaries as of the respective dates specified in such Schedule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end adjustments). The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 w:name="page17"/>
    <w:bookmarkEnd w:id="16"/>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its Subsidiaries do not have any Material liabilities that are not disclosed in the Disclosure Documents.</w:t>
      </w:r>
    </w:p>
    <w:p>
      <w:pPr>
        <w:spacing w:after="0" w:line="229" w:lineRule="exact"/>
        <w:rPr>
          <w:sz w:val="20"/>
          <w:szCs w:val="20"/>
          <w:color w:val="auto"/>
        </w:rPr>
      </w:pPr>
    </w:p>
    <w:p>
      <w:pPr>
        <w:jc w:val="both"/>
        <w:ind w:firstLine="877"/>
        <w:spacing w:after="0" w:line="248" w:lineRule="exact"/>
        <w:rPr>
          <w:sz w:val="20"/>
          <w:szCs w:val="20"/>
          <w:color w:val="auto"/>
        </w:rPr>
      </w:pPr>
      <w:r>
        <w:rPr>
          <w:rFonts w:ascii="Times New Roman" w:cs="Times New Roman" w:eastAsia="Times New Roman" w:hAnsi="Times New Roman"/>
          <w:sz w:val="22"/>
          <w:szCs w:val="22"/>
          <w:b w:val="1"/>
          <w:bCs w:val="1"/>
          <w:color w:val="auto"/>
        </w:rPr>
        <w:t>Section 5.6. Compliance with Laws, Other Instruments, Etc</w:t>
      </w:r>
      <w:r>
        <w:rPr>
          <w:rFonts w:ascii="Times New Roman" w:cs="Times New Roman" w:eastAsia="Times New Roman" w:hAnsi="Times New Roman"/>
          <w:sz w:val="22"/>
          <w:szCs w:val="22"/>
          <w:color w:val="auto"/>
        </w:rPr>
        <w:t>. The execution, delivery and performance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of this Agreement and the Notes will not (i) contravene, result in any breach of, or constitute a default under, or result in the creation of any Lien in respect of any property of the Company or any Subsidiary under, any indenture, mortgage, deed of trust, loan, purchase or credit agreement, lease, corporate charter, regulations or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shareholders agreement or any other agreement or instrument to which the Company or any Subsidiary is bound or by which the Company or any Subsidiary or any of their respective properties may be bound or affected, except as would not be Material, (ii) conflict with or result in a breach of any of the terms, conditions or provisions of any order, judgment, decree or ruling of any court, arbitrator or Governmental Authority applicable to the Company or any Subsidiary or (iii) violate any provision of any statute or other rule or regulation of any Governmental Authority applicable to the Company or any Subsidiary.</w:t>
      </w:r>
    </w:p>
    <w:p>
      <w:pPr>
        <w:spacing w:after="0" w:line="215"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Section 5.7. Governmental Authorizations, Etc</w:t>
      </w:r>
      <w:r>
        <w:rPr>
          <w:rFonts w:ascii="Times New Roman" w:cs="Times New Roman" w:eastAsia="Times New Roman" w:hAnsi="Times New Roman"/>
          <w:sz w:val="22"/>
          <w:szCs w:val="22"/>
          <w:color w:val="auto"/>
        </w:rPr>
        <w:t>. No consent, approval or authorization of, or registration, filing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declaration with, any Governmental Authority is required in connection with the execution, delivery or performance by the Company of this Agreement or the Notes, except for any Form 8-K filing that is required by the Company upon execution of this Agreement or other filings with the SEC to comply with the Company’s disclosure obligations under the Exchange Act.</w:t>
      </w:r>
    </w:p>
    <w:p>
      <w:pPr>
        <w:spacing w:after="0" w:line="213"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Section 5.8. Litigation; Observance of Agreements, Statutes and Orders</w:t>
      </w:r>
      <w:r>
        <w:rPr>
          <w:rFonts w:ascii="Times New Roman" w:cs="Times New Roman" w:eastAsia="Times New Roman" w:hAnsi="Times New Roman"/>
          <w:sz w:val="22"/>
          <w:szCs w:val="22"/>
          <w:color w:val="auto"/>
        </w:rPr>
        <w:t>. (a) There are no actions, suits,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investigations or proceedings pending or, to the best knowledge of the Company, threatened in writing against or affecting the Company or any Subsidiary or any property of the Company or any Subsidiary in any court or before any arbitrator of any kind or before or by any Governmental Authority that could, individually or in the aggregate, reasonably be expected to have a Material Adverse Effect.</w:t>
      </w:r>
    </w:p>
    <w:p>
      <w:pPr>
        <w:spacing w:after="0" w:line="208" w:lineRule="exact"/>
        <w:rPr>
          <w:sz w:val="20"/>
          <w:szCs w:val="20"/>
          <w:color w:val="auto"/>
        </w:rPr>
      </w:pPr>
    </w:p>
    <w:p>
      <w:pPr>
        <w:jc w:val="both"/>
        <w:ind w:firstLine="885"/>
        <w:spacing w:after="0" w:line="236" w:lineRule="auto"/>
        <w:tabs>
          <w:tab w:leader="none" w:pos="17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Subsidiary is (i) in default under any agreement or instrument to which it is a party or by which it is bound, (ii) in violation of any order, judgment, decree or ruling of any court, any arbitrator of any kind or any Governmental Authority or (iii) in violation of any applicable law, ordinance, rule or regulation of any Governmental Authority (including Environmental Laws, the USA PATRIOT Act or any of the other laws and regulations that are referred to in Section 5.16), which default or violation could, individually or in the aggregate, reasonably be expected to have a Material Adverse Effect.</w:t>
      </w:r>
    </w:p>
    <w:p>
      <w:pPr>
        <w:spacing w:after="0" w:line="219"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Section 5.9. Taxes</w:t>
      </w:r>
      <w:r>
        <w:rPr>
          <w:rFonts w:ascii="Times New Roman" w:cs="Times New Roman" w:eastAsia="Times New Roman" w:hAnsi="Times New Roman"/>
          <w:sz w:val="22"/>
          <w:szCs w:val="22"/>
          <w:color w:val="auto"/>
        </w:rPr>
        <w:t>. The Company and its Subsidiaries have filed all tax returns that are required to have been filed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jurisdiction, and have paid all taxes shown to be due and payable on such returns and all other taxes and assessments levied upon them or their properties, assets, income or franchises, to the extent such taxes and assessments have become due and payable and before they have become delinquent, except for any taxes and assessments (i) the amount of which, individually or in the aggregate, is not Material or (ii) the amount, applicability or validity of which is currently being contested in good faith by appropriate proceedings and with respect to which the Company or a Subsidiary, as the case may be, has established adequate reserves in accordance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7" w:name="page18"/>
    <w:bookmarkEnd w:id="17"/>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with GAAP. The Company knows of no basis for any other tax or assessment that could, individually or in the aggregate, reasonably be expected to have a Material Adverse Effect. The charges, accruals and reserves on the books of the Company and its Subsidiaries in respect of U.S. federal, state or other taxes for all fiscal periods are adequate. The U.S. federal income tax liabilities of the Company and its Subsidiaries have been finally determined (whether by reason of completed audits or the statute of limitations having run) for all fiscal years up to and including the fiscal year ended October 31, 2018.</w:t>
      </w:r>
    </w:p>
    <w:p>
      <w:pPr>
        <w:spacing w:after="0" w:line="200"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Section 5.10. Title to Property; Leases</w:t>
      </w:r>
      <w:r>
        <w:rPr>
          <w:rFonts w:ascii="Times New Roman" w:cs="Times New Roman" w:eastAsia="Times New Roman" w:hAnsi="Times New Roman"/>
          <w:sz w:val="22"/>
          <w:szCs w:val="22"/>
          <w:color w:val="auto"/>
        </w:rPr>
        <w:t>. The Company and its Subsidiaries have good and sufficient title to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properties, including all such properties reflected in the most recent audited balance sheet referred to in Section 5.5 or purported to have been acquired by the Company or any Subsidiary after such date (except as sold or otherwise disposed of in the ordinary course of business), except for those defects in title that could not, individually or in the aggregate, reasonably be expected have a Material Adverse Effect, in each case free and clear of Liens prohibited by this Agreement. All leases that individually or in the aggregate are Material are valid and subsisting and are in full force and effect in all material respects.</w:t>
      </w:r>
    </w:p>
    <w:p>
      <w:pPr>
        <w:spacing w:after="0" w:line="216"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Section 5.11. Licenses, Permits, Etc</w:t>
      </w:r>
      <w:r>
        <w:rPr>
          <w:rFonts w:ascii="Times New Roman" w:cs="Times New Roman" w:eastAsia="Times New Roman" w:hAnsi="Times New Roman"/>
          <w:sz w:val="22"/>
          <w:szCs w:val="22"/>
          <w:color w:val="auto"/>
        </w:rPr>
        <w:t>. (a) The Company and its Subsidiaries own, license, possess or otherwise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 to use licenses, permits, franchises, authorizations, patents, copyrights, proprietary software, service marks, trademarks and trade names, or rights thereto (collectively, “</w:t>
      </w:r>
      <w:r>
        <w:rPr>
          <w:rFonts w:ascii="Times New Roman" w:cs="Times New Roman" w:eastAsia="Times New Roman" w:hAnsi="Times New Roman"/>
          <w:sz w:val="22"/>
          <w:szCs w:val="22"/>
          <w:b w:val="1"/>
          <w:bCs w:val="1"/>
          <w:color w:val="auto"/>
        </w:rPr>
        <w:t>Intellectual Property</w:t>
      </w:r>
      <w:r>
        <w:rPr>
          <w:rFonts w:ascii="Times New Roman" w:cs="Times New Roman" w:eastAsia="Times New Roman" w:hAnsi="Times New Roman"/>
          <w:sz w:val="22"/>
          <w:szCs w:val="22"/>
          <w:color w:val="auto"/>
        </w:rPr>
        <w:t>”), that individually or in the aggregate are Material. Except as could not, individually or in the aggregate, reasonably be expected to have a Material Adverse Effect, the Company’s and its Subsidiaries’ ownership, license, possession or other right to use Intellectual Property is without known conflict with the rights of others.</w:t>
      </w:r>
    </w:p>
    <w:p>
      <w:pPr>
        <w:spacing w:after="0" w:line="220" w:lineRule="exact"/>
        <w:rPr>
          <w:sz w:val="20"/>
          <w:szCs w:val="20"/>
          <w:color w:val="auto"/>
        </w:rPr>
      </w:pPr>
    </w:p>
    <w:p>
      <w:pPr>
        <w:jc w:val="both"/>
        <w:ind w:firstLine="885"/>
        <w:spacing w:after="0" w:line="244" w:lineRule="auto"/>
        <w:tabs>
          <w:tab w:leader="none" w:pos="17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product or service of the Company or any of its Subsidiaries infringes in any material respect any license, permit, franchise, authorization, patent, copyright, proprietary software, service mark, trademark, trade name or other right owned by any other Person that could, individually or in the aggregate, reasonably be expected have a Material Adverse Effect.</w:t>
      </w:r>
    </w:p>
    <w:p>
      <w:pPr>
        <w:spacing w:after="0" w:line="200" w:lineRule="exact"/>
        <w:rPr>
          <w:rFonts w:ascii="Times New Roman" w:cs="Times New Roman" w:eastAsia="Times New Roman" w:hAnsi="Times New Roman"/>
          <w:sz w:val="22"/>
          <w:szCs w:val="22"/>
          <w:color w:val="auto"/>
        </w:rPr>
      </w:pPr>
    </w:p>
    <w:p>
      <w:pPr>
        <w:jc w:val="both"/>
        <w:ind w:firstLine="885"/>
        <w:spacing w:after="0" w:line="239" w:lineRule="auto"/>
        <w:tabs>
          <w:tab w:leader="none" w:pos="176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violation by any Person of any right of the Company or any of its Subsidiaries with respect to any license, permit, franchise, authorization, patent, copyright, proprietary software, service mark, trademark, trade name or other right owned or used by the Company or any of its Subsidiaries that could, individually or in the aggregate, reasonably be expected have a Material Adverse Effect.</w:t>
      </w:r>
    </w:p>
    <w:p>
      <w:pPr>
        <w:spacing w:after="0" w:line="217"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Section 5.12. Compliance with Employee Benefit Plans</w:t>
      </w:r>
      <w:r>
        <w:rPr>
          <w:rFonts w:ascii="Times New Roman" w:cs="Times New Roman" w:eastAsia="Times New Roman" w:hAnsi="Times New Roman"/>
          <w:sz w:val="22"/>
          <w:szCs w:val="22"/>
          <w:color w:val="auto"/>
        </w:rPr>
        <w:t>. (a) The Company and each ERISA Affiliate have operated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administered each Plan in compliance with all applicable laws except for such instances of noncompliance as have not resulted in and could not, individually or in the aggregate, reasonably be expected to result in a Material Adverse Effect. Except for such liabilities and Liens as could not, individually or in the aggregate,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could, individually or in the aggregate, reasonably be expected to result in the incurrence of any such liability by the Company or any ERISA Affiliate, or in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 w:name="page19"/>
    <w:bookmarkEnd w:id="18"/>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imposition of any Lien on any of the rights, properties or assets of the Company or any ERISA Affiliate, in either case pursuant to Title I or IV of ERISA or to section 430(k) of the Code or to any such penalty or excise tax provisions under the Code or federal law or section 4068 of ERISA or by the granting of a security interest in connection with the amendment of a Plan.</w:t>
      </w:r>
    </w:p>
    <w:p>
      <w:pPr>
        <w:spacing w:after="0" w:line="201" w:lineRule="exact"/>
        <w:rPr>
          <w:sz w:val="20"/>
          <w:szCs w:val="20"/>
          <w:color w:val="auto"/>
        </w:rPr>
      </w:pPr>
    </w:p>
    <w:p>
      <w:pPr>
        <w:jc w:val="both"/>
        <w:ind w:firstLine="885"/>
        <w:spacing w:after="0" w:line="247" w:lineRule="exact"/>
        <w:tabs>
          <w:tab w:leader="none" w:pos="17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could not, individually or in the aggregate, reasonably be expected to result in a Material Adverse Effect, (i) the present value of the aggregate benefit liabilities under each of the Plans (other than Multiemployer Plans), determined as of the end of each such Plan’s most recently ended plan year on the basis of the actuarial assumptions specified for funding purposes in such Plan’s most recent actuarial valuation report, did not exceed the aggregate current value of the assets of such Plan allocable to such benefit liabilities and (ii) the present value of the accrued benefit liabilities (whether or not vested) under each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Plan that is funded, determined as of the end of the Company’s most recently ended fiscal year on the basis of reasonable actuarial assumptions, did not exceed the current value of the assets of such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U.S. Plan allocable to such benefit liabilities. The term </w:t>
      </w:r>
      <w:r>
        <w:rPr>
          <w:rFonts w:ascii="Times New Roman" w:cs="Times New Roman" w:eastAsia="Times New Roman" w:hAnsi="Times New Roman"/>
          <w:sz w:val="22"/>
          <w:szCs w:val="22"/>
          <w:b w:val="1"/>
          <w:bCs w:val="1"/>
          <w:color w:val="auto"/>
        </w:rPr>
        <w:t>“benefit liabilities”</w:t>
      </w:r>
      <w:r>
        <w:rPr>
          <w:rFonts w:ascii="Times New Roman" w:cs="Times New Roman" w:eastAsia="Times New Roman" w:hAnsi="Times New Roman"/>
          <w:sz w:val="22"/>
          <w:szCs w:val="22"/>
          <w:color w:val="auto"/>
        </w:rPr>
        <w:t xml:space="preserve"> has the meaning specified in section 4001 of ERISA and the terms </w:t>
      </w:r>
      <w:r>
        <w:rPr>
          <w:rFonts w:ascii="Times New Roman" w:cs="Times New Roman" w:eastAsia="Times New Roman" w:hAnsi="Times New Roman"/>
          <w:sz w:val="22"/>
          <w:szCs w:val="22"/>
          <w:b w:val="1"/>
          <w:bCs w:val="1"/>
          <w:color w:val="auto"/>
        </w:rPr>
        <w:t>“current value”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“present value”</w:t>
      </w:r>
      <w:r>
        <w:rPr>
          <w:rFonts w:ascii="Times New Roman" w:cs="Times New Roman" w:eastAsia="Times New Roman" w:hAnsi="Times New Roman"/>
          <w:sz w:val="22"/>
          <w:szCs w:val="22"/>
          <w:color w:val="auto"/>
        </w:rPr>
        <w:t xml:space="preserve"> have the meaning specified in section 3 of ERISA.</w:t>
      </w:r>
    </w:p>
    <w:p>
      <w:pPr>
        <w:spacing w:after="0" w:line="224" w:lineRule="exact"/>
        <w:rPr>
          <w:rFonts w:ascii="Times New Roman" w:cs="Times New Roman" w:eastAsia="Times New Roman" w:hAnsi="Times New Roman"/>
          <w:sz w:val="22"/>
          <w:szCs w:val="22"/>
          <w:color w:val="auto"/>
        </w:rPr>
      </w:pPr>
    </w:p>
    <w:p>
      <w:pPr>
        <w:jc w:val="both"/>
        <w:ind w:firstLine="885"/>
        <w:spacing w:after="0" w:line="239" w:lineRule="auto"/>
        <w:tabs>
          <w:tab w:leader="none" w:pos="176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could not, individually or in the aggregate reasonably be expected to result in a Material Adverse Effect, the Company and its ERISA Affiliates have not incurred (i) withdrawal liabilities (and are not subject to contingent withdrawal liabilities) under section 4201 or 4204 of ERISA in respect of Multiemployer Plans or (ii) any obligation in connection with the termination of or withdrawal from any Non-U.S. Plan.</w:t>
      </w:r>
    </w:p>
    <w:p>
      <w:pPr>
        <w:spacing w:after="0" w:line="221" w:lineRule="exact"/>
        <w:rPr>
          <w:rFonts w:ascii="Times New Roman" w:cs="Times New Roman" w:eastAsia="Times New Roman" w:hAnsi="Times New Roman"/>
          <w:sz w:val="22"/>
          <w:szCs w:val="22"/>
          <w:color w:val="auto"/>
        </w:rPr>
      </w:pPr>
    </w:p>
    <w:p>
      <w:pPr>
        <w:jc w:val="both"/>
        <w:ind w:firstLine="885"/>
        <w:spacing w:after="0" w:line="251" w:lineRule="exact"/>
        <w:tabs>
          <w:tab w:leader="none" w:pos="17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do not have any postretirement benefit obligation (determined as of the last day of the Company’s most recently ended fiscal year in accordance with Financial Accounting Standards Board Accounting Standards Codification Topic 715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60, without regard to liabilities attributable to continuation coverage mandated by section 4980B of the Code) of the Company and its Subsidiaries, except as could not, individually or in the aggregate, reasonably be expected to result in a Material Adverse Effect.</w:t>
      </w:r>
    </w:p>
    <w:p>
      <w:pPr>
        <w:spacing w:after="0" w:line="204" w:lineRule="exact"/>
        <w:rPr>
          <w:rFonts w:ascii="Times New Roman" w:cs="Times New Roman" w:eastAsia="Times New Roman" w:hAnsi="Times New Roman"/>
          <w:sz w:val="22"/>
          <w:szCs w:val="22"/>
          <w:color w:val="auto"/>
        </w:rPr>
      </w:pPr>
    </w:p>
    <w:p>
      <w:pPr>
        <w:jc w:val="both"/>
        <w:ind w:firstLine="885"/>
        <w:spacing w:after="0" w:line="251" w:lineRule="exact"/>
        <w:tabs>
          <w:tab w:leader="none" w:pos="176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of this Agreement and the issuance and sale of the Notes hereunder will not involve any transaction that is subject to the prohibitions of section 406 of ERISA or in connection with which a tax could be imposed pursuant to section 4975(c)(1)(A)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 of the Code. The representation by the Company to each Purchaser in the first sentence of this Section 5.12(e) is made in reliance upon and subject to the accuracy of such Purchaser’s representation in Section 6.2 as to the sources of the funds to be used to pay the purchase price of the Notes to be purchased by such Purchaser.</w:t>
      </w:r>
    </w:p>
    <w:p>
      <w:pPr>
        <w:spacing w:after="0" w:line="183" w:lineRule="exact"/>
        <w:rPr>
          <w:rFonts w:ascii="Times New Roman" w:cs="Times New Roman" w:eastAsia="Times New Roman" w:hAnsi="Times New Roman"/>
          <w:sz w:val="22"/>
          <w:szCs w:val="22"/>
          <w:color w:val="auto"/>
        </w:rPr>
      </w:pPr>
    </w:p>
    <w:p>
      <w:pPr>
        <w:jc w:val="both"/>
        <w:ind w:firstLine="885"/>
        <w:spacing w:after="0" w:line="258" w:lineRule="exact"/>
        <w:tabs>
          <w:tab w:leader="none" w:pos="174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Plans have been established, operated, administered and maintained in compliance with all laws, regulations and orders applicable thereto, except where failure so to comply could not be reasonably expected to have a Material Adverse Effect. All premiums, contributions and any other amounts required by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Plan documents or applicable laws to be paid or accrued by the Company and its Subsidiaries have been paid or accrued as required, except where failure so to pay or accrue could not be reasonably expected to have a Material Adverse Effect.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 w:name="page20"/>
    <w:bookmarkEnd w:id="19"/>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86"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Section 5.13. Private Offering by the Company</w:t>
      </w:r>
      <w:r>
        <w:rPr>
          <w:rFonts w:ascii="Times New Roman" w:cs="Times New Roman" w:eastAsia="Times New Roman" w:hAnsi="Times New Roman"/>
          <w:sz w:val="22"/>
          <w:szCs w:val="22"/>
          <w:color w:val="auto"/>
        </w:rPr>
        <w:t>. Neither the Company nor anyone acting on its behalf has offered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Notes or any similar Securities for sale to, or solicited any offer to buy the Notes or any similar Securities from, or otherwise approached or negotiated in respect thereof with, any Person other than the Purchasers and not more than fifteen (15) other Institutional Investors, each of which has been offered the Notes at a private sale for investment. Neither the Company nor anyone acting on its behalf has taken, or will take, any action that would subject the issuance or sale of the Notes to the registration requirements of section 5 of the Securities Act or to the registration requirements of any Securities or blue sky laws of any applicable jurisdiction.</w:t>
      </w:r>
    </w:p>
    <w:p>
      <w:pPr>
        <w:spacing w:after="0" w:line="203"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1"/>
          <w:szCs w:val="21"/>
          <w:b w:val="1"/>
          <w:bCs w:val="1"/>
          <w:color w:val="auto"/>
        </w:rPr>
        <w:t>Section 5.14. Use of Proceeds; Margin Regulations</w:t>
      </w:r>
      <w:r>
        <w:rPr>
          <w:rFonts w:ascii="Times New Roman" w:cs="Times New Roman" w:eastAsia="Times New Roman" w:hAnsi="Times New Roman"/>
          <w:sz w:val="21"/>
          <w:szCs w:val="21"/>
          <w:color w:val="auto"/>
        </w:rPr>
        <w:t>. The Company will apply the proceeds of the sale of the Notes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hereunder to repay indebtedness originally incurred under the Existing Revolving Credit Agreement in connection with the Company’s acquiring of Charles Machine Works and for general corporate purposes. No part of the proceeds from the sale of the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3% of the value of the consolidated assets of the Company and its Subsidiaries and the Company does not have any present intention that margin stock will constitute more than 3% of the value of such assets. As used in this Section, the terms </w:t>
      </w:r>
      <w:r>
        <w:rPr>
          <w:rFonts w:ascii="Times New Roman" w:cs="Times New Roman" w:eastAsia="Times New Roman" w:hAnsi="Times New Roman"/>
          <w:sz w:val="21"/>
          <w:szCs w:val="21"/>
          <w:b w:val="1"/>
          <w:bCs w:val="1"/>
          <w:color w:val="auto"/>
        </w:rPr>
        <w:t>“margin stock”</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“purpose of buying or carrying”</w:t>
      </w:r>
      <w:r>
        <w:rPr>
          <w:rFonts w:ascii="Times New Roman" w:cs="Times New Roman" w:eastAsia="Times New Roman" w:hAnsi="Times New Roman"/>
          <w:sz w:val="21"/>
          <w:szCs w:val="21"/>
          <w:color w:val="auto"/>
        </w:rPr>
        <w:t xml:space="preserve"> shall have the meanings assigned to them in said Regulation U.</w:t>
      </w:r>
    </w:p>
    <w:p>
      <w:pPr>
        <w:spacing w:after="0" w:line="212"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Section 5.15. Existing Indebtedness; Future Liens. </w:t>
      </w:r>
      <w:r>
        <w:rPr>
          <w:rFonts w:ascii="Times New Roman" w:cs="Times New Roman" w:eastAsia="Times New Roman" w:hAnsi="Times New Roman"/>
          <w:sz w:val="22"/>
          <w:szCs w:val="22"/>
          <w:color w:val="auto"/>
        </w:rPr>
        <w:t>(a) Except as described therein, Schedule 5.15 sets forth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complete and correct list of all outstanding Indebtedness (other than (i) intercompany Indebtedness and (ii) Indebtedness with an aggregate principal amount of less than $5,000,000) of the Company and its Subsidiaries as of April 1, 2019 (including descriptions of the obligors and obligees (or the agent, trustee or other entity acting in a similar capacity on behalf of the obligees), principal amounts outstanding, any collateral therefor and any Guaranty thereof), since which date there has been no Material change in the amounts, interest rates, sinking funds, installment payments or maturities of the Indebtedness of the Company or its Subsidiaries. Neither the Company nor any Subsidiary is in default and no waiver of default is currently in effect, in the payment of any principal or interest on any Indebtedness of the Company or such Subsidiary and no event or condition exists with respect to any Indebtedness of the Company or any Subsidiary that would permit (or that with notice or the lapse of time, or both, would permit) one or more Persons to cause such Indebtedness to become due and payable before its stated maturity or before its regularly scheduled dates of payment.</w:t>
      </w:r>
    </w:p>
    <w:p>
      <w:pPr>
        <w:spacing w:after="0" w:line="221" w:lineRule="exact"/>
        <w:rPr>
          <w:sz w:val="20"/>
          <w:szCs w:val="20"/>
          <w:color w:val="auto"/>
        </w:rPr>
      </w:pPr>
    </w:p>
    <w:p>
      <w:pPr>
        <w:jc w:val="both"/>
        <w:ind w:firstLine="885"/>
        <w:spacing w:after="0" w:line="239" w:lineRule="auto"/>
        <w:tabs>
          <w:tab w:leader="none" w:pos="177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Schedule 5.15, neither the Company nor any Subsidiary has agreed or consented to cause or permit any of its property, whether now owned or hereafter acquired, to be subject to a Lien that secures Indebtedness for borrowed money or to cause or permit in the future (upon the happening of a contingency or otherwise) any of its property, whether now owned or hereafter acquired, to be subject to a Lien that secures Indebtedness for borrowed money.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0" w:name="page21"/>
    <w:bookmarkEnd w:id="20"/>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jc w:val="both"/>
        <w:ind w:firstLine="885"/>
        <w:spacing w:after="0" w:line="239" w:lineRule="auto"/>
        <w:tabs>
          <w:tab w:leader="none" w:pos="1765"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Subsidiary is a party to, or otherwise subject to any provision contained in, any instrument evidencing Indebtedness of the Company or such Subsidiary, any agreement relating thereto or any other agreement (including its charter or any other organizational document) which limits the amount of, or otherwise imposes restrictions on the incurring of, Indebtedness of the Company, except as disclosed in Schedule 5.15.</w:t>
      </w:r>
    </w:p>
    <w:p>
      <w:pPr>
        <w:spacing w:after="0" w:line="204"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Section 5.16. Foreign Assets Control Regulations, Etc</w:t>
      </w:r>
      <w:r>
        <w:rPr>
          <w:rFonts w:ascii="Times New Roman" w:cs="Times New Roman" w:eastAsia="Times New Roman" w:hAnsi="Times New Roman"/>
          <w:sz w:val="22"/>
          <w:szCs w:val="22"/>
          <w:color w:val="auto"/>
        </w:rPr>
        <w:t>. (a) Neither the Company nor any Controlled Entity (i) is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Blocked Person, (ii) has been notified that its name appears or may in the future appear on a State Sanctions List or (iii) is a target of sanctions that have been imposed by the United Nations or the European Union.</w:t>
      </w:r>
    </w:p>
    <w:p>
      <w:pPr>
        <w:spacing w:after="0" w:line="212" w:lineRule="exact"/>
        <w:rPr>
          <w:sz w:val="20"/>
          <w:szCs w:val="20"/>
          <w:color w:val="auto"/>
        </w:rPr>
      </w:pPr>
    </w:p>
    <w:p>
      <w:pPr>
        <w:jc w:val="both"/>
        <w:ind w:firstLine="885"/>
        <w:spacing w:after="0" w:line="265" w:lineRule="exact"/>
        <w:tabs>
          <w:tab w:leader="none" w:pos="177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Controlled Entity (i) has violated, been found in violation of, or been charged or convicted under, any applicable U.S. Economic Sanctions Laws,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or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 or (ii) to the Company’s knowledge, is under investigation by any Governmental Authority for possible violation of any U.S. Economic Sanctions Laws,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or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w:t>
      </w:r>
    </w:p>
    <w:p>
      <w:pPr>
        <w:spacing w:after="0" w:line="197" w:lineRule="exact"/>
        <w:rPr>
          <w:rFonts w:ascii="Times New Roman" w:cs="Times New Roman" w:eastAsia="Times New Roman" w:hAnsi="Times New Roman"/>
          <w:sz w:val="22"/>
          <w:szCs w:val="22"/>
          <w:color w:val="auto"/>
        </w:rPr>
      </w:pPr>
    </w:p>
    <w:p>
      <w:pPr>
        <w:ind w:left="1780" w:hanging="895"/>
        <w:spacing w:after="0"/>
        <w:tabs>
          <w:tab w:leader="none" w:pos="17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 of the proceeds from the sale of the Notes hereunder:</w:t>
      </w:r>
    </w:p>
    <w:p>
      <w:pPr>
        <w:spacing w:after="0" w:line="233" w:lineRule="exact"/>
        <w:rPr>
          <w:rFonts w:ascii="Times New Roman" w:cs="Times New Roman" w:eastAsia="Times New Roman" w:hAnsi="Times New Roman"/>
          <w:sz w:val="22"/>
          <w:szCs w:val="22"/>
          <w:color w:val="auto"/>
        </w:rPr>
      </w:pPr>
    </w:p>
    <w:p>
      <w:pPr>
        <w:jc w:val="both"/>
        <w:ind w:left="880" w:firstLine="816"/>
        <w:spacing w:after="0" w:line="239" w:lineRule="auto"/>
        <w:tabs>
          <w:tab w:leader="none" w:pos="2542"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constitutes or will constitute funds obtained on behalf of any Blocked Person or will otherwise be used by the Company or any Controlled Entity, directly or indirectly, (A) in connection with any investment in, or any transactions or dealings with, any Blocked Person, (B) for any purpose that would cause any Purchaser to be in violation of any U.S. Economic Sanctions Laws or (C) otherwise in violation of any U.S. Economic Sanctions Laws;</w:t>
      </w:r>
    </w:p>
    <w:p>
      <w:pPr>
        <w:spacing w:after="0" w:line="221" w:lineRule="exact"/>
        <w:rPr>
          <w:rFonts w:ascii="Times New Roman" w:cs="Times New Roman" w:eastAsia="Times New Roman" w:hAnsi="Times New Roman"/>
          <w:sz w:val="22"/>
          <w:szCs w:val="22"/>
          <w:color w:val="auto"/>
        </w:rPr>
      </w:pPr>
    </w:p>
    <w:p>
      <w:pPr>
        <w:ind w:left="880" w:firstLine="816"/>
        <w:spacing w:after="0" w:line="274" w:lineRule="exact"/>
        <w:tabs>
          <w:tab w:leader="none" w:pos="2602"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 used, directly or indirectly, in violation of, or cause any Purchaser to be in violation of, any applicable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or</w:t>
      </w:r>
    </w:p>
    <w:p>
      <w:pPr>
        <w:spacing w:after="0" w:line="196" w:lineRule="exact"/>
        <w:rPr>
          <w:rFonts w:ascii="Times New Roman" w:cs="Times New Roman" w:eastAsia="Times New Roman" w:hAnsi="Times New Roman"/>
          <w:sz w:val="22"/>
          <w:szCs w:val="22"/>
          <w:color w:val="auto"/>
        </w:rPr>
      </w:pPr>
    </w:p>
    <w:p>
      <w:pPr>
        <w:jc w:val="both"/>
        <w:ind w:left="880" w:firstLine="816"/>
        <w:spacing w:after="0" w:line="259" w:lineRule="exact"/>
        <w:tabs>
          <w:tab w:leader="none" w:pos="2662"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w:t>
      </w:r>
    </w:p>
    <w:p>
      <w:pPr>
        <w:spacing w:after="0" w:line="182" w:lineRule="exact"/>
        <w:rPr>
          <w:rFonts w:ascii="Times New Roman" w:cs="Times New Roman" w:eastAsia="Times New Roman" w:hAnsi="Times New Roman"/>
          <w:sz w:val="22"/>
          <w:szCs w:val="22"/>
          <w:color w:val="auto"/>
        </w:rPr>
      </w:pPr>
    </w:p>
    <w:p>
      <w:pPr>
        <w:jc w:val="both"/>
        <w:ind w:firstLine="885"/>
        <w:spacing w:after="0" w:line="264" w:lineRule="exact"/>
        <w:tabs>
          <w:tab w:leader="none" w:pos="177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and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w:t>
      </w:r>
    </w:p>
    <w:p>
      <w:pPr>
        <w:spacing w:after="0" w:line="191" w:lineRule="exact"/>
        <w:rPr>
          <w:sz w:val="20"/>
          <w:szCs w:val="20"/>
          <w:color w:val="auto"/>
        </w:rPr>
      </w:pPr>
    </w:p>
    <w:p>
      <w:pPr>
        <w:jc w:val="both"/>
        <w:ind w:right="20"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Section 5.17. Status under Certain Statutes</w:t>
      </w:r>
      <w:r>
        <w:rPr>
          <w:rFonts w:ascii="Times New Roman" w:cs="Times New Roman" w:eastAsia="Times New Roman" w:hAnsi="Times New Roman"/>
          <w:sz w:val="22"/>
          <w:szCs w:val="22"/>
          <w:color w:val="auto"/>
        </w:rPr>
        <w:t>. Neither the Company nor any Subsidiary is subject to regulation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Investment Company Act of 1940, the Public Utility Holding Company Act of 2005, the ICC Termination Act of 1995, or the Federal Power Act.</w:t>
      </w:r>
    </w:p>
    <w:p>
      <w:pPr>
        <w:spacing w:after="0" w:line="208"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Section 5.18. Environmental Matters</w:t>
      </w:r>
      <w:r>
        <w:rPr>
          <w:rFonts w:ascii="Times New Roman" w:cs="Times New Roman" w:eastAsia="Times New Roman" w:hAnsi="Times New Roman"/>
          <w:sz w:val="22"/>
          <w:szCs w:val="22"/>
          <w:color w:val="auto"/>
        </w:rPr>
        <w:t>. The Company and its Subsidiaries conduct in the ordinary course of business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review of the effect of existing Environmental Laws and claims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1" w:name="page22"/>
    <w:bookmarkEnd w:id="21"/>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alleging potential liability or responsibility for violation of any Environmental Law on their respective businesses, operations and properties, and as a result thereof the Company has reasonably concluded that, except as specifically disclosed in Schedule 5.18, such Environmental Laws and claims would not, individually or in the aggregate, reasonably be expected to have a Material Adverse Effect.</w:t>
      </w:r>
    </w:p>
    <w:p>
      <w:pPr>
        <w:spacing w:after="0" w:line="204"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5.19. Ranking of Obligations. </w:t>
      </w:r>
      <w:r>
        <w:rPr>
          <w:rFonts w:ascii="Times New Roman" w:cs="Times New Roman" w:eastAsia="Times New Roman" w:hAnsi="Times New Roman"/>
          <w:sz w:val="22"/>
          <w:szCs w:val="22"/>
          <w:color w:val="auto"/>
        </w:rPr>
        <w:t>The Company’s payment obligations under this Agreement and the Notes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upon issuance of the Notes, rank at least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without preference or priority, with all other unsecured and unsubordinated Indebtedness of the Company.</w:t>
      </w:r>
    </w:p>
    <w:p>
      <w:pPr>
        <w:spacing w:after="0" w:line="248"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6.</w:t>
      </w:r>
      <w:r>
        <w:rPr>
          <w:sz w:val="20"/>
          <w:szCs w:val="20"/>
          <w:color w:val="auto"/>
        </w:rPr>
        <w:tab/>
      </w: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EPRESENTATIONS OF THE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URCHASERS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Section 6.1. Purchase for Investment</w:t>
      </w:r>
      <w:r>
        <w:rPr>
          <w:rFonts w:ascii="Times New Roman" w:cs="Times New Roman" w:eastAsia="Times New Roman" w:hAnsi="Times New Roman"/>
          <w:sz w:val="22"/>
          <w:szCs w:val="22"/>
          <w:color w:val="auto"/>
        </w:rPr>
        <w:t>. Each Purchaser severally represents that it is an institutional “accredited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investor” within the meaning of Rule 501 of the Securities Act and is purchasing the Notes for its own account or for one or more separate accounts maintained by such Purchaser or for the account of one or more pension or trust funds and not with a view to the distribution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disposition of such Purchaser’s or their property shall at all times be within such Purchaser’s or their control. Each Purchaser understands that the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Notes.</w:t>
      </w:r>
    </w:p>
    <w:p>
      <w:pPr>
        <w:spacing w:after="0" w:line="220"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Section 6.2. Source of Funds</w:t>
      </w:r>
      <w:r>
        <w:rPr>
          <w:rFonts w:ascii="Times New Roman" w:cs="Times New Roman" w:eastAsia="Times New Roman" w:hAnsi="Times New Roman"/>
          <w:sz w:val="22"/>
          <w:szCs w:val="22"/>
          <w:color w:val="auto"/>
        </w:rPr>
        <w:t>. Each Purchaser severally represents that at least one of the following statements is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accurate representation as to each source of funds (a </w:t>
      </w:r>
      <w:r>
        <w:rPr>
          <w:rFonts w:ascii="Times New Roman" w:cs="Times New Roman" w:eastAsia="Times New Roman" w:hAnsi="Times New Roman"/>
          <w:sz w:val="22"/>
          <w:szCs w:val="22"/>
          <w:b w:val="1"/>
          <w:bCs w:val="1"/>
          <w:color w:val="auto"/>
        </w:rPr>
        <w:t>“Source”</w:t>
      </w:r>
      <w:r>
        <w:rPr>
          <w:rFonts w:ascii="Times New Roman" w:cs="Times New Roman" w:eastAsia="Times New Roman" w:hAnsi="Times New Roman"/>
          <w:sz w:val="22"/>
          <w:szCs w:val="22"/>
          <w:color w:val="auto"/>
        </w:rPr>
        <w:t>) to be used by such Purchaser to pay the purchase price of the Notes to be purchased by such Purchaser hereunder:</w:t>
      </w:r>
    </w:p>
    <w:p>
      <w:pPr>
        <w:spacing w:after="0" w:line="198" w:lineRule="exact"/>
        <w:rPr>
          <w:sz w:val="20"/>
          <w:szCs w:val="20"/>
          <w:color w:val="auto"/>
        </w:rPr>
      </w:pPr>
    </w:p>
    <w:p>
      <w:pPr>
        <w:jc w:val="both"/>
        <w:ind w:left="880" w:firstLine="816"/>
        <w:spacing w:after="0" w:line="247" w:lineRule="exact"/>
        <w:tabs>
          <w:tab w:leader="none" w:pos="257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an “insurance company general account” (as the term is defined in the United States Department of Labor’s Prohibited Transaction Exemption (</w:t>
      </w:r>
      <w:r>
        <w:rPr>
          <w:rFonts w:ascii="Times New Roman" w:cs="Times New Roman" w:eastAsia="Times New Roman" w:hAnsi="Times New Roman"/>
          <w:sz w:val="22"/>
          <w:szCs w:val="22"/>
          <w:b w:val="1"/>
          <w:bCs w:val="1"/>
          <w:color w:val="auto"/>
        </w:rPr>
        <w:t>“PTE”</w:t>
      </w:r>
      <w:r>
        <w:rPr>
          <w:rFonts w:ascii="Times New Roman" w:cs="Times New Roman" w:eastAsia="Times New Roman" w:hAnsi="Times New Roman"/>
          <w:sz w:val="22"/>
          <w:szCs w:val="22"/>
          <w:color w:val="auto"/>
        </w:rPr>
        <w:t>) 95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60) in respect of which the reserves and liabilities (as defined by the annual statement for life insurance companies approved by the NAIC (the </w:t>
      </w:r>
      <w:r>
        <w:rPr>
          <w:rFonts w:ascii="Times New Roman" w:cs="Times New Roman" w:eastAsia="Times New Roman" w:hAnsi="Times New Roman"/>
          <w:sz w:val="22"/>
          <w:szCs w:val="22"/>
          <w:b w:val="1"/>
          <w:bCs w:val="1"/>
          <w:color w:val="auto"/>
        </w:rPr>
        <w:t>“NAIC 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Statement”</w:t>
      </w:r>
      <w:r>
        <w:rPr>
          <w:rFonts w:ascii="Times New Roman" w:cs="Times New Roman" w:eastAsia="Times New Roman" w:hAnsi="Times New Roman"/>
          <w:sz w:val="22"/>
          <w:szCs w:val="22"/>
          <w:color w:val="auto"/>
        </w:rPr>
        <w:t>)) for the general account contract(s) held by or on behalf of any employee benefit plan together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of the reserves and liabilities for the general account contract(s) held by or on behalf of any other employee benefit plans maintained by the same employer (or affiliate thereof as defined in PTE 95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spacing w:after="0" w:line="224" w:lineRule="exact"/>
        <w:rPr>
          <w:rFonts w:ascii="Times New Roman" w:cs="Times New Roman" w:eastAsia="Times New Roman" w:hAnsi="Times New Roman"/>
          <w:sz w:val="22"/>
          <w:szCs w:val="22"/>
          <w:color w:val="auto"/>
        </w:rPr>
      </w:pPr>
    </w:p>
    <w:p>
      <w:pPr>
        <w:jc w:val="both"/>
        <w:ind w:left="880" w:firstLine="816"/>
        <w:spacing w:after="0" w:line="239" w:lineRule="auto"/>
        <w:tabs>
          <w:tab w:leader="none" w:pos="259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2" w:name="page23"/>
    <w:bookmarkEnd w:id="22"/>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both"/>
        <w:ind w:left="880" w:firstLine="816"/>
        <w:spacing w:after="0" w:line="251" w:lineRule="exact"/>
        <w:tabs>
          <w:tab w:leader="none" w:pos="257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either (i) an insurance company pooled separate account, within the meaning of PTE 90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or (ii) a bank collective investment fund, within the meaning of the PTE 91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170" w:lineRule="exact"/>
        <w:rPr>
          <w:rFonts w:ascii="Times New Roman" w:cs="Times New Roman" w:eastAsia="Times New Roman" w:hAnsi="Times New Roman"/>
          <w:sz w:val="22"/>
          <w:szCs w:val="22"/>
          <w:color w:val="auto"/>
        </w:rPr>
      </w:pPr>
    </w:p>
    <w:p>
      <w:pPr>
        <w:jc w:val="both"/>
        <w:ind w:left="880" w:firstLine="816"/>
        <w:spacing w:after="0" w:line="248" w:lineRule="exact"/>
        <w:tabs>
          <w:tab w:leader="none" w:pos="259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constitutes assets of an “investment fund” (within the meaning of Part VI of PTE 84</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14 (the </w:t>
      </w:r>
      <w:r>
        <w:rPr>
          <w:rFonts w:ascii="Times New Roman" w:cs="Times New Roman" w:eastAsia="Times New Roman" w:hAnsi="Times New Roman"/>
          <w:sz w:val="22"/>
          <w:szCs w:val="22"/>
          <w:b w:val="1"/>
          <w:bCs w:val="1"/>
          <w:color w:val="auto"/>
        </w:rPr>
        <w:t>“QPAM Exemption”</w:t>
      </w:r>
      <w:r>
        <w:rPr>
          <w:rFonts w:ascii="Times New Roman" w:cs="Times New Roman" w:eastAsia="Times New Roman" w:hAnsi="Times New Roman"/>
          <w:sz w:val="22"/>
          <w:szCs w:val="22"/>
          <w:color w:val="auto"/>
        </w:rPr>
        <w:t>)) managed by a “qualified professional asset manager” or “QPAM”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(d);or</w:t>
      </w:r>
    </w:p>
    <w:p>
      <w:pPr>
        <w:spacing w:after="0" w:line="192" w:lineRule="exact"/>
        <w:rPr>
          <w:rFonts w:ascii="Times New Roman" w:cs="Times New Roman" w:eastAsia="Times New Roman" w:hAnsi="Times New Roman"/>
          <w:sz w:val="22"/>
          <w:szCs w:val="22"/>
          <w:color w:val="auto"/>
        </w:rPr>
      </w:pPr>
    </w:p>
    <w:p>
      <w:pPr>
        <w:jc w:val="both"/>
        <w:ind w:left="880" w:firstLine="816"/>
        <w:spacing w:after="0" w:line="253" w:lineRule="exact"/>
        <w:tabs>
          <w:tab w:leader="none" w:pos="257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constitutes assets of a “plan(s)” (within the meaning of Part IV(h) of PTE 96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23 (the </w:t>
      </w:r>
      <w:r>
        <w:rPr>
          <w:rFonts w:ascii="Times New Roman" w:cs="Times New Roman" w:eastAsia="Times New Roman" w:hAnsi="Times New Roman"/>
          <w:sz w:val="22"/>
          <w:szCs w:val="22"/>
          <w:b w:val="1"/>
          <w:bCs w:val="1"/>
          <w:color w:val="auto"/>
        </w:rPr>
        <w:t>“INHAM Exemption”</w:t>
      </w:r>
      <w:r>
        <w:rPr>
          <w:rFonts w:ascii="Times New Roman" w:cs="Times New Roman" w:eastAsia="Times New Roman" w:hAnsi="Times New Roman"/>
          <w:sz w:val="22"/>
          <w:szCs w:val="22"/>
          <w:color w:val="auto"/>
        </w:rPr>
        <w:t>)) managed by an “in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house asset manager” or “INHAM” (within the meaning of Part IV(a)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INHAM Exemption), the conditions of Part I(a), (g) and (h) of the INHAM Exemption are satisfied, neither the INHAM nor a person controlling or controlled by the INHAM (applying the definition of “control” in Part IV(d)(3) of the INHAM Exemption) owns a 10% or more interest in the Company and (i) the identity of such INHAM and (ii) the name(s) of the employee benefit plan(s) whose assets constitute the Source have been disclosed to the Company in writing pursuant to this clause (e); or</w:t>
      </w:r>
    </w:p>
    <w:p>
      <w:pPr>
        <w:spacing w:after="0" w:line="221" w:lineRule="exact"/>
        <w:rPr>
          <w:rFonts w:ascii="Times New Roman" w:cs="Times New Roman" w:eastAsia="Times New Roman" w:hAnsi="Times New Roman"/>
          <w:sz w:val="22"/>
          <w:szCs w:val="22"/>
          <w:color w:val="auto"/>
        </w:rPr>
      </w:pPr>
    </w:p>
    <w:p>
      <w:pPr>
        <w:ind w:left="880" w:firstLine="816"/>
        <w:spacing w:after="0" w:line="258" w:lineRule="auto"/>
        <w:tabs>
          <w:tab w:leader="none" w:pos="255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a governmental plan (as defined in Section 3 of ERISA) which is not subject to the provisions of Title I of ERISA or Section 4975 of the Code; or</w:t>
      </w:r>
    </w:p>
    <w:p>
      <w:pPr>
        <w:spacing w:after="0" w:line="185" w:lineRule="exact"/>
        <w:rPr>
          <w:rFonts w:ascii="Times New Roman" w:cs="Times New Roman" w:eastAsia="Times New Roman" w:hAnsi="Times New Roman"/>
          <w:sz w:val="22"/>
          <w:szCs w:val="22"/>
          <w:color w:val="auto"/>
        </w:rPr>
      </w:pPr>
    </w:p>
    <w:p>
      <w:pPr>
        <w:jc w:val="both"/>
        <w:ind w:left="880" w:firstLine="816"/>
        <w:spacing w:after="0" w:line="244" w:lineRule="auto"/>
        <w:tabs>
          <w:tab w:leader="none" w:pos="259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one or more employee benefit plans, or a separate account or trust fund comprised of one or more employee benefit plans, each of which has been identified to the Company in writing pursuant to this clause (g); or</w:t>
      </w:r>
    </w:p>
    <w:p>
      <w:pPr>
        <w:spacing w:after="0" w:line="214" w:lineRule="exact"/>
        <w:rPr>
          <w:rFonts w:ascii="Times New Roman" w:cs="Times New Roman" w:eastAsia="Times New Roman" w:hAnsi="Times New Roman"/>
          <w:sz w:val="22"/>
          <w:szCs w:val="22"/>
          <w:color w:val="auto"/>
        </w:rPr>
      </w:pPr>
    </w:p>
    <w:p>
      <w:pPr>
        <w:ind w:left="880" w:right="20" w:firstLine="816"/>
        <w:spacing w:after="0" w:line="258" w:lineRule="auto"/>
        <w:tabs>
          <w:tab w:leader="none" w:pos="259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does not include assets of any employee benefit plan, other than a plan exempt from the coverage of ERISA.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23" w:name="page24"/>
    <w:bookmarkEnd w:id="23"/>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8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 xml:space="preserve">As used in this Section 6.2, the terms </w:t>
      </w:r>
      <w:r>
        <w:rPr>
          <w:rFonts w:ascii="Times New Roman" w:cs="Times New Roman" w:eastAsia="Times New Roman" w:hAnsi="Times New Roman"/>
          <w:sz w:val="22"/>
          <w:szCs w:val="22"/>
          <w:b w:val="1"/>
          <w:bCs w:val="1"/>
          <w:color w:val="auto"/>
        </w:rPr>
        <w:t>“employee benefit plan,” “governmental plan,”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“separate account”</w:t>
      </w:r>
      <w:r>
        <w:rPr>
          <w:rFonts w:ascii="Times New Roman" w:cs="Times New Roman" w:eastAsia="Times New Roman" w:hAnsi="Times New Roman"/>
          <w:sz w:val="22"/>
          <w:szCs w:val="22"/>
          <w:color w:val="auto"/>
        </w:rPr>
        <w:t xml:space="preserve"> shall have the respective meanings assigned to such terms in section 3 of ERISA.</w:t>
      </w:r>
    </w:p>
    <w:p>
      <w:pPr>
        <w:spacing w:after="0" w:line="217"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7.</w:t>
      </w:r>
      <w:r>
        <w:rPr>
          <w:sz w:val="20"/>
          <w:szCs w:val="20"/>
          <w:color w:val="auto"/>
        </w:rPr>
        <w:tab/>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NFORMATION AS TO</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ind w:left="880"/>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Section 7.1.</w:t>
      </w:r>
      <w:r>
        <w:rPr>
          <w:sz w:val="20"/>
          <w:szCs w:val="20"/>
          <w:color w:val="auto"/>
        </w:rPr>
        <w:tab/>
      </w:r>
      <w:r>
        <w:rPr>
          <w:rFonts w:ascii="Times New Roman" w:cs="Times New Roman" w:eastAsia="Times New Roman" w:hAnsi="Times New Roman"/>
          <w:sz w:val="21"/>
          <w:szCs w:val="21"/>
          <w:b w:val="1"/>
          <w:bCs w:val="1"/>
          <w:color w:val="auto"/>
        </w:rPr>
        <w:t>Financial and Business Information</w:t>
      </w:r>
      <w:r>
        <w:rPr>
          <w:rFonts w:ascii="Times New Roman" w:cs="Times New Roman" w:eastAsia="Times New Roman" w:hAnsi="Times New Roman"/>
          <w:sz w:val="21"/>
          <w:szCs w:val="21"/>
          <w:color w:val="auto"/>
        </w:rPr>
        <w:t>. The Company shall deliver to each Purchaser and each holder of 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that is an Institutional Investor:</w:t>
      </w:r>
    </w:p>
    <w:p>
      <w:pPr>
        <w:spacing w:after="0" w:line="219" w:lineRule="exact"/>
        <w:rPr>
          <w:sz w:val="20"/>
          <w:szCs w:val="20"/>
          <w:color w:val="auto"/>
        </w:rPr>
      </w:pPr>
    </w:p>
    <w:p>
      <w:pPr>
        <w:jc w:val="both"/>
        <w:ind w:left="880" w:firstLine="816"/>
        <w:spacing w:after="0" w:line="249" w:lineRule="exact"/>
        <w:tabs>
          <w:tab w:leader="none" w:pos="22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Quarterly Statements </w:t>
      </w:r>
      <w:r>
        <w:rPr>
          <w:rFonts w:ascii="Times New Roman" w:cs="Times New Roman" w:eastAsia="Times New Roman" w:hAnsi="Times New Roman"/>
          <w:sz w:val="22"/>
          <w:szCs w:val="22"/>
          <w:color w:val="auto"/>
        </w:rPr>
        <w:t>— within 60 days (or such shorter period as is the earlier of (x) 15 days greater than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period applicable to the filing of the Company’s Quarterly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Q (the </w:t>
      </w:r>
      <w:r>
        <w:rPr>
          <w:rFonts w:ascii="Times New Roman" w:cs="Times New Roman" w:eastAsia="Times New Roman" w:hAnsi="Times New Roman"/>
          <w:sz w:val="22"/>
          <w:szCs w:val="22"/>
          <w:b w:val="1"/>
          <w:bCs w:val="1"/>
          <w:color w:val="auto"/>
        </w:rPr>
        <w:t>“Form 10</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Q”</w:t>
      </w:r>
      <w:r>
        <w:rPr>
          <w:rFonts w:ascii="Times New Roman" w:cs="Times New Roman" w:eastAsia="Times New Roman" w:hAnsi="Times New Roman"/>
          <w:sz w:val="22"/>
          <w:szCs w:val="22"/>
          <w:color w:val="auto"/>
        </w:rPr>
        <w:t>) with the SEC regardless of whether the Company is subject to the filing requirements thereof and (y) the date by which such financial statements are required to be delivered under any Material Credit Facility or the date on which such corresponding financial statements are delivered under any Material Credit Facility if such delivery occurs earlier than such required delivery date) after the end of each quarterly fiscal period in each fiscal year of the Company (other than the last quarterly fiscal period of each such fiscal year), duplicate copies of,</w:t>
      </w:r>
    </w:p>
    <w:p>
      <w:pPr>
        <w:spacing w:after="0" w:line="220" w:lineRule="exact"/>
        <w:rPr>
          <w:rFonts w:ascii="Times New Roman" w:cs="Times New Roman" w:eastAsia="Times New Roman" w:hAnsi="Times New Roman"/>
          <w:sz w:val="22"/>
          <w:szCs w:val="22"/>
          <w:color w:val="auto"/>
        </w:rPr>
      </w:pPr>
    </w:p>
    <w:p>
      <w:pPr>
        <w:ind w:left="3360" w:hanging="854"/>
        <w:spacing w:after="0"/>
        <w:tabs>
          <w:tab w:leader="none" w:pos="336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consolidated balance sheet of the Company and its Subsidiaries as at the end of such</w:t>
      </w:r>
    </w:p>
    <w:p>
      <w:pPr>
        <w:spacing w:after="0" w:line="14"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quarter, and</w:t>
      </w:r>
    </w:p>
    <w:p>
      <w:pPr>
        <w:spacing w:after="0" w:line="209" w:lineRule="exact"/>
        <w:rPr>
          <w:rFonts w:ascii="Times New Roman" w:cs="Times New Roman" w:eastAsia="Times New Roman" w:hAnsi="Times New Roman"/>
          <w:sz w:val="22"/>
          <w:szCs w:val="22"/>
          <w:color w:val="auto"/>
        </w:rPr>
      </w:pPr>
    </w:p>
    <w:p>
      <w:pPr>
        <w:jc w:val="both"/>
        <w:ind w:left="1760" w:firstLine="746"/>
        <w:spacing w:after="0" w:line="244" w:lineRule="auto"/>
        <w:tabs>
          <w:tab w:leader="none" w:pos="3415"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214" w:lineRule="exact"/>
        <w:rPr>
          <w:sz w:val="20"/>
          <w:szCs w:val="20"/>
          <w:color w:val="auto"/>
        </w:rPr>
      </w:pPr>
    </w:p>
    <w:p>
      <w:pPr>
        <w:jc w:val="both"/>
        <w:ind w:left="880"/>
        <w:spacing w:after="0" w:line="248" w:lineRule="exact"/>
        <w:rPr>
          <w:sz w:val="20"/>
          <w:szCs w:val="20"/>
          <w:color w:val="auto"/>
        </w:rPr>
      </w:pPr>
      <w:r>
        <w:rPr>
          <w:rFonts w:ascii="Times New Roman" w:cs="Times New Roman" w:eastAsia="Times New Roman" w:hAnsi="Times New Roman"/>
          <w:sz w:val="22"/>
          <w:szCs w:val="22"/>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end adjustments;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delivery within the time period specified above of copies of the Company’s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Q prepared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compliance with the requirements therefor and filed with the SEC shall be deemed to satisfy the requirements of this Section 7.1(a);</w:t>
      </w:r>
    </w:p>
    <w:p>
      <w:pPr>
        <w:spacing w:after="0" w:line="220" w:lineRule="exact"/>
        <w:rPr>
          <w:sz w:val="20"/>
          <w:szCs w:val="20"/>
          <w:color w:val="auto"/>
        </w:rPr>
      </w:pPr>
    </w:p>
    <w:p>
      <w:pPr>
        <w:jc w:val="both"/>
        <w:ind w:left="880" w:firstLine="816"/>
        <w:spacing w:after="0" w:line="250" w:lineRule="exact"/>
        <w:tabs>
          <w:tab w:leader="none" w:pos="223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Annual Statements </w:t>
      </w:r>
      <w:r>
        <w:rPr>
          <w:rFonts w:ascii="Times New Roman" w:cs="Times New Roman" w:eastAsia="Times New Roman" w:hAnsi="Times New Roman"/>
          <w:sz w:val="22"/>
          <w:szCs w:val="22"/>
          <w:color w:val="auto"/>
        </w:rPr>
        <w:t>— within 120 days (or such shorter period as is the earlier of (x) 15 days greater than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period applicable to the filing of the Company’s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K (the </w:t>
      </w:r>
      <w:r>
        <w:rPr>
          <w:rFonts w:ascii="Times New Roman" w:cs="Times New Roman" w:eastAsia="Times New Roman" w:hAnsi="Times New Roman"/>
          <w:sz w:val="22"/>
          <w:szCs w:val="22"/>
          <w:b w:val="1"/>
          <w:bCs w:val="1"/>
          <w:color w:val="auto"/>
        </w:rPr>
        <w:t>“Form 10</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K”</w:t>
      </w:r>
      <w:r>
        <w:rPr>
          <w:rFonts w:ascii="Times New Roman" w:cs="Times New Roman" w:eastAsia="Times New Roman" w:hAnsi="Times New Roman"/>
          <w:sz w:val="22"/>
          <w:szCs w:val="22"/>
          <w:color w:val="auto"/>
        </w:rPr>
        <w:t>) with the SEC regardless of whether the Company is subject to the filing requirements thereof and (y) the date by which such financial statements are required to be delivered under any Material Credit Facility or the date on which such corresponding financial statements are delivered under any Material Credit Facility if such delivery occurs earlier than such required delivery date) after the end of each fiscal year of the Company, duplicate copies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4" w:name="page25"/>
    <w:bookmarkEnd w:id="24"/>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3360" w:hanging="854"/>
        <w:spacing w:after="0"/>
        <w:tabs>
          <w:tab w:leader="none" w:pos="336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consolidated balance sheet of the Company and its Subsidiaries as at the end of such year,</w:t>
      </w:r>
    </w:p>
    <w:p>
      <w:pPr>
        <w:spacing w:after="0" w:line="2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and</w:t>
      </w:r>
    </w:p>
    <w:p>
      <w:pPr>
        <w:spacing w:after="0" w:line="209" w:lineRule="exact"/>
        <w:rPr>
          <w:sz w:val="20"/>
          <w:szCs w:val="20"/>
          <w:color w:val="auto"/>
        </w:rPr>
      </w:pPr>
    </w:p>
    <w:p>
      <w:pPr>
        <w:ind w:left="1760" w:firstLine="746"/>
        <w:spacing w:after="0" w:line="258" w:lineRule="auto"/>
        <w:tabs>
          <w:tab w:leader="none" w:pos="341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statements of income, changes in shareholders’ equity and cash flows of the Company and its Subsidiaries for such year,</w:t>
      </w:r>
    </w:p>
    <w:p>
      <w:pPr>
        <w:spacing w:after="0" w:line="199" w:lineRule="exact"/>
        <w:rPr>
          <w:sz w:val="20"/>
          <w:szCs w:val="20"/>
          <w:color w:val="auto"/>
        </w:rPr>
      </w:pPr>
    </w:p>
    <w:p>
      <w:pPr>
        <w:jc w:val="both"/>
        <w:ind w:left="880"/>
        <w:spacing w:after="0" w:line="247" w:lineRule="exact"/>
        <w:rPr>
          <w:sz w:val="20"/>
          <w:szCs w:val="20"/>
          <w:color w:val="auto"/>
        </w:rPr>
      </w:pPr>
      <w:r>
        <w:rPr>
          <w:rFonts w:ascii="Times New Roman" w:cs="Times New Roman" w:eastAsia="Times New Roman" w:hAnsi="Times New Roman"/>
          <w:sz w:val="21"/>
          <w:szCs w:val="21"/>
          <w:color w:val="auto"/>
        </w:rPr>
        <w:t xml:space="preserve">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 which such opinion is based)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delivery within the time period specified above of the Company’s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for such fiscal year prepared in accordance with the requirements therefor and filed with the SEC, shall be deemed to satisfy the requirements of this Section 7.1(b);</w:t>
      </w:r>
    </w:p>
    <w:p>
      <w:pPr>
        <w:spacing w:after="0" w:line="218" w:lineRule="exact"/>
        <w:rPr>
          <w:sz w:val="20"/>
          <w:szCs w:val="20"/>
          <w:color w:val="auto"/>
        </w:rPr>
      </w:pPr>
    </w:p>
    <w:p>
      <w:pPr>
        <w:jc w:val="both"/>
        <w:ind w:left="880" w:firstLine="816"/>
        <w:spacing w:after="0" w:line="247" w:lineRule="auto"/>
        <w:tabs>
          <w:tab w:leader="none" w:pos="2376"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SEC and Other Reports </w:t>
      </w:r>
      <w:r>
        <w:rPr>
          <w:rFonts w:ascii="Times New Roman" w:cs="Times New Roman" w:eastAsia="Times New Roman" w:hAnsi="Times New Roman"/>
          <w:sz w:val="21"/>
          <w:szCs w:val="21"/>
          <w:color w:val="auto"/>
        </w:rPr>
        <w:t>— promptly upon their becoming available, one copy of (i) each financial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statement, report, notice, proxy statement or similar document sent by the Company or any Subsidiary (x) to its creditors under any Material Credit Facility (excluding information sent to such creditors in the ordinary course of administration of a credit facility, such as information or notices relating to pricing and borrowing availability, notices of borrowing, and quarterly and annual certifications demonstrating compliance) or (y) to its public Securities holders generally, and</w:t>
      </w:r>
    </w:p>
    <w:p>
      <w:pPr>
        <w:jc w:val="both"/>
        <w:ind w:left="880" w:firstLine="5"/>
        <w:spacing w:after="0" w:line="234" w:lineRule="auto"/>
        <w:tabs>
          <w:tab w:leader="none" w:pos="121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regular or periodic report, each registration statement (without exhibits except as expressly requested by such holder), and each prospectus and all amendments thereto filed by the Company or any Subsidiary with the SEC and of all press releases made available generally by the Company or any Subsidiary to the public concerning developments that are Material;</w:t>
      </w:r>
    </w:p>
    <w:p>
      <w:pPr>
        <w:spacing w:after="0" w:line="200" w:lineRule="exact"/>
        <w:rPr>
          <w:rFonts w:ascii="Times New Roman" w:cs="Times New Roman" w:eastAsia="Times New Roman" w:hAnsi="Times New Roman"/>
          <w:sz w:val="22"/>
          <w:szCs w:val="22"/>
          <w:color w:val="auto"/>
        </w:rPr>
      </w:pPr>
    </w:p>
    <w:p>
      <w:pPr>
        <w:jc w:val="both"/>
        <w:ind w:left="880" w:firstLine="816"/>
        <w:spacing w:after="0" w:line="238" w:lineRule="auto"/>
        <w:tabs>
          <w:tab w:leader="none" w:pos="2307"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 of Default or Event of Default </w:t>
      </w:r>
      <w:r>
        <w:rPr>
          <w:rFonts w:ascii="Times New Roman" w:cs="Times New Roman" w:eastAsia="Times New Roman" w:hAnsi="Times New Roman"/>
          <w:sz w:val="22"/>
          <w:szCs w:val="22"/>
          <w:color w:val="auto"/>
        </w:rPr>
        <w:t>— promptly, and in any event within 5 days after a Responsible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Officer becoming aware of the existence of any Default or Event of Default or that any Person has given any notice or taken any action with respect to a claimed default hereunder or that any Person has given any notice or taken any action with respect to a claimed default of the type referred to in Section 11(f), a written notice specifying the nature and period of existence thereof and what action the Company is taking or proposes to take with respect thereto;</w:t>
      </w:r>
    </w:p>
    <w:p>
      <w:pPr>
        <w:spacing w:after="0" w:line="217" w:lineRule="exact"/>
        <w:rPr>
          <w:rFonts w:ascii="Times New Roman" w:cs="Times New Roman" w:eastAsia="Times New Roman" w:hAnsi="Times New Roman"/>
          <w:sz w:val="22"/>
          <w:szCs w:val="22"/>
          <w:color w:val="auto"/>
        </w:rPr>
      </w:pPr>
    </w:p>
    <w:p>
      <w:pPr>
        <w:jc w:val="both"/>
        <w:ind w:left="880" w:firstLine="816"/>
        <w:spacing w:after="0" w:line="246" w:lineRule="auto"/>
        <w:tabs>
          <w:tab w:leader="none" w:pos="2362"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Employee Benefits Matters </w:t>
      </w:r>
      <w:r>
        <w:rPr>
          <w:rFonts w:ascii="Times New Roman" w:cs="Times New Roman" w:eastAsia="Times New Roman" w:hAnsi="Times New Roman"/>
          <w:sz w:val="22"/>
          <w:szCs w:val="22"/>
          <w:color w:val="auto"/>
        </w:rPr>
        <w:t>— promptly, and in any event within 5 days after a Responsible Officer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becoming aware of any of the following, a written notice setting forth the nature thereof and the action, if any, that the Company or an ERISA Affiliate proposes to take with respect thereto: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25" w:name="page26"/>
    <w:bookmarkEnd w:id="25"/>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both"/>
        <w:ind w:left="1760" w:firstLine="746"/>
        <w:spacing w:after="0" w:line="244" w:lineRule="auto"/>
        <w:tabs>
          <w:tab w:leader="none" w:pos="3355"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Plan, any reportable event, as defined in section 4043(c) of ERISA and the regulations thereunder, for which notice thereof has not been waived pursuant to such regulations as in effect on the date hereof;</w:t>
      </w:r>
    </w:p>
    <w:p>
      <w:pPr>
        <w:spacing w:after="0" w:line="200" w:lineRule="exact"/>
        <w:rPr>
          <w:rFonts w:ascii="Times New Roman" w:cs="Times New Roman" w:eastAsia="Times New Roman" w:hAnsi="Times New Roman"/>
          <w:sz w:val="22"/>
          <w:szCs w:val="22"/>
          <w:color w:val="auto"/>
        </w:rPr>
      </w:pPr>
    </w:p>
    <w:p>
      <w:pPr>
        <w:jc w:val="both"/>
        <w:ind w:left="1760" w:firstLine="746"/>
        <w:spacing w:after="0" w:line="239" w:lineRule="auto"/>
        <w:tabs>
          <w:tab w:leader="none" w:pos="3415"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institution by the PBGC of,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w:t>
      </w:r>
    </w:p>
    <w:p>
      <w:pPr>
        <w:spacing w:after="0" w:line="221" w:lineRule="exact"/>
        <w:rPr>
          <w:rFonts w:ascii="Times New Roman" w:cs="Times New Roman" w:eastAsia="Times New Roman" w:hAnsi="Times New Roman"/>
          <w:sz w:val="22"/>
          <w:szCs w:val="22"/>
          <w:color w:val="auto"/>
        </w:rPr>
      </w:pPr>
    </w:p>
    <w:p>
      <w:pPr>
        <w:jc w:val="both"/>
        <w:ind w:left="1760" w:firstLine="746"/>
        <w:spacing w:after="0" w:line="236" w:lineRule="auto"/>
        <w:tabs>
          <w:tab w:leader="none" w:pos="3475"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could reasonably be expected to have a Material Adverse Effect; or</w:t>
      </w:r>
    </w:p>
    <w:p>
      <w:pPr>
        <w:spacing w:after="0" w:line="222" w:lineRule="exact"/>
        <w:rPr>
          <w:rFonts w:ascii="Times New Roman" w:cs="Times New Roman" w:eastAsia="Times New Roman" w:hAnsi="Times New Roman"/>
          <w:sz w:val="22"/>
          <w:szCs w:val="22"/>
          <w:color w:val="auto"/>
        </w:rPr>
      </w:pPr>
    </w:p>
    <w:p>
      <w:pPr>
        <w:jc w:val="both"/>
        <w:ind w:left="1760" w:firstLine="746"/>
        <w:spacing w:after="0" w:line="264" w:lineRule="exact"/>
        <w:tabs>
          <w:tab w:leader="none" w:pos="3463"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receipt of notice of the imposition of a Material financial penalty (which for this purpose shall mean any tax, penalty or other liability, whether by way of indemnity or otherwise) with respect to one or more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Plans;</w:t>
      </w:r>
    </w:p>
    <w:p>
      <w:pPr>
        <w:spacing w:after="0" w:line="177" w:lineRule="exact"/>
        <w:rPr>
          <w:rFonts w:ascii="Times New Roman" w:cs="Times New Roman" w:eastAsia="Times New Roman" w:hAnsi="Times New Roman"/>
          <w:sz w:val="22"/>
          <w:szCs w:val="22"/>
          <w:color w:val="auto"/>
        </w:rPr>
      </w:pPr>
    </w:p>
    <w:p>
      <w:pPr>
        <w:jc w:val="both"/>
        <w:ind w:left="880" w:firstLine="816"/>
        <w:spacing w:after="0" w:line="246" w:lineRule="auto"/>
        <w:tabs>
          <w:tab w:leader="none" w:pos="227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Notices from Governmental Authority </w:t>
      </w:r>
      <w:r>
        <w:rPr>
          <w:rFonts w:ascii="Times New Roman" w:cs="Times New Roman" w:eastAsia="Times New Roman" w:hAnsi="Times New Roman"/>
          <w:sz w:val="22"/>
          <w:szCs w:val="22"/>
          <w:color w:val="auto"/>
        </w:rPr>
        <w:t>— promptly, and in any event within 30 days of receipt thereof,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copies of any notice to the Company or any Subsidiary from any Governmental Authority relating to any order, ruling, statute or other law or regulation that could reasonably be expected to have a Material Adverse Effect;</w:t>
      </w:r>
    </w:p>
    <w:p>
      <w:pPr>
        <w:spacing w:after="0" w:line="207" w:lineRule="exact"/>
        <w:rPr>
          <w:rFonts w:ascii="Times New Roman" w:cs="Times New Roman" w:eastAsia="Times New Roman" w:hAnsi="Times New Roman"/>
          <w:sz w:val="22"/>
          <w:szCs w:val="22"/>
          <w:color w:val="auto"/>
        </w:rPr>
      </w:pPr>
    </w:p>
    <w:p>
      <w:pPr>
        <w:jc w:val="both"/>
        <w:ind w:left="880" w:firstLine="816"/>
        <w:spacing w:after="0" w:line="238" w:lineRule="auto"/>
        <w:tabs>
          <w:tab w:leader="none" w:pos="22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Resignation or Replacement of Auditors </w:t>
      </w:r>
      <w:r>
        <w:rPr>
          <w:rFonts w:ascii="Times New Roman" w:cs="Times New Roman" w:eastAsia="Times New Roman" w:hAnsi="Times New Roman"/>
          <w:sz w:val="22"/>
          <w:szCs w:val="22"/>
          <w:color w:val="auto"/>
        </w:rPr>
        <w:t>— within 10 days following the date on which the Company’s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auditors resign or the Company elects to change auditors, as the case may be, notification thereof, together with such further information as the Required Holders may request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filing by the Company of a current report on Form 8-K with the SEC regarding such resignation or change shall be deemed to constitute notification pursuant to this clause (g); and</w:t>
      </w:r>
    </w:p>
    <w:p>
      <w:pPr>
        <w:spacing w:after="0" w:line="217" w:lineRule="exact"/>
        <w:rPr>
          <w:rFonts w:ascii="Times New Roman" w:cs="Times New Roman" w:eastAsia="Times New Roman" w:hAnsi="Times New Roman"/>
          <w:sz w:val="22"/>
          <w:szCs w:val="22"/>
          <w:color w:val="auto"/>
        </w:rPr>
      </w:pPr>
    </w:p>
    <w:p>
      <w:pPr>
        <w:jc w:val="both"/>
        <w:ind w:left="880" w:firstLine="816"/>
        <w:spacing w:after="0" w:line="251" w:lineRule="exact"/>
        <w:tabs>
          <w:tab w:leader="none" w:pos="230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Requested Information </w:t>
      </w:r>
      <w:r>
        <w:rPr>
          <w:rFonts w:ascii="Times New Roman" w:cs="Times New Roman" w:eastAsia="Times New Roman" w:hAnsi="Times New Roman"/>
          <w:sz w:val="22"/>
          <w:szCs w:val="22"/>
          <w:color w:val="auto"/>
        </w:rPr>
        <w:t>— with reasonable promptness, such other data and information relating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business, operations, affairs, financial condition, assets or properties of the Company or any of its Subsidiaries (including, but without limitation, actual copies of the Company’s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Q and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or relating to the ability of the Company to perform its obligations hereunder and under the Notes as from time to time may be reasonably requested by any such Purchaser or holder of a Note.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26" w:name="page27"/>
    <w:bookmarkEnd w:id="26"/>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86"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Section 7.2. Officer’s Certificate</w:t>
      </w:r>
      <w:r>
        <w:rPr>
          <w:rFonts w:ascii="Times New Roman" w:cs="Times New Roman" w:eastAsia="Times New Roman" w:hAnsi="Times New Roman"/>
          <w:sz w:val="22"/>
          <w:szCs w:val="22"/>
          <w:color w:val="auto"/>
        </w:rPr>
        <w:t>. With respect to each set of financial statements delivered to a Purchaser or a 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 Note pursuant to Section 7.1(a) or Section 7.1(b), the Company shall delivery concurrently a certificate of a Senior Financial Officer:</w:t>
      </w:r>
    </w:p>
    <w:p>
      <w:pPr>
        <w:spacing w:after="0" w:line="194" w:lineRule="exact"/>
        <w:rPr>
          <w:sz w:val="20"/>
          <w:szCs w:val="20"/>
          <w:color w:val="auto"/>
        </w:rPr>
      </w:pPr>
    </w:p>
    <w:p>
      <w:pPr>
        <w:jc w:val="both"/>
        <w:ind w:left="880" w:firstLine="816"/>
        <w:spacing w:after="0" w:line="234" w:lineRule="auto"/>
        <w:tabs>
          <w:tab w:leader="none" w:pos="225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Covenant Compliance </w:t>
      </w:r>
      <w:r>
        <w:rPr>
          <w:rFonts w:ascii="Times New Roman" w:cs="Times New Roman" w:eastAsia="Times New Roman" w:hAnsi="Times New Roman"/>
          <w:sz w:val="22"/>
          <w:szCs w:val="22"/>
          <w:color w:val="auto"/>
        </w:rPr>
        <w:t>— setting forth the information from such financial statements that is required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order to establish whether the Company was in compliance with the requirements of Section 10 during the quarterly or annual period covered by the financial statements then being furnished (including with respect to each such provision that involves mathematical calculations, the information from such financial statements that is required to perform such calculations) and detailed calculations of the maximum or minimum amount, ratio or percentage, as the case may be, permissible under the terms of such Section, and the calculation of the amount, ratio or percentage then in existence. In the event that the Company or any Subsidiary has made an election to measure any financial liability using fair value (which election is being disregarded for purposes of determining compliance with this Agreement pursuant to Section 22.2) as to the period covered by any such financial statement, such Senior Financial Officer’s certificate as to such period shall include a reconciliation from GAAP with respect to such election;</w:t>
      </w:r>
    </w:p>
    <w:p>
      <w:pPr>
        <w:spacing w:after="0" w:line="221" w:lineRule="exact"/>
        <w:rPr>
          <w:rFonts w:ascii="Times New Roman" w:cs="Times New Roman" w:eastAsia="Times New Roman" w:hAnsi="Times New Roman"/>
          <w:sz w:val="22"/>
          <w:szCs w:val="22"/>
          <w:color w:val="auto"/>
        </w:rPr>
      </w:pPr>
    </w:p>
    <w:p>
      <w:pPr>
        <w:jc w:val="both"/>
        <w:ind w:left="880" w:firstLine="816"/>
        <w:spacing w:after="0" w:line="235" w:lineRule="auto"/>
        <w:tabs>
          <w:tab w:leader="none" w:pos="226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Event of Default </w:t>
      </w:r>
      <w:r>
        <w:rPr>
          <w:rFonts w:ascii="Times New Roman" w:cs="Times New Roman" w:eastAsia="Times New Roman" w:hAnsi="Times New Roman"/>
          <w:sz w:val="22"/>
          <w:szCs w:val="22"/>
          <w:color w:val="auto"/>
        </w:rPr>
        <w:t>— certifying that such Senior Financial Officer has reviewed the relevant terms hereof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any such event or condition resulting from the failure of the Company or any Subsidiary to comply with any Environmental Law), specifying the nature and period of existence thereof and what action the Company shall have taken or proposes to take with respect thereto; and</w:t>
      </w:r>
    </w:p>
    <w:p>
      <w:pPr>
        <w:spacing w:after="0" w:line="219" w:lineRule="exact"/>
        <w:rPr>
          <w:rFonts w:ascii="Times New Roman" w:cs="Times New Roman" w:eastAsia="Times New Roman" w:hAnsi="Times New Roman"/>
          <w:sz w:val="22"/>
          <w:szCs w:val="22"/>
          <w:color w:val="auto"/>
        </w:rPr>
      </w:pPr>
    </w:p>
    <w:p>
      <w:pPr>
        <w:jc w:val="both"/>
        <w:ind w:left="880" w:firstLine="816"/>
        <w:spacing w:after="0" w:line="246" w:lineRule="auto"/>
        <w:tabs>
          <w:tab w:leader="none" w:pos="241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Subsidiary Guarantors </w:t>
      </w:r>
      <w:r>
        <w:rPr>
          <w:rFonts w:ascii="Times New Roman" w:cs="Times New Roman" w:eastAsia="Times New Roman" w:hAnsi="Times New Roman"/>
          <w:sz w:val="22"/>
          <w:szCs w:val="22"/>
          <w:color w:val="auto"/>
        </w:rPr>
        <w:t>– setting forth a list of all Subsidiaries that are Subsidiary Guarantors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certifying that each Subsidiary that is required to be a Subsidiary Guarantor pursuant to Section 9.7 is a Subsidiary Guarantor, in each case, as of the date of such certificate of Senior Financial Officer.</w:t>
      </w:r>
    </w:p>
    <w:p>
      <w:pPr>
        <w:spacing w:after="0" w:line="194" w:lineRule="exact"/>
        <w:rPr>
          <w:sz w:val="20"/>
          <w:szCs w:val="20"/>
          <w:color w:val="auto"/>
        </w:rPr>
      </w:pPr>
    </w:p>
    <w:p>
      <w:pPr>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Section 7.3. Visitation</w:t>
      </w:r>
      <w:r>
        <w:rPr>
          <w:rFonts w:ascii="Times New Roman" w:cs="Times New Roman" w:eastAsia="Times New Roman" w:hAnsi="Times New Roman"/>
          <w:sz w:val="22"/>
          <w:szCs w:val="22"/>
          <w:color w:val="auto"/>
        </w:rPr>
        <w:t>. The Company shall permit the representatives of each Purchaser and each holder of a Note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is an Institutional Investor:</w:t>
      </w:r>
    </w:p>
    <w:p>
      <w:pPr>
        <w:spacing w:after="0" w:line="190" w:lineRule="exact"/>
        <w:rPr>
          <w:sz w:val="20"/>
          <w:szCs w:val="20"/>
          <w:color w:val="auto"/>
        </w:rPr>
      </w:pPr>
    </w:p>
    <w:p>
      <w:pPr>
        <w:jc w:val="both"/>
        <w:ind w:left="880" w:firstLine="816"/>
        <w:spacing w:after="0" w:line="252" w:lineRule="auto"/>
        <w:tabs>
          <w:tab w:leader="none" w:pos="2308"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 Default </w:t>
      </w:r>
      <w:r>
        <w:rPr>
          <w:rFonts w:ascii="Times New Roman" w:cs="Times New Roman" w:eastAsia="Times New Roman" w:hAnsi="Times New Roman"/>
          <w:sz w:val="21"/>
          <w:szCs w:val="21"/>
          <w:color w:val="auto"/>
        </w:rPr>
        <w:t>— if no Default or Event of Default then exists, at the expense of such Purchaser or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holder and 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and as often as may be reasonably requested in writing; and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7" w:name="page28"/>
    <w:bookmarkEnd w:id="27"/>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86" w:lineRule="exact"/>
        <w:rPr>
          <w:sz w:val="20"/>
          <w:szCs w:val="20"/>
          <w:color w:val="auto"/>
        </w:rPr>
      </w:pPr>
    </w:p>
    <w:p>
      <w:pPr>
        <w:jc w:val="both"/>
        <w:ind w:left="880" w:firstLine="816"/>
        <w:spacing w:after="0" w:line="249" w:lineRule="auto"/>
        <w:tabs>
          <w:tab w:leader="none" w:pos="222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Default </w:t>
      </w:r>
      <w:r>
        <w:rPr>
          <w:rFonts w:ascii="Times New Roman" w:cs="Times New Roman" w:eastAsia="Times New Roman" w:hAnsi="Times New Roman"/>
          <w:sz w:val="21"/>
          <w:szCs w:val="21"/>
          <w:color w:val="auto"/>
        </w:rPr>
        <w:t>— if a Default or Event of Default then exists, at the expense of the Company to visit and inspect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Company shall receive written notice of such meeting and representatives of the Company shall be entitled to be present at any such meeting)), all at such times and as often as may be reasonably requested in writing.</w:t>
      </w:r>
    </w:p>
    <w:p>
      <w:pPr>
        <w:spacing w:after="0" w:line="191"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Section 7.4. Electronic Delivery</w:t>
      </w:r>
      <w:r>
        <w:rPr>
          <w:rFonts w:ascii="Times New Roman" w:cs="Times New Roman" w:eastAsia="Times New Roman" w:hAnsi="Times New Roman"/>
          <w:sz w:val="22"/>
          <w:szCs w:val="22"/>
          <w:color w:val="auto"/>
        </w:rPr>
        <w:t>. Financial statements, opinions of independent certified public accountants,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and Officer’s Certificates that are required to be delivered by the Company pursuant to Sections 7.1(a), (b) or (c) and Section 7.2 shall (in addition to the delivery methods specified in the provisos to Sections 7.1(a) and (b), in the case of such clauses) be deemed to have been delivered if the Company satisfies any of the following requirements with respect thereto:</w:t>
      </w:r>
    </w:p>
    <w:p>
      <w:pPr>
        <w:spacing w:after="0" w:line="217" w:lineRule="exact"/>
        <w:rPr>
          <w:sz w:val="20"/>
          <w:szCs w:val="20"/>
          <w:color w:val="auto"/>
        </w:rPr>
      </w:pPr>
    </w:p>
    <w:p>
      <w:pPr>
        <w:jc w:val="both"/>
        <w:ind w:left="880" w:firstLine="816"/>
        <w:spacing w:after="0" w:line="257" w:lineRule="exact"/>
        <w:tabs>
          <w:tab w:leader="none" w:pos="2403"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financial statements satisfying the requirements of Section 7.1(a) or (b) and related Officer’s Certificate satisfying the requirements of Section 7.2 and any other information required under Section 7.1(c) are delivered to each holder of a Note by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at the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address set forth in such holder’s Purchaser Schedule or as communicated from time to time in a separate writing delivered to the Company;</w:t>
      </w:r>
    </w:p>
    <w:p>
      <w:pPr>
        <w:spacing w:after="0" w:line="217" w:lineRule="exact"/>
        <w:rPr>
          <w:rFonts w:ascii="Times New Roman" w:cs="Times New Roman" w:eastAsia="Times New Roman" w:hAnsi="Times New Roman"/>
          <w:sz w:val="22"/>
          <w:szCs w:val="22"/>
          <w:color w:val="auto"/>
        </w:rPr>
      </w:pPr>
    </w:p>
    <w:p>
      <w:pPr>
        <w:ind w:left="2240" w:hanging="544"/>
        <w:spacing w:after="0"/>
        <w:tabs>
          <w:tab w:leader="none" w:pos="2240"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the Officer’s Certificate satisfying the requirements of Section 7.2, the Company shall have</w:t>
      </w:r>
    </w:p>
    <w:p>
      <w:pPr>
        <w:spacing w:after="0" w:line="25" w:lineRule="exact"/>
        <w:rPr>
          <w:rFonts w:ascii="Times New Roman" w:cs="Times New Roman" w:eastAsia="Times New Roman" w:hAnsi="Times New Roman"/>
          <w:sz w:val="21"/>
          <w:szCs w:val="21"/>
          <w:color w:val="auto"/>
        </w:rPr>
      </w:pPr>
    </w:p>
    <w:p>
      <w:pPr>
        <w:jc w:val="both"/>
        <w:ind w:left="880" w:firstLine="5"/>
        <w:spacing w:after="0" w:line="246" w:lineRule="exact"/>
        <w:tabs>
          <w:tab w:leader="none" w:pos="114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such Officer’s Certificate available on its home page on the internet, which is located at http://www.toro.com as of the date of this Agreement, (ii) delivered such Officer’s Certificate to each holder of a Note by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at the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address set forth in such holder’s Purchaser Schedule or as communicated from time to time in a separate writing delivered to the Company, or (iii) posted such Officer’s Certificate on IntraLinks or on any other similar website to which each holder of Notes has free access;</w:t>
      </w:r>
    </w:p>
    <w:p>
      <w:pPr>
        <w:spacing w:after="0" w:line="206" w:lineRule="exact"/>
        <w:rPr>
          <w:rFonts w:ascii="Times New Roman" w:cs="Times New Roman" w:eastAsia="Times New Roman" w:hAnsi="Times New Roman"/>
          <w:sz w:val="22"/>
          <w:szCs w:val="22"/>
          <w:color w:val="auto"/>
        </w:rPr>
      </w:pPr>
    </w:p>
    <w:p>
      <w:pPr>
        <w:jc w:val="both"/>
        <w:ind w:left="880" w:firstLine="816"/>
        <w:spacing w:after="0" w:line="239" w:lineRule="auto"/>
        <w:tabs>
          <w:tab w:leader="none" w:pos="2362"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financial statements satisfying the requirements of Section 7.1(a) or Section 7.1(b) and related Officer’s Certificate(s) satisfying the requirements of Section 7.2 and any other information required under Section 7.1(c) are timely emailed to each holder of Notes posted by or on behalf of the Company on IntraLinks or on any other similar website to which each holder of Notes has free access; or</w:t>
      </w:r>
    </w:p>
    <w:p>
      <w:pPr>
        <w:spacing w:after="0" w:line="221" w:lineRule="exact"/>
        <w:rPr>
          <w:rFonts w:ascii="Times New Roman" w:cs="Times New Roman" w:eastAsia="Times New Roman" w:hAnsi="Times New Roman"/>
          <w:sz w:val="22"/>
          <w:szCs w:val="22"/>
          <w:color w:val="auto"/>
        </w:rPr>
      </w:pPr>
    </w:p>
    <w:p>
      <w:pPr>
        <w:jc w:val="both"/>
        <w:ind w:left="880" w:firstLine="816"/>
        <w:spacing w:after="0" w:line="244" w:lineRule="auto"/>
        <w:tabs>
          <w:tab w:leader="none" w:pos="2361"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timely filed any of the items referred to in Section 7.1(c) with the SEC on EDGAR or shall have emailed such items to each holder of Notes or made such items available on its home page on the internet or on IntraLinks or on any other similar website to which each holder of Notes has free access;</w:t>
      </w:r>
    </w:p>
    <w:p>
      <w:pPr>
        <w:spacing w:after="0" w:line="21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provided however, </w:t>
      </w:r>
      <w:r>
        <w:rPr>
          <w:rFonts w:ascii="Times New Roman" w:cs="Times New Roman" w:eastAsia="Times New Roman" w:hAnsi="Times New Roman"/>
          <w:sz w:val="22"/>
          <w:szCs w:val="22"/>
          <w:color w:val="auto"/>
        </w:rPr>
        <w:t>that in no case shall access to such financial statements, other information and Officer’s Certificates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conditioned upon any waiver or other agreement or consent (other than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8" w:name="page29"/>
    <w:bookmarkEnd w:id="28"/>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86"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22"/>
          <w:szCs w:val="22"/>
          <w:color w:val="auto"/>
        </w:rPr>
        <w:t xml:space="preserve">confidentiality provisions consistent with Section 20 of this Agreement);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except in the case of any delivery made by filing with the SEC on EDGAR or by email to the holders of the Notes, the Company shall have given each holder of a Note prior or concurrent written notice, which may be by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mail or in accordance with Section 18, of such posting or filing in connection with each delivery,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upon request of any holder to receive paper copies of such forms, financial statements, other information and Officer’s Certificates or to receive them by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the Company will promptly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them or deliver such paper copies, as the case may be, to such holder.</w:t>
      </w:r>
    </w:p>
    <w:p>
      <w:pPr>
        <w:spacing w:after="0" w:line="203" w:lineRule="exact"/>
        <w:rPr>
          <w:sz w:val="20"/>
          <w:szCs w:val="20"/>
          <w:color w:val="auto"/>
        </w:rPr>
      </w:pPr>
    </w:p>
    <w:p>
      <w:pPr>
        <w:ind w:left="880"/>
        <w:spacing w:after="0"/>
        <w:tabs>
          <w:tab w:leader="none" w:pos="2400" w:val="left"/>
        </w:tabs>
        <w:rPr>
          <w:sz w:val="20"/>
          <w:szCs w:val="20"/>
          <w:color w:val="auto"/>
        </w:rPr>
      </w:pPr>
      <w:r>
        <w:rPr>
          <w:rFonts w:ascii="Times New Roman" w:cs="Times New Roman" w:eastAsia="Times New Roman" w:hAnsi="Times New Roman"/>
          <w:sz w:val="22"/>
          <w:szCs w:val="22"/>
          <w:b w:val="1"/>
          <w:bCs w:val="1"/>
          <w:color w:val="auto"/>
        </w:rPr>
        <w:t>Section 8.</w:t>
      </w:r>
      <w:r>
        <w:rPr>
          <w:sz w:val="20"/>
          <w:szCs w:val="20"/>
          <w:color w:val="auto"/>
        </w:rPr>
        <w:tab/>
      </w:r>
      <w:r>
        <w:rPr>
          <w:rFonts w:ascii="Times New Roman" w:cs="Times New Roman" w:eastAsia="Times New Roman" w:hAnsi="Times New Roman"/>
          <w:sz w:val="21"/>
          <w:szCs w:val="21"/>
          <w:b w:val="1"/>
          <w:bCs w:val="1"/>
          <w:color w:val="auto"/>
        </w:rPr>
        <w:t>Payment and Prepayment of the Notes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Section 8.1. Maturity</w:t>
      </w:r>
      <w:r>
        <w:rPr>
          <w:rFonts w:ascii="Times New Roman" w:cs="Times New Roman" w:eastAsia="Times New Roman" w:hAnsi="Times New Roman"/>
          <w:sz w:val="22"/>
          <w:szCs w:val="22"/>
          <w:color w:val="auto"/>
        </w:rPr>
        <w:t>. (a) As provided therein, the entire unpaid principal balance of each Series A Note shall be due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payable on due June 15, 2029.</w:t>
      </w:r>
    </w:p>
    <w:p>
      <w:pPr>
        <w:spacing w:after="0" w:line="194" w:lineRule="exact"/>
        <w:rPr>
          <w:sz w:val="20"/>
          <w:szCs w:val="20"/>
          <w:color w:val="auto"/>
        </w:rPr>
      </w:pPr>
    </w:p>
    <w:p>
      <w:pPr>
        <w:ind w:left="1480" w:hanging="595"/>
        <w:spacing w:after="0"/>
        <w:tabs>
          <w:tab w:leader="none" w:pos="14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provided therein, the entire unpaid principal balance of each Series B Note shall be due and payable on due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June 15, 2031.</w:t>
      </w:r>
    </w:p>
    <w:p>
      <w:pPr>
        <w:spacing w:after="0" w:line="175" w:lineRule="exact"/>
        <w:rPr>
          <w:sz w:val="20"/>
          <w:szCs w:val="20"/>
          <w:color w:val="auto"/>
        </w:rPr>
      </w:pPr>
    </w:p>
    <w:p>
      <w:pPr>
        <w:jc w:val="both"/>
        <w:ind w:firstLine="877"/>
        <w:spacing w:after="0" w:line="258" w:lineRule="exact"/>
        <w:rPr>
          <w:sz w:val="20"/>
          <w:szCs w:val="20"/>
          <w:color w:val="auto"/>
        </w:rPr>
      </w:pPr>
      <w:r>
        <w:rPr>
          <w:rFonts w:ascii="Times New Roman" w:cs="Times New Roman" w:eastAsia="Times New Roman" w:hAnsi="Times New Roman"/>
          <w:sz w:val="21"/>
          <w:szCs w:val="21"/>
          <w:b w:val="1"/>
          <w:bCs w:val="1"/>
          <w:color w:val="auto"/>
        </w:rPr>
        <w:t>Section 8.2. Optional Prepayments with Make</w:t>
      </w:r>
      <w:r>
        <w:rPr>
          <w:rFonts w:ascii="MS PGothic" w:cs="MS PGothic" w:eastAsia="MS PGothic" w:hAnsi="MS PGothic"/>
          <w:sz w:val="21"/>
          <w:szCs w:val="21"/>
          <w:color w:val="auto"/>
        </w:rPr>
        <w:t>‑</w:t>
      </w:r>
      <w:r>
        <w:rPr>
          <w:rFonts w:ascii="Times New Roman" w:cs="Times New Roman" w:eastAsia="Times New Roman" w:hAnsi="Times New Roman"/>
          <w:sz w:val="21"/>
          <w:szCs w:val="21"/>
          <w:b w:val="1"/>
          <w:bCs w:val="1"/>
          <w:color w:val="auto"/>
        </w:rPr>
        <w:t>Whole Amount</w:t>
      </w:r>
      <w:r>
        <w:rPr>
          <w:rFonts w:ascii="Times New Roman" w:cs="Times New Roman" w:eastAsia="Times New Roman" w:hAnsi="Times New Roman"/>
          <w:sz w:val="21"/>
          <w:szCs w:val="21"/>
          <w:color w:val="auto"/>
        </w:rPr>
        <w:t>. (a) The Company may, at its option, upon notice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provided below, prepay at any time all, or from time to time any part of, any series of Notes, in an amount not less than 10% of the aggregate principal amount of the Notes then outstanding in the case of a partial prepayment, at 100% of the principal amount so prepaid, and the Make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Whole Amount determined for the prepayment date with respect to such principal amount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w:t>
      </w:r>
    </w:p>
    <w:p>
      <w:pPr>
        <w:jc w:val="both"/>
        <w:ind w:firstLine="8"/>
        <w:spacing w:after="0" w:line="244" w:lineRule="exact"/>
        <w:tabs>
          <w:tab w:leader="none" w:pos="30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Default or Event of Default has occurred and is continuing at the time of such notice provided or on the date set for prepayment or (ii) a Default or an Event of Default would result from making such prepayment, then such prepayment pursuant to this Section 8.2(a) must be made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the holders of all Notes at the time outstanding (without regard to series). The Company will give each holder of the applicable series of Notes written notice of each optional prepayment under this Section 8.2 not less than 5 Business Days and not more than 60 days prior to the date fixed for such prepayment unless the Company and the Required Holders agree to another time period pursuant to Section 17. Each such notice shall specify such date (which shall be a Business Day), the aggregate principal amount of the Notes of the applicable series to be prepaid on such date, the principal amount of each Note of the applicable series held by such holder to be prepaid (determined in accordance with Section 8.3), and the interest to be paid on the prepayment date with respect to such principal amount being prepaid, and shall be accompanied by a certificate of a Senior Financial Officer as to the estimated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due in connection with such prepayment (calculated as if the date of such notice were the date of the prepayment), setting forth the details of such computation. Two Business Days prior to such prepayment, the Company shall deliver to each holder of the applicable series of Notes a certificate of a Senior Financial Officer specifying the calculation of such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as of the specified prepayment date.</w:t>
      </w:r>
    </w:p>
    <w:p>
      <w:pPr>
        <w:spacing w:after="0" w:line="206" w:lineRule="exact"/>
        <w:rPr>
          <w:rFonts w:ascii="Times New Roman" w:cs="Times New Roman" w:eastAsia="Times New Roman" w:hAnsi="Times New Roman"/>
          <w:sz w:val="22"/>
          <w:szCs w:val="22"/>
          <w:color w:val="auto"/>
        </w:rPr>
      </w:pPr>
    </w:p>
    <w:p>
      <w:pPr>
        <w:jc w:val="both"/>
        <w:ind w:firstLine="885"/>
        <w:spacing w:after="0" w:line="262" w:lineRule="exact"/>
        <w:tabs>
          <w:tab w:leader="none" w:pos="1427"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Optional Prepayment Without Make</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Whole Amount of the Series A Notes. </w:t>
      </w:r>
      <w:r>
        <w:rPr>
          <w:rFonts w:ascii="Times New Roman" w:cs="Times New Roman" w:eastAsia="Times New Roman" w:hAnsi="Times New Roman"/>
          <w:sz w:val="22"/>
          <w:szCs w:val="22"/>
          <w:color w:val="auto"/>
        </w:rPr>
        <w:t>At any time on or after March 18, 2029</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period from such date to the stated maturity of the Series A Notes being referred to as the </w:t>
      </w:r>
      <w:r>
        <w:rPr>
          <w:rFonts w:ascii="Times New Roman" w:cs="Times New Roman" w:eastAsia="Times New Roman" w:hAnsi="Times New Roman"/>
          <w:sz w:val="22"/>
          <w:szCs w:val="22"/>
          <w:i w:val="1"/>
          <w:iCs w:val="1"/>
          <w:color w:val="auto"/>
        </w:rPr>
        <w:t>“Series A 90-Day Period”</w:t>
      </w:r>
      <w:r>
        <w:rPr>
          <w:rFonts w:ascii="Times New Roman" w:cs="Times New Roman" w:eastAsia="Times New Roman" w:hAnsi="Times New Roman"/>
          <w:sz w:val="22"/>
          <w:szCs w:val="22"/>
          <w:color w:val="auto"/>
        </w:rPr>
        <w:t>), the Company may, at its option, upon notice as provided below, prepay all of the Series A Notes at 100% of the principal amount so prepaid without the payment of any Make-Whole Amount. The Company will give each holder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19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9" w:name="page30"/>
    <w:bookmarkEnd w:id="29"/>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of the Series A Notes written notice of each optional prepayment under this Section 8.2(b) not less than 20 days and not more than 60 days prior to the prepayment date specified in such notice. The Company may provide in such notice that repayment of the Series A Notes and the performance of the Company’s obligations with respect to such prepayment may be performed by a paying agent or any other Person acting in a similar capacity. Each such notice shall specify such date (which shall be a Business Day during the Series A 90-Day Period), the aggregate principal amount of the Series A Notes to be prepaid on such date, the principal amount of each Series A Note held by such holder to be prepaid (determined in accordance with Section 8.3), and the interest to be paid on the prepayment date with respect to such principal amount being prepaid.</w:t>
      </w:r>
    </w:p>
    <w:p>
      <w:pPr>
        <w:spacing w:after="0" w:line="190" w:lineRule="exact"/>
        <w:rPr>
          <w:sz w:val="20"/>
          <w:szCs w:val="20"/>
          <w:color w:val="auto"/>
        </w:rPr>
      </w:pPr>
    </w:p>
    <w:p>
      <w:pPr>
        <w:jc w:val="both"/>
        <w:ind w:firstLine="885"/>
        <w:spacing w:after="0" w:line="249" w:lineRule="exact"/>
        <w:tabs>
          <w:tab w:leader="none" w:pos="141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Optional Prepayment Without Make</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 xml:space="preserve">Whole Amount of the Series B Notes. </w:t>
      </w:r>
      <w:r>
        <w:rPr>
          <w:rFonts w:ascii="Times New Roman" w:cs="Times New Roman" w:eastAsia="Times New Roman" w:hAnsi="Times New Roman"/>
          <w:sz w:val="22"/>
          <w:szCs w:val="22"/>
          <w:color w:val="auto"/>
        </w:rPr>
        <w:t>At any time on or after March 18, 2031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period from such date to the stated maturity of the Series B Notes being referred to as the </w:t>
      </w:r>
      <w:r>
        <w:rPr>
          <w:rFonts w:ascii="Times New Roman" w:cs="Times New Roman" w:eastAsia="Times New Roman" w:hAnsi="Times New Roman"/>
          <w:sz w:val="22"/>
          <w:szCs w:val="22"/>
          <w:i w:val="1"/>
          <w:iCs w:val="1"/>
          <w:color w:val="auto"/>
        </w:rPr>
        <w:t>“Series B 90-Day Period”</w:t>
      </w:r>
      <w:r>
        <w:rPr>
          <w:rFonts w:ascii="Times New Roman" w:cs="Times New Roman" w:eastAsia="Times New Roman" w:hAnsi="Times New Roman"/>
          <w:sz w:val="22"/>
          <w:szCs w:val="22"/>
          <w:color w:val="auto"/>
        </w:rPr>
        <w:t>), the Company may, at its option, upon notice as provided below, prepay all of the Series B Notes at 100% of the principal amount so prepaid without the payment of any Make-Whole Amount. The Company will give each holder of the Series B Notes written notice of each optional prepayment under this Section 8.2(c) not less than 20 days and not more than 60 days prior to the prepayment date specified in such notice. The Company may provide in such notice that repayment of the Series B Notes and the performance of the Company’s obligations with respect to such prepayment may be performed by a paying agent or any other Person acting in a similar capacity. Each such notice shall specify such date (which shall be a Business Day during the Series B 90-Day Period), the aggregate principal amount of the Series B Notes to be prepaid on such date, the principal amount of each Series B Note held by such holder to be prepaid (determined in accordance with Section 8.3), and the interest to be paid on the prepayment date with respect to such principal amount being prepaid.</w:t>
      </w:r>
    </w:p>
    <w:p>
      <w:pPr>
        <w:spacing w:after="0" w:line="2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 xml:space="preserve">Any notice of prepayment pursuant to Sections 8.2(b) and (c) delivered in connection with a refinancing, the proceeds of which are to be used to make such prepayment, may be made, if expressly so stated in such notice, to be contingent upon the consummation of such refinancing and may be revoked by the Company in the event such financing is not or will not be consummated;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such revocation is in writing delivered to the holders of the Notes prior to the scheduled date of prepayment.</w:t>
      </w:r>
    </w:p>
    <w:p>
      <w:pPr>
        <w:spacing w:after="0" w:line="199"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Section 8.3. Allocation of Partial Prepayments</w:t>
      </w:r>
      <w:r>
        <w:rPr>
          <w:rFonts w:ascii="Times New Roman" w:cs="Times New Roman" w:eastAsia="Times New Roman" w:hAnsi="Times New Roman"/>
          <w:sz w:val="22"/>
          <w:szCs w:val="22"/>
          <w:color w:val="auto"/>
        </w:rPr>
        <w:t>. Except to the extent prohibited in Section 8.2(a), in the case of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partial prepayment of the Notes of such series pursuant to the provisions of Section 8.2, the principal amount of the Notes of such series to be prepaid shall be allocated among all of the Notes at the time outstanding in proportion, as nearly as practicable, to the respective unpaid principal amounts thereof not theretofore called for prepayment.</w:t>
      </w:r>
    </w:p>
    <w:p>
      <w:pPr>
        <w:spacing w:after="0" w:line="199" w:lineRule="exact"/>
        <w:rPr>
          <w:sz w:val="20"/>
          <w:szCs w:val="20"/>
          <w:color w:val="auto"/>
        </w:rPr>
      </w:pPr>
    </w:p>
    <w:p>
      <w:pPr>
        <w:jc w:val="both"/>
        <w:ind w:firstLine="877"/>
        <w:spacing w:after="0" w:line="250" w:lineRule="exact"/>
        <w:rPr>
          <w:sz w:val="20"/>
          <w:szCs w:val="20"/>
          <w:color w:val="auto"/>
        </w:rPr>
      </w:pPr>
      <w:r>
        <w:rPr>
          <w:rFonts w:ascii="Times New Roman" w:cs="Times New Roman" w:eastAsia="Times New Roman" w:hAnsi="Times New Roman"/>
          <w:sz w:val="22"/>
          <w:szCs w:val="22"/>
          <w:b w:val="1"/>
          <w:bCs w:val="1"/>
          <w:color w:val="auto"/>
        </w:rPr>
        <w:t xml:space="preserve">Section 8.4. Maturity; Surrender, Etc. </w:t>
      </w:r>
      <w:r>
        <w:rPr>
          <w:rFonts w:ascii="Times New Roman" w:cs="Times New Roman" w:eastAsia="Times New Roman" w:hAnsi="Times New Roman"/>
          <w:sz w:val="22"/>
          <w:szCs w:val="22"/>
          <w:color w:val="auto"/>
        </w:rPr>
        <w:t>In the case of each optional prepayment of Notes pursuant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8, the principal amount of each Note of such series to be prepaid shall mature and become due and payable on the date fixed for such prepayment, together with interest on such principal amount accrued to such date and the applicable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if any. From and after such date, unless the Company shall fail to pay such principal amount when so due and payable, together with the interest and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if any, as aforesaid, interest on such principal amount shall cease to accrue. Any Note paid or prepaid in full shall be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20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0" w:name="page31"/>
    <w:bookmarkEnd w:id="30"/>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surrendered to the Company and cancelled and shall not be reissued, and no Note shall be issued in lieu of any prepaid principal amount of any Note.</w:t>
      </w:r>
    </w:p>
    <w:p>
      <w:pPr>
        <w:spacing w:after="0" w:line="181" w:lineRule="exact"/>
        <w:rPr>
          <w:sz w:val="20"/>
          <w:szCs w:val="20"/>
          <w:color w:val="auto"/>
        </w:rPr>
      </w:pPr>
    </w:p>
    <w:p>
      <w:pPr>
        <w:jc w:val="both"/>
        <w:ind w:firstLine="877"/>
        <w:spacing w:after="0" w:line="233" w:lineRule="auto"/>
        <w:rPr>
          <w:sz w:val="20"/>
          <w:szCs w:val="20"/>
          <w:color w:val="auto"/>
        </w:rPr>
      </w:pPr>
      <w:r>
        <w:rPr>
          <w:rFonts w:ascii="Times New Roman" w:cs="Times New Roman" w:eastAsia="Times New Roman" w:hAnsi="Times New Roman"/>
          <w:sz w:val="22"/>
          <w:szCs w:val="22"/>
          <w:b w:val="1"/>
          <w:bCs w:val="1"/>
          <w:color w:val="auto"/>
        </w:rPr>
        <w:t>Section 8.5. Purchase of Notes</w:t>
      </w:r>
      <w:r>
        <w:rPr>
          <w:rFonts w:ascii="Times New Roman" w:cs="Times New Roman" w:eastAsia="Times New Roman" w:hAnsi="Times New Roman"/>
          <w:sz w:val="22"/>
          <w:szCs w:val="22"/>
          <w:color w:val="auto"/>
        </w:rPr>
        <w:t>. The Company will not and will not permit any Affiliate to purchase, redeem, prepay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otherwise acquire, directly or indirectly, any of the outstanding Notes of any series except (a) upon the payment or prepayment of the Notes of such series in accordance with this Agreement and the Notes or (b) pursuant to an offer to purchase made by the Company, any Subsidiary or an Affiliate pro rata to the holders of all Notes of any such series at the time outstanding upon the same terms and conditions,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(i) a Default or Event of Default has occurred and is continuing at the time such offer to purchase is made or on the date set for purchase or (ii) if a Default or Event of Default would result from such purchase, then any such offer to purchase pursuant to this Section 8.5 shall be made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the holders of all Notes at the time outstanding (without regard to series). Any such offer shall provide each holder with sufficient information to enable it to make an informed decision with respect to such offer, and shall remain open for at least 10 Business Days. If the holders of more than 35% of the principal amount of the Notes of such series then outstanding accept such offer, the Company shall promptly notify the remaining holders of the Notes of such series of such fact and the expiration date for the acceptance by holders of Notes of such series of such offer shall be extended by the number of days necessary to give each such remaining holder at least 5 Business Days from its receipt of such notice to accept such offer. The Company will promptly cancel all Notes acquired by it, any Subsidiary or any Affiliate pursuant to any payment, prepayment or purchase of Notes pursuant to this Agreement and no Notes may be issued in substitution or exchange for any such Notes.</w:t>
      </w:r>
    </w:p>
    <w:p>
      <w:pPr>
        <w:spacing w:after="0" w:line="189" w:lineRule="exact"/>
        <w:rPr>
          <w:sz w:val="20"/>
          <w:szCs w:val="20"/>
          <w:color w:val="auto"/>
        </w:rPr>
      </w:pPr>
    </w:p>
    <w:p>
      <w:pPr>
        <w:ind w:left="880"/>
        <w:spacing w:after="0" w:line="253" w:lineRule="exact"/>
        <w:tabs>
          <w:tab w:leader="none" w:pos="2140" w:val="left"/>
        </w:tabs>
        <w:rPr>
          <w:sz w:val="20"/>
          <w:szCs w:val="20"/>
          <w:color w:val="auto"/>
        </w:rPr>
      </w:pPr>
      <w:r>
        <w:rPr>
          <w:rFonts w:ascii="Times New Roman" w:cs="Times New Roman" w:eastAsia="Times New Roman" w:hAnsi="Times New Roman"/>
          <w:sz w:val="22"/>
          <w:szCs w:val="22"/>
          <w:b w:val="1"/>
          <w:bCs w:val="1"/>
          <w:color w:val="auto"/>
        </w:rPr>
        <w:t>Section 8.6.</w:t>
      </w:r>
      <w:r>
        <w:rPr>
          <w:sz w:val="20"/>
          <w:szCs w:val="20"/>
          <w:color w:val="auto"/>
        </w:rPr>
        <w:tab/>
      </w:r>
      <w:r>
        <w:rPr>
          <w:rFonts w:ascii="Times New Roman" w:cs="Times New Roman" w:eastAsia="Times New Roman" w:hAnsi="Times New Roman"/>
          <w:sz w:val="21"/>
          <w:szCs w:val="21"/>
          <w:b w:val="1"/>
          <w:bCs w:val="1"/>
          <w:color w:val="auto"/>
        </w:rPr>
        <w:t>Make</w:t>
      </w:r>
      <w:r>
        <w:rPr>
          <w:rFonts w:ascii="MS PGothic" w:cs="MS PGothic" w:eastAsia="MS PGothic" w:hAnsi="MS PGothic"/>
          <w:sz w:val="21"/>
          <w:szCs w:val="21"/>
          <w:color w:val="auto"/>
        </w:rPr>
        <w:t>‑</w:t>
      </w:r>
      <w:r>
        <w:rPr>
          <w:rFonts w:ascii="Times New Roman" w:cs="Times New Roman" w:eastAsia="Times New Roman" w:hAnsi="Times New Roman"/>
          <w:sz w:val="21"/>
          <w:szCs w:val="21"/>
          <w:b w:val="1"/>
          <w:bCs w:val="1"/>
          <w:color w:val="auto"/>
        </w:rPr>
        <w:t>Whole Amount</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jc w:val="both"/>
        <w:ind w:firstLine="877"/>
        <w:spacing w:after="0" w:line="267" w:lineRule="exact"/>
        <w:rPr>
          <w:sz w:val="20"/>
          <w:szCs w:val="20"/>
          <w:color w:val="auto"/>
        </w:rPr>
      </w:pPr>
      <w:r>
        <w:rPr>
          <w:rFonts w:ascii="Times New Roman" w:cs="Times New Roman" w:eastAsia="Times New Roman" w:hAnsi="Times New Roman"/>
          <w:sz w:val="22"/>
          <w:szCs w:val="22"/>
          <w:color w:val="auto"/>
        </w:rPr>
        <w:t xml:space="preserve">The term </w:t>
      </w:r>
      <w:r>
        <w:rPr>
          <w:rFonts w:ascii="Times New Roman" w:cs="Times New Roman" w:eastAsia="Times New Roman" w:hAnsi="Times New Roman"/>
          <w:sz w:val="22"/>
          <w:szCs w:val="22"/>
          <w:b w:val="1"/>
          <w:bCs w:val="1"/>
          <w:color w:val="auto"/>
        </w:rPr>
        <w:t>“Make</w:t>
      </w:r>
      <w:r>
        <w:rPr>
          <w:rFonts w:ascii="MS PGothic" w:cs="MS PGothic" w:eastAsia="MS PGothic" w:hAnsi="MS PGothic"/>
          <w:sz w:val="22"/>
          <w:szCs w:val="22"/>
          <w:color w:val="auto"/>
        </w:rPr>
        <w:t>‑</w:t>
      </w:r>
      <w:r>
        <w:rPr>
          <w:rFonts w:ascii="Times New Roman" w:cs="Times New Roman" w:eastAsia="Times New Roman" w:hAnsi="Times New Roman"/>
          <w:sz w:val="22"/>
          <w:szCs w:val="22"/>
          <w:b w:val="1"/>
          <w:bCs w:val="1"/>
          <w:color w:val="auto"/>
        </w:rPr>
        <w:t>Whole Amount”</w:t>
      </w:r>
      <w:r>
        <w:rPr>
          <w:rFonts w:ascii="Times New Roman" w:cs="Times New Roman" w:eastAsia="Times New Roman" w:hAnsi="Times New Roman"/>
          <w:sz w:val="22"/>
          <w:szCs w:val="22"/>
          <w:color w:val="auto"/>
        </w:rPr>
        <w:t xml:space="preserve"> means, with respect to any Note of any series, an amount equal to the excess, if any, of the Discounted Value of the Remaining Scheduled Payments with respect to the Called Principal of such Note over the amount of such Called Principal,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Whole Amount may in no event be less than zero. For the purposes of determining the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the following terms have the following meanings:</w:t>
      </w:r>
    </w:p>
    <w:p>
      <w:pPr>
        <w:spacing w:after="0" w:line="179"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“Called Principal” </w:t>
      </w:r>
      <w:r>
        <w:rPr>
          <w:rFonts w:ascii="Times New Roman" w:cs="Times New Roman" w:eastAsia="Times New Roman" w:hAnsi="Times New Roman"/>
          <w:sz w:val="22"/>
          <w:szCs w:val="22"/>
          <w:color w:val="auto"/>
        </w:rPr>
        <w:t>means, with respect to any Note of any series, the principal of such Note that is to be prepaid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Section 8.2 or has become or is declared to be immediately due and payable pursuant to Section 12.1, as the context requires.</w:t>
      </w:r>
    </w:p>
    <w:p>
      <w:pPr>
        <w:spacing w:after="0" w:line="208"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“Discounted Value” </w:t>
      </w:r>
      <w:r>
        <w:rPr>
          <w:rFonts w:ascii="Times New Roman" w:cs="Times New Roman" w:eastAsia="Times New Roman" w:hAnsi="Times New Roman"/>
          <w:sz w:val="22"/>
          <w:szCs w:val="22"/>
          <w:color w:val="auto"/>
        </w:rPr>
        <w:t>means, with respect to the Called Principal of any Note of any series, the amount obtained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of such Series is payable) equal to the Reinvestment Yield with respect to such Called Principal.</w:t>
      </w:r>
    </w:p>
    <w:p>
      <w:pPr>
        <w:spacing w:after="0" w:line="2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“Reinvestment Yield” </w:t>
      </w:r>
      <w:r>
        <w:rPr>
          <w:rFonts w:ascii="Times New Roman" w:cs="Times New Roman" w:eastAsia="Times New Roman" w:hAnsi="Times New Roman"/>
          <w:sz w:val="22"/>
          <w:szCs w:val="22"/>
          <w:color w:val="auto"/>
        </w:rPr>
        <w:t>means, with respect to the Called Principal of any Note of any series, the sum of (a) 0.50% plus</w:t>
      </w:r>
    </w:p>
    <w:p>
      <w:pPr>
        <w:spacing w:after="0" w:line="18" w:lineRule="exact"/>
        <w:rPr>
          <w:sz w:val="20"/>
          <w:szCs w:val="20"/>
          <w:color w:val="auto"/>
        </w:rPr>
      </w:pPr>
    </w:p>
    <w:p>
      <w:pPr>
        <w:ind w:firstLine="8"/>
        <w:spacing w:after="0" w:line="237" w:lineRule="auto"/>
        <w:tabs>
          <w:tab w:leader="none" w:pos="30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yield to maturity implied by the “Ask Yield(s)” reported as of 10:00 a.m. (New York City time) on the second Business Day preceding the Settlement Date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21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1" w:name="page32"/>
    <w:bookmarkEnd w:id="31"/>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jc w:val="both"/>
        <w:spacing w:after="0" w:line="247" w:lineRule="exact"/>
        <w:rPr>
          <w:sz w:val="20"/>
          <w:szCs w:val="20"/>
          <w:color w:val="auto"/>
        </w:rPr>
      </w:pPr>
      <w:r>
        <w:rPr>
          <w:rFonts w:ascii="Times New Roman" w:cs="Times New Roman" w:eastAsia="Times New Roman" w:hAnsi="Times New Roman"/>
          <w:sz w:val="22"/>
          <w:szCs w:val="22"/>
          <w:color w:val="auto"/>
        </w:rPr>
        <w:t>with respect to such Called Principal, on the display designated as “Page PX1” (or such other display as may replace Page PX1) on Bloomberg Financial Markets for the most recently issued actively traded 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the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run U.S. Treasury securities </w:t>
      </w:r>
      <w:r>
        <w:rPr>
          <w:rFonts w:ascii="Times New Roman" w:cs="Times New Roman" w:eastAsia="Times New Roman" w:hAnsi="Times New Roman"/>
          <w:sz w:val="22"/>
          <w:szCs w:val="22"/>
          <w:b w:val="1"/>
          <w:bCs w:val="1"/>
          <w:color w:val="auto"/>
        </w:rPr>
        <w:t>(“Reported”)</w:t>
      </w:r>
      <w:r>
        <w:rPr>
          <w:rFonts w:ascii="Times New Roman" w:cs="Times New Roman" w:eastAsia="Times New Roman" w:hAnsi="Times New Roman"/>
          <w:sz w:val="22"/>
          <w:szCs w:val="22"/>
          <w:color w:val="auto"/>
        </w:rPr>
        <w:t xml:space="preserve">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the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Note.</w:t>
      </w:r>
    </w:p>
    <w:p>
      <w:pPr>
        <w:spacing w:after="0" w:line="211" w:lineRule="exact"/>
        <w:rPr>
          <w:sz w:val="20"/>
          <w:szCs w:val="20"/>
          <w:color w:val="auto"/>
        </w:rPr>
      </w:pPr>
    </w:p>
    <w:p>
      <w:pPr>
        <w:jc w:val="both"/>
        <w:ind w:firstLine="877"/>
        <w:spacing w:after="0" w:line="242" w:lineRule="auto"/>
        <w:rPr>
          <w:sz w:val="20"/>
          <w:szCs w:val="20"/>
          <w:color w:val="auto"/>
        </w:rPr>
      </w:pPr>
      <w:r>
        <w:rPr>
          <w:rFonts w:ascii="Times New Roman" w:cs="Times New Roman" w:eastAsia="Times New Roman" w:hAnsi="Times New Roman"/>
          <w:sz w:val="22"/>
          <w:szCs w:val="22"/>
          <w:color w:val="auto"/>
        </w:rPr>
        <w:t xml:space="preserve">If such yields are not Reported or the yields Reported as of such time are not ascertainable (including by way of interpolation), then </w:t>
      </w:r>
      <w:r>
        <w:rPr>
          <w:rFonts w:ascii="Times New Roman" w:cs="Times New Roman" w:eastAsia="Times New Roman" w:hAnsi="Times New Roman"/>
          <w:sz w:val="22"/>
          <w:szCs w:val="22"/>
          <w:b w:val="1"/>
          <w:bCs w:val="1"/>
          <w:color w:val="auto"/>
        </w:rPr>
        <w:t>“Reinvestment Yield”</w:t>
      </w:r>
      <w:r>
        <w:rPr>
          <w:rFonts w:ascii="Times New Roman" w:cs="Times New Roman" w:eastAsia="Times New Roman" w:hAnsi="Times New Roman"/>
          <w:sz w:val="22"/>
          <w:szCs w:val="22"/>
          <w:color w:val="auto"/>
        </w:rPr>
        <w:t xml:space="preserve"> means, with respect to the Called Principal of any Note, the sum of (x) 0.50% plus</w:t>
      </w:r>
    </w:p>
    <w:p>
      <w:pPr>
        <w:jc w:val="both"/>
        <w:ind w:firstLine="8"/>
        <w:spacing w:after="0" w:line="232" w:lineRule="auto"/>
        <w:tabs>
          <w:tab w:leader="none" w:pos="32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Note of such series.</w:t>
      </w:r>
    </w:p>
    <w:p>
      <w:pPr>
        <w:spacing w:after="0" w:line="216" w:lineRule="exact"/>
        <w:rPr>
          <w:sz w:val="20"/>
          <w:szCs w:val="20"/>
          <w:color w:val="auto"/>
        </w:rPr>
      </w:pPr>
    </w:p>
    <w:p>
      <w:pPr>
        <w:jc w:val="both"/>
        <w:ind w:firstLine="877"/>
        <w:spacing w:after="0" w:line="251" w:lineRule="exact"/>
        <w:rPr>
          <w:sz w:val="20"/>
          <w:szCs w:val="20"/>
          <w:color w:val="auto"/>
        </w:rPr>
      </w:pPr>
      <w:r>
        <w:rPr>
          <w:rFonts w:ascii="Times New Roman" w:cs="Times New Roman" w:eastAsia="Times New Roman" w:hAnsi="Times New Roman"/>
          <w:sz w:val="22"/>
          <w:szCs w:val="22"/>
          <w:b w:val="1"/>
          <w:bCs w:val="1"/>
          <w:color w:val="auto"/>
        </w:rPr>
        <w:t xml:space="preserve">“Remaining Average Life” </w:t>
      </w:r>
      <w:r>
        <w:rPr>
          <w:rFonts w:ascii="Times New Roman" w:cs="Times New Roman" w:eastAsia="Times New Roman" w:hAnsi="Times New Roman"/>
          <w:sz w:val="22"/>
          <w:szCs w:val="22"/>
          <w:color w:val="auto"/>
        </w:rPr>
        <w:t>means, with respect to any Called Principal of any series of Notes, the number of years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obtained by dividing (i) such Called Principal into (ii) the sum of the products obtained by multiplying (a) the principal component of each Remaining Scheduled Payment with respect to such Called Principal by (b) the number of years, computed on the basis of a 360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day year comprised of twelve 30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day months and calculated to two decimal places, that will elapse between the Settlement Date with respect to such Called Principal and the scheduled due date of such Remaining Scheduled Payment.</w:t>
      </w:r>
    </w:p>
    <w:p>
      <w:pPr>
        <w:spacing w:after="0" w:line="218"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“Remaining Scheduled Payments” </w:t>
      </w:r>
      <w:r>
        <w:rPr>
          <w:rFonts w:ascii="Times New Roman" w:cs="Times New Roman" w:eastAsia="Times New Roman" w:hAnsi="Times New Roman"/>
          <w:sz w:val="22"/>
          <w:szCs w:val="22"/>
          <w:color w:val="auto"/>
        </w:rPr>
        <w:t>means, with respect to the Called Principal of any Note of any series, all 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such Called Principal and interest thereon that would be due after the Settlement Date with respect to such Called Principal if no payment of such Called Principal were made prior to its scheduled due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Settlement Date is not a date on which interest payments are due to be made under the Notes of such series, then the amount of the next succeeding scheduled interest payment will be reduced by the amount of interest accrued to such Settlement Date and required to be paid on such Settlement Date pursuant to Section 8.2 or Section 12.1.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22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2" w:name="page33"/>
    <w:bookmarkEnd w:id="32"/>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86"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“Settlement Date” </w:t>
      </w:r>
      <w:r>
        <w:rPr>
          <w:rFonts w:ascii="Times New Roman" w:cs="Times New Roman" w:eastAsia="Times New Roman" w:hAnsi="Times New Roman"/>
          <w:sz w:val="22"/>
          <w:szCs w:val="22"/>
          <w:color w:val="auto"/>
        </w:rPr>
        <w:t>means, with respect to the Called Principal of any Note of any series, the date on which such Called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Principal is to be prepaid pursuant to Section 8.2 or has become or is declared to be immediately due and payable pursuant to Section 12.1, as the context requires.</w:t>
      </w:r>
    </w:p>
    <w:p>
      <w:pPr>
        <w:spacing w:after="0" w:line="194"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Section 8.7. Change of Control</w:t>
      </w:r>
      <w:r>
        <w:rPr>
          <w:rFonts w:ascii="Times New Roman" w:cs="Times New Roman" w:eastAsia="Times New Roman" w:hAnsi="Times New Roman"/>
          <w:sz w:val="22"/>
          <w:szCs w:val="22"/>
          <w:color w:val="auto"/>
        </w:rPr>
        <w: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Notice of Change of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will, within ten (10) Business Days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any Responsible Officer has knowledge of the occurrence of any Change of Control, give written notice of such Change of Control to each holder of Notes. In the case that a Change of Control has occurred, such notice shall contain and constitute an offer to prepay Notes as described in subparagraph (b) of this Section 8.7 and shall be accompanied by the certificate described in subparagraph (e) of this Section 8.7.</w:t>
      </w:r>
    </w:p>
    <w:p>
      <w:pPr>
        <w:spacing w:after="0" w:line="218" w:lineRule="exact"/>
        <w:rPr>
          <w:sz w:val="20"/>
          <w:szCs w:val="20"/>
          <w:color w:val="auto"/>
        </w:rPr>
      </w:pPr>
    </w:p>
    <w:p>
      <w:pPr>
        <w:jc w:val="both"/>
        <w:ind w:firstLine="885"/>
        <w:spacing w:after="0" w:line="237" w:lineRule="auto"/>
        <w:tabs>
          <w:tab w:leader="none" w:pos="141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Offer to Prepay Notes</w:t>
      </w:r>
      <w:r>
        <w:rPr>
          <w:rFonts w:ascii="Times New Roman" w:cs="Times New Roman" w:eastAsia="Times New Roman" w:hAnsi="Times New Roman"/>
          <w:sz w:val="22"/>
          <w:szCs w:val="22"/>
          <w:color w:val="auto"/>
        </w:rPr>
        <w:t>. The offer to prepay Notes contemplated by subparagraph (a) of this Section 8.7 shall be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offer to prepay, in accordance with and subject to this Section 8.7, all, but not less than all, the Notes held by each holder (in this case only, “holder” in respect of any Note registered in the name of a nominee for a disclosed beneficial owner shall mean such beneficial owner) on a date specified in such offer (the “</w:t>
      </w:r>
      <w:r>
        <w:rPr>
          <w:rFonts w:ascii="Times New Roman" w:cs="Times New Roman" w:eastAsia="Times New Roman" w:hAnsi="Times New Roman"/>
          <w:sz w:val="22"/>
          <w:szCs w:val="22"/>
          <w:b w:val="1"/>
          <w:bCs w:val="1"/>
          <w:color w:val="auto"/>
        </w:rPr>
        <w:t>Proposed Prepayment Date</w:t>
      </w:r>
      <w:r>
        <w:rPr>
          <w:rFonts w:ascii="Times New Roman" w:cs="Times New Roman" w:eastAsia="Times New Roman" w:hAnsi="Times New Roman"/>
          <w:sz w:val="22"/>
          <w:szCs w:val="22"/>
          <w:color w:val="auto"/>
        </w:rPr>
        <w:t>”) that is not less than 10 days and not more than 60 days after the date of such offer (if the Proposed Prepayment Date shall not be specified in such offer, the Proposed Prepayment Date shall be the 20th day after the date of such offer).</w:t>
      </w:r>
    </w:p>
    <w:p>
      <w:pPr>
        <w:spacing w:after="0" w:line="216" w:lineRule="exact"/>
        <w:rPr>
          <w:rFonts w:ascii="Times New Roman" w:cs="Times New Roman" w:eastAsia="Times New Roman" w:hAnsi="Times New Roman"/>
          <w:sz w:val="22"/>
          <w:szCs w:val="22"/>
          <w:color w:val="auto"/>
        </w:rPr>
      </w:pPr>
    </w:p>
    <w:p>
      <w:pPr>
        <w:jc w:val="both"/>
        <w:ind w:firstLine="885"/>
        <w:spacing w:after="0" w:line="241" w:lineRule="auto"/>
        <w:tabs>
          <w:tab w:leader="none" w:pos="148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Acceptance; Rejection</w:t>
      </w:r>
      <w:r>
        <w:rPr>
          <w:rFonts w:ascii="Times New Roman" w:cs="Times New Roman" w:eastAsia="Times New Roman" w:hAnsi="Times New Roman"/>
          <w:sz w:val="22"/>
          <w:szCs w:val="22"/>
          <w:color w:val="auto"/>
        </w:rPr>
        <w:t>. A holder of Notes may accept the offer to prepay made pursuant to this Section 8.7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causing a notice of such acceptance or rejection to be delivered to the Company at least five (5) Business Days prior to the Proposed Prepayment Date. A failure by a holder of Notes to respond to an offer to prepay made pursuant to this Section 8.7 shall be deemed to constitute a rejection of such offer by such holder.</w:t>
      </w:r>
    </w:p>
    <w:p>
      <w:pPr>
        <w:spacing w:after="0" w:line="199" w:lineRule="exact"/>
        <w:rPr>
          <w:rFonts w:ascii="Times New Roman" w:cs="Times New Roman" w:eastAsia="Times New Roman" w:hAnsi="Times New Roman"/>
          <w:sz w:val="22"/>
          <w:szCs w:val="22"/>
          <w:color w:val="auto"/>
        </w:rPr>
      </w:pPr>
    </w:p>
    <w:p>
      <w:pPr>
        <w:jc w:val="both"/>
        <w:ind w:firstLine="885"/>
        <w:spacing w:after="0" w:line="241" w:lineRule="auto"/>
        <w:tabs>
          <w:tab w:leader="none" w:pos="14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Prepayment. </w:t>
      </w:r>
      <w:r>
        <w:rPr>
          <w:rFonts w:ascii="Times New Roman" w:cs="Times New Roman" w:eastAsia="Times New Roman" w:hAnsi="Times New Roman"/>
          <w:sz w:val="22"/>
          <w:szCs w:val="22"/>
          <w:color w:val="auto"/>
        </w:rPr>
        <w:t>Prepayment of the Notes to be prepaid pursuant to this Section 8.7 shall be at 100% of the principal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of such Notes at par (without any make-whole, premium penalty, or Make-Whole Amount whatsoever or however described), together with interest on such Notes accrued to the date of prepayment. The prepayment shall be made on the Proposed Prepayment Date.</w:t>
      </w:r>
    </w:p>
    <w:p>
      <w:pPr>
        <w:spacing w:after="0" w:line="212" w:lineRule="exact"/>
        <w:rPr>
          <w:rFonts w:ascii="Times New Roman" w:cs="Times New Roman" w:eastAsia="Times New Roman" w:hAnsi="Times New Roman"/>
          <w:sz w:val="22"/>
          <w:szCs w:val="22"/>
          <w:color w:val="auto"/>
        </w:rPr>
      </w:pPr>
    </w:p>
    <w:p>
      <w:pPr>
        <w:jc w:val="both"/>
        <w:ind w:firstLine="885"/>
        <w:spacing w:after="0" w:line="238" w:lineRule="auto"/>
        <w:tabs>
          <w:tab w:leader="none" w:pos="154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Officer’s Certificate</w:t>
      </w:r>
      <w:r>
        <w:rPr>
          <w:rFonts w:ascii="Times New Roman" w:cs="Times New Roman" w:eastAsia="Times New Roman" w:hAnsi="Times New Roman"/>
          <w:sz w:val="22"/>
          <w:szCs w:val="22"/>
          <w:color w:val="auto"/>
        </w:rPr>
        <w:t>. Each offer to prepay the Notes pursuant to this Section 8.7 shall be accompanied by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certificate, executed by a Senior Financial Officer of the Company and dated the date of such offer, specifying: (i) the Proposed Prepayment Date; (ii) that such offer is made pursuant to this Section 8.7; (iii) the principal amount of each Note offered to be prepaid; (iv) the interest that would be due on each Note offered to be prepaid, accrued to the Proposed Prepayment Date; (v) that the conditions of this Section 8.7 have been fulfilled; and (vi) in reasonable detail, the nature and date of the Change of Control.</w:t>
      </w:r>
    </w:p>
    <w:p>
      <w:pPr>
        <w:spacing w:after="0" w:line="188" w:lineRule="exact"/>
        <w:rPr>
          <w:sz w:val="20"/>
          <w:szCs w:val="20"/>
          <w:color w:val="auto"/>
        </w:rPr>
      </w:pPr>
    </w:p>
    <w:p>
      <w:pPr>
        <w:jc w:val="both"/>
        <w:ind w:firstLine="877"/>
        <w:spacing w:after="0" w:line="258" w:lineRule="exact"/>
        <w:rPr>
          <w:sz w:val="20"/>
          <w:szCs w:val="20"/>
          <w:color w:val="auto"/>
        </w:rPr>
      </w:pPr>
      <w:r>
        <w:rPr>
          <w:rFonts w:ascii="Times New Roman" w:cs="Times New Roman" w:eastAsia="Times New Roman" w:hAnsi="Times New Roman"/>
          <w:sz w:val="22"/>
          <w:szCs w:val="22"/>
          <w:b w:val="1"/>
          <w:bCs w:val="1"/>
          <w:color w:val="auto"/>
        </w:rPr>
        <w:t>Section 8.8. Payments Due on Non</w:t>
      </w:r>
      <w:r>
        <w:rPr>
          <w:rFonts w:ascii="MS PGothic" w:cs="MS PGothic" w:eastAsia="MS PGothic" w:hAnsi="MS PGothic"/>
          <w:sz w:val="22"/>
          <w:szCs w:val="22"/>
          <w:color w:val="auto"/>
        </w:rPr>
        <w:t>‑</w:t>
      </w:r>
      <w:r>
        <w:rPr>
          <w:rFonts w:ascii="Times New Roman" w:cs="Times New Roman" w:eastAsia="Times New Roman" w:hAnsi="Times New Roman"/>
          <w:sz w:val="22"/>
          <w:szCs w:val="22"/>
          <w:b w:val="1"/>
          <w:bCs w:val="1"/>
          <w:color w:val="auto"/>
        </w:rPr>
        <w:t>Business Days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Anything in this Agreement or the Notes to the contrary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(x) except as set forth in clause (y), any payment of interest on any Note that is due on a date that is not a Business Day shall be made on the next succeeding Business Day without including the additional days elapsed in the computation of the interest payable on such next succeeding Business Day; and (y) any payment of principal of or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on any Note (including principal due on the Maturity Date of such Note)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23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3" w:name="page34"/>
    <w:bookmarkEnd w:id="33"/>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that is due on a date that is not a Business Day shall be made on the next succeeding Business Day and shall include the additional days elapsed in the computation of interest payable on such next succeeding Business Day.</w:t>
      </w:r>
    </w:p>
    <w:p>
      <w:pPr>
        <w:spacing w:after="0" w:line="222"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9.</w:t>
      </w:r>
      <w:r>
        <w:rPr>
          <w:sz w:val="20"/>
          <w:szCs w:val="20"/>
          <w:color w:val="auto"/>
        </w:rPr>
        <w:tab/>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FFIRMATIVE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OVENANTS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From the date of this Agreement until the Closing and thereafter, so long as any of the Notes are outstanding,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covenants that:</w:t>
      </w:r>
    </w:p>
    <w:p>
      <w:pPr>
        <w:spacing w:after="0" w:line="219" w:lineRule="exact"/>
        <w:rPr>
          <w:sz w:val="20"/>
          <w:szCs w:val="20"/>
          <w:color w:val="auto"/>
        </w:rPr>
      </w:pPr>
    </w:p>
    <w:p>
      <w:pPr>
        <w:jc w:val="both"/>
        <w:ind w:firstLine="877"/>
        <w:spacing w:after="0" w:line="248" w:lineRule="exact"/>
        <w:rPr>
          <w:sz w:val="20"/>
          <w:szCs w:val="20"/>
          <w:color w:val="auto"/>
        </w:rPr>
      </w:pPr>
      <w:r>
        <w:rPr>
          <w:rFonts w:ascii="Times New Roman" w:cs="Times New Roman" w:eastAsia="Times New Roman" w:hAnsi="Times New Roman"/>
          <w:sz w:val="22"/>
          <w:szCs w:val="22"/>
          <w:b w:val="1"/>
          <w:bCs w:val="1"/>
          <w:color w:val="auto"/>
        </w:rPr>
        <w:t>Section 9.1. Compliance with Laws</w:t>
      </w:r>
      <w:r>
        <w:rPr>
          <w:rFonts w:ascii="Times New Roman" w:cs="Times New Roman" w:eastAsia="Times New Roman" w:hAnsi="Times New Roman"/>
          <w:sz w:val="22"/>
          <w:szCs w:val="22"/>
          <w:color w:val="auto"/>
        </w:rPr>
        <w:t>. Without limiting Section 10.5, the Company will, and will cause each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Subsidiaries to, comply with all laws, ordinances or governmental rules or regulations to which each of them is subject (including ERISA, Environmental Laws, the USA PATRIOT Act and the other laws and regulations that are referred to in Section 5.16)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220" w:lineRule="exact"/>
        <w:rPr>
          <w:sz w:val="20"/>
          <w:szCs w:val="20"/>
          <w:color w:val="auto"/>
        </w:rPr>
      </w:pPr>
    </w:p>
    <w:p>
      <w:pPr>
        <w:jc w:val="both"/>
        <w:ind w:firstLine="877"/>
        <w:spacing w:after="0" w:line="251" w:lineRule="exact"/>
        <w:rPr>
          <w:sz w:val="20"/>
          <w:szCs w:val="20"/>
          <w:color w:val="auto"/>
        </w:rPr>
      </w:pPr>
      <w:r>
        <w:rPr>
          <w:rFonts w:ascii="Times New Roman" w:cs="Times New Roman" w:eastAsia="Times New Roman" w:hAnsi="Times New Roman"/>
          <w:sz w:val="22"/>
          <w:szCs w:val="22"/>
          <w:b w:val="1"/>
          <w:bCs w:val="1"/>
          <w:color w:val="auto"/>
        </w:rPr>
        <w:t>Section 9.2. Insurance</w:t>
      </w:r>
      <w:r>
        <w:rPr>
          <w:rFonts w:ascii="Times New Roman" w:cs="Times New Roman" w:eastAsia="Times New Roman" w:hAnsi="Times New Roman"/>
          <w:sz w:val="22"/>
          <w:szCs w:val="22"/>
          <w:color w:val="auto"/>
        </w:rPr>
        <w:t>. The Company will, and will cause each of its Subsidiaries to, maintain, with financially sound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reputable insurers, insurance with respect to their respective properties and businesses against such casualties and contingencies, of such types, on such terms and in such amounts (including deductibles,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insurance and self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insurance, if adequate reserves are maintained with respect thereto) as is customary in the case of entities of established reputations engaged in the same or a similar business and similarly situated.</w:t>
      </w:r>
    </w:p>
    <w:p>
      <w:pPr>
        <w:spacing w:after="0" w:line="204"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Section 9.3. Maintenance of Properties</w:t>
      </w:r>
      <w:r>
        <w:rPr>
          <w:rFonts w:ascii="Times New Roman" w:cs="Times New Roman" w:eastAsia="Times New Roman" w:hAnsi="Times New Roman"/>
          <w:sz w:val="22"/>
          <w:szCs w:val="22"/>
          <w:color w:val="auto"/>
        </w:rPr>
        <w:t>. The Company will, and will cause each of its Subsidiaries to, maintain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keep, or cause to be maintained and kept, their respective properties in good repair, working order and condition (other than ordinary wear and tear) to the extent necessary, so that the business carried on in connection therewith may be properly conducted at all times,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Section 9.3 shall not prevent the Company or any Subsidiary from discontinuing the operation and the maintenance of any of its properties if such discontinuance is desirable in the conduct of its business and the Company has concluded that such discontinuance could not, individually or in the aggregate, reasonably be expected to have a Material Adverse Effect.</w:t>
      </w:r>
    </w:p>
    <w:p>
      <w:pPr>
        <w:spacing w:after="0" w:line="217"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Section 9.4. Payment of Taxes and Claims</w:t>
      </w:r>
      <w:r>
        <w:rPr>
          <w:rFonts w:ascii="Times New Roman" w:cs="Times New Roman" w:eastAsia="Times New Roman" w:hAnsi="Times New Roman"/>
          <w:sz w:val="22"/>
          <w:szCs w:val="22"/>
          <w:color w:val="auto"/>
        </w:rPr>
        <w:t>. The Company will, and will cause each of its Subsidiaries to, file all tax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returns required to be filed in any jurisdiction and to pay and discharge all taxes shown to be due and payable on such returns and all other taxes, assessments, governmental charges, or levies imposed on them or any of their properties, assets, income or franchises, to the extent the same have become due and payable and before they have become delinquent and all claims for which sums have become due and payable that have or might become a Lien on properties or assets of the Company or any Subsidiary,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neither the Company nor any Subsidiary need pay any such tax, assessment, charge, levy or claim if (i) the amount,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applicability or validity thereof is contested by the Company or such Subsidiary on 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24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4" w:name="page35"/>
    <w:bookmarkEnd w:id="34"/>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timely basis in good faith and in appropriate proceedings, and the Company or a Subsidiary has established adequate reserves therefor in accordance with GAAP on the books of the Company or such Subsidiary or (ii) the nonpayment of all such taxes, assessments, charges, levies and claims could not, individually or in the aggregate, reasonably be expected to have a Material Adverse Effect.</w:t>
      </w:r>
    </w:p>
    <w:p>
      <w:pPr>
        <w:spacing w:after="0" w:line="204" w:lineRule="exact"/>
        <w:rPr>
          <w:sz w:val="20"/>
          <w:szCs w:val="20"/>
          <w:color w:val="auto"/>
        </w:rPr>
      </w:pPr>
    </w:p>
    <w:p>
      <w:pPr>
        <w:jc w:val="both"/>
        <w:ind w:firstLine="877"/>
        <w:spacing w:after="0" w:line="250" w:lineRule="exact"/>
        <w:rPr>
          <w:sz w:val="20"/>
          <w:szCs w:val="20"/>
          <w:color w:val="auto"/>
        </w:rPr>
      </w:pPr>
      <w:r>
        <w:rPr>
          <w:rFonts w:ascii="Times New Roman" w:cs="Times New Roman" w:eastAsia="Times New Roman" w:hAnsi="Times New Roman"/>
          <w:sz w:val="22"/>
          <w:szCs w:val="22"/>
          <w:b w:val="1"/>
          <w:bCs w:val="1"/>
          <w:color w:val="auto"/>
        </w:rPr>
        <w:t>Section 9.5. Corporate Existence, Etc</w:t>
      </w:r>
      <w:r>
        <w:rPr>
          <w:rFonts w:ascii="Times New Roman" w:cs="Times New Roman" w:eastAsia="Times New Roman" w:hAnsi="Times New Roman"/>
          <w:sz w:val="22"/>
          <w:szCs w:val="22"/>
          <w:color w:val="auto"/>
        </w:rPr>
        <w:t>. Subject to Section 10.2, the Company will at all times preserve and keep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corporate existence in full force and effect. Subject to Sections 10.2 and 10.3, the Company will at all times preserve and keep in full force and effect the corporate existence of each of its Subsidiaries (unless merged into the Company or a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and all rights and franchises of the Company and its Subsidiaries unless, in the good faith judgment of the Company, the termination of or failure to preserve and keep in full force and effect such corporate existence, right or franchise could not, individually or in the aggregate, have a Material Adverse Effect.</w:t>
      </w:r>
    </w:p>
    <w:p>
      <w:pPr>
        <w:spacing w:after="0" w:line="216"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Section 9.6. Books and Records</w:t>
      </w:r>
      <w:r>
        <w:rPr>
          <w:rFonts w:ascii="Times New Roman" w:cs="Times New Roman" w:eastAsia="Times New Roman" w:hAnsi="Times New Roman"/>
          <w:sz w:val="22"/>
          <w:szCs w:val="22"/>
          <w:color w:val="auto"/>
        </w:rPr>
        <w:t>. The Company will, and will cause each of its Subsidiaries to, maintain proper books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record and account in conformity with GAAP and all applicable requirements of any Governmental Authority having legal or regulatory jurisdiction over the Company or such Subsidiary, as the case may be. The Company will, and will cause each of its Subsidiaries to, keep books, records and accounts which, in reasonable detail, accurately reflect all transactions and dispositions of assets. The Company and its Subsidiaries have devised a system of internal accounting controls sufficient to provide reasonable assurances that their respective books, records, and accounts accurately reflect all transactions and dispositions of assets and the Company will, and will cause each of its Subsidiaries to, continue to maintain such system.</w:t>
      </w:r>
    </w:p>
    <w:p>
      <w:pPr>
        <w:spacing w:after="0" w:line="217" w:lineRule="exact"/>
        <w:rPr>
          <w:sz w:val="20"/>
          <w:szCs w:val="20"/>
          <w:color w:val="auto"/>
        </w:rPr>
      </w:pPr>
    </w:p>
    <w:p>
      <w:pPr>
        <w:jc w:val="both"/>
        <w:ind w:firstLine="877"/>
        <w:spacing w:after="0" w:line="258" w:lineRule="exact"/>
        <w:rPr>
          <w:sz w:val="20"/>
          <w:szCs w:val="20"/>
          <w:color w:val="auto"/>
        </w:rPr>
      </w:pPr>
      <w:r>
        <w:rPr>
          <w:rFonts w:ascii="Times New Roman" w:cs="Times New Roman" w:eastAsia="Times New Roman" w:hAnsi="Times New Roman"/>
          <w:sz w:val="22"/>
          <w:szCs w:val="22"/>
          <w:b w:val="1"/>
          <w:bCs w:val="1"/>
          <w:color w:val="auto"/>
        </w:rPr>
        <w:t xml:space="preserve">Section 9.7. Subsidiary Guarantors. </w:t>
      </w:r>
      <w:r>
        <w:rPr>
          <w:rFonts w:ascii="Times New Roman" w:cs="Times New Roman" w:eastAsia="Times New Roman" w:hAnsi="Times New Roman"/>
          <w:sz w:val="22"/>
          <w:szCs w:val="22"/>
          <w:color w:val="auto"/>
        </w:rPr>
        <w:t>(a) The Company will cause each of its Subsidiaries that guarantees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becomes liable at any time, whether as a borrower or an additional or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borrower or otherwise, for or in respect of any Indebtedness under any Material Credit Facility to concurrently therewith:</w:t>
      </w:r>
    </w:p>
    <w:p>
      <w:pPr>
        <w:spacing w:after="0" w:line="205" w:lineRule="exact"/>
        <w:rPr>
          <w:sz w:val="20"/>
          <w:szCs w:val="20"/>
          <w:color w:val="auto"/>
        </w:rPr>
      </w:pPr>
    </w:p>
    <w:p>
      <w:pPr>
        <w:jc w:val="both"/>
        <w:ind w:left="880" w:firstLine="816"/>
        <w:spacing w:after="0" w:line="248" w:lineRule="exact"/>
        <w:tabs>
          <w:tab w:leader="none" w:pos="254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 agreement in form and substance satisfactory to the Required Holders providing for the guaranty by such Subsidiary, on a joint and several basis with all other such Subsidiaries, of (x) the prompt payment in full when due of all amounts payable by the Company pursuant to the Notes (whether for principal, interest,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Whole Amount or otherwise) and this Agreement, including all indemnities, fees and expenses payable by the Company thereunder and (y) the prompt, full and faithful performance, observance and discharge by the Company of each and every covenant, agreement, undertaking and provision required pursuant to the Notes or this Agreement to be performed, observed or discharged by it (a </w:t>
      </w:r>
      <w:r>
        <w:rPr>
          <w:rFonts w:ascii="Times New Roman" w:cs="Times New Roman" w:eastAsia="Times New Roman" w:hAnsi="Times New Roman"/>
          <w:sz w:val="22"/>
          <w:szCs w:val="22"/>
          <w:b w:val="1"/>
          <w:bCs w:val="1"/>
          <w:color w:val="auto"/>
        </w:rPr>
        <w:t>“Subsidiary Guaranty”</w:t>
      </w:r>
      <w:r>
        <w:rPr>
          <w:rFonts w:ascii="Times New Roman" w:cs="Times New Roman" w:eastAsia="Times New Roman" w:hAnsi="Times New Roman"/>
          <w:sz w:val="22"/>
          <w:szCs w:val="22"/>
          <w:color w:val="auto"/>
        </w:rPr>
        <w:t>); and</w:t>
      </w:r>
    </w:p>
    <w:p>
      <w:pPr>
        <w:spacing w:after="0" w:line="224" w:lineRule="exact"/>
        <w:rPr>
          <w:rFonts w:ascii="Times New Roman" w:cs="Times New Roman" w:eastAsia="Times New Roman" w:hAnsi="Times New Roman"/>
          <w:sz w:val="22"/>
          <w:szCs w:val="22"/>
          <w:color w:val="auto"/>
        </w:rPr>
      </w:pPr>
    </w:p>
    <w:p>
      <w:pPr>
        <w:ind w:left="2360" w:hanging="610"/>
        <w:spacing w:after="0"/>
        <w:tabs>
          <w:tab w:leader="none" w:pos="236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the following to each holder of a Note:</w:t>
      </w:r>
    </w:p>
    <w:p>
      <w:pPr>
        <w:spacing w:after="0" w:line="246" w:lineRule="exact"/>
        <w:rPr>
          <w:rFonts w:ascii="Times New Roman" w:cs="Times New Roman" w:eastAsia="Times New Roman" w:hAnsi="Times New Roman"/>
          <w:sz w:val="22"/>
          <w:szCs w:val="22"/>
          <w:color w:val="auto"/>
        </w:rPr>
      </w:pPr>
    </w:p>
    <w:p>
      <w:pPr>
        <w:ind w:left="3460" w:hanging="954"/>
        <w:spacing w:after="0"/>
        <w:tabs>
          <w:tab w:leader="none" w:pos="3460"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counterpart of such Subsidiary Guaranty;</w:t>
      </w:r>
    </w:p>
    <w:p>
      <w:pPr>
        <w:spacing w:after="0" w:line="246" w:lineRule="exact"/>
        <w:rPr>
          <w:rFonts w:ascii="Times New Roman" w:cs="Times New Roman" w:eastAsia="Times New Roman" w:hAnsi="Times New Roman"/>
          <w:sz w:val="22"/>
          <w:szCs w:val="22"/>
          <w:color w:val="auto"/>
        </w:rPr>
      </w:pPr>
    </w:p>
    <w:p>
      <w:pPr>
        <w:ind w:left="1760" w:firstLine="746"/>
        <w:spacing w:after="0" w:line="258" w:lineRule="auto"/>
        <w:tabs>
          <w:tab w:leader="none" w:pos="3439"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signed by an authorized responsible officer of such Subsidiary containing representations and warranties on behalf of such Subsidiary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25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5" w:name="page36"/>
    <w:bookmarkEnd w:id="35"/>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86" w:lineRule="exact"/>
        <w:rPr>
          <w:sz w:val="20"/>
          <w:szCs w:val="20"/>
          <w:color w:val="auto"/>
        </w:rPr>
      </w:pPr>
    </w:p>
    <w:p>
      <w:pPr>
        <w:ind w:left="1760" w:right="20"/>
        <w:spacing w:after="0" w:line="262" w:lineRule="auto"/>
        <w:rPr>
          <w:sz w:val="20"/>
          <w:szCs w:val="20"/>
          <w:color w:val="auto"/>
        </w:rPr>
      </w:pPr>
      <w:r>
        <w:rPr>
          <w:rFonts w:ascii="Times New Roman" w:cs="Times New Roman" w:eastAsia="Times New Roman" w:hAnsi="Times New Roman"/>
          <w:sz w:val="22"/>
          <w:szCs w:val="22"/>
          <w:color w:val="auto"/>
        </w:rPr>
        <w:t xml:space="preserve">to the same effect,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as those contained in Sections 5.1, 5.2, 5.6, 5.7 and 5.19 of this Agreement (but with respect to such Subsidiary and such Subsidiary Guaranty rather than the Company);</w:t>
      </w:r>
    </w:p>
    <w:p>
      <w:pPr>
        <w:spacing w:after="0" w:line="181" w:lineRule="exact"/>
        <w:rPr>
          <w:sz w:val="20"/>
          <w:szCs w:val="20"/>
          <w:color w:val="auto"/>
        </w:rPr>
      </w:pPr>
    </w:p>
    <w:p>
      <w:pPr>
        <w:jc w:val="both"/>
        <w:ind w:left="1760" w:firstLine="746"/>
        <w:spacing w:after="0" w:line="239" w:lineRule="auto"/>
        <w:tabs>
          <w:tab w:leader="none" w:pos="343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documents as may be reasonably requested by the Required Holders to evidence the due organization, continuing existence and, where applicable, good standing of such Subsidiary and the due authorization by all requisite action on the part of such Subsidiary of the execution and delivery of such Subsidiary Guaranty and the performance by such Subsidiary of its obligations thereunder; and</w:t>
      </w:r>
    </w:p>
    <w:p>
      <w:pPr>
        <w:spacing w:after="0" w:line="221" w:lineRule="exact"/>
        <w:rPr>
          <w:rFonts w:ascii="Times New Roman" w:cs="Times New Roman" w:eastAsia="Times New Roman" w:hAnsi="Times New Roman"/>
          <w:sz w:val="22"/>
          <w:szCs w:val="22"/>
          <w:color w:val="auto"/>
        </w:rPr>
      </w:pPr>
    </w:p>
    <w:p>
      <w:pPr>
        <w:jc w:val="both"/>
        <w:ind w:left="1760" w:firstLine="746"/>
        <w:spacing w:after="0" w:line="244" w:lineRule="auto"/>
        <w:tabs>
          <w:tab w:leader="none" w:pos="345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opinion of counsel reasonably satisfactory to the Required Holders covering such matters relating to such Subsidiary and such Subsidiary Guaranty as the Required Holders may reasonably request,</w:t>
      </w:r>
    </w:p>
    <w:p>
      <w:pPr>
        <w:spacing w:after="0" w:line="210" w:lineRule="exact"/>
        <w:rPr>
          <w:sz w:val="20"/>
          <w:szCs w:val="20"/>
          <w:color w:val="auto"/>
        </w:rPr>
      </w:pPr>
    </w:p>
    <w:p>
      <w:pPr>
        <w:jc w:val="both"/>
        <w:ind w:left="1760"/>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notwithstanding anything contained in this Section 9.7(a) to the contrary, the Company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under no obligation to (but may in its sole discretion) require any Foreign Subsidiary to become a Subsidiary Guarantor in respect of this Agreement and the Notes to the extent such Foreign Subsidiary’s obligations under all Material Credit Facilities consist solely of direct borrowings solely to such Foreign Subsidiary or one or more other Foreign Subsidiaries as co-obligors (a </w:t>
      </w:r>
      <w:r>
        <w:rPr>
          <w:rFonts w:ascii="Times New Roman" w:cs="Times New Roman" w:eastAsia="Times New Roman" w:hAnsi="Times New Roman"/>
          <w:sz w:val="22"/>
          <w:szCs w:val="22"/>
          <w:b w:val="1"/>
          <w:bCs w:val="1"/>
          <w:color w:val="auto"/>
        </w:rPr>
        <w:t>“Foreign Borrowing”</w:t>
      </w:r>
      <w:r>
        <w:rPr>
          <w:rFonts w:ascii="Times New Roman" w:cs="Times New Roman" w:eastAsia="Times New Roman" w:hAnsi="Times New Roman"/>
          <w:sz w:val="22"/>
          <w:szCs w:val="22"/>
          <w:color w:val="auto"/>
        </w:rPr>
        <w:t xml:space="preserve">) or guaranties of a Foreign Borrowing by one or more other Foreign Subsidiaries (a </w:t>
      </w:r>
      <w:r>
        <w:rPr>
          <w:rFonts w:ascii="Times New Roman" w:cs="Times New Roman" w:eastAsia="Times New Roman" w:hAnsi="Times New Roman"/>
          <w:sz w:val="22"/>
          <w:szCs w:val="22"/>
          <w:b w:val="1"/>
          <w:bCs w:val="1"/>
          <w:color w:val="auto"/>
        </w:rPr>
        <w:t>“Foreign Guarantee”</w:t>
      </w:r>
      <w:r>
        <w:rPr>
          <w:rFonts w:ascii="Times New Roman" w:cs="Times New Roman" w:eastAsia="Times New Roman" w:hAnsi="Times New Roman"/>
          <w:sz w:val="22"/>
          <w:szCs w:val="22"/>
          <w:color w:val="auto"/>
        </w:rPr>
        <w:t>) and, in each case, such incidental obligations as are customary for borrowings of the type provided under the applicable facilities. For all purposes of this Agreement, all Foreign Borrowings and Foreign Guarantees (without duplication of the amounts guaranteed) shall constitute Priority Indebtedness.</w:t>
      </w:r>
    </w:p>
    <w:p>
      <w:pPr>
        <w:spacing w:after="0" w:line="206" w:lineRule="exact"/>
        <w:rPr>
          <w:sz w:val="20"/>
          <w:szCs w:val="20"/>
          <w:color w:val="auto"/>
        </w:rPr>
      </w:pPr>
    </w:p>
    <w:p>
      <w:pPr>
        <w:jc w:val="both"/>
        <w:ind w:firstLine="885"/>
        <w:spacing w:after="0" w:line="246" w:lineRule="auto"/>
        <w:tabs>
          <w:tab w:leader="none" w:pos="177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the election of the Company and by written notice to each holder of Notes, any Subsidiary Guarantor that has provided a Subsidiary Guaranty under subparagraph (a) of this Section 9.7 may be discharged from all of its obligations and liabilities under its Subsidiary Guaranty and shall be automatically released from its obligations thereunder without the need for the execution or delivery of any other document by the holders,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if such Subsidiary Guarantor is a guarantor or is otherwise liable for or in respect of any Material Credit Facility, then such Subsidiary Guarantor has been released and discharged (or will be released and discharged concurrently with the release of such Subsidiary Guarantor under its Subsidiary Guaranty) under such Material Credit Facility, (ii) at the time of, and after giving effect to, such release and discharge, no Default or Event of Default shall be existing, (iii) no amount is then due and payable under such Subsidiary Guaranty, (iv) if in connection with such Subsidiary Guarantor being released and discharged under any Material Credit Facility, any fee or other form of consideration is given to any holder of Indebtedness under such Material Credit Facility for such release, the holders of the Notes shall receive equivalent consideration substantially concurrently therewith and (v) each holder shall have received a certificate of a Responsible Officer certifying as to the matters set forth in clauses (i) through (iv). In the event of any such release, for purposes of Section 10.9, all Indebtedness of such Subsidiary shall be deemed to have been incurred concurrently with such release.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26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6" w:name="page37"/>
    <w:bookmarkEnd w:id="36"/>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86"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9.8. Priority of Obligations. </w:t>
      </w:r>
      <w:r>
        <w:rPr>
          <w:rFonts w:ascii="Times New Roman" w:cs="Times New Roman" w:eastAsia="Times New Roman" w:hAnsi="Times New Roman"/>
          <w:sz w:val="22"/>
          <w:szCs w:val="22"/>
          <w:color w:val="auto"/>
        </w:rPr>
        <w:t>The Company will ensure that its payment obligations under this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Notes, and the payment obligations of any Subsidiary Guarantor under its Subsidiary Guaranty, if any, will at all times rank at least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without preference or priority, with all other unsecured and unsubordinated Indebtedness of the Company and such Subsidiary Guarantor, as applicable.</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Notwithstanding the terms of Section 11, it will not be a Default or an Event of Default if the Company fails to comply with any provision of Section 9 on or after the date of this Agreement and prior to the Closing, but if such a failure occurs, then any of the Purchasers may elect not to purchase such Notes on the date of the Closing that is specified in Section 3.3.</w:t>
      </w:r>
    </w:p>
    <w:p>
      <w:pPr>
        <w:spacing w:after="0" w:line="251"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10.</w:t>
      </w:r>
      <w:r>
        <w:rPr>
          <w:sz w:val="20"/>
          <w:szCs w:val="20"/>
          <w:color w:val="auto"/>
        </w:rPr>
        <w:tab/>
      </w: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EGATIVE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OVENANTS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From the date of this Agreement until the Closing and thereafter, so long as any of the Notes are outstanding,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covenants that:</w:t>
      </w:r>
    </w:p>
    <w:p>
      <w:pPr>
        <w:spacing w:after="0" w:line="219" w:lineRule="exact"/>
        <w:rPr>
          <w:sz w:val="20"/>
          <w:szCs w:val="20"/>
          <w:color w:val="auto"/>
        </w:rPr>
      </w:pPr>
    </w:p>
    <w:p>
      <w:pPr>
        <w:jc w:val="both"/>
        <w:ind w:firstLine="877"/>
        <w:spacing w:after="0" w:line="252" w:lineRule="exact"/>
        <w:rPr>
          <w:sz w:val="20"/>
          <w:szCs w:val="20"/>
          <w:color w:val="auto"/>
        </w:rPr>
      </w:pPr>
      <w:r>
        <w:rPr>
          <w:rFonts w:ascii="Times New Roman" w:cs="Times New Roman" w:eastAsia="Times New Roman" w:hAnsi="Times New Roman"/>
          <w:sz w:val="21"/>
          <w:szCs w:val="21"/>
          <w:b w:val="1"/>
          <w:bCs w:val="1"/>
          <w:color w:val="auto"/>
        </w:rPr>
        <w:t>Section 10.1. Transactions with Affiliates</w:t>
      </w:r>
      <w:r>
        <w:rPr>
          <w:rFonts w:ascii="Times New Roman" w:cs="Times New Roman" w:eastAsia="Times New Roman" w:hAnsi="Times New Roman"/>
          <w:sz w:val="21"/>
          <w:szCs w:val="21"/>
          <w:color w:val="auto"/>
        </w:rPr>
        <w:t>. The Company will not, and will not permit any Subsidiary to, enter into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directly or indirectly any Material transaction or Material group of related transactions (including the purchase, lease, sale or exchange of properties of any kind or the rendering of any service) with any Affiliate (other than (i) the Company or another Subsidiary, (ii) any of the officers, directors or employees of the Company or any such Subsidiary, or (iii) any joint venture of the Company or any Subsidiary), except (a) in the ordinary course and pursuant to the reasonable requirements of the Company’s or such Subsidiary’s business and upon fair and reasonable terms no less favorable to the Company or such Subsidiary than would be obtainable in a comparable arm’s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length transaction with a Person not an Affiliate or (b) to the extent permitted in Section 10.11.</w:t>
      </w:r>
    </w:p>
    <w:p>
      <w:pPr>
        <w:spacing w:after="0" w:line="184"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Section 10.2. Merger, Consolidation, Etc</w:t>
      </w:r>
      <w:r>
        <w:rPr>
          <w:rFonts w:ascii="Times New Roman" w:cs="Times New Roman" w:eastAsia="Times New Roman" w:hAnsi="Times New Roman"/>
          <w:sz w:val="22"/>
          <w:szCs w:val="22"/>
          <w:color w:val="auto"/>
        </w:rPr>
        <w:t>. The Company will not, and will not permit any Subsidiary Guarantor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consolidate with or merge with any other Person or convey, transfer or lease all or substantially all of its assets in a single transaction or series of transactions to any Person unless:</w:t>
      </w:r>
    </w:p>
    <w:p>
      <w:pPr>
        <w:spacing w:after="0" w:line="212" w:lineRule="exact"/>
        <w:rPr>
          <w:sz w:val="20"/>
          <w:szCs w:val="20"/>
          <w:color w:val="auto"/>
        </w:rPr>
      </w:pPr>
    </w:p>
    <w:p>
      <w:pPr>
        <w:jc w:val="both"/>
        <w:ind w:left="880" w:firstLine="816"/>
        <w:spacing w:after="0" w:line="246" w:lineRule="auto"/>
        <w:tabs>
          <w:tab w:leader="none" w:pos="2213"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such transaction involving the Company, the successor formed by such consolidation or the survivor of such merger or the Person that acquires by conveyance, transfer or lease all or substantially all of the assets of the Company as an entirety, as the case may be, shall be a solvent corporation or limited liability company organized and existing under the laws of the United States or any state thereof (including the District of Columbia), and, if the Company is not such corporation or limited liability company, (i) such corporation or limited liability company shall have executed and delivered to each holder of any Notes its assumption of the due and punctual performance and observance of each covenant and condition of this Agreement and the Notes and (ii) such corporation or limited liability company shall have caused to be delivered to each holder of any Notes an opinion of nationally recognized independent counsel, or other independent counsel reasonably satisfactory to the Required Holders, to the effect that all agreements or instruments effecting such assumption are enforceable in accordance with their terms and comply with the terms hereof;</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27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7" w:name="page38"/>
    <w:bookmarkEnd w:id="37"/>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jc w:val="both"/>
        <w:ind w:left="880" w:firstLine="816"/>
        <w:spacing w:after="0" w:line="233" w:lineRule="auto"/>
        <w:tabs>
          <w:tab w:leader="none" w:pos="236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such transaction involving a Subsidiary Guarantor, the successor formed by such consolidation or the survivor of such merger or the Person that acquires by conveyance, transfer or lease all or substantially all of the assets of such Subsidiary Guarantor as an entirety, as the case may be, shall be (1) the Company, such Subsidiary Guarantor or another Subsidiary Guarantor; (2) a solvent corporation or limited liability company (other than the Company or another Subsidiary Guarantor) that is organized and existing under the laws of the United States or any state thereof (including the District of Columbia) and, if such Subsidiary Guarantor is not such corporation or limited liability company, (A) such corporation or limited liability company shall have executed and delivered to each holder of Notes its assumption of the due and punctual performance and observance of each covenant and condition of the Subsidiary Guaranty of such Subsidiary Guarantor and (B) the Company shall have caused to be delivered to each holder of Notes an opinion of nationally recognized independent counsel, or other independent counsel reasonably satisfactory to the Required Holders, to the effect that all agreements or instruments effecting such assumption are enforceable in accordance with their terms and comply with the terms hereof; or (3) any other Person so long as the transaction is treated as a disposition of all of the assets of such Subsidiary Guarantor for purposes of Section 10.3 and, based on such characterization, would be permitted pursuant to Section 10.3;</w:t>
      </w:r>
    </w:p>
    <w:p>
      <w:pPr>
        <w:spacing w:after="0" w:line="208" w:lineRule="exact"/>
        <w:rPr>
          <w:rFonts w:ascii="Times New Roman" w:cs="Times New Roman" w:eastAsia="Times New Roman" w:hAnsi="Times New Roman"/>
          <w:sz w:val="22"/>
          <w:szCs w:val="22"/>
          <w:color w:val="auto"/>
        </w:rPr>
      </w:pPr>
    </w:p>
    <w:p>
      <w:pPr>
        <w:jc w:val="both"/>
        <w:ind w:left="880" w:firstLine="816"/>
        <w:spacing w:after="0" w:line="244" w:lineRule="auto"/>
        <w:tabs>
          <w:tab w:leader="none" w:pos="222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Subsidiary Guarantor under any Subsidiary Guaranty that is outstanding at the time such transaction or each transaction in such a series of transactions occurs reaffirms its obligations under such Subsidiary Guaranty in writing at such time pursuant to documentation that is reasonably acceptable to the Required Holders; and</w:t>
      </w:r>
    </w:p>
    <w:p>
      <w:pPr>
        <w:spacing w:after="0" w:line="214" w:lineRule="exact"/>
        <w:rPr>
          <w:rFonts w:ascii="Times New Roman" w:cs="Times New Roman" w:eastAsia="Times New Roman" w:hAnsi="Times New Roman"/>
          <w:sz w:val="22"/>
          <w:szCs w:val="22"/>
          <w:color w:val="auto"/>
        </w:rPr>
      </w:pPr>
    </w:p>
    <w:p>
      <w:pPr>
        <w:ind w:left="880" w:firstLine="816"/>
        <w:spacing w:after="0" w:line="258" w:lineRule="auto"/>
        <w:tabs>
          <w:tab w:leader="none" w:pos="221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before and immediately after giving effect to such transaction or each transaction in any such series of transactions, no Default or Event of Default shall have occurred and be continuing.</w:t>
      </w:r>
    </w:p>
    <w:p>
      <w:pPr>
        <w:spacing w:after="0" w:line="19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No such conveyance, transfer or lease of substantially all of the assets of the Company or any Subsidiary Guarantor shall have the effect of releasing the Company or such Subsidiary Guarantor, as the case may be, or any successor corporation or limited liability company that shall theretofore have become such in the manner prescribed in this Section 10.2, from its liability under (x) this Agreement or the Notes (in the case of the Company) or (y) the Subsidiary Guaranty (in the case of any Subsidiary Guarantor), unless, in the case of the conveyance, transfer or lease of substantially all of the assets of a Subsidiary Guarantor, such Subsidiary Guarantor is released from its Subsidiary Guaranty in accordance with Section 9.7(b) in connection with or immediately following such conveyance, transfer or lease.</w:t>
      </w:r>
    </w:p>
    <w:p>
      <w:pPr>
        <w:spacing w:after="0" w:line="207"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10.3. Sale of Assets, Etc. </w:t>
      </w:r>
      <w:r>
        <w:rPr>
          <w:rFonts w:ascii="Times New Roman" w:cs="Times New Roman" w:eastAsia="Times New Roman" w:hAnsi="Times New Roman"/>
          <w:sz w:val="22"/>
          <w:szCs w:val="22"/>
          <w:color w:val="auto"/>
        </w:rPr>
        <w:t>The Company will not, and will not permit any Subsidiary to, sell, lease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otherwise dispose of any substantial part (as defined below) of the assets of the Company and its Subsidiaries;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Company or any Subsidiary may sell, lease or otherwise dispose of assets constituting a substantial part of the assets of the Company and its Subsidiaries if </w:t>
      </w:r>
      <w:r>
        <w:rPr>
          <w:rFonts w:ascii="Times New Roman" w:cs="Times New Roman" w:eastAsia="Times New Roman" w:hAnsi="Times New Roman"/>
          <w:sz w:val="19"/>
          <w:szCs w:val="19"/>
          <w:color w:val="auto"/>
        </w:rPr>
        <w:t>such</w:t>
      </w:r>
      <w:r>
        <w:rPr>
          <w:rFonts w:ascii="Times New Roman" w:cs="Times New Roman" w:eastAsia="Times New Roman" w:hAnsi="Times New Roman"/>
          <w:sz w:val="22"/>
          <w:szCs w:val="22"/>
          <w:color w:val="auto"/>
        </w:rPr>
        <w:t xml:space="preserve"> assets are sold in an arm’s length transaction and, at such time and after giving effect thereto, no Default or Event of Default shall have occurred and be continuing and an amount equal to the net cash proceeds received from such sale, lease or other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28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8" w:name="page39"/>
    <w:bookmarkEnd w:id="38"/>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disposition (but only with respect to that portion of such assets that exceeds the definition of “substantial part” set forth below)</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shall be used within 365 days of such sale, lease or disposition, in any combination:</w:t>
      </w:r>
    </w:p>
    <w:p>
      <w:pPr>
        <w:spacing w:after="0" w:line="209" w:lineRule="exact"/>
        <w:rPr>
          <w:sz w:val="20"/>
          <w:szCs w:val="20"/>
          <w:color w:val="auto"/>
        </w:rPr>
      </w:pPr>
    </w:p>
    <w:p>
      <w:pPr>
        <w:jc w:val="both"/>
        <w:ind w:left="880" w:firstLine="816"/>
        <w:spacing w:after="0" w:line="244" w:lineRule="auto"/>
        <w:tabs>
          <w:tab w:leader="none" w:pos="259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acquire productive assets used or useful in carrying on the business of the Company and its Subsidiaries and having a value at least equal to the portion of the value of such assets sold, leased or otherwise disposed of in excess of the definition of “substantial part” set forth below; and/or</w:t>
      </w:r>
    </w:p>
    <w:p>
      <w:pPr>
        <w:spacing w:after="0" w:line="210" w:lineRule="exact"/>
        <w:rPr>
          <w:rFonts w:ascii="Times New Roman" w:cs="Times New Roman" w:eastAsia="Times New Roman" w:hAnsi="Times New Roman"/>
          <w:sz w:val="22"/>
          <w:szCs w:val="22"/>
          <w:color w:val="auto"/>
        </w:rPr>
      </w:pPr>
    </w:p>
    <w:p>
      <w:pPr>
        <w:jc w:val="both"/>
        <w:ind w:left="880" w:firstLine="816"/>
        <w:spacing w:after="0" w:line="233" w:lineRule="auto"/>
        <w:tabs>
          <w:tab w:leader="none" w:pos="259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prepay or retire Senior Indebtedness of the Company and/or its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the Company shall offer to prepay each outstanding Note in a principal amount which equals the Ratable Portion for such Note, and (ii) any such prepayment of the Notes shall be made at par, together with accrued interest thereon to the date of such prepayment, but without the payment of the Make-Whole Amount or any other premium. Any offer of prepayment of the Notes pursuant to this Section 10.3 shall be given to each holder of the Notes by written notice that shall be delivered not less than ten (10) days and not more than sixty (60) days prior to the proposed prepayment date. Each such notice shall state that it is given pursuant to this Section and that the offer set forth in such notice must be accepted by such holder in writing and shall also set forth (i) the prepayment date, (ii) a description of the circumstances which give rise to the proposed prepayment and (iii) a calculation of the Ratable Portion for such holder’s Notes. Each holder of the Notes which desires to have its Notes prepaid shall notify the Company in writing delivered not less than five (5) Business Days prior to the proposed prepayment date of its acceptance of such offer of prepayment. If a Holder does not accept an offer to prepay as set forth in this Section 10.3, the Company shall be permitted to retain the Ratable Portion of the net proceeds allocable to the Notes of such Holder without any further requirements for reinvestment or prepayment as set forth in this Section 10.3.</w:t>
      </w:r>
    </w:p>
    <w:p>
      <w:pPr>
        <w:spacing w:after="0" w:line="222" w:lineRule="exact"/>
        <w:rPr>
          <w:sz w:val="20"/>
          <w:szCs w:val="20"/>
          <w:color w:val="auto"/>
        </w:rPr>
      </w:pPr>
    </w:p>
    <w:p>
      <w:pPr>
        <w:jc w:val="both"/>
        <w:ind w:left="880"/>
        <w:spacing w:after="0" w:line="233" w:lineRule="auto"/>
        <w:rPr>
          <w:sz w:val="20"/>
          <w:szCs w:val="20"/>
          <w:color w:val="auto"/>
        </w:rPr>
      </w:pPr>
      <w:r>
        <w:rPr>
          <w:rFonts w:ascii="Times New Roman" w:cs="Times New Roman" w:eastAsia="Times New Roman" w:hAnsi="Times New Roman"/>
          <w:sz w:val="22"/>
          <w:szCs w:val="22"/>
          <w:color w:val="auto"/>
        </w:rPr>
        <w:t xml:space="preserve">As used in this Section 10.3, a sale, lease or other disposition of assets shall be deemed to be a </w:t>
      </w:r>
      <w:r>
        <w:rPr>
          <w:rFonts w:ascii="Times New Roman" w:cs="Times New Roman" w:eastAsia="Times New Roman" w:hAnsi="Times New Roman"/>
          <w:sz w:val="22"/>
          <w:szCs w:val="22"/>
          <w:i w:val="1"/>
          <w:iCs w:val="1"/>
          <w:color w:val="auto"/>
        </w:rPr>
        <w:t>“substantial part”</w:t>
      </w:r>
      <w:r>
        <w:rPr>
          <w:rFonts w:ascii="Times New Roman" w:cs="Times New Roman" w:eastAsia="Times New Roman" w:hAnsi="Times New Roman"/>
          <w:sz w:val="22"/>
          <w:szCs w:val="22"/>
          <w:color w:val="auto"/>
        </w:rPr>
        <w:t xml:space="preserve"> of the assets of the Company and its Subsidiaries if the book value of such assets, when added to the book value of all other assets sold, leased or otherwise disposed of by the Company and its Subsidiaries during the period of 12 consecutive months ending on the date of such sale, lease or other disposition, exceeds 10% of the book value of Consolidated Total Assets, determined as of the end of the most recent fiscal quarter for which financial statements have been delivered in accordance with Section 7.1(a) hereof immediately preceding such sale, lease or other disposition;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there shall be excluded from any determination of a “substantial part” (i) any sale, lease or disposition of assets in the ordinary course of business of the Company and its Subsidiaries, (ii) any transfer of assets from the Company to any Subsidiary or from any Subsidiary to the Company or a Subsidiary, (iii) any sale or transfer of property acquired by the Company or any Subsidiary after the date of this Agreement to any Person within 365 days following the acquisition or construction of such property by the Company or any Subsidiary if the Company or a Subsidiary shall concurrently with such sale or transfer, lease such property, as lessee, (iv) any transfer of Receivables by any Originator pursuant to the Receivables Purchase Facility or other disposition of Receivables by the Company or any Subsidiary provided that the outstanding unpaid amount of all such Receivables so sold in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29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9" w:name="page40"/>
    <w:bookmarkEnd w:id="39"/>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jc w:val="both"/>
        <w:ind w:left="880"/>
        <w:spacing w:after="0" w:line="244" w:lineRule="auto"/>
        <w:rPr>
          <w:sz w:val="20"/>
          <w:szCs w:val="20"/>
          <w:color w:val="auto"/>
        </w:rPr>
      </w:pPr>
      <w:r>
        <w:rPr>
          <w:rFonts w:ascii="Times New Roman" w:cs="Times New Roman" w:eastAsia="Times New Roman" w:hAnsi="Times New Roman"/>
          <w:sz w:val="22"/>
          <w:szCs w:val="22"/>
          <w:color w:val="auto"/>
        </w:rPr>
        <w:t>aggregate shall not at any time exceed $200,000,000, (v) any dispositions of (a) interests in Red Iron or (b) Receivables of the Company or its Subsidiaries to Red Iron, and (vi) dispositions of cash or cash equivalents in connection with Restricted Payments, acquisitions or investments not otherwise prohibited by this Agreement.</w:t>
      </w:r>
    </w:p>
    <w:p>
      <w:pPr>
        <w:spacing w:after="0" w:line="197"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Section 10.4. Line of Business</w:t>
      </w:r>
      <w:r>
        <w:rPr>
          <w:rFonts w:ascii="Times New Roman" w:cs="Times New Roman" w:eastAsia="Times New Roman" w:hAnsi="Times New Roman"/>
          <w:sz w:val="22"/>
          <w:szCs w:val="22"/>
          <w:color w:val="auto"/>
        </w:rPr>
        <w:t>. The Company will not and will not permit any Subsidiary to engage in any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as a result, the general nature of the business in which the Company and its Subsidiaries, taken as a whole, would then be engaged would be substantially changed from the general nature of the business in which the Company and its Subsidiaries, taken as a whole, are engaged on the date of this Agreement as described in the Memorandum.</w:t>
      </w:r>
    </w:p>
    <w:p>
      <w:pPr>
        <w:spacing w:after="0" w:line="213" w:lineRule="exact"/>
        <w:rPr>
          <w:sz w:val="20"/>
          <w:szCs w:val="20"/>
          <w:color w:val="auto"/>
        </w:rPr>
      </w:pPr>
    </w:p>
    <w:p>
      <w:pPr>
        <w:ind w:left="880"/>
        <w:spacing w:after="0"/>
        <w:tabs>
          <w:tab w:leader="none" w:pos="2460" w:val="left"/>
          <w:tab w:leader="none" w:pos="5060" w:val="left"/>
        </w:tabs>
        <w:rPr>
          <w:sz w:val="20"/>
          <w:szCs w:val="20"/>
          <w:color w:val="auto"/>
        </w:rPr>
      </w:pPr>
      <w:r>
        <w:rPr>
          <w:rFonts w:ascii="Times New Roman" w:cs="Times New Roman" w:eastAsia="Times New Roman" w:hAnsi="Times New Roman"/>
          <w:sz w:val="22"/>
          <w:szCs w:val="22"/>
          <w:b w:val="1"/>
          <w:bCs w:val="1"/>
          <w:color w:val="auto"/>
        </w:rPr>
        <w:t>Section 10.5.</w:t>
      </w:r>
      <w:r>
        <w:rPr>
          <w:sz w:val="20"/>
          <w:szCs w:val="20"/>
          <w:color w:val="auto"/>
        </w:rPr>
        <w:tab/>
      </w:r>
      <w:r>
        <w:rPr>
          <w:rFonts w:ascii="Times New Roman" w:cs="Times New Roman" w:eastAsia="Times New Roman" w:hAnsi="Times New Roman"/>
          <w:sz w:val="22"/>
          <w:szCs w:val="22"/>
          <w:b w:val="1"/>
          <w:bCs w:val="1"/>
          <w:color w:val="auto"/>
        </w:rPr>
        <w:t>Economic Sanctions, Etc</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The Company will not, and will not permit any Controlled Entity to</w:t>
      </w:r>
    </w:p>
    <w:p>
      <w:pPr>
        <w:spacing w:after="0" w:line="18" w:lineRule="exact"/>
        <w:rPr>
          <w:sz w:val="20"/>
          <w:szCs w:val="20"/>
          <w:color w:val="auto"/>
        </w:rPr>
      </w:pPr>
    </w:p>
    <w:p>
      <w:pPr>
        <w:jc w:val="both"/>
        <w:ind w:firstLine="8"/>
        <w:spacing w:after="0" w:line="233" w:lineRule="auto"/>
        <w:tabs>
          <w:tab w:leader="none" w:pos="29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 (including by virtue of being owned or controlled by a Blocked Person), own or control a Blocked Person or (b) directly or indirectly have any investment in or engage in any dealing or transaction (including any investment, dealing or transaction involving the proceeds of the Notes) with any Person if such investment, dealing or transaction (i) would cause any holder or any affiliate of such holder to be in violation of, or subject to sanctions under, any law or regulation applicable to such holder, or (ii) is prohibited by or subject to sanctions under any U.S. Economic Sanctions Laws.</w:t>
      </w:r>
    </w:p>
    <w:p>
      <w:pPr>
        <w:spacing w:after="0" w:line="216"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Section 10.6. Liens</w:t>
      </w:r>
      <w:r>
        <w:rPr>
          <w:rFonts w:ascii="Times New Roman" w:cs="Times New Roman" w:eastAsia="Times New Roman" w:hAnsi="Times New Roman"/>
          <w:sz w:val="22"/>
          <w:szCs w:val="22"/>
          <w:color w:val="auto"/>
        </w:rPr>
        <w:t>. The Company will not and will not permit any Subsidiary to, directly or indirectly, make, create,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incur, assume or suffer to exist any Lien upon or with respect to any part of their respective property, whether now owned or hereafter acquired, other than the following (“</w:t>
      </w:r>
      <w:r>
        <w:rPr>
          <w:rFonts w:ascii="Times New Roman" w:cs="Times New Roman" w:eastAsia="Times New Roman" w:hAnsi="Times New Roman"/>
          <w:sz w:val="22"/>
          <w:szCs w:val="22"/>
          <w:b w:val="1"/>
          <w:bCs w:val="1"/>
          <w:color w:val="auto"/>
        </w:rPr>
        <w:t>Permitted Liens</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ind w:firstLine="885"/>
        <w:spacing w:after="0" w:line="258" w:lineRule="auto"/>
        <w:tabs>
          <w:tab w:leader="none" w:pos="176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existing on property of the Company or any Subsidiary on the date of Closing and set forth in Schedule 10.6 securing Indebtedness outstanding on such date;</w:t>
      </w:r>
    </w:p>
    <w:p>
      <w:pPr>
        <w:spacing w:after="0" w:line="198" w:lineRule="exact"/>
        <w:rPr>
          <w:rFonts w:ascii="Times New Roman" w:cs="Times New Roman" w:eastAsia="Times New Roman" w:hAnsi="Times New Roman"/>
          <w:sz w:val="22"/>
          <w:szCs w:val="22"/>
          <w:color w:val="auto"/>
        </w:rPr>
      </w:pPr>
    </w:p>
    <w:p>
      <w:pPr>
        <w:ind w:left="880" w:firstLine="816"/>
        <w:spacing w:after="0" w:line="258" w:lineRule="auto"/>
        <w:tabs>
          <w:tab w:leader="none" w:pos="259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for taxes, fees, assessments or other governmental charges which are not delinquent or remain payable without penalty,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notice of lien has been filed or recorded under the Code;</w:t>
      </w:r>
    </w:p>
    <w:p>
      <w:pPr>
        <w:spacing w:after="0" w:line="198" w:lineRule="exact"/>
        <w:rPr>
          <w:rFonts w:ascii="Times New Roman" w:cs="Times New Roman" w:eastAsia="Times New Roman" w:hAnsi="Times New Roman"/>
          <w:sz w:val="22"/>
          <w:szCs w:val="22"/>
          <w:color w:val="auto"/>
        </w:rPr>
      </w:pPr>
    </w:p>
    <w:p>
      <w:pPr>
        <w:jc w:val="both"/>
        <w:ind w:left="880" w:firstLine="816"/>
        <w:spacing w:after="0" w:line="239" w:lineRule="auto"/>
        <w:tabs>
          <w:tab w:leader="none" w:pos="257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carriers’, warehousemen’s, mechanics’, landlords’, materialmen’s, repairmen’s or other similar Liens arising in the ordinary course of business which are not delinquent or remain payable without penalty or which are being contested in good faith and by appropriate proceedings, which proceedings have the effect of preventing the forfeiture or sale of the property subject thereto;</w:t>
      </w:r>
    </w:p>
    <w:p>
      <w:pPr>
        <w:spacing w:after="0" w:line="207" w:lineRule="exact"/>
        <w:rPr>
          <w:rFonts w:ascii="Times New Roman" w:cs="Times New Roman" w:eastAsia="Times New Roman" w:hAnsi="Times New Roman"/>
          <w:sz w:val="22"/>
          <w:szCs w:val="22"/>
          <w:color w:val="auto"/>
        </w:rPr>
      </w:pPr>
    </w:p>
    <w:p>
      <w:pPr>
        <w:jc w:val="both"/>
        <w:ind w:left="880" w:firstLine="816"/>
        <w:spacing w:after="0" w:line="244" w:lineRule="auto"/>
        <w:tabs>
          <w:tab w:leader="none" w:pos="259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(other than any Lien imposed by ERISA) consisting of pledges or deposits required in the ordinary course of business in connection with workers’ compensation, unemployment insurance and other social security legislation;</w:t>
      </w:r>
    </w:p>
    <w:p>
      <w:pPr>
        <w:spacing w:after="0" w:line="180" w:lineRule="exact"/>
        <w:rPr>
          <w:rFonts w:ascii="Times New Roman" w:cs="Times New Roman" w:eastAsia="Times New Roman" w:hAnsi="Times New Roman"/>
          <w:sz w:val="22"/>
          <w:szCs w:val="22"/>
          <w:color w:val="auto"/>
        </w:rPr>
      </w:pPr>
    </w:p>
    <w:p>
      <w:pPr>
        <w:jc w:val="both"/>
        <w:ind w:left="880" w:firstLine="816"/>
        <w:spacing w:after="0" w:line="267" w:lineRule="exact"/>
        <w:tabs>
          <w:tab w:leader="none" w:pos="257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the property of the Company or any of its Subsidiaries securing (i)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delinquent performance of bids, trade contracts (other than for borrowed money), leases, statutory obligations, (ii) contingent obligations on surety and appeal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30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0" w:name="page41"/>
    <w:bookmarkEnd w:id="40"/>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56" w:lineRule="exact"/>
        <w:rPr>
          <w:sz w:val="20"/>
          <w:szCs w:val="20"/>
          <w:color w:val="auto"/>
        </w:rPr>
      </w:pPr>
    </w:p>
    <w:p>
      <w:pPr>
        <w:ind w:left="880"/>
        <w:spacing w:after="0" w:line="280" w:lineRule="exact"/>
        <w:rPr>
          <w:sz w:val="20"/>
          <w:szCs w:val="20"/>
          <w:color w:val="auto"/>
        </w:rPr>
      </w:pPr>
      <w:r>
        <w:rPr>
          <w:rFonts w:ascii="Times New Roman" w:cs="Times New Roman" w:eastAsia="Times New Roman" w:hAnsi="Times New Roman"/>
          <w:sz w:val="22"/>
          <w:szCs w:val="22"/>
          <w:color w:val="auto"/>
        </w:rPr>
        <w:t>bonds, and (iii) other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delinquent obligations of a like nature; in each case, incurred in the ordinary course of business;</w:t>
      </w:r>
    </w:p>
    <w:p>
      <w:pPr>
        <w:spacing w:after="0" w:line="171" w:lineRule="exact"/>
        <w:rPr>
          <w:sz w:val="20"/>
          <w:szCs w:val="20"/>
          <w:color w:val="auto"/>
        </w:rPr>
      </w:pPr>
    </w:p>
    <w:p>
      <w:pPr>
        <w:jc w:val="both"/>
        <w:ind w:left="880" w:firstLine="816"/>
        <w:spacing w:after="0" w:line="262" w:lineRule="exact"/>
        <w:tabs>
          <w:tab w:leader="none" w:pos="255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rights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way, restrictions and other similar encumbrances incurred in the ordinary course of business which, in the aggregate, are not substantial in amount, and which do not in any case materially detract from the value of the property subject thereto or interfere with the ordinary conduct of the businesses of the Company and its Subsidiaries;</w:t>
      </w:r>
    </w:p>
    <w:p>
      <w:pPr>
        <w:spacing w:after="0" w:line="217" w:lineRule="exact"/>
        <w:rPr>
          <w:rFonts w:ascii="Times New Roman" w:cs="Times New Roman" w:eastAsia="Times New Roman" w:hAnsi="Times New Roman"/>
          <w:sz w:val="22"/>
          <w:szCs w:val="22"/>
          <w:color w:val="auto"/>
        </w:rPr>
      </w:pPr>
    </w:p>
    <w:p>
      <w:pPr>
        <w:ind w:left="2600" w:hanging="904"/>
        <w:spacing w:after="0"/>
        <w:tabs>
          <w:tab w:leader="none" w:pos="26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property of a Person subject to an Acquisition existing at the time of such Acquisition;</w:t>
      </w:r>
    </w:p>
    <w:p>
      <w:pPr>
        <w:spacing w:after="0" w:line="246" w:lineRule="exact"/>
        <w:rPr>
          <w:rFonts w:ascii="Times New Roman" w:cs="Times New Roman" w:eastAsia="Times New Roman" w:hAnsi="Times New Roman"/>
          <w:sz w:val="22"/>
          <w:szCs w:val="22"/>
          <w:color w:val="auto"/>
        </w:rPr>
      </w:pPr>
    </w:p>
    <w:p>
      <w:pPr>
        <w:jc w:val="both"/>
        <w:ind w:left="880" w:firstLine="816"/>
        <w:spacing w:after="0" w:line="252" w:lineRule="exact"/>
        <w:tabs>
          <w:tab w:leader="none" w:pos="259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Receivables, lease receivables and other obligations owing to any of the Company or any domestic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to the extent such Receivables, lease receivables and other obligations have been sold under a Receivables Purchase Facility provided that the outstanding unpaid amount of all such Receivables so sold in the aggregate shall not at any time exceed $200,000,000,</w:t>
      </w:r>
    </w:p>
    <w:p>
      <w:pPr>
        <w:spacing w:after="0" w:line="207" w:lineRule="exact"/>
        <w:rPr>
          <w:rFonts w:ascii="Times New Roman" w:cs="Times New Roman" w:eastAsia="Times New Roman" w:hAnsi="Times New Roman"/>
          <w:sz w:val="22"/>
          <w:szCs w:val="22"/>
          <w:color w:val="auto"/>
        </w:rPr>
      </w:pPr>
    </w:p>
    <w:p>
      <w:pPr>
        <w:jc w:val="both"/>
        <w:ind w:left="880" w:firstLine="816"/>
        <w:spacing w:after="0" w:line="249" w:lineRule="exact"/>
        <w:tabs>
          <w:tab w:leader="none" w:pos="2542"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arising solely by virtue of any statutory or common law provision relating to banker’s liens, rights of set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off or similar rights and remedies as to deposit accounts or other funds maintained with a creditor depository institution;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such deposit account is not a dedicated cash collateral account and is not subject to restrictions against access by the Company in excess of those set forth by regulations promulgated by the FRB, and</w:t>
      </w:r>
    </w:p>
    <w:p>
      <w:pPr>
        <w:spacing w:after="0" w:line="2" w:lineRule="exact"/>
        <w:rPr>
          <w:rFonts w:ascii="Times New Roman" w:cs="Times New Roman" w:eastAsia="Times New Roman" w:hAnsi="Times New Roman"/>
          <w:sz w:val="21"/>
          <w:szCs w:val="21"/>
          <w:color w:val="auto"/>
        </w:rPr>
      </w:pPr>
    </w:p>
    <w:p>
      <w:pPr>
        <w:ind w:left="880" w:right="20" w:firstLine="5"/>
        <w:spacing w:after="0" w:line="237" w:lineRule="auto"/>
        <w:tabs>
          <w:tab w:leader="none" w:pos="123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deposit account is not intended by the Company or any Subsidiary to provide collateral to the depository institution; and</w:t>
      </w:r>
    </w:p>
    <w:p>
      <w:pPr>
        <w:spacing w:after="0" w:line="219" w:lineRule="exact"/>
        <w:rPr>
          <w:rFonts w:ascii="Times New Roman" w:cs="Times New Roman" w:eastAsia="Times New Roman" w:hAnsi="Times New Roman"/>
          <w:sz w:val="22"/>
          <w:szCs w:val="22"/>
          <w:color w:val="auto"/>
        </w:rPr>
      </w:pPr>
    </w:p>
    <w:p>
      <w:pPr>
        <w:jc w:val="both"/>
        <w:ind w:left="880" w:firstLine="816"/>
        <w:spacing w:after="0" w:line="235" w:lineRule="auto"/>
        <w:tabs>
          <w:tab w:leader="none" w:pos="254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Liens securing Indebtedness of the Company or any Subsidiary not otherwise permitted by clauses (a) through (i), provided that such Indebtedness shall at all times be permitted by Sections 10.8 and 10.9, provided, further, that notwithstanding the foregoing, the Company shall not, and shall not permit any of its Subsidiaries to, secure pursuant to this Section 10.6(j) any Indebtedness outstanding under or pursuant to any Material Credit Facility unless and until the Notes (and any guaranty delivered in connection therewith) shall concurrently be secured equally and ratably with such Indebtedness pursuant to documentation reasonably acceptable to the Required Holders in substance and in form, including an intercreditor agreement and opinions of counsel to the Company and/or any such Subsidiary, as the case may be, from counsel that is reasonably acceptable to the Required Holders.</w:t>
      </w:r>
    </w:p>
    <w:p>
      <w:pPr>
        <w:spacing w:after="0" w:line="216"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Section 10.7. Minimum Interest Coverage Ratio</w:t>
      </w:r>
      <w:r>
        <w:rPr>
          <w:rFonts w:ascii="Times New Roman" w:cs="Times New Roman" w:eastAsia="Times New Roman" w:hAnsi="Times New Roman"/>
          <w:sz w:val="22"/>
          <w:szCs w:val="22"/>
          <w:color w:val="auto"/>
        </w:rPr>
        <w:t>. The Company (on a consolidated basis) shall not permit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Consolidated Interest Coverage Ratio, as at the end of each fiscal quarter for the four consecutive fiscal quarters then ended, to fall below 2.00 to 1.00.</w:t>
      </w:r>
    </w:p>
    <w:p>
      <w:pPr>
        <w:spacing w:after="0" w:line="194" w:lineRule="exact"/>
        <w:rPr>
          <w:sz w:val="20"/>
          <w:szCs w:val="20"/>
          <w:color w:val="auto"/>
        </w:rPr>
      </w:pPr>
    </w:p>
    <w:p>
      <w:pPr>
        <w:jc w:val="both"/>
        <w:ind w:firstLine="877"/>
        <w:spacing w:after="0" w:line="263" w:lineRule="auto"/>
        <w:rPr>
          <w:sz w:val="20"/>
          <w:szCs w:val="20"/>
          <w:color w:val="auto"/>
        </w:rPr>
      </w:pPr>
      <w:r>
        <w:rPr>
          <w:rFonts w:ascii="Times New Roman" w:cs="Times New Roman" w:eastAsia="Times New Roman" w:hAnsi="Times New Roman"/>
          <w:sz w:val="21"/>
          <w:szCs w:val="21"/>
          <w:b w:val="1"/>
          <w:bCs w:val="1"/>
          <w:color w:val="auto"/>
        </w:rPr>
        <w:t>Section 10.8. Maximum Leverage Ratio</w:t>
      </w:r>
      <w:r>
        <w:rPr>
          <w:rFonts w:ascii="Times New Roman" w:cs="Times New Roman" w:eastAsia="Times New Roman" w:hAnsi="Times New Roman"/>
          <w:sz w:val="21"/>
          <w:szCs w:val="21"/>
          <w:color w:val="auto"/>
        </w:rPr>
        <w:t>. The Company (on a consolidated basis) shall not, as of the end of any fiscal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quarter, permit its consolidated ratio of (a) total Indebtedness as of such date to (b) the sum of Consolidated EBIT plus depreciation and amortization expense (the </w:t>
      </w:r>
      <w:r>
        <w:rPr>
          <w:rFonts w:ascii="Times New Roman" w:cs="Times New Roman" w:eastAsia="Times New Roman" w:hAnsi="Times New Roman"/>
          <w:sz w:val="21"/>
          <w:szCs w:val="21"/>
          <w:b w:val="1"/>
          <w:bCs w:val="1"/>
          <w:color w:val="auto"/>
        </w:rPr>
        <w:t>“Leverage Ratio”</w:t>
      </w:r>
      <w:r>
        <w:rPr>
          <w:rFonts w:ascii="Times New Roman" w:cs="Times New Roman" w:eastAsia="Times New Roman" w:hAnsi="Times New Roman"/>
          <w:sz w:val="21"/>
          <w:szCs w:val="21"/>
          <w:color w:val="auto"/>
        </w:rPr>
        <w:t>) for the period of four prior fiscal quarters ending on such date to be more than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31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1" w:name="page42"/>
    <w:bookmarkEnd w:id="41"/>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3.50 to 1.00;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after the occurrence of any Acquisition (or series of related transactions for the purpose of or resulting in such Acquisition) (including, but not limited to the Company’s acquisition of Charles Machine Works) with aggregate consideration in excess of $75,000,000, at the option of the Company, for each of the four consecutive fiscal quarters ending after such option exercise (a </w:t>
      </w:r>
      <w:r>
        <w:rPr>
          <w:rFonts w:ascii="Times New Roman" w:cs="Times New Roman" w:eastAsia="Times New Roman" w:hAnsi="Times New Roman"/>
          <w:sz w:val="21"/>
          <w:szCs w:val="21"/>
          <w:b w:val="1"/>
          <w:bCs w:val="1"/>
          <w:color w:val="auto"/>
        </w:rPr>
        <w:t>“Covenant Holiday”</w:t>
      </w:r>
      <w:r>
        <w:rPr>
          <w:rFonts w:ascii="Times New Roman" w:cs="Times New Roman" w:eastAsia="Times New Roman" w:hAnsi="Times New Roman"/>
          <w:sz w:val="21"/>
          <w:szCs w:val="21"/>
          <w:color w:val="auto"/>
        </w:rPr>
        <w:t xml:space="preserve">), the Leverage Ratio as of the last day of such fiscal quarter shall not exceed 4.00 to 1.00 and, in which event, the Company shall be obligated to pay the Incremental Leverage Fee provided for in Section 1.2; </w:t>
      </w:r>
      <w:r>
        <w:rPr>
          <w:rFonts w:ascii="Times New Roman" w:cs="Times New Roman" w:eastAsia="Times New Roman" w:hAnsi="Times New Roman"/>
          <w:sz w:val="21"/>
          <w:szCs w:val="21"/>
          <w:i w:val="1"/>
          <w:iCs w:val="1"/>
          <w:color w:val="auto"/>
        </w:rPr>
        <w:t xml:space="preserve">provided further, however, </w:t>
      </w:r>
      <w:r>
        <w:rPr>
          <w:rFonts w:ascii="Times New Roman" w:cs="Times New Roman" w:eastAsia="Times New Roman" w:hAnsi="Times New Roman"/>
          <w:sz w:val="21"/>
          <w:szCs w:val="21"/>
          <w:color w:val="auto"/>
        </w:rPr>
        <w:t>the Company may opt to use a maximum of three Covenant Holidays during the term of this Agreement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the Leverage Ratio may not exceed 3.50 to 1.00 for at least one fiscal quarter in between each Covenant Holiday.</w:t>
      </w:r>
    </w:p>
    <w:p>
      <w:pPr>
        <w:spacing w:after="0" w:line="191" w:lineRule="exact"/>
        <w:rPr>
          <w:sz w:val="20"/>
          <w:szCs w:val="20"/>
          <w:color w:val="auto"/>
        </w:rPr>
      </w:pPr>
    </w:p>
    <w:p>
      <w:pPr>
        <w:jc w:val="both"/>
        <w:ind w:firstLine="877"/>
        <w:spacing w:after="0" w:line="286" w:lineRule="auto"/>
        <w:rPr>
          <w:sz w:val="20"/>
          <w:szCs w:val="20"/>
          <w:color w:val="auto"/>
        </w:rPr>
      </w:pPr>
      <w:r>
        <w:rPr>
          <w:rFonts w:ascii="Times New Roman" w:cs="Times New Roman" w:eastAsia="Times New Roman" w:hAnsi="Times New Roman"/>
          <w:sz w:val="21"/>
          <w:szCs w:val="21"/>
          <w:b w:val="1"/>
          <w:bCs w:val="1"/>
          <w:color w:val="auto"/>
        </w:rPr>
        <w:t>Section 10.9. Priority Indebtedness</w:t>
      </w:r>
      <w:r>
        <w:rPr>
          <w:rFonts w:ascii="Times New Roman" w:cs="Times New Roman" w:eastAsia="Times New Roman" w:hAnsi="Times New Roman"/>
          <w:sz w:val="21"/>
          <w:szCs w:val="21"/>
          <w:color w:val="auto"/>
        </w:rPr>
        <w:t>. The Company will not permit Priority Indebtedness at any time to exceed 20%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Consolidated Total Assets (Consolidated Total Assets to be determined as of the end of the most recently ended fiscal quarter).</w:t>
      </w:r>
    </w:p>
    <w:p>
      <w:pPr>
        <w:spacing w:after="0" w:line="167"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Section 10.10 Red Iron</w:t>
      </w:r>
      <w:r>
        <w:rPr>
          <w:rFonts w:ascii="Times New Roman" w:cs="Times New Roman" w:eastAsia="Times New Roman" w:hAnsi="Times New Roman"/>
          <w:sz w:val="22"/>
          <w:szCs w:val="22"/>
          <w:color w:val="auto"/>
        </w:rPr>
        <w:t>. The Company shall not, and shall not permit any Subsidiary to, agree to permit Red Iron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retain or defer payment of undisputed amounts due by Red Iron to the Company or any Subsidiary (other than as an offset in payment of amounts due by the Company or such Subsidiaries to Red Iron) in an aggregate amount at any time in excess of $35,000,000.</w:t>
      </w:r>
    </w:p>
    <w:p>
      <w:pPr>
        <w:spacing w:after="0" w:line="213"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Section 10.11. Restricted Payments</w:t>
      </w:r>
      <w:r>
        <w:rPr>
          <w:rFonts w:ascii="Times New Roman" w:cs="Times New Roman" w:eastAsia="Times New Roman" w:hAnsi="Times New Roman"/>
          <w:sz w:val="22"/>
          <w:szCs w:val="22"/>
          <w:color w:val="auto"/>
        </w:rPr>
        <w:t>. The Company shall not, nor shall it suffer or permit any Material Subsidiary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declare or make any dividend payment or other distribution of assets, properties, cash, rights, obligations or securities on account of any shares of any class of its capital stock, or purchase, redeem or otherwise acquire for value any shares of its capital stock or any warrants, rights or options to acquire such shares, now or hereafter outstanding (each of the foregoing a </w:t>
      </w:r>
      <w:r>
        <w:rPr>
          <w:rFonts w:ascii="Times New Roman" w:cs="Times New Roman" w:eastAsia="Times New Roman" w:hAnsi="Times New Roman"/>
          <w:sz w:val="22"/>
          <w:szCs w:val="22"/>
          <w:b w:val="1"/>
          <w:bCs w:val="1"/>
          <w:color w:val="auto"/>
        </w:rPr>
        <w:t>“Restricted Payment”</w:t>
      </w:r>
      <w:r>
        <w:rPr>
          <w:rFonts w:ascii="Times New Roman" w:cs="Times New Roman" w:eastAsia="Times New Roman" w:hAnsi="Times New Roman"/>
          <w:sz w:val="22"/>
          <w:szCs w:val="22"/>
          <w:color w:val="auto"/>
        </w:rPr>
        <w:t>); except that:</w:t>
      </w:r>
    </w:p>
    <w:p>
      <w:pPr>
        <w:spacing w:after="0" w:line="174" w:lineRule="exact"/>
        <w:rPr>
          <w:sz w:val="20"/>
          <w:szCs w:val="20"/>
          <w:color w:val="auto"/>
        </w:rPr>
      </w:pPr>
    </w:p>
    <w:p>
      <w:pPr>
        <w:ind w:left="880" w:firstLine="816"/>
        <w:spacing w:after="0" w:line="280" w:lineRule="exact"/>
        <w:tabs>
          <w:tab w:leader="none" w:pos="233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any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may declare and make dividend payments or other distributions payable solely in its common stock;</w:t>
      </w:r>
    </w:p>
    <w:p>
      <w:pPr>
        <w:spacing w:after="0" w:line="184" w:lineRule="exact"/>
        <w:rPr>
          <w:rFonts w:ascii="Times New Roman" w:cs="Times New Roman" w:eastAsia="Times New Roman" w:hAnsi="Times New Roman"/>
          <w:sz w:val="22"/>
          <w:szCs w:val="22"/>
          <w:color w:val="auto"/>
        </w:rPr>
      </w:pPr>
    </w:p>
    <w:p>
      <w:pPr>
        <w:jc w:val="both"/>
        <w:ind w:left="880" w:firstLine="816"/>
        <w:spacing w:after="0" w:line="267" w:lineRule="exact"/>
        <w:tabs>
          <w:tab w:leader="none" w:pos="221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any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may purchase, redeem or otherwise acquire shares of its common stock or warrants or options to acquire any such shares with the proceeds received from the substantially concurrent issue of new shares of its common stock;</w:t>
      </w:r>
    </w:p>
    <w:p>
      <w:pPr>
        <w:spacing w:after="0" w:line="219" w:lineRule="exact"/>
        <w:rPr>
          <w:rFonts w:ascii="Times New Roman" w:cs="Times New Roman" w:eastAsia="Times New Roman" w:hAnsi="Times New Roman"/>
          <w:sz w:val="22"/>
          <w:szCs w:val="22"/>
          <w:color w:val="auto"/>
        </w:rPr>
      </w:pPr>
    </w:p>
    <w:p>
      <w:pPr>
        <w:jc w:val="both"/>
        <w:ind w:left="880" w:firstLine="816"/>
        <w:spacing w:after="0" w:line="238" w:lineRule="auto"/>
        <w:tabs>
          <w:tab w:leader="none" w:pos="222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(both before and after giving pro forma effect to such Restricted Payment) the Leverage Ratio for such period is less than or equal to the maximum permitted Leverage Ratio then in effect pursuant to Section 10.8, the Company may declare and pay cash dividends to its stockholders and purchase, redeem or otherwise acquire shares of its capital stock or warrants, rights or options to acquire any such shares for cash without restriction;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immediately after giving effect to any such proposed action, no Default or Event of Default would exist; and</w:t>
      </w:r>
    </w:p>
    <w:p>
      <w:pPr>
        <w:spacing w:after="0" w:line="204" w:lineRule="exact"/>
        <w:rPr>
          <w:rFonts w:ascii="Times New Roman" w:cs="Times New Roman" w:eastAsia="Times New Roman" w:hAnsi="Times New Roman"/>
          <w:sz w:val="22"/>
          <w:szCs w:val="22"/>
          <w:color w:val="auto"/>
        </w:rPr>
      </w:pPr>
    </w:p>
    <w:p>
      <w:pPr>
        <w:ind w:left="880" w:firstLine="816"/>
        <w:spacing w:after="0" w:line="274" w:lineRule="exact"/>
        <w:tabs>
          <w:tab w:leader="none" w:pos="223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Guarantor may declare and pay dividends to the Company or its parent company and any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may declare and pay dividends to its parent company.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32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2" w:name="page43"/>
    <w:bookmarkEnd w:id="42"/>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Notwithstanding the terms of Section 11, it will not be a Default or an Event of Default if the Company fails to comply with any provision of Section 10 on or after the date of this Agreement and prior to the Closing, but if such a failure occurs, then any of the Purchasers may elect not to purchase such Notes on the date of the Closing that is specified in Section 3.3.</w:t>
      </w:r>
    </w:p>
    <w:p>
      <w:pPr>
        <w:spacing w:after="0" w:line="237"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11.</w:t>
      </w:r>
      <w:r>
        <w:rPr>
          <w:sz w:val="20"/>
          <w:szCs w:val="20"/>
          <w:color w:val="auto"/>
        </w:rPr>
        <w:tab/>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VENTS OF</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EFAULT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 xml:space="preserve">An </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xml:space="preserve"> shall exist if any of the following conditions or events shall occur and be continuing:</w:t>
      </w:r>
    </w:p>
    <w:p>
      <w:pPr>
        <w:spacing w:after="0" w:line="217" w:lineRule="exact"/>
        <w:rPr>
          <w:sz w:val="20"/>
          <w:szCs w:val="20"/>
          <w:color w:val="auto"/>
        </w:rPr>
      </w:pPr>
    </w:p>
    <w:p>
      <w:pPr>
        <w:jc w:val="both"/>
        <w:ind w:left="880" w:firstLine="816"/>
        <w:spacing w:after="0" w:line="267" w:lineRule="exact"/>
        <w:tabs>
          <w:tab w:leader="none" w:pos="257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defaults in the payment of any principal or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if any, on any Note when the same becomes due and payable, whether at maturity or at a date fixed for prepayment or by declaration or otherwise; or</w:t>
      </w:r>
    </w:p>
    <w:p>
      <w:pPr>
        <w:spacing w:after="0" w:line="219" w:lineRule="exact"/>
        <w:rPr>
          <w:rFonts w:ascii="Times New Roman" w:cs="Times New Roman" w:eastAsia="Times New Roman" w:hAnsi="Times New Roman"/>
          <w:sz w:val="22"/>
          <w:szCs w:val="22"/>
          <w:color w:val="auto"/>
        </w:rPr>
      </w:pPr>
    </w:p>
    <w:p>
      <w:pPr>
        <w:ind w:left="880" w:firstLine="816"/>
        <w:spacing w:after="0" w:line="258" w:lineRule="auto"/>
        <w:tabs>
          <w:tab w:leader="none" w:pos="259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defaults in the payment of any interest on any Note for more than five Business Days after the same becomes due and payable; or</w:t>
      </w:r>
    </w:p>
    <w:p>
      <w:pPr>
        <w:spacing w:after="0" w:line="185" w:lineRule="exact"/>
        <w:rPr>
          <w:rFonts w:ascii="Times New Roman" w:cs="Times New Roman" w:eastAsia="Times New Roman" w:hAnsi="Times New Roman"/>
          <w:sz w:val="22"/>
          <w:szCs w:val="22"/>
          <w:color w:val="auto"/>
        </w:rPr>
      </w:pPr>
    </w:p>
    <w:p>
      <w:pPr>
        <w:ind w:left="2580" w:hanging="884"/>
        <w:spacing w:after="0"/>
        <w:tabs>
          <w:tab w:leader="none" w:pos="258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defaults in the performance of or compliance with any term contained in Section 7.1(d)</w:t>
      </w:r>
    </w:p>
    <w:p>
      <w:pPr>
        <w:spacing w:after="0" w:line="25" w:lineRule="exact"/>
        <w:rPr>
          <w:rFonts w:ascii="Times New Roman" w:cs="Times New Roman" w:eastAsia="Times New Roman" w:hAnsi="Times New Roman"/>
          <w:sz w:val="21"/>
          <w:szCs w:val="21"/>
          <w:color w:val="auto"/>
        </w:rPr>
      </w:pPr>
    </w:p>
    <w:p>
      <w:pPr>
        <w:ind w:left="8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 Section 10; or</w:t>
      </w:r>
    </w:p>
    <w:p>
      <w:pPr>
        <w:spacing w:after="0" w:line="222" w:lineRule="exact"/>
        <w:rPr>
          <w:rFonts w:ascii="Times New Roman" w:cs="Times New Roman" w:eastAsia="Times New Roman" w:hAnsi="Times New Roman"/>
          <w:sz w:val="21"/>
          <w:szCs w:val="21"/>
          <w:color w:val="auto"/>
        </w:rPr>
      </w:pPr>
    </w:p>
    <w:p>
      <w:pPr>
        <w:jc w:val="both"/>
        <w:ind w:left="880" w:firstLine="816"/>
        <w:spacing w:after="0" w:line="235" w:lineRule="auto"/>
        <w:tabs>
          <w:tab w:leader="none" w:pos="259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or any Subsidiary Guarantor defaults in the performance of or compliance with any term contained herein (other than those referred to in Sections 11(a), (b) and (c)) or in any Subsidiary Guaranty and such default is not remedied within 30 days after the earlier of (i) a Responsible Officer obtaining actual knowledge of such default and (ii) the Company receiving written notice of such default from any holder of a Note (any such written notice to be identified as a “notice of default” and to refer specifically to this Section 11(d));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Company is diligently and in good faith attempting to cure such default, such default is curable and such default will not possibly result in a Material Adverse Effect, then the Company may have additional time to cure such default as specified in writing by the Required Holders provided that such additional time shall not exceed 60 days; or</w:t>
      </w:r>
    </w:p>
    <w:p>
      <w:pPr>
        <w:spacing w:after="0" w:line="219" w:lineRule="exact"/>
        <w:rPr>
          <w:rFonts w:ascii="Times New Roman" w:cs="Times New Roman" w:eastAsia="Times New Roman" w:hAnsi="Times New Roman"/>
          <w:sz w:val="22"/>
          <w:szCs w:val="22"/>
          <w:color w:val="auto"/>
        </w:rPr>
      </w:pPr>
    </w:p>
    <w:p>
      <w:pPr>
        <w:jc w:val="both"/>
        <w:ind w:left="880" w:firstLine="816"/>
        <w:spacing w:after="0" w:line="236" w:lineRule="auto"/>
        <w:tabs>
          <w:tab w:leader="none" w:pos="257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representation or warranty made in writing by or on behalf of the Company or by any officer of the Company in this Agreement or any writing furnished in connection with the transactions contemplated hereby proves to have been false or incorrect in any material respect on the date as of which made, or (ii) any representation or warranty made in writing by or on behalf of any Subsidiary Guarantor or by any officer of such Subsidiary Guarantor in any Subsidiary Guaranty or any writing furnished in connection with such Subsidiary Guaranty proves to have been false or incorrect in any material respect on the date as of which made; or</w:t>
      </w:r>
    </w:p>
    <w:p>
      <w:pPr>
        <w:spacing w:after="0" w:line="209" w:lineRule="exact"/>
        <w:rPr>
          <w:rFonts w:ascii="Times New Roman" w:cs="Times New Roman" w:eastAsia="Times New Roman" w:hAnsi="Times New Roman"/>
          <w:sz w:val="22"/>
          <w:szCs w:val="22"/>
          <w:color w:val="auto"/>
        </w:rPr>
      </w:pPr>
    </w:p>
    <w:p>
      <w:pPr>
        <w:jc w:val="both"/>
        <w:ind w:left="880" w:firstLine="816"/>
        <w:spacing w:after="0" w:line="252" w:lineRule="exact"/>
        <w:tabs>
          <w:tab w:leader="none" w:pos="255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Company or any Material Subsidiary is in default (as principal or as guarantor or other surety) in the payment of any principal of or premium or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or interest on any Indebtedness that is outstanding in an aggregate principal amount of at least $75,000,000 (or its equivalent in the relevant currency of payment) beyond any period of grace provided with respect thereto, or (ii) the Company or any Material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33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3" w:name="page44"/>
    <w:bookmarkEnd w:id="43"/>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both"/>
        <w:ind w:left="880"/>
        <w:spacing w:after="0" w:line="244" w:lineRule="auto"/>
        <w:rPr>
          <w:sz w:val="20"/>
          <w:szCs w:val="20"/>
          <w:color w:val="auto"/>
        </w:rPr>
      </w:pPr>
      <w:r>
        <w:rPr>
          <w:rFonts w:ascii="Times New Roman" w:cs="Times New Roman" w:eastAsia="Times New Roman" w:hAnsi="Times New Roman"/>
          <w:sz w:val="21"/>
          <w:szCs w:val="21"/>
          <w:color w:val="auto"/>
        </w:rPr>
        <w:t>Subsidiary is in default in the performance of or compliance with any term of any evidence of any Indebtedness in an aggregate outstanding principal amount of at least $75,000,000 (or its equivalent in the relevant currency of payment) or of any mortgage, indenture or other agreement relating thereto or any other condition exists, and as a consequence of such default or condition such Indebtedness has become, or has been declared (or one or more Persons are entitled to declare such Indebtedness to be), due and payable before its stated maturity or before its regularly scheduled dates of payment, or (iii) as a consequence of the occurrence or continuation of any event or condition (other than the passage of time or the right of the holder of Indebtedness to convert such Indebtedness into equity interests), and excluding any event or condition resulting from (a) delivering a notice of voluntary redemption or voluntary prepayment, (b) any asset sale which requires the Company to offer to prepay a Ratable Portion of the Notes in accordance with Section 10.3,</w:t>
      </w:r>
    </w:p>
    <w:p>
      <w:pPr>
        <w:ind w:left="1200" w:hanging="315"/>
        <w:spacing w:after="0" w:line="232" w:lineRule="auto"/>
        <w:tabs>
          <w:tab w:leader="none" w:pos="12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of control that also requires the Company to offer to prepay the Notes in accordance with Section 8.7,</w:t>
      </w:r>
    </w:p>
    <w:p>
      <w:pPr>
        <w:jc w:val="both"/>
        <w:ind w:left="880" w:firstLine="5"/>
        <w:spacing w:after="0" w:line="244" w:lineRule="auto"/>
        <w:tabs>
          <w:tab w:leader="none" w:pos="118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prepayment required by any bridge facility in the event of, or as the result of, the consummation of a refinancing (including refinancing with equity) of such bridge facility in connection with an acquisition of long-term assets and any related assets or (e) any similar covenant, term or provision (other than a provision requiring prepayment of debt incurred in violation of any covenant), (x) the Company or any Material Subsidiary has become obligated to purchase or repay Indebtedness before its regular maturity or before its regularly scheduled dates of payment in an aggregate outstanding principal amount of at least $75,000,000 (or its equivalent in the relevant currency of payment), or (y) one or more Persons have the right to require the Company or any Material Subsidiary so to purchase or repay such Indebtedness; or</w:t>
      </w:r>
    </w:p>
    <w:p>
      <w:pPr>
        <w:spacing w:after="0" w:line="202" w:lineRule="exact"/>
        <w:rPr>
          <w:rFonts w:ascii="Times New Roman" w:cs="Times New Roman" w:eastAsia="Times New Roman" w:hAnsi="Times New Roman"/>
          <w:sz w:val="21"/>
          <w:szCs w:val="21"/>
          <w:color w:val="auto"/>
        </w:rPr>
      </w:pPr>
    </w:p>
    <w:p>
      <w:pPr>
        <w:jc w:val="both"/>
        <w:ind w:left="880" w:firstLine="816"/>
        <w:spacing w:after="0" w:line="245" w:lineRule="exact"/>
        <w:tabs>
          <w:tab w:leader="none" w:pos="259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there occurs any termination, liquidation, unwind or similar event or circumstance under any Receivables Purchase Facility other than a voluntary termination by the Company or a scheduled termination, as a result of which any purchaser of receivables thereunder has ceased purchasing such Receivables and such purchaser may apply all collections on previously purchased Receivables thereunder to the payment of such purchaser’s interest in such previously purchased Receivables (any such event or circumstance referred to as a “Receivables Purchase Facility Termination”) other than any such Receivables Purchase Facility Termination that arises solely as a result of (i) a down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grading of the credit rating of any bank or financial institution not affiliated with the Company that provides liquidity, credit or other support in connection with such facility; or (ii) breach of a covenant contained in any Receivables Purchase Facility and this Agreement if the Required Holders have previously waived compliance with such covenant under the terms of this Agreement with respect to the particular instance of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compliance giving rise to the breach of such covenant under such Receivables Purchase Facility, it being acknowledged by the Company that no waiver by the Required Holders of compliance with the provisions of this Agreement in any particular instance shall constitute a waiver under either this Agreement or any Receivables Purchase Facility of any future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compliance with such provision and (B) within 60 days after the effective date of such Receivables Purchase Facility Termination, additional financing and/or capitalization of the Company in replacement of such Receivables Purchase Facility, in an amount substantially similar to the amount of the Receivables Purchase Facility and upon such</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34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44" w:name="page45"/>
    <w:bookmarkEnd w:id="44"/>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880"/>
        <w:spacing w:after="0" w:line="258" w:lineRule="auto"/>
        <w:rPr>
          <w:sz w:val="20"/>
          <w:szCs w:val="20"/>
          <w:color w:val="auto"/>
        </w:rPr>
      </w:pPr>
      <w:r>
        <w:rPr>
          <w:rFonts w:ascii="Times New Roman" w:cs="Times New Roman" w:eastAsia="Times New Roman" w:hAnsi="Times New Roman"/>
          <w:sz w:val="22"/>
          <w:szCs w:val="22"/>
          <w:color w:val="auto"/>
        </w:rPr>
        <w:t>terms as are acceptable to the Required Holders, shall not be completed and funding thereunder shall not be available to the Company; or</w:t>
      </w:r>
    </w:p>
    <w:p>
      <w:pPr>
        <w:spacing w:after="0" w:line="185" w:lineRule="exact"/>
        <w:rPr>
          <w:sz w:val="20"/>
          <w:szCs w:val="20"/>
          <w:color w:val="auto"/>
        </w:rPr>
      </w:pPr>
    </w:p>
    <w:p>
      <w:pPr>
        <w:jc w:val="both"/>
        <w:ind w:left="880" w:firstLine="816"/>
        <w:spacing w:after="0" w:line="235" w:lineRule="auto"/>
        <w:tabs>
          <w:tab w:leader="none" w:pos="259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Material Subsidiary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spacing w:after="0" w:line="224" w:lineRule="exact"/>
        <w:rPr>
          <w:rFonts w:ascii="Times New Roman" w:cs="Times New Roman" w:eastAsia="Times New Roman" w:hAnsi="Times New Roman"/>
          <w:sz w:val="22"/>
          <w:szCs w:val="22"/>
          <w:color w:val="auto"/>
        </w:rPr>
      </w:pPr>
    </w:p>
    <w:p>
      <w:pPr>
        <w:jc w:val="both"/>
        <w:ind w:left="880" w:firstLine="816"/>
        <w:spacing w:after="0" w:line="248" w:lineRule="exact"/>
        <w:tabs>
          <w:tab w:leader="none" w:pos="254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or other Governmental Authority of competent jurisdiction enters an order appointing, without consent by the Company or any of its Material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or liquidation of the Company or any of its Material Subsidiaries, or any such petition shall be filed against the Company or any of its Material Subsidiaries and such petition shall not be dismissed within 60 days; or</w:t>
      </w:r>
    </w:p>
    <w:p>
      <w:pPr>
        <w:spacing w:after="0" w:line="224" w:lineRule="exact"/>
        <w:rPr>
          <w:rFonts w:ascii="Times New Roman" w:cs="Times New Roman" w:eastAsia="Times New Roman" w:hAnsi="Times New Roman"/>
          <w:sz w:val="22"/>
          <w:szCs w:val="22"/>
          <w:color w:val="auto"/>
        </w:rPr>
      </w:pPr>
    </w:p>
    <w:p>
      <w:pPr>
        <w:jc w:val="both"/>
        <w:ind w:left="880" w:firstLine="816"/>
        <w:spacing w:after="0" w:line="239" w:lineRule="auto"/>
        <w:tabs>
          <w:tab w:leader="none" w:pos="254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event occurs with respect to the Company or any Material Subsidiary which under the laws of any jurisdiction is analogous to any of the events described in Section 11(h) or Section 11(i),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applicable grace period, if any, which shall apply shall be the one applicable to the relevant proceeding which most closely corresponds to the proceeding described in Section 11(h) or Section 11(i); or</w:t>
      </w:r>
    </w:p>
    <w:p>
      <w:pPr>
        <w:spacing w:after="0" w:line="207" w:lineRule="exact"/>
        <w:rPr>
          <w:rFonts w:ascii="Times New Roman" w:cs="Times New Roman" w:eastAsia="Times New Roman" w:hAnsi="Times New Roman"/>
          <w:sz w:val="22"/>
          <w:szCs w:val="22"/>
          <w:color w:val="auto"/>
        </w:rPr>
      </w:pPr>
    </w:p>
    <w:p>
      <w:pPr>
        <w:jc w:val="both"/>
        <w:ind w:left="880" w:firstLine="816"/>
        <w:spacing w:after="0" w:line="238" w:lineRule="auto"/>
        <w:tabs>
          <w:tab w:leader="none" w:pos="259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final judgments or orders for the payment of money aggregating in excess of $75,000,000 (or its equivalent in the relevant currency of payment), including any such final order enforcing a binding arbitration decision, are rendered against one or more of the Company and its Subsidiaries and which judgments are not, within 60 days after entry thereof, bonded, discharged or stayed pending appeal, or are not discharged within 60 days after the expiration of such stay; or</w:t>
      </w:r>
    </w:p>
    <w:p>
      <w:pPr>
        <w:spacing w:after="0" w:line="217" w:lineRule="exact"/>
        <w:rPr>
          <w:rFonts w:ascii="Times New Roman" w:cs="Times New Roman" w:eastAsia="Times New Roman" w:hAnsi="Times New Roman"/>
          <w:sz w:val="22"/>
          <w:szCs w:val="22"/>
          <w:color w:val="auto"/>
        </w:rPr>
      </w:pPr>
    </w:p>
    <w:p>
      <w:pPr>
        <w:jc w:val="both"/>
        <w:ind w:left="880" w:firstLine="816"/>
        <w:spacing w:after="0" w:line="235" w:lineRule="auto"/>
        <w:tabs>
          <w:tab w:leader="none" w:pos="254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 trustee to administer any Plan or the PBGC shall have notified the Company or any ERISA Affiliate that a Plan may become a subject of any such proceedings, (iii) there is any “amount of unfunded benefit liabilities” (within the meaning of section 4001(a)(18) of ERISA) under one or more Plans, determined in accordance with</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35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45" w:name="page46"/>
    <w:bookmarkEnd w:id="45"/>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56" w:lineRule="exact"/>
        <w:rPr>
          <w:sz w:val="20"/>
          <w:szCs w:val="20"/>
          <w:color w:val="auto"/>
        </w:rPr>
      </w:pPr>
    </w:p>
    <w:p>
      <w:pPr>
        <w:jc w:val="both"/>
        <w:ind w:left="880"/>
        <w:spacing w:after="0" w:line="248" w:lineRule="exact"/>
        <w:rPr>
          <w:sz w:val="20"/>
          <w:szCs w:val="20"/>
          <w:color w:val="auto"/>
        </w:rPr>
      </w:pPr>
      <w:r>
        <w:rPr>
          <w:rFonts w:ascii="Times New Roman" w:cs="Times New Roman" w:eastAsia="Times New Roman" w:hAnsi="Times New Roman"/>
          <w:sz w:val="22"/>
          <w:szCs w:val="22"/>
          <w:color w:val="auto"/>
        </w:rPr>
        <w:t>Title IV of ERISA, (iv) the aggregate present value of accrued benefit liabilities under all funded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Plans exceeds the aggregate current value of the assets of such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Plans allocable to such liabilities, (v) the Company or any ERISA Affiliate shall have incurred or is reasonably expected to incur any liability pursuant to Title I or IV of ERISA or the penalty or excise tax provisions of the Code relating to employee benefit plans, (vi) the Company or any ERISA Affiliate withdraws from any Multiemployer Plan, (vii) the Company or any Subsidiary establishes or amends any employee welfare benefit plan that provides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employment welfare benefits in a manner that would increase the liability of the Company or any Subsidiary thereunder, (viii) the Company or any Subsidiary fails to administer or maintain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Plan in compliance with the requirements of any and all applicable laws, statutes, rules, regulations or court orders or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Plan is involuntarily terminated or wound up, or (ix) the Company or any Subsidiary becomes subject to the imposition of a financial penalty (which for this purpose shall mean any tax, penalty or other liability, whether by way of indemnity or otherwise) with respect to one or more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U.S. Plans; and any such event or events described in clauses (i) through (ix) above, either individually or together with any other such event or events, could reasonably be expected to have a Material Adverse Effect. As used in this Section 11(l), the terms </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benefit plan”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“employee welfare benefit plan” </w:t>
      </w:r>
      <w:r>
        <w:rPr>
          <w:rFonts w:ascii="Times New Roman" w:cs="Times New Roman" w:eastAsia="Times New Roman" w:hAnsi="Times New Roman"/>
          <w:sz w:val="22"/>
          <w:szCs w:val="22"/>
          <w:color w:val="auto"/>
        </w:rPr>
        <w:t>shall have the respective meanings assigned to such terms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3 of ERISA; or</w:t>
      </w:r>
    </w:p>
    <w:p>
      <w:pPr>
        <w:spacing w:after="0" w:line="208" w:lineRule="exact"/>
        <w:rPr>
          <w:sz w:val="20"/>
          <w:szCs w:val="20"/>
          <w:color w:val="auto"/>
        </w:rPr>
      </w:pPr>
    </w:p>
    <w:p>
      <w:pPr>
        <w:jc w:val="both"/>
        <w:ind w:left="880" w:firstLine="816"/>
        <w:spacing w:after="0" w:line="255" w:lineRule="auto"/>
        <w:tabs>
          <w:tab w:leader="none" w:pos="265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Subsidiary Guaranty shall cease to be in full force and effect, any Subsidiary Guarantor or any Person acting on behalf of any Subsidiary Guarantor shall contest in any manner the validity, binding nature or enforceability of any Subsidiary Guaranty, or the obligations of any Subsidiary Guarantor under any Subsidiary Guaranty are not or cease to be legal, valid, binding and enforceable in accordance with the terms of such Subsidiary Guaranty.</w:t>
      </w:r>
    </w:p>
    <w:p>
      <w:pPr>
        <w:spacing w:after="0" w:line="239"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12.</w:t>
      </w:r>
      <w:r>
        <w:rPr>
          <w:sz w:val="20"/>
          <w:szCs w:val="20"/>
          <w:color w:val="auto"/>
        </w:rPr>
        <w:tab/>
      </w: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EMEDIES ON</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EFAULT</w:t>
      </w:r>
      <w:r>
        <w:rPr>
          <w:rFonts w:ascii="Times New Roman" w:cs="Times New Roman" w:eastAsia="Times New Roman" w:hAnsi="Times New Roman"/>
          <w:sz w:val="22"/>
          <w:szCs w:val="22"/>
          <w:b w:val="1"/>
          <w:bCs w:val="1"/>
          <w:color w:val="auto"/>
        </w:rPr>
        <w:t>, E</w:t>
      </w:r>
      <w:r>
        <w:rPr>
          <w:rFonts w:ascii="Times New Roman" w:cs="Times New Roman" w:eastAsia="Times New Roman" w:hAnsi="Times New Roman"/>
          <w:sz w:val="14"/>
          <w:szCs w:val="14"/>
          <w:b w:val="1"/>
          <w:bCs w:val="1"/>
          <w:color w:val="auto"/>
        </w:rPr>
        <w:t>TC</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880"/>
        <w:spacing w:after="0"/>
        <w:tabs>
          <w:tab w:leader="none" w:pos="2280" w:val="left"/>
        </w:tabs>
        <w:rPr>
          <w:sz w:val="20"/>
          <w:szCs w:val="20"/>
          <w:color w:val="auto"/>
        </w:rPr>
      </w:pPr>
      <w:r>
        <w:rPr>
          <w:rFonts w:ascii="Times New Roman" w:cs="Times New Roman" w:eastAsia="Times New Roman" w:hAnsi="Times New Roman"/>
          <w:sz w:val="22"/>
          <w:szCs w:val="22"/>
          <w:b w:val="1"/>
          <w:bCs w:val="1"/>
          <w:color w:val="auto"/>
        </w:rPr>
        <w:t>Section 12.1.</w:t>
        <w:tab/>
        <w:t>Acceleration</w:t>
      </w:r>
      <w:r>
        <w:rPr>
          <w:rFonts w:ascii="Times New Roman" w:cs="Times New Roman" w:eastAsia="Times New Roman" w:hAnsi="Times New Roman"/>
          <w:sz w:val="22"/>
          <w:szCs w:val="22"/>
          <w:color w:val="auto"/>
        </w:rPr>
        <w:t>. (a) If an Event of Default with respect to the Company described in Section 11(h), (i) or</w:t>
      </w:r>
    </w:p>
    <w:p>
      <w:pPr>
        <w:spacing w:after="0" w:line="18" w:lineRule="exact"/>
        <w:rPr>
          <w:sz w:val="20"/>
          <w:szCs w:val="20"/>
          <w:color w:val="auto"/>
        </w:rPr>
      </w:pPr>
    </w:p>
    <w:p>
      <w:pPr>
        <w:jc w:val="both"/>
        <w:ind w:firstLine="8"/>
        <w:spacing w:after="0" w:line="235" w:lineRule="auto"/>
        <w:tabs>
          <w:tab w:leader="none" w:pos="26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an Event of Default described in clause (i) of Section 11(h) or described in clause (vi) of Section 11(h) by virtue of the fact that such clause encompasses clause (i) of Section 11(h)) has occurred, all the Notes then outstanding shall automatically become immediately due and payable.</w:t>
      </w:r>
    </w:p>
    <w:p>
      <w:pPr>
        <w:spacing w:after="0" w:line="218" w:lineRule="exact"/>
        <w:rPr>
          <w:rFonts w:ascii="Times New Roman" w:cs="Times New Roman" w:eastAsia="Times New Roman" w:hAnsi="Times New Roman"/>
          <w:sz w:val="22"/>
          <w:szCs w:val="22"/>
          <w:color w:val="auto"/>
        </w:rPr>
      </w:pPr>
    </w:p>
    <w:p>
      <w:pPr>
        <w:ind w:firstLine="885"/>
        <w:spacing w:after="0" w:line="258" w:lineRule="auto"/>
        <w:tabs>
          <w:tab w:leader="none" w:pos="1778"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other Event of Default has occurred and is continuing, the Required Holders may at any time at its or their option, by notice or notices to the Company, declare all the Notes then outstanding to be immediately due and payable.</w:t>
      </w:r>
    </w:p>
    <w:p>
      <w:pPr>
        <w:spacing w:after="0" w:line="185" w:lineRule="exact"/>
        <w:rPr>
          <w:rFonts w:ascii="Times New Roman" w:cs="Times New Roman" w:eastAsia="Times New Roman" w:hAnsi="Times New Roman"/>
          <w:sz w:val="22"/>
          <w:szCs w:val="22"/>
          <w:color w:val="auto"/>
        </w:rPr>
      </w:pPr>
    </w:p>
    <w:p>
      <w:pPr>
        <w:jc w:val="both"/>
        <w:ind w:firstLine="885"/>
        <w:spacing w:after="0" w:line="244" w:lineRule="auto"/>
        <w:tabs>
          <w:tab w:leader="none" w:pos="1765"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Event of Default described in Section 11(a) or (b) has occurred and is continuing, any holder or holders of Notes at the time outstanding affected by such Event of Default may at any time, at its or their option, by notice or notices to the Company, declare all the Notes held by it or them to be immediately due and payable.</w:t>
      </w:r>
    </w:p>
    <w:p>
      <w:pPr>
        <w:spacing w:after="0" w:line="214" w:lineRule="exact"/>
        <w:rPr>
          <w:sz w:val="20"/>
          <w:szCs w:val="20"/>
          <w:color w:val="auto"/>
        </w:rPr>
      </w:pPr>
    </w:p>
    <w:p>
      <w:pPr>
        <w:ind w:right="20" w:firstLine="877"/>
        <w:spacing w:after="0" w:line="258" w:lineRule="auto"/>
        <w:rPr>
          <w:sz w:val="20"/>
          <w:szCs w:val="20"/>
          <w:color w:val="auto"/>
        </w:rPr>
      </w:pPr>
      <w:r>
        <w:rPr>
          <w:rFonts w:ascii="Times New Roman" w:cs="Times New Roman" w:eastAsia="Times New Roman" w:hAnsi="Times New Roman"/>
          <w:sz w:val="22"/>
          <w:szCs w:val="22"/>
          <w:color w:val="auto"/>
        </w:rPr>
        <w:t>Upon any Notes becoming due and payable under this Section 12.1, whether automatically or by declaration, such Notes will forthwith mature and the entire unpaid principal amount of such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36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6" w:name="page47"/>
    <w:bookmarkEnd w:id="46"/>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jc w:val="both"/>
        <w:spacing w:after="0" w:line="248" w:lineRule="exact"/>
        <w:rPr>
          <w:sz w:val="20"/>
          <w:szCs w:val="20"/>
          <w:color w:val="auto"/>
        </w:rPr>
      </w:pPr>
      <w:r>
        <w:rPr>
          <w:rFonts w:ascii="Times New Roman" w:cs="Times New Roman" w:eastAsia="Times New Roman" w:hAnsi="Times New Roman"/>
          <w:sz w:val="22"/>
          <w:szCs w:val="22"/>
          <w:color w:val="auto"/>
        </w:rPr>
        <w:t>Notes, plus (x) all accrued and unpaid interest thereon (including interest accrued thereon at the Default Rate) and (y) the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determined in respect of such principal amount,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a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Whole Amount by the Company in the event that the Notes are prepaid or are accelerated as a result of an Event of Default, is intended to provide compensation for the deprivation of such right under such circumstances.</w:t>
      </w:r>
    </w:p>
    <w:p>
      <w:pPr>
        <w:spacing w:after="0" w:line="207"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Section 12.2. Other Remedies</w:t>
      </w:r>
      <w:r>
        <w:rPr>
          <w:rFonts w:ascii="Times New Roman" w:cs="Times New Roman" w:eastAsia="Times New Roman" w:hAnsi="Times New Roman"/>
          <w:sz w:val="22"/>
          <w:szCs w:val="22"/>
          <w:color w:val="auto"/>
        </w:rPr>
        <w:t>. If any Default or Event of Default has occurred and is continuing, and irrespective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whether any Notes have become or have been declared immediately due and payable under Section 12.1, the holder of any Note at the time outstanding may proceed to protect and enforce the rights of such holder by an action at law, suit in equity or other appropriate proceeding, whether for the specific performance of any agreement contained herein or in any Note or Subsidiary Guaranty, or for an injunction against a violation of any of the terms hereof or thereof, or in aid of the exercise of any power granted hereby or thereby or by law or otherwise.</w:t>
      </w:r>
    </w:p>
    <w:p>
      <w:pPr>
        <w:spacing w:after="0" w:line="216" w:lineRule="exact"/>
        <w:rPr>
          <w:sz w:val="20"/>
          <w:szCs w:val="20"/>
          <w:color w:val="auto"/>
        </w:rPr>
      </w:pPr>
    </w:p>
    <w:p>
      <w:pPr>
        <w:jc w:val="both"/>
        <w:ind w:firstLine="877"/>
        <w:spacing w:after="0" w:line="251" w:lineRule="auto"/>
        <w:rPr>
          <w:sz w:val="20"/>
          <w:szCs w:val="20"/>
          <w:color w:val="auto"/>
        </w:rPr>
      </w:pPr>
      <w:r>
        <w:rPr>
          <w:rFonts w:ascii="Times New Roman" w:cs="Times New Roman" w:eastAsia="Times New Roman" w:hAnsi="Times New Roman"/>
          <w:sz w:val="21"/>
          <w:szCs w:val="21"/>
          <w:b w:val="1"/>
          <w:bCs w:val="1"/>
          <w:color w:val="auto"/>
        </w:rPr>
        <w:t>Section 12.3. Rescission</w:t>
      </w:r>
      <w:r>
        <w:rPr>
          <w:rFonts w:ascii="Times New Roman" w:cs="Times New Roman" w:eastAsia="Times New Roman" w:hAnsi="Times New Roman"/>
          <w:sz w:val="21"/>
          <w:szCs w:val="21"/>
          <w:color w:val="auto"/>
        </w:rPr>
        <w:t>. At any time after any Notes have been declared due and payable pursuant to Section 12.1(b)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(c), the Required Holders, by written notice to the Company, may rescind and annul any such declaration and its consequences if</w:t>
      </w:r>
    </w:p>
    <w:p>
      <w:pPr>
        <w:spacing w:after="0" w:line="1" w:lineRule="exact"/>
        <w:rPr>
          <w:sz w:val="20"/>
          <w:szCs w:val="20"/>
          <w:color w:val="auto"/>
        </w:rPr>
      </w:pPr>
    </w:p>
    <w:p>
      <w:pPr>
        <w:jc w:val="both"/>
        <w:ind w:firstLine="8"/>
        <w:spacing w:after="0" w:line="246" w:lineRule="exact"/>
        <w:tabs>
          <w:tab w:leader="none" w:pos="29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paid all overdue interest on the Notes, all principal of and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if any, on any Notes that are due and payable and are unpaid other than by reason of such declaration, and all interest on such overdue principal and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if any, and (to the extent permitted by applicable law) any overdue interest in respect of the Notes, at the Default Rate, (b) neither the Company nor any other Person shall have paid any amounts which have become due solely by reason of such declaration, (c) all Events of Default and Defaults, other than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payment of amounts that have become due solely by reason of such declaration, have been cured or have been waived pursuant to Section 17, and (d) no judgment or decree has been entered for the payment of any monies due pursuant hereto or to the Notes. No rescission and annulment under this Section 12.3 will extend to or affect any subsequent Event of Default or Default or impair any right consequent thereon.</w:t>
      </w:r>
    </w:p>
    <w:p>
      <w:pPr>
        <w:spacing w:after="0" w:line="217"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Section 12.4. No Waivers or Election of Remedies, Expenses, Etc</w:t>
      </w:r>
      <w:r>
        <w:rPr>
          <w:rFonts w:ascii="Times New Roman" w:cs="Times New Roman" w:eastAsia="Times New Roman" w:hAnsi="Times New Roman"/>
          <w:sz w:val="22"/>
          <w:szCs w:val="22"/>
          <w:color w:val="auto"/>
        </w:rPr>
        <w:t>. No course of dealing and no delay on the part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holder of any Note in exercising any right, power or remedy shall operate as a waiver thereof or otherwise prejudice such holder’s rights, powers or remedies. No right, power or remedy conferred by this Agreement, any Subsidiary Guaranty or any Note upon any holder thereof shall be exclusive of any other right, power or remedy referred to herein or therein or now or hereafter available at law, in equity, by statute or otherwise. Without limiting the obligations of the Company under Section 15, the Company will pay to the holder of each Note on demand such further amount as shall be sufficient to cover all reasonable and documented costs and expenses of such holder incurred in any enforcement or collection under this Section 12, including reasonable and documented attorneys’ fees, expenses and disbursements.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37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7" w:name="page48"/>
    <w:bookmarkEnd w:id="47"/>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313"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13.</w:t>
      </w:r>
      <w:r>
        <w:rPr>
          <w:sz w:val="20"/>
          <w:szCs w:val="20"/>
          <w:color w:val="auto"/>
        </w:rPr>
        <w:tab/>
      </w: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EGISTRATION</w:t>
      </w:r>
      <w:r>
        <w:rPr>
          <w:rFonts w:ascii="Times New Roman" w:cs="Times New Roman" w:eastAsia="Times New Roman" w:hAnsi="Times New Roman"/>
          <w:sz w:val="22"/>
          <w:szCs w:val="22"/>
          <w:b w:val="1"/>
          <w:bCs w:val="1"/>
          <w:color w:val="auto"/>
        </w:rPr>
        <w:t>; E</w:t>
      </w:r>
      <w:r>
        <w:rPr>
          <w:rFonts w:ascii="Times New Roman" w:cs="Times New Roman" w:eastAsia="Times New Roman" w:hAnsi="Times New Roman"/>
          <w:sz w:val="14"/>
          <w:szCs w:val="14"/>
          <w:b w:val="1"/>
          <w:bCs w:val="1"/>
          <w:color w:val="auto"/>
        </w:rPr>
        <w:t>XCHANGE</w:t>
      </w:r>
      <w:r>
        <w:rPr>
          <w:rFonts w:ascii="Times New Roman" w:cs="Times New Roman" w:eastAsia="Times New Roman" w:hAnsi="Times New Roman"/>
          <w:sz w:val="22"/>
          <w:szCs w:val="22"/>
          <w:b w:val="1"/>
          <w:bCs w:val="1"/>
          <w:color w:val="auto"/>
        </w:rPr>
        <w:t>; S</w:t>
      </w:r>
      <w:r>
        <w:rPr>
          <w:rFonts w:ascii="Times New Roman" w:cs="Times New Roman" w:eastAsia="Times New Roman" w:hAnsi="Times New Roman"/>
          <w:sz w:val="14"/>
          <w:szCs w:val="14"/>
          <w:b w:val="1"/>
          <w:bCs w:val="1"/>
          <w:color w:val="auto"/>
        </w:rPr>
        <w:t>UBSTITUTION OF</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OTES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b w:val="1"/>
          <w:bCs w:val="1"/>
          <w:color w:val="auto"/>
        </w:rPr>
        <w:t>Section 13.1. Registration of Notes</w:t>
      </w:r>
      <w:r>
        <w:rPr>
          <w:rFonts w:ascii="Times New Roman" w:cs="Times New Roman" w:eastAsia="Times New Roman" w:hAnsi="Times New Roman"/>
          <w:sz w:val="22"/>
          <w:szCs w:val="22"/>
          <w:color w:val="auto"/>
        </w:rPr>
        <w:t>. The Company shall keep at its principal executive office a register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and registration of transfers of Notes. The name and address of each holder of one or more Notes, each transfer thereof and the name and address of each transferee of one or more Notes shall be registered in such register. If any holder of one or more Notes is a nominee, then (a) the name and address of the beneficial owner of such Note or Notes shall also be registered in such register as an owner and holder thereof and (b) at any such beneficial owner’s option, either such beneficial owner or its nominee may execute any amendment, waiver or consent pursuant to this Agreement. Prior to due presentment for registration of transfer, the Person in whose name any Note shall be registered shall be deemed and treated as the owner and holder thereof for all purposes hereof, and the Company shall not be affected by any notice or knowledge to the contrary. The Company shall give to any holder of a Note that is an Institutional Investor promptly upon request therefor, a complete and correct copy of the names and addresses of all registered holders of Notes.</w:t>
      </w:r>
    </w:p>
    <w:p>
      <w:pPr>
        <w:spacing w:after="0" w:line="208" w:lineRule="exact"/>
        <w:rPr>
          <w:sz w:val="20"/>
          <w:szCs w:val="20"/>
          <w:color w:val="auto"/>
        </w:rPr>
      </w:pPr>
    </w:p>
    <w:p>
      <w:pPr>
        <w:jc w:val="both"/>
        <w:ind w:firstLine="877"/>
        <w:spacing w:after="0" w:line="233" w:lineRule="auto"/>
        <w:rPr>
          <w:sz w:val="20"/>
          <w:szCs w:val="20"/>
          <w:color w:val="auto"/>
        </w:rPr>
      </w:pPr>
      <w:r>
        <w:rPr>
          <w:rFonts w:ascii="Times New Roman" w:cs="Times New Roman" w:eastAsia="Times New Roman" w:hAnsi="Times New Roman"/>
          <w:sz w:val="22"/>
          <w:szCs w:val="22"/>
          <w:b w:val="1"/>
          <w:bCs w:val="1"/>
          <w:color w:val="auto"/>
        </w:rPr>
        <w:t>Section 13.2. Transfer and Exchange of Notes</w:t>
      </w:r>
      <w:r>
        <w:rPr>
          <w:rFonts w:ascii="Times New Roman" w:cs="Times New Roman" w:eastAsia="Times New Roman" w:hAnsi="Times New Roman"/>
          <w:sz w:val="22"/>
          <w:szCs w:val="22"/>
          <w:color w:val="auto"/>
        </w:rPr>
        <w:t>. Upon surrender of any Note to the Company at the address and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attention of the designated officer (all as specified in Section 18(iii)), for registration of transfer or exchange (and in the case of a surrender for registration of transfer accompanied by a written instrument of transfer duly executed by the registered holder of such Note or such holder’s attorney duly authorized in writing and accompanied by the relevant name, address and other information for notices of each transferee of such Note or part thereof), within 10 Business Days thereafter, the Company shall execute and deliver, at the Company’s expense (except as provided below), one or more new Notes of the same series (as requested by the holder thereof) in exchange therefor, in an aggregate principal amount equal to the unpaid principal amount of the surrendered Note. Each such new Note shall be payable to such Person as such holder may request and shall be substantially in the form of Schedule 1(a) and Schedule 1(b), respectively. Each such new Note shall be dated and bear interest from the date to which interest shall have been paid on the surrendered Note or dated the date of the surrendered Note if no interest shall have been paid thereon. The Company may require payment of a sum sufficient to cover any stamp tax or governmental charge imposed in respect of any such transfer of Notes. Notes shall not be transferred in denominations of less than $100,000, provided that if necessary to enable the registration of transfer by a holder of its entire holding of Notes of a series, one Note of such series may be in a denomination of less than </w:t>
      </w:r>
      <w:r>
        <w:rPr>
          <w:rFonts w:ascii="Times New Roman" w:cs="Times New Roman" w:eastAsia="Times New Roman" w:hAnsi="Times New Roman"/>
          <w:sz w:val="22"/>
          <w:szCs w:val="22"/>
          <w:b w:val="1"/>
          <w:bCs w:val="1"/>
          <w:color w:val="auto"/>
        </w:rPr>
        <w:t>$100,000</w:t>
      </w:r>
      <w:r>
        <w:rPr>
          <w:rFonts w:ascii="Times New Roman" w:cs="Times New Roman" w:eastAsia="Times New Roman" w:hAnsi="Times New Roman"/>
          <w:sz w:val="22"/>
          <w:szCs w:val="22"/>
          <w:color w:val="auto"/>
        </w:rPr>
        <w:t>. Any transferee, by its acceptance of a Note registered in its name (or the name of its nominee), shall be deemed to have made the representation set forth in Section 6.2. Notwithstanding any of the foregoing, no Purchaser or holder of a Note may transfer such Note to a Competitor without the prior written consent of the Company.</w:t>
      </w:r>
    </w:p>
    <w:p>
      <w:pPr>
        <w:spacing w:after="0" w:line="217"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Section 13.3. Replacement of Notes</w:t>
      </w:r>
      <w:r>
        <w:rPr>
          <w:rFonts w:ascii="Times New Roman" w:cs="Times New Roman" w:eastAsia="Times New Roman" w:hAnsi="Times New Roman"/>
          <w:sz w:val="22"/>
          <w:szCs w:val="22"/>
          <w:color w:val="auto"/>
        </w:rPr>
        <w:t>. Upon receipt by the Company at the address and to the attention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designated officer (all as specified in Section 18(iii)) of evidence reasonably satisfactory to it of the ownership of and the loss, theft, destruction or mutilation of any Note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38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8" w:name="page49"/>
    <w:bookmarkEnd w:id="48"/>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(which evidence shall be, in the case of an Institutional Investor, notice from such Institutional Investor of such ownership and such loss, theft, destruction or mutilation), and</w:t>
      </w:r>
    </w:p>
    <w:p>
      <w:pPr>
        <w:spacing w:after="0" w:line="185" w:lineRule="exact"/>
        <w:rPr>
          <w:sz w:val="20"/>
          <w:szCs w:val="20"/>
          <w:color w:val="auto"/>
        </w:rPr>
      </w:pPr>
    </w:p>
    <w:p>
      <w:pPr>
        <w:jc w:val="both"/>
        <w:ind w:left="880" w:firstLine="816"/>
        <w:spacing w:after="0" w:line="239" w:lineRule="auto"/>
        <w:tabs>
          <w:tab w:leader="none" w:pos="257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loss, theft or destruction, of indemnity reasonably satisfactory to it (provided that if the holder of such Note is, or is a nominee for, an original Purchaser or another holder of a Note with a minimum net worth of at least $50,000,000 or a Qualified Institutional Buyer, such Person’s own unsecured agreement of indemnity shall be deemed to be satisfactory), or</w:t>
      </w:r>
    </w:p>
    <w:p>
      <w:pPr>
        <w:spacing w:after="0" w:line="221" w:lineRule="exact"/>
        <w:rPr>
          <w:rFonts w:ascii="Times New Roman" w:cs="Times New Roman" w:eastAsia="Times New Roman" w:hAnsi="Times New Roman"/>
          <w:sz w:val="22"/>
          <w:szCs w:val="22"/>
          <w:color w:val="auto"/>
        </w:rPr>
      </w:pPr>
    </w:p>
    <w:p>
      <w:pPr>
        <w:ind w:left="2600" w:hanging="904"/>
        <w:spacing w:after="0"/>
        <w:tabs>
          <w:tab w:leader="none" w:pos="26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mutilation, upon surrender and cancellation thereof,</w:t>
      </w:r>
    </w:p>
    <w:p>
      <w:pPr>
        <w:spacing w:after="0" w:line="2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within 10 Business Days thereafter, the Company at its own expense shall execute and deliver, in lieu thereof, a new Note of the same series, dated and bearing interest from the date to which interest shall have been paid on such lost, stolen, destroyed or mutilated Note or dated the date of such lost, stolen, destroyed or mutilated Note if no interest shall have been paid thereon.</w:t>
      </w:r>
    </w:p>
    <w:p>
      <w:pPr>
        <w:spacing w:after="0" w:line="237"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14.</w:t>
      </w:r>
      <w:r>
        <w:rPr>
          <w:sz w:val="20"/>
          <w:szCs w:val="20"/>
          <w:color w:val="auto"/>
        </w:rPr>
        <w:tab/>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AYMENTS ON</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OTES</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both"/>
        <w:ind w:firstLine="877"/>
        <w:spacing w:after="0" w:line="258" w:lineRule="exact"/>
        <w:rPr>
          <w:sz w:val="20"/>
          <w:szCs w:val="20"/>
          <w:color w:val="auto"/>
        </w:rPr>
      </w:pPr>
      <w:r>
        <w:rPr>
          <w:rFonts w:ascii="Times New Roman" w:cs="Times New Roman" w:eastAsia="Times New Roman" w:hAnsi="Times New Roman"/>
          <w:sz w:val="22"/>
          <w:szCs w:val="22"/>
          <w:b w:val="1"/>
          <w:bCs w:val="1"/>
          <w:color w:val="auto"/>
        </w:rPr>
        <w:t>Section 14.1. Place of Payment</w:t>
      </w:r>
      <w:r>
        <w:rPr>
          <w:rFonts w:ascii="Times New Roman" w:cs="Times New Roman" w:eastAsia="Times New Roman" w:hAnsi="Times New Roman"/>
          <w:sz w:val="22"/>
          <w:szCs w:val="22"/>
          <w:color w:val="auto"/>
        </w:rPr>
        <w:t>. Subject to Section 14.2, payments of principal,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if any,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becoming due and payable on the Notes shall be made in New York, New York at the principal office of Bank of America, N.A. in such jurisdiction. The Company may at any time, by notice to each holder of a Note, change the place of payment of the Notes so long as such place of payment shall be either the principal office of the Company in such jurisdiction or the principal office of a bank or trust company in such jurisdiction.</w:t>
      </w:r>
    </w:p>
    <w:p>
      <w:pPr>
        <w:spacing w:after="0" w:line="216" w:lineRule="exact"/>
        <w:rPr>
          <w:sz w:val="20"/>
          <w:szCs w:val="20"/>
          <w:color w:val="auto"/>
        </w:rPr>
      </w:pPr>
    </w:p>
    <w:p>
      <w:pPr>
        <w:jc w:val="both"/>
        <w:ind w:firstLine="877"/>
        <w:spacing w:after="0" w:line="246" w:lineRule="exact"/>
        <w:rPr>
          <w:sz w:val="20"/>
          <w:szCs w:val="20"/>
          <w:color w:val="auto"/>
        </w:rPr>
      </w:pPr>
      <w:r>
        <w:rPr>
          <w:rFonts w:ascii="Times New Roman" w:cs="Times New Roman" w:eastAsia="Times New Roman" w:hAnsi="Times New Roman"/>
          <w:sz w:val="22"/>
          <w:szCs w:val="22"/>
          <w:b w:val="1"/>
          <w:bCs w:val="1"/>
          <w:color w:val="auto"/>
        </w:rPr>
        <w:t>Section 14.2. Payment by Wire Transfer</w:t>
      </w:r>
      <w:r>
        <w:rPr>
          <w:rFonts w:ascii="Times New Roman" w:cs="Times New Roman" w:eastAsia="Times New Roman" w:hAnsi="Times New Roman"/>
          <w:sz w:val="22"/>
          <w:szCs w:val="22"/>
          <w:color w:val="auto"/>
        </w:rPr>
        <w:t>. So long as any Purchaser or its nominee shall be the holder of any Note,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notwithstanding anything contained in Section 14.1 or in such Note to the contrary, the Company will pay all sums becoming due on such Note for principal,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if any, interest and all other amounts becoming due hereunder by the method and at the address specified for such purpose below such Purchaser’s name in the Purchaser Schedule, or by such other method or at such other address as such Purchaser shall have from time to time specified to the Company in writing for such purpose, without the presentation or surrender of such Note or the making of any notation thereon, except that upon written request of the Company made concurrently with or reasonably promptly after payment or prepayment in full of any Note, such Purchaser shall surrender such Note for cancellation, reasonably promptly after any such request, to the Company at its principal executive office or at the place of payment most recently designated by the Company pursuant to Section 14.1. Prior to any sale or other disposition of any Note held by a Purchaser or its nominee, such Purchaser will, at its election, either endorse thereon the amount of principal paid thereon and the last date to which interest has been paid thereon or surrender such Note to the Company in exchange for a new Note or Notes pursuant to Section 13.2. The Company will afford the benefits of this Section 14.2 to any Institutional Investor that is the direct or indirect transferee of any Note purchased by a Purchaser under this Agreement and that has made the same agreement relating to such Note as the Purchasers have made in this Section 14.2.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39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9" w:name="page50"/>
    <w:bookmarkEnd w:id="49"/>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30" w:lineRule="exact"/>
        <w:rPr>
          <w:sz w:val="20"/>
          <w:szCs w:val="20"/>
          <w:color w:val="auto"/>
        </w:rPr>
      </w:pPr>
    </w:p>
    <w:p>
      <w:pPr>
        <w:jc w:val="both"/>
        <w:ind w:firstLine="877"/>
        <w:spacing w:after="0" w:line="245" w:lineRule="exact"/>
        <w:rPr>
          <w:sz w:val="20"/>
          <w:szCs w:val="20"/>
          <w:color w:val="auto"/>
        </w:rPr>
      </w:pPr>
      <w:r>
        <w:rPr>
          <w:rFonts w:ascii="Times New Roman" w:cs="Times New Roman" w:eastAsia="Times New Roman" w:hAnsi="Times New Roman"/>
          <w:sz w:val="22"/>
          <w:szCs w:val="22"/>
          <w:b w:val="1"/>
          <w:bCs w:val="1"/>
          <w:color w:val="auto"/>
        </w:rPr>
        <w:t xml:space="preserve">Section 14.3. FATCA Information </w:t>
      </w:r>
      <w:r>
        <w:rPr>
          <w:rFonts w:ascii="Times New Roman" w:cs="Times New Roman" w:eastAsia="Times New Roman" w:hAnsi="Times New Roman"/>
          <w:sz w:val="22"/>
          <w:szCs w:val="22"/>
          <w:color w:val="auto"/>
        </w:rPr>
        <w:t>All payments hereunder or under the Note shall be made net of any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withholding taxes. By acceptance of any Note, the holder of such Note agrees that such holder will with reasonable promptness duly complete and deliver to the Company on or before Closing, or to such other Person as may be reasonably requested by the Company, from time to time (a) in the case of any such holder that is a United States Person, a properly completed and executed copy of IRS Form W-9 that includes such holder’s United States tax identification number or other Forms reasonably requested by the Company necessary to establish such holder’s status as a United States Person and as may otherwise be necessary for the Company to comply with its withholding and information reporting obligations (including under FATCA) and (b) in the case of any such holder that is not a United States Person, a properly completed and executed copy of IRS Form W-8 (with any required attachments) and such other documentation prescribed by applicable law (including as prescribed by section 1471(b)(3)(C)(i) of the Code) and such additional documentation as may be necessary for the Company to comply with its withholding and information reporting obligations (including under FATCA) and to determine that such holder has complied with such holder’s obligations under FATCA or to determine the amount (if any) to deduct and withhold from any such payment made to such holder. Nothing in this Section 14.3 shall require any holder to provide information that is confidential or proprietary to such holder unless the Company is required to obtain such information under the Code and applicable Treasury regulations (including FATCA) and, in such event, the Company shall treat any such information it receives as confidential. Each holder agrees that if any form or certification it previously delivered expires or becomes obsolete or inaccurate in any respect, it shall update such form or certification under then current law or promptly notify the Company in writing of its legal inability to do so. Except as otherwise required by applicable law, the Company agrees that it will not withhold from any applicable payment to be made to a holder of a Note that is not a United States Person any tax so long as such holder shall have delivered to the Company (in such number of copies as shall be requested) on or about the date on which such holder becomes a holder under this Agreement (and from time to time thereafter upon the reasonable request of the Company), executed copies of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E, as applicable, as well as the applicable “U.S. Tax Compliance Certificate” substantially in the form attached as Schedule 14.3, in both cases correctly completed and executed.</w:t>
      </w:r>
    </w:p>
    <w:p>
      <w:pPr>
        <w:spacing w:after="0" w:line="250"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15.</w:t>
      </w:r>
      <w:r>
        <w:rPr>
          <w:sz w:val="20"/>
          <w:szCs w:val="20"/>
          <w:color w:val="auto"/>
        </w:rPr>
        <w:tab/>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XPENSES</w:t>
      </w:r>
      <w:r>
        <w:rPr>
          <w:rFonts w:ascii="Times New Roman" w:cs="Times New Roman" w:eastAsia="Times New Roman" w:hAnsi="Times New Roman"/>
          <w:sz w:val="22"/>
          <w:szCs w:val="22"/>
          <w:b w:val="1"/>
          <w:bCs w:val="1"/>
          <w:color w:val="auto"/>
        </w:rPr>
        <w:t>, E</w:t>
      </w:r>
      <w:r>
        <w:rPr>
          <w:rFonts w:ascii="Times New Roman" w:cs="Times New Roman" w:eastAsia="Times New Roman" w:hAnsi="Times New Roman"/>
          <w:sz w:val="14"/>
          <w:szCs w:val="14"/>
          <w:b w:val="1"/>
          <w:bCs w:val="1"/>
          <w:color w:val="auto"/>
        </w:rPr>
        <w:t>TC</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b w:val="1"/>
          <w:bCs w:val="1"/>
          <w:color w:val="auto"/>
        </w:rPr>
        <w:t>Section 15.1. Transaction Expenses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Whether or not the transactions contemplated hereby are consummated,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will pay all costs and expenses (including reasonable and documented attorneys’ fees of one special counsel for the holders, taken as a whole, and, if reasonably required by the Required Holders, one local or other counsel for the holders, taken as a whole) incurred by the Purchasers and each other holder of a Note in connection with such transactions and in connection with any amendments, waivers or consents under or in respect of this Agreement, any Subsidiary Guaranty or the Notes (whether or not such amendment, waiver or consent becomes effective), including: (a) the costs and expenses incurred in enforcing or defending (or determining whether or how to enforce or defend) any rights under this Agreement, any Subsidiary Guaranty or the Notes or in responding to any subpoena or other legal process or informal investigative demand issued in connection with this Agreement, any Subsidiary Guaranty or the Notes, or by reason of being a holder of any Note, (b) the costs and expenses, including fees of one financial advisor for all Purchaser and holders of Notes, as a whole, incurred in connection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40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0" w:name="page51"/>
    <w:bookmarkEnd w:id="50"/>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56" w:lineRule="exact"/>
        <w:rPr>
          <w:sz w:val="20"/>
          <w:szCs w:val="20"/>
          <w:color w:val="auto"/>
        </w:rPr>
      </w:pPr>
    </w:p>
    <w:p>
      <w:pPr>
        <w:jc w:val="both"/>
        <w:spacing w:after="0" w:line="258" w:lineRule="exact"/>
        <w:rPr>
          <w:sz w:val="20"/>
          <w:szCs w:val="20"/>
          <w:color w:val="auto"/>
        </w:rPr>
      </w:pPr>
      <w:r>
        <w:rPr>
          <w:rFonts w:ascii="Times New Roman" w:cs="Times New Roman" w:eastAsia="Times New Roman" w:hAnsi="Times New Roman"/>
          <w:sz w:val="22"/>
          <w:szCs w:val="22"/>
          <w:color w:val="auto"/>
        </w:rPr>
        <w:t>with the insolvency or bankruptcy of the Company or any Subsidiary or in connection with any work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out or restructuring of the transactions contemplated hereby and by the Notes and any Subsidiary Guaranty and (c) the costs and expenses incurred in connection with the initial filing of this Agreement and all related documents and financial information with the SVO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costs and expenses under this clause (c) shall not exceed $5,000 for each Series of the Notes. If required by the NAIC, the Company shall obtain and maintain at its own cost and expense a Legal Entity Identifier (LEI).</w:t>
      </w:r>
    </w:p>
    <w:p>
      <w:pPr>
        <w:spacing w:after="0" w:line="207"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auto"/>
        </w:rPr>
        <w:t>The Company will pay, and will save each Purchaser and each other holder of a Note harmless from, (i) all claims in respect of any fees, costs or expenses, if any, of brokers and finders (other than those, if any, retained by a Purchaser or other holder in connection with its purchase of the Notes), (ii) any and all wire transfer fees that any bank or other financial institution deducts from any payment under such Note to such holder or otherwise charges to a holder of a Note with respect to a payment under such Note and (iii) any judgment, liability, claim, order, decree, fine, penalty, cost, fee, expense (including reasonable attorneys’ fees and expenses) or obligation resulting from the consummation of the transactions contemplated hereby, including the use of the proceeds of the Notes by the Company.</w:t>
      </w:r>
    </w:p>
    <w:p>
      <w:pPr>
        <w:spacing w:after="0" w:line="220"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Section 15.2. Certain Taxes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agrees to pay all stamp, documentary or similar taxes or fees which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payable in respect of the execution and delivery or the enforcement of this Agreement or any Subsidiary Guaranty or the execution and delivery (but not the transfer) or the enforcement of any of the Notes in the United States or any other jurisdiction where the Company or any Subsidiary Guarantor has assets or of any amendment of, or waiver or consent under or with respect to, this Agreement or any Subsidiary Guaranty or of any of the Notes, and to pay any value added tax due and payable in respect of reimbursement of costs and expenses by the Company pursuant to this Section 15, and will save each holder of a Note to the extent permitted by applicable law harmless against any loss or liability resulting from nonpayment or delay in payment of any such tax or fee required to be paid by the Company hereunder.</w:t>
      </w:r>
    </w:p>
    <w:p>
      <w:pPr>
        <w:spacing w:after="0" w:line="220"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Section 15.3. Survival</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obligations of the Company under this Section 15 will survive the payment or transfer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Note, the enforcement, amendment or waiver of any provision of this Agreement, any Subsidiary Guaranty or the Notes, and the termination of this Agreement.</w:t>
      </w:r>
    </w:p>
    <w:p>
      <w:pPr>
        <w:spacing w:after="0" w:line="235"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16.</w:t>
      </w:r>
      <w:r>
        <w:rPr>
          <w:sz w:val="20"/>
          <w:szCs w:val="20"/>
          <w:color w:val="auto"/>
        </w:rPr>
        <w:tab/>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URVIVAL OF</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EPRESENTATIONS AND</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ARRANTIES</w:t>
      </w:r>
      <w:r>
        <w:rPr>
          <w:rFonts w:ascii="Times New Roman" w:cs="Times New Roman" w:eastAsia="Times New Roman" w:hAnsi="Times New Roman"/>
          <w:sz w:val="22"/>
          <w:szCs w:val="22"/>
          <w:b w:val="1"/>
          <w:bCs w:val="1"/>
          <w:color w:val="auto"/>
        </w:rPr>
        <w:t>; E</w:t>
      </w:r>
      <w:r>
        <w:rPr>
          <w:rFonts w:ascii="Times New Roman" w:cs="Times New Roman" w:eastAsia="Times New Roman" w:hAnsi="Times New Roman"/>
          <w:sz w:val="14"/>
          <w:szCs w:val="14"/>
          <w:b w:val="1"/>
          <w:bCs w:val="1"/>
          <w:color w:val="auto"/>
        </w:rPr>
        <w:t>NTIRE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auto"/>
        </w:rPr>
        <w:t>All representations and warranties contained herein shall survive the execution and delivery of this Agreement and the Notes, the purchase or transfer by any Purchaser of any Note or portion thereof or interest therein and the payment of any Note, and may be relied upon by any subsequent holder of a Note, regardless of any investigation made at any time by or on behalf of such Purchaser or any other holder of a Note. All statements contained in any certificate or other instrument delivered by or on behalf of the Company pursuant to this Agreement shall be deemed representations and warranties of the Company under this Agreement. Subject to the preceding sentence, this Agreement, the Notes and any Subsidiary Guaranties embody the entire agreement and understanding between each Purchaser and the Company and supersede all prior agreements and understandings relating to the subject matter hereof.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41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1" w:name="page52"/>
    <w:bookmarkEnd w:id="51"/>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313"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17.</w:t>
      </w:r>
      <w:r>
        <w:rPr>
          <w:sz w:val="20"/>
          <w:szCs w:val="20"/>
          <w:color w:val="auto"/>
        </w:rPr>
        <w:tab/>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MENDMENT AND</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AIVER</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Section 17.1. Requirements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and the Notes may be amended, and the observance of any term 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of the Notes may be waived (either retroactively or prospectively), only with the written consent of the Company and the Required Holders, except that:</w:t>
      </w:r>
    </w:p>
    <w:p>
      <w:pPr>
        <w:spacing w:after="0" w:line="198" w:lineRule="exact"/>
        <w:rPr>
          <w:sz w:val="20"/>
          <w:szCs w:val="20"/>
          <w:color w:val="auto"/>
        </w:rPr>
      </w:pPr>
    </w:p>
    <w:p>
      <w:pPr>
        <w:ind w:left="880" w:firstLine="816"/>
        <w:spacing w:after="0" w:line="258" w:lineRule="auto"/>
        <w:tabs>
          <w:tab w:leader="none" w:pos="257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or waiver of any of Sections 1, 2, 3, 4, 5, 6 or 21 hereof, or any defined term (as it is used therein), will be effective as to any Purchaser unless consented to by such Purchaser in writing; and</w:t>
      </w:r>
    </w:p>
    <w:p>
      <w:pPr>
        <w:spacing w:after="0" w:line="198" w:lineRule="exact"/>
        <w:rPr>
          <w:rFonts w:ascii="Times New Roman" w:cs="Times New Roman" w:eastAsia="Times New Roman" w:hAnsi="Times New Roman"/>
          <w:sz w:val="22"/>
          <w:szCs w:val="22"/>
          <w:color w:val="auto"/>
        </w:rPr>
      </w:pPr>
    </w:p>
    <w:p>
      <w:pPr>
        <w:jc w:val="both"/>
        <w:ind w:left="880" w:firstLine="816"/>
        <w:spacing w:after="0" w:line="248" w:lineRule="exact"/>
        <w:tabs>
          <w:tab w:leader="none" w:pos="265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or waiver may, without the written consent of each Purchaser and the holder of each Note at the time outstanding, (i) subject to Section 12 relating to acceleration or rescission, change the amount or time of any prepayment or payment of principal of, or reduce the rate or change the time of payment or method of computation of (x) interest on the Notes or (y) the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Whole Amount, (ii) change the percentage of the principal amount of the Notes the holders of which are required to consent to any amendment or waiver or the principal amount of the Notes that the Purchasers are to purchase pursuant to Section 2 upon the satisfaction of the conditions to Closing that appear in Section 4, or (iii) amend any of Sections 8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except as set forth in the second sentence of Section 8.2 and Section 17.1(c)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11(a), 11(b), 12, 17 or 20.</w:t>
      </w:r>
    </w:p>
    <w:p>
      <w:pPr>
        <w:spacing w:after="0" w:line="216" w:lineRule="exact"/>
        <w:rPr>
          <w:sz w:val="20"/>
          <w:szCs w:val="20"/>
          <w:color w:val="auto"/>
        </w:rPr>
      </w:pPr>
    </w:p>
    <w:p>
      <w:pPr>
        <w:ind w:left="880"/>
        <w:spacing w:after="0"/>
        <w:tabs>
          <w:tab w:leader="none" w:pos="2240" w:val="left"/>
        </w:tabs>
        <w:rPr>
          <w:sz w:val="20"/>
          <w:szCs w:val="20"/>
          <w:color w:val="auto"/>
        </w:rPr>
      </w:pPr>
      <w:r>
        <w:rPr>
          <w:rFonts w:ascii="Times New Roman" w:cs="Times New Roman" w:eastAsia="Times New Roman" w:hAnsi="Times New Roman"/>
          <w:sz w:val="22"/>
          <w:szCs w:val="22"/>
          <w:b w:val="1"/>
          <w:bCs w:val="1"/>
          <w:color w:val="auto"/>
        </w:rPr>
        <w:t>Section 17.2.</w:t>
      </w:r>
      <w:r>
        <w:rPr>
          <w:sz w:val="20"/>
          <w:szCs w:val="20"/>
          <w:color w:val="auto"/>
        </w:rPr>
        <w:tab/>
      </w:r>
      <w:r>
        <w:rPr>
          <w:rFonts w:ascii="Times New Roman" w:cs="Times New Roman" w:eastAsia="Times New Roman" w:hAnsi="Times New Roman"/>
          <w:sz w:val="21"/>
          <w:szCs w:val="21"/>
          <w:b w:val="1"/>
          <w:bCs w:val="1"/>
          <w:color w:val="auto"/>
        </w:rPr>
        <w:t>Solicitation of Holders of Notes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885"/>
        <w:spacing w:after="0" w:line="236" w:lineRule="auto"/>
        <w:tabs>
          <w:tab w:leader="none" w:pos="150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Solicitation. </w:t>
      </w:r>
      <w:r>
        <w:rPr>
          <w:rFonts w:ascii="Times New Roman" w:cs="Times New Roman" w:eastAsia="Times New Roman" w:hAnsi="Times New Roman"/>
          <w:sz w:val="22"/>
          <w:szCs w:val="22"/>
          <w:color w:val="auto"/>
        </w:rPr>
        <w:t>The Company will provide each Purchaser and each holder of a Note with sufficient information,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sufficiently far in advance of the date a decision is required, to enable such Purchaser and such holder to make an informed and considered decision with respect to any proposed amendment, waiver or consent in respect of any of the provisions hereof or of the Notes or any Subsidiary Guaranty. The Company will deliver executed or true and correct copies of each amendment, waiver or consent effected pursuant to this Section 17 or any Subsidiary Guaranty to each Purchaser and each holder of a Note promptly following the date on which it is executed and delivered by, or receives the consent or approval of, the requisite Purchasers or holders of Notes.</w:t>
      </w:r>
    </w:p>
    <w:p>
      <w:pPr>
        <w:spacing w:after="0" w:line="216" w:lineRule="exact"/>
        <w:rPr>
          <w:rFonts w:ascii="Times New Roman" w:cs="Times New Roman" w:eastAsia="Times New Roman" w:hAnsi="Times New Roman"/>
          <w:sz w:val="22"/>
          <w:szCs w:val="22"/>
          <w:color w:val="auto"/>
        </w:rPr>
      </w:pPr>
    </w:p>
    <w:p>
      <w:pPr>
        <w:jc w:val="both"/>
        <w:ind w:firstLine="885"/>
        <w:spacing w:after="0" w:line="237" w:lineRule="auto"/>
        <w:tabs>
          <w:tab w:leader="none" w:pos="14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 </w:t>
      </w:r>
      <w:r>
        <w:rPr>
          <w:rFonts w:ascii="Times New Roman" w:cs="Times New Roman" w:eastAsia="Times New Roman" w:hAnsi="Times New Roman"/>
          <w:sz w:val="22"/>
          <w:szCs w:val="22"/>
          <w:color w:val="auto"/>
        </w:rPr>
        <w:t>The Company will not directly or indirectly pay or cause to be paid any remuneration, whether by way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supplemental or additional interest, fee or otherwise, or grant any security or provide other credit support, to any Purchaser or holder of a Note as consideration for or as an inducement to the entering into by such Purchaser or holder of any waiver or amendment of any of the terms and provisions hereof or of any Subsidiary Guaranty or any Note unless such remuneration is concurrently paid, or security is concurrently granted or other credit support concurrently provided, on the same terms, ratably to each Purchaser and holder of a Note even if such Purchaser or holder did not consent to such waiver or amendment.</w:t>
      </w:r>
    </w:p>
    <w:p>
      <w:pPr>
        <w:spacing w:after="0" w:line="216" w:lineRule="exact"/>
        <w:rPr>
          <w:rFonts w:ascii="Times New Roman" w:cs="Times New Roman" w:eastAsia="Times New Roman" w:hAnsi="Times New Roman"/>
          <w:sz w:val="22"/>
          <w:szCs w:val="22"/>
          <w:color w:val="auto"/>
        </w:rPr>
      </w:pPr>
    </w:p>
    <w:p>
      <w:pPr>
        <w:jc w:val="both"/>
        <w:ind w:firstLine="885"/>
        <w:spacing w:after="0" w:line="263" w:lineRule="auto"/>
        <w:tabs>
          <w:tab w:leader="none" w:pos="1428"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Consent in Contemplation of Transfer</w:t>
      </w:r>
      <w:r>
        <w:rPr>
          <w:rFonts w:ascii="Times New Roman" w:cs="Times New Roman" w:eastAsia="Times New Roman" w:hAnsi="Times New Roman"/>
          <w:sz w:val="21"/>
          <w:szCs w:val="21"/>
          <w:color w:val="auto"/>
        </w:rPr>
        <w:t>. Any consent given pursuant to this Section 17 or any Subsidiary Guaranty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by a holder of a Note that has transferred or has agreed to transfer its Note to (i) the Company, (ii) any Subsidiary or any other Affiliate or (iii) any other Person in connection with, or in anticipation of, such other Person acquiring, making a tender offer for or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42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2" w:name="page53"/>
    <w:bookmarkEnd w:id="52"/>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merging with the Company and/or any of its Affiliates (either pursuant to a waiver under Section 17.1(c) or subsequent to Section 8.5 having been amended pursuant to Section 17.1(c)), in each case in connection with such consent, shall be void and of no force or effect except solely as to such holder, and any amendments effected or waivers granted or to be effected or granted that would not have been or would not be so effected or granted but for such consent (and the consents of all other holders of Notes that were acquired under the same or similar conditions) shall be void and of no force or effect except solely as to such holder.</w:t>
      </w:r>
    </w:p>
    <w:p>
      <w:pPr>
        <w:spacing w:after="0" w:line="192"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Section 17.3. Binding Effect, etc</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amendment or waiver consented to as provided in this Section 17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Subsidiary Guaranty applies equally to all Purchasers and holders of Notes and is binding upon them and upon each future holder of any Note and upon the Company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Purchaser or holder of a Note and no delay in exercising any rights hereunder or under any Note or Subsidiary Guaranty shall operate as a waiver of any rights of any Purchaser or holder of such Note.</w:t>
      </w:r>
    </w:p>
    <w:p>
      <w:pPr>
        <w:spacing w:after="0" w:line="217"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Section 17.4. Notes Held by Company, Etc</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Solely for the purpose of determining whether the holders of the requisite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percentage of the aggregate principal amount of Notes then outstanding approved or consented to any amendment, waiver or consent to be given under this Agreement, any Subsidiary Guaranty or the Notes, or have directed the taking of any action provided herein or in any Subsidiary Guaranty or the Notes to be taken upon the direction of the holders of a specified percentage of the aggregate principal amount of Notes then outstanding, Notes directly or indirectly owned by the Company or any of its Affiliates shall be deemed not to be outstanding.</w:t>
      </w:r>
    </w:p>
    <w:p>
      <w:pPr>
        <w:spacing w:after="0" w:line="243"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18.</w:t>
      </w:r>
      <w:r>
        <w:rPr>
          <w:sz w:val="20"/>
          <w:szCs w:val="20"/>
          <w:color w:val="auto"/>
        </w:rPr>
        <w:tab/>
      </w: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OTICES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both"/>
        <w:ind w:firstLine="877"/>
        <w:spacing w:after="0" w:line="255" w:lineRule="auto"/>
        <w:rPr>
          <w:sz w:val="20"/>
          <w:szCs w:val="20"/>
          <w:color w:val="auto"/>
        </w:rPr>
      </w:pPr>
      <w:r>
        <w:rPr>
          <w:rFonts w:ascii="Times New Roman" w:cs="Times New Roman" w:eastAsia="Times New Roman" w:hAnsi="Times New Roman"/>
          <w:sz w:val="21"/>
          <w:szCs w:val="21"/>
          <w:color w:val="auto"/>
        </w:rPr>
        <w:t>Except to the extent otherwise provided in Section 7.4, all notices and communications provided for hereunder shall be in writing and sent (a) by telecopy if the sender on the same day sends a confirming copy of such notice by an internationally recognized overnight delivery service (charges prepaid), or (b) by registered or certified mail with return receipt requested (postage prepaid), or (c) by an internationally recognized overnight delivery service (charges prepaid). Any such notice must be sent:</w:t>
      </w:r>
    </w:p>
    <w:p>
      <w:pPr>
        <w:spacing w:after="0" w:line="189" w:lineRule="exact"/>
        <w:rPr>
          <w:sz w:val="20"/>
          <w:szCs w:val="20"/>
          <w:color w:val="auto"/>
        </w:rPr>
      </w:pPr>
    </w:p>
    <w:p>
      <w:pPr>
        <w:jc w:val="both"/>
        <w:ind w:left="880" w:firstLine="816"/>
        <w:spacing w:after="0" w:line="244" w:lineRule="auto"/>
        <w:tabs>
          <w:tab w:leader="none" w:pos="254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Purchaser or its nominee, to such Purchaser or nominee at the address specified for such communications in the Purchaser Schedule, or at such other address as such Purchaser or nominee shall have specified to the Company in writing,</w:t>
      </w:r>
    </w:p>
    <w:p>
      <w:pPr>
        <w:spacing w:after="0" w:line="214" w:lineRule="exact"/>
        <w:rPr>
          <w:rFonts w:ascii="Times New Roman" w:cs="Times New Roman" w:eastAsia="Times New Roman" w:hAnsi="Times New Roman"/>
          <w:sz w:val="22"/>
          <w:szCs w:val="22"/>
          <w:color w:val="auto"/>
        </w:rPr>
      </w:pPr>
    </w:p>
    <w:p>
      <w:pPr>
        <w:ind w:left="880" w:firstLine="816"/>
        <w:spacing w:after="0" w:line="258" w:lineRule="auto"/>
        <w:tabs>
          <w:tab w:leader="none" w:pos="260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holder of any Note, to such holder at such address as such other holder shall have specified to the Company in writing, or</w:t>
      </w:r>
    </w:p>
    <w:p>
      <w:pPr>
        <w:spacing w:after="0" w:line="198" w:lineRule="exact"/>
        <w:rPr>
          <w:rFonts w:ascii="Times New Roman" w:cs="Times New Roman" w:eastAsia="Times New Roman" w:hAnsi="Times New Roman"/>
          <w:sz w:val="22"/>
          <w:szCs w:val="22"/>
          <w:color w:val="auto"/>
        </w:rPr>
      </w:pPr>
    </w:p>
    <w:p>
      <w:pPr>
        <w:ind w:left="880" w:firstLine="816"/>
        <w:spacing w:after="0" w:line="258" w:lineRule="auto"/>
        <w:tabs>
          <w:tab w:leader="none" w:pos="266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to the Company at its address set forth at the beginning hereof to the attention of General Counsel, or at such other address as the Company shall have specified to the holder of each Note in writing.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43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3" w:name="page54"/>
    <w:bookmarkEnd w:id="53"/>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Notices under this Section 18 will be deemed given only when actually received.</w:t>
      </w:r>
    </w:p>
    <w:p>
      <w:pPr>
        <w:spacing w:after="0" w:line="270"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19.</w:t>
      </w:r>
      <w:r>
        <w:rPr>
          <w:sz w:val="20"/>
          <w:szCs w:val="20"/>
          <w:color w:val="auto"/>
        </w:rPr>
        <w:tab/>
      </w: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EPRODUCTION OF</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OCUMENTS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877"/>
        <w:spacing w:after="0" w:line="234" w:lineRule="auto"/>
        <w:rPr>
          <w:sz w:val="20"/>
          <w:szCs w:val="20"/>
          <w:color w:val="auto"/>
        </w:rPr>
      </w:pPr>
      <w:r>
        <w:rPr>
          <w:rFonts w:ascii="Times New Roman" w:cs="Times New Roman" w:eastAsia="Times New Roman" w:hAnsi="Times New Roman"/>
          <w:sz w:val="22"/>
          <w:szCs w:val="22"/>
          <w:color w:val="auto"/>
        </w:rPr>
        <w:t>This Agreement and all documents relating thereto, including (a) consents, waivers and modifications that may hereafter be executed, (b) documents received by any Purchaser at the Closing (except the Notes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Section 19 shall not prohibit the Company or any other holder of Notes from contesting any such reproduction to the same extent that it could contest the original, or from introducing evidence to demonstrate the inaccuracy of any such reproduction.</w:t>
      </w:r>
    </w:p>
    <w:p>
      <w:pPr>
        <w:spacing w:after="0" w:line="258"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20.</w:t>
      </w:r>
      <w:r>
        <w:rPr>
          <w:sz w:val="20"/>
          <w:szCs w:val="20"/>
          <w:color w:val="auto"/>
        </w:rPr>
        <w:tab/>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ONFIDENTIAL</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color w:val="auto"/>
        </w:rPr>
        <w:t xml:space="preserve">For the purposes of this Section 20,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xml:space="preserve"> means information delivered to any Purchaser or holder of any Note by or on behalf of the Company or any Subsidiary in connection with the transactions contemplated by or otherwise pursuant to this Agreement that is confidential or proprietary in nature, provided that such term does not include information that (a) was publicly known or otherwise known to such Purchaser prior to the time of such disclosure,</w:t>
      </w:r>
    </w:p>
    <w:p>
      <w:pPr>
        <w:spacing w:after="0" w:line="1" w:lineRule="exact"/>
        <w:rPr>
          <w:sz w:val="20"/>
          <w:szCs w:val="20"/>
          <w:color w:val="auto"/>
        </w:rPr>
      </w:pPr>
    </w:p>
    <w:p>
      <w:pPr>
        <w:jc w:val="both"/>
        <w:ind w:firstLine="8"/>
        <w:spacing w:after="0" w:line="231" w:lineRule="auto"/>
        <w:tabs>
          <w:tab w:leader="none" w:pos="31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subsequently becomes publicly known through no act or omission by such Purchaser or any Person acting on such Purchaser’s behalf, (c) otherwise becomes known to such Purchaser other than through disclosure by the Company or any Subsidiary and the source was not restricted in disclosing such information, or (d) constitutes financial statements delivered to such Purchaser under Section 7.1 that are otherwise publicly available. Each Purchaser or holder of any Note will maintain the confidentiality of such Confidential Information in accordance with procedures adopted by such Purchaser in good faith to protect confidential information of third parties delivered to such Purchaser, provided that such Purchaser may deliver or disclose Confidential Information to (i) its directors, officers, employees, agents, attorneys, trustees and affiliates (to the extent such disclosure reasonably relates to the administration of the investment represented by its Notes and such recipient is informed of its obligation to maintain the confidentiality of such information), (ii) its auditors, financial advisors and other professional advisors who agree to hold confidential the Confidential Information substantially in accordance with this Section 20, (iii) any other holder of any Note, (iv) any Institutional Investor to which it sells or offers to sell such Note or any part thereof or any participation therein (if such Person has agreed in writing prior to its receipt of such Confidential Information to be bound by this Section 20), (v) any Person from which it offers to purchase any Security of the Company (if such Person has agreed in writing prior to its receipt of such Confidential Information to be bound by this Section 20), (vi) any federal or state regulatory authority having jurisdiction over such Purchaser, (vii) the NAIC or the SVO or, in each case, any similar organization, or any nationally recognized rating agency that requires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44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4" w:name="page55"/>
    <w:bookmarkEnd w:id="54"/>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access to information about such Purchaser’s investment portfolio, or (viii) any other Person to which such delivery or disclosure may be necessary or appropriate (w) 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such Purchaser’s Notes, this Agreement or any Subsidiary Guaranty. Each holder of a Note, by its acceptance of a Note, will be deemed to have agreed to be bound by and to be entitled to the benefits of this Section 20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such holder will enter into an agreement with the Company embodying this Section 20.</w:t>
      </w:r>
    </w:p>
    <w:p>
      <w:pPr>
        <w:spacing w:after="0" w:line="208"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auto"/>
        </w:rPr>
        <w:t>In the event that as a condition to receiving access to information relating to the Company or its Subsidiaries in connection with the transactions contemplated by or otherwise pursuant to this Agreement, any Purchaser or holder of a Note is required to agree to a confidentiality undertaking (whether through IntraLinks, another secure website, a secure virtual workspace or otherwise) which is different from this Section 20, this Section 20 shall not be amended thereby and, as between such Purchaser or such holder and the Company, this Section 20 shall supersede any such other confidentiality undertaking.</w:t>
      </w:r>
    </w:p>
    <w:p>
      <w:pPr>
        <w:spacing w:after="0" w:line="254"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21.</w:t>
      </w:r>
      <w:r>
        <w:rPr>
          <w:sz w:val="20"/>
          <w:szCs w:val="20"/>
          <w:color w:val="auto"/>
        </w:rPr>
        <w:tab/>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UBSTITUTION OF</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URCHASER</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877"/>
        <w:spacing w:after="0" w:line="245" w:lineRule="auto"/>
        <w:rPr>
          <w:sz w:val="20"/>
          <w:szCs w:val="20"/>
          <w:color w:val="auto"/>
        </w:rPr>
      </w:pPr>
      <w:r>
        <w:rPr>
          <w:rFonts w:ascii="Times New Roman" w:cs="Times New Roman" w:eastAsia="Times New Roman" w:hAnsi="Times New Roman"/>
          <w:sz w:val="21"/>
          <w:szCs w:val="21"/>
          <w:color w:val="auto"/>
        </w:rPr>
        <w:t xml:space="preserve">Each Purchaser shall have the right to substitute any one of its Affiliates or another Purchaser or any one of such other Purchaser’s Affiliates (a </w:t>
      </w:r>
      <w:r>
        <w:rPr>
          <w:rFonts w:ascii="Times New Roman" w:cs="Times New Roman" w:eastAsia="Times New Roman" w:hAnsi="Times New Roman"/>
          <w:sz w:val="21"/>
          <w:szCs w:val="21"/>
          <w:b w:val="1"/>
          <w:bCs w:val="1"/>
          <w:color w:val="auto"/>
        </w:rPr>
        <w:t>“Substitute Purchaser”</w:t>
      </w:r>
      <w:r>
        <w:rPr>
          <w:rFonts w:ascii="Times New Roman" w:cs="Times New Roman" w:eastAsia="Times New Roman" w:hAnsi="Times New Roman"/>
          <w:sz w:val="21"/>
          <w:szCs w:val="21"/>
          <w:color w:val="auto"/>
        </w:rPr>
        <w:t>) as the purchaser of the Notes that it has agreed to purchase hereunder, by written notice to the Company, which notice shall be signed by both such Purchaser and such Substitute Purchaser, shall contain such Substitute Purchaser’s agreement to be bound by this Agreement and shall contain a confirmation by such Substitute Purchaser of the accuracy with respect to it of the representations set forth in Section 6. Upon receipt of such notice, any reference to such Purchaser in this Agreement (other than in this Section 21), shall be deemed to refer to such Substitute Purchaser in lieu of such original Purchaser. In the event that such Substitute Purchaser is so substituted as a Purchaser hereunder and such Substitute Purchaser thereafter transfers to such original Purchaser all of the Notes then held by such Substitute Purchaser, upon receipt by the Company of notice of such transfer, any reference to such Substitute Purchaser as a “Purchaser” in this Agreement (other than in this Section 21), shall no longer be deemed to refer to such Substitute Purchaser, but shall refer to such original Purchaser, and such original Purchaser shall again have all the rights of an original holder of the Notes under this Agreement.</w:t>
      </w:r>
    </w:p>
    <w:p>
      <w:pPr>
        <w:spacing w:after="0" w:line="242"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22.</w:t>
      </w:r>
      <w:r>
        <w:rPr>
          <w:sz w:val="20"/>
          <w:szCs w:val="20"/>
          <w:color w:val="auto"/>
        </w:rPr>
        <w:tab/>
      </w: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877"/>
        <w:spacing w:after="0" w:line="263" w:lineRule="auto"/>
        <w:rPr>
          <w:sz w:val="20"/>
          <w:szCs w:val="20"/>
          <w:color w:val="auto"/>
        </w:rPr>
      </w:pPr>
      <w:r>
        <w:rPr>
          <w:rFonts w:ascii="Times New Roman" w:cs="Times New Roman" w:eastAsia="Times New Roman" w:hAnsi="Times New Roman"/>
          <w:sz w:val="21"/>
          <w:szCs w:val="21"/>
          <w:b w:val="1"/>
          <w:bCs w:val="1"/>
          <w:color w:val="auto"/>
        </w:rPr>
        <w:t>Section 22.1. Successors and Assigns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covenants and other agreements contained in this Agreement by or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behalf of any of the parties hereto bind and inure to the benefit of their respective successors and assigns (including any subsequent holder of a Note) whether so expressed or not, except that, subject to Section 10.2, the Company may not assign or otherwise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45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5" w:name="page56"/>
    <w:bookmarkEnd w:id="55"/>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transfer any of its rights or obligations hereunder or under the Notes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spacing w:after="0" w:line="204" w:lineRule="exact"/>
        <w:rPr>
          <w:sz w:val="20"/>
          <w:szCs w:val="20"/>
          <w:color w:val="auto"/>
        </w:rPr>
      </w:pPr>
    </w:p>
    <w:p>
      <w:pPr>
        <w:jc w:val="both"/>
        <w:ind w:firstLine="877"/>
        <w:spacing w:after="0" w:line="248" w:lineRule="exact"/>
        <w:rPr>
          <w:sz w:val="20"/>
          <w:szCs w:val="20"/>
          <w:color w:val="auto"/>
        </w:rPr>
      </w:pPr>
      <w:r>
        <w:rPr>
          <w:rFonts w:ascii="Times New Roman" w:cs="Times New Roman" w:eastAsia="Times New Roman" w:hAnsi="Times New Roman"/>
          <w:sz w:val="22"/>
          <w:szCs w:val="22"/>
          <w:b w:val="1"/>
          <w:bCs w:val="1"/>
          <w:color w:val="auto"/>
        </w:rPr>
        <w:t>Section 22.2. Accounting Terms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All accounting terms used herein which are not expressly defined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have the meanings respectively given to them in accordance with GAAP. Except as otherwise specifically provided herein, (i) all computations made pursuant to this Agreement shall be made in accordance with GAAP, and (ii) all financial statements shall be prepared in accordance with GAAP. For purposes of determining compliance with this Agreement (including Section 9, Section 10 and the definition of “Indebtedness”), any election by the Company to measure any financial liability using fair value (as permitted by Financial Accounting Standards Board Accounting Standards Codification Topic No. 825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25 – </w:t>
      </w:r>
      <w:r>
        <w:rPr>
          <w:rFonts w:ascii="Times New Roman" w:cs="Times New Roman" w:eastAsia="Times New Roman" w:hAnsi="Times New Roman"/>
          <w:sz w:val="22"/>
          <w:szCs w:val="22"/>
          <w:i w:val="1"/>
          <w:iCs w:val="1"/>
          <w:color w:val="auto"/>
        </w:rPr>
        <w:t>Fair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Value Option, </w:t>
      </w:r>
      <w:r>
        <w:rPr>
          <w:rFonts w:ascii="Times New Roman" w:cs="Times New Roman" w:eastAsia="Times New Roman" w:hAnsi="Times New Roman"/>
          <w:sz w:val="22"/>
          <w:szCs w:val="22"/>
          <w:color w:val="auto"/>
        </w:rPr>
        <w:t>International Accounting Standard 39 –</w:t>
      </w:r>
      <w:r>
        <w:rPr>
          <w:rFonts w:ascii="Times New Roman" w:cs="Times New Roman" w:eastAsia="Times New Roman" w:hAnsi="Times New Roman"/>
          <w:sz w:val="22"/>
          <w:szCs w:val="22"/>
          <w:i w:val="1"/>
          <w:iCs w:val="1"/>
          <w:color w:val="auto"/>
        </w:rPr>
        <w:t xml:space="preserve"> Financial Instruments: Recognition and Measurement </w:t>
      </w:r>
      <w:r>
        <w:rPr>
          <w:rFonts w:ascii="Times New Roman" w:cs="Times New Roman" w:eastAsia="Times New Roman" w:hAnsi="Times New Roman"/>
          <w:sz w:val="22"/>
          <w:szCs w:val="22"/>
          <w:color w:val="auto"/>
        </w:rPr>
        <w:t>or any similar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accounting standard) shall be disregarded and such determination shall be made as if such election had not been made.</w:t>
      </w:r>
    </w:p>
    <w:p>
      <w:pPr>
        <w:spacing w:after="0" w:line="224" w:lineRule="exact"/>
        <w:rPr>
          <w:sz w:val="20"/>
          <w:szCs w:val="20"/>
          <w:color w:val="auto"/>
        </w:rPr>
      </w:pPr>
    </w:p>
    <w:p>
      <w:pPr>
        <w:jc w:val="both"/>
        <w:ind w:firstLine="885"/>
        <w:spacing w:after="0" w:line="245" w:lineRule="auto"/>
        <w:tabs>
          <w:tab w:leader="none" w:pos="1778"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at any time any change in GAAP would affect the computation of any financial ratio or requirement set forth in this Agreement, and either the Company or the Required Holders shall so request, the Company and the Required Holders shall negotiate in good faith to amend such ratio or requirement to preserve the original intent thereof in light of such change in GAAP (subject to the approval of the Required Holders);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until so amended, (i) such ratio or requirement shall continue to be computed in accordance with GAAP prior to such change therein and (ii) the Company shall provide to the holders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Company’s financial statements prior to adoption and effectiveness of new accounting standards related to leases for all purposes of this Agreement, notwithstanding any change in GAAP relating thereto, unless the Company and the Required Holders shall enter into a mutually acceptable amendment negotiated in good faith addressing such changes, as provided for above.</w:t>
      </w:r>
    </w:p>
    <w:p>
      <w:pPr>
        <w:spacing w:after="0" w:line="218" w:lineRule="exact"/>
        <w:rPr>
          <w:rFonts w:ascii="Times New Roman" w:cs="Times New Roman" w:eastAsia="Times New Roman" w:hAnsi="Times New Roman"/>
          <w:sz w:val="21"/>
          <w:szCs w:val="21"/>
          <w:color w:val="auto"/>
        </w:rPr>
      </w:pPr>
    </w:p>
    <w:p>
      <w:pPr>
        <w:jc w:val="both"/>
        <w:ind w:firstLine="885"/>
        <w:spacing w:after="0" w:line="239" w:lineRule="auto"/>
        <w:tabs>
          <w:tab w:leader="none" w:pos="176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or a Subsidiary is required to consolidate pursuant to FASB ASC 810 as if such variable interest entity were a Subsidiary as defined herein.</w:t>
      </w:r>
    </w:p>
    <w:p>
      <w:pPr>
        <w:spacing w:after="0" w:line="207" w:lineRule="exact"/>
        <w:rPr>
          <w:rFonts w:ascii="Times New Roman" w:cs="Times New Roman" w:eastAsia="Times New Roman" w:hAnsi="Times New Roman"/>
          <w:sz w:val="22"/>
          <w:szCs w:val="22"/>
          <w:color w:val="auto"/>
        </w:rPr>
      </w:pPr>
    </w:p>
    <w:p>
      <w:pPr>
        <w:ind w:left="1780" w:hanging="895"/>
        <w:spacing w:after="0"/>
        <w:tabs>
          <w:tab w:leader="none" w:pos="17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herein to “fiscal year” and “fiscal quarter” refer to such fiscal periods of the Company.</w:t>
      </w:r>
    </w:p>
    <w:p>
      <w:pPr>
        <w:spacing w:after="0" w:line="246" w:lineRule="exact"/>
        <w:rPr>
          <w:rFonts w:ascii="Times New Roman" w:cs="Times New Roman" w:eastAsia="Times New Roman" w:hAnsi="Times New Roman"/>
          <w:sz w:val="22"/>
          <w:szCs w:val="22"/>
          <w:color w:val="auto"/>
        </w:rPr>
      </w:pPr>
    </w:p>
    <w:p>
      <w:pPr>
        <w:jc w:val="both"/>
        <w:ind w:firstLine="885"/>
        <w:spacing w:after="0" w:line="244" w:lineRule="auto"/>
        <w:tabs>
          <w:tab w:leader="none" w:pos="176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Company’s Acquisition of Charles Machine Works and any other Acquisition consummated on or after the date of this Agreement, for each period of four fiscal quarters of the Company and its Subsidiaries ending next following the date of any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46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6" w:name="page57"/>
    <w:bookmarkEnd w:id="56"/>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Acquisition, Consolidated EBIT shall include the results of operations of the Person or assets so acquired on a historical pro forma basis, and which amounts may include such adjustments as are permitted under Regulation S-X of the Securities and Exchange Commission or FASB ASC 805;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section shall only apply to the calculation of any Leverage Ratio and shall not be used for the calculation of any Consolidated Interest Coverage Ratio;</w:t>
      </w:r>
    </w:p>
    <w:p>
      <w:pPr>
        <w:spacing w:after="0" w:line="208" w:lineRule="exact"/>
        <w:rPr>
          <w:sz w:val="20"/>
          <w:szCs w:val="20"/>
          <w:color w:val="auto"/>
        </w:rPr>
      </w:pPr>
    </w:p>
    <w:p>
      <w:pPr>
        <w:jc w:val="both"/>
        <w:ind w:firstLine="885"/>
        <w:spacing w:after="0" w:line="235" w:lineRule="auto"/>
        <w:tabs>
          <w:tab w:leader="none" w:pos="174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Material Disposition (as defined below) consummated on or after the date of this Agreement, for each period of four fiscal quarters of the Company and its Subsidiaries ending next following the date of such Material Disposition, Consolidated EBIT for such period shall be either (A) reduced by an amount equal to the Consolidated EBIT (if positive) attributable to the property that is the subject of such Material Disposition for such period or (B) increased by an amount equal to the Consolidated EBIT (if negative) attributable to such property for such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section shall only apply to the calculation of any Leverage Ratio and shall not be used for the calculation of any Consolidated Interest Coverage Ratio.</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For the purposes of this paragraph, </w:t>
      </w:r>
      <w:r>
        <w:rPr>
          <w:rFonts w:ascii="Times New Roman" w:cs="Times New Roman" w:eastAsia="Times New Roman" w:hAnsi="Times New Roman"/>
          <w:sz w:val="21"/>
          <w:szCs w:val="21"/>
          <w:b w:val="1"/>
          <w:bCs w:val="1"/>
          <w:color w:val="auto"/>
        </w:rPr>
        <w:t>“Material Disposition”</w:t>
      </w:r>
      <w:r>
        <w:rPr>
          <w:rFonts w:ascii="Times New Roman" w:cs="Times New Roman" w:eastAsia="Times New Roman" w:hAnsi="Times New Roman"/>
          <w:sz w:val="21"/>
          <w:szCs w:val="21"/>
          <w:color w:val="auto"/>
        </w:rPr>
        <w:t xml:space="preserve"> means any Disposition (as defined below), or series of related Dispositions, by the Company and its Subsidiaries of real or personal property that has a gross book value, as determined in accordance with GAAP, equal to or greater than 10% of Consolidated Total Assets determined as of the last day of the immediately preceding fiscal quarter, and “Disposition” means the sale, transfer, license or other disposition (including any sale and leaseback transaction) of any property by any Person, other than pursuant to or in connection with a Receivables Purchase Facility.</w:t>
      </w:r>
    </w:p>
    <w:p>
      <w:pPr>
        <w:spacing w:after="0" w:line="204"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Section 22.3. Severability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provision of this Agreement that is prohibited or unenforceable in any jurisdiction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99"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Section 22.4. Construction, Etc</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covenant contained herein shall be construed (absent express provision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222"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color w:val="auto"/>
        </w:rPr>
        <w:t>Defined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and, for purposes of the Notes, shall also include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47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7" w:name="page58"/>
    <w:bookmarkEnd w:id="57"/>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any such notes issued in substitution therefor pursuant to Section 13, (b) subject to Section 22.1,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and Schedules shall be construed to refer to Sections of, and Schedules to, this Agreement, and</w:t>
      </w:r>
    </w:p>
    <w:p>
      <w:pPr>
        <w:spacing w:after="0" w:line="1" w:lineRule="exact"/>
        <w:rPr>
          <w:sz w:val="20"/>
          <w:szCs w:val="20"/>
          <w:color w:val="auto"/>
        </w:rPr>
      </w:pPr>
    </w:p>
    <w:p>
      <w:pPr>
        <w:ind w:firstLine="8"/>
        <w:spacing w:after="0" w:line="237" w:lineRule="auto"/>
        <w:tabs>
          <w:tab w:leader="none" w:pos="32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to any law or regulation herein shall, unless otherwise specified, refer to such law or regulation as amended, modified or supplemented from time to time.</w:t>
      </w:r>
    </w:p>
    <w:p>
      <w:pPr>
        <w:spacing w:after="0" w:line="206"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17"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Section 22.5. Counterparts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executed in any number of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original but all of which together shall constitute one instrument. Each counterpart may consist of a number of copies hereof, each signed by less than all, but together signed by all, of the parties hereto.</w:t>
      </w:r>
    </w:p>
    <w:p>
      <w:pPr>
        <w:spacing w:after="0" w:line="208" w:lineRule="exact"/>
        <w:rPr>
          <w:sz w:val="20"/>
          <w:szCs w:val="20"/>
          <w:color w:val="auto"/>
        </w:rPr>
      </w:pPr>
    </w:p>
    <w:p>
      <w:pPr>
        <w:jc w:val="both"/>
        <w:ind w:firstLine="877"/>
        <w:spacing w:after="0" w:line="258" w:lineRule="exact"/>
        <w:rPr>
          <w:sz w:val="20"/>
          <w:szCs w:val="20"/>
          <w:color w:val="auto"/>
        </w:rPr>
      </w:pPr>
      <w:r>
        <w:rPr>
          <w:rFonts w:ascii="Times New Roman" w:cs="Times New Roman" w:eastAsia="Times New Roman" w:hAnsi="Times New Roman"/>
          <w:sz w:val="22"/>
          <w:szCs w:val="22"/>
          <w:b w:val="1"/>
          <w:bCs w:val="1"/>
          <w:color w:val="auto"/>
        </w:rPr>
        <w:t>Section 22.6. Governing Law</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construed and enforced in accordance with, and the rights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shall be governed by, the law of the State of New York excluding choice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 principles of the law of such State that would permit the application of the laws of a jurisdiction other than such State.</w:t>
      </w:r>
    </w:p>
    <w:p>
      <w:pPr>
        <w:spacing w:after="0" w:line="201" w:lineRule="exact"/>
        <w:rPr>
          <w:sz w:val="20"/>
          <w:szCs w:val="20"/>
          <w:color w:val="auto"/>
        </w:rPr>
      </w:pPr>
    </w:p>
    <w:p>
      <w:pPr>
        <w:jc w:val="both"/>
        <w:ind w:firstLine="877"/>
        <w:spacing w:after="0" w:line="249" w:lineRule="exact"/>
        <w:rPr>
          <w:sz w:val="20"/>
          <w:szCs w:val="20"/>
          <w:color w:val="auto"/>
        </w:rPr>
      </w:pPr>
      <w:r>
        <w:rPr>
          <w:rFonts w:ascii="Times New Roman" w:cs="Times New Roman" w:eastAsia="Times New Roman" w:hAnsi="Times New Roman"/>
          <w:sz w:val="22"/>
          <w:szCs w:val="22"/>
          <w:b w:val="1"/>
          <w:bCs w:val="1"/>
          <w:color w:val="auto"/>
        </w:rPr>
        <w:t>Section 22.7. Jurisdiction and Process; Waiver of Jury Trial</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The Company irrevocably submits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exclusive jurisdiction of any New York State or federal court sitting in the Borough of Manhattan, The City of New York, over any suit, action or proceeding arising out of or relating to this Agreement or the Notes.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221" w:lineRule="exact"/>
        <w:rPr>
          <w:sz w:val="20"/>
          <w:szCs w:val="20"/>
          <w:color w:val="auto"/>
        </w:rPr>
      </w:pPr>
    </w:p>
    <w:p>
      <w:pPr>
        <w:jc w:val="both"/>
        <w:ind w:firstLine="885"/>
        <w:spacing w:after="0" w:line="255" w:lineRule="auto"/>
        <w:tabs>
          <w:tab w:leader="none" w:pos="1778"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agrees, to the fullest extent permitted by applicable law, that a final judgment in any suit, action or proceeding of the nature referred to in Section 22.7(a) brought in any such court shall be conclusive and binding upon it subject to rights of appeal, as the case may be, and may be enforced in the courts of the United States of America or the State of New York (or any other courts to the jurisdiction of which it or any of its assets is or may be subject) by a suit upon such judgment.</w:t>
      </w:r>
    </w:p>
    <w:p>
      <w:pPr>
        <w:spacing w:after="0" w:line="202" w:lineRule="exact"/>
        <w:rPr>
          <w:rFonts w:ascii="Times New Roman" w:cs="Times New Roman" w:eastAsia="Times New Roman" w:hAnsi="Times New Roman"/>
          <w:sz w:val="21"/>
          <w:szCs w:val="21"/>
          <w:color w:val="auto"/>
        </w:rPr>
      </w:pPr>
    </w:p>
    <w:p>
      <w:pPr>
        <w:jc w:val="both"/>
        <w:ind w:firstLine="885"/>
        <w:spacing w:after="0" w:line="244" w:lineRule="auto"/>
        <w:tabs>
          <w:tab w:leader="none" w:pos="176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consents to process being served by or on behalf of any holder of Notes in any suit, action or proceeding of the nature referred to in Section 22.7(a) by mailing a copy thereof by registered, certified, priority or express mail (or any substantially similar form of mail), postage prepaid, return receipt or delivery confirmation requested, to it at its address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48</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8" w:name="page59"/>
    <w:bookmarkEnd w:id="58"/>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specified in Section 18 or at such other address of which such holder shall then have been notified pursuant to said Section.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spacing w:after="0" w:line="204" w:lineRule="exact"/>
        <w:rPr>
          <w:sz w:val="20"/>
          <w:szCs w:val="20"/>
          <w:color w:val="auto"/>
        </w:rPr>
      </w:pPr>
    </w:p>
    <w:p>
      <w:pPr>
        <w:jc w:val="both"/>
        <w:ind w:firstLine="885"/>
        <w:spacing w:after="0" w:line="239" w:lineRule="auto"/>
        <w:tabs>
          <w:tab w:leader="none" w:pos="177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Section 22.7 shall affect the right of any holder of a Note to serve process in any manner permitted by law, or limit any right that the holders of any of the Notes may have to bring proceedings against the Company in the courts of any appropriate jurisdiction or to enforce in any lawful manner a judgment obtained in one jurisdiction in any other jurisdiction.</w:t>
      </w:r>
    </w:p>
    <w:p>
      <w:pPr>
        <w:spacing w:after="0" w:line="221" w:lineRule="exact"/>
        <w:rPr>
          <w:rFonts w:ascii="Times New Roman" w:cs="Times New Roman" w:eastAsia="Times New Roman" w:hAnsi="Times New Roman"/>
          <w:sz w:val="22"/>
          <w:szCs w:val="22"/>
          <w:color w:val="auto"/>
        </w:rPr>
      </w:pPr>
    </w:p>
    <w:p>
      <w:pPr>
        <w:ind w:left="2000" w:hanging="1115"/>
        <w:spacing w:after="0"/>
        <w:tabs>
          <w:tab w:leader="none" w:pos="20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 PARTIES HERETO HEREBY WAIVE TRIAL BY JURY IN ANY ACTION BROUGHT ON OR WITH RESPECT TO THIS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21"/>
          <w:szCs w:val="21"/>
          <w:color w:val="auto"/>
        </w:rPr>
        <w:t>N</w:t>
      </w:r>
      <w:r>
        <w:rPr>
          <w:rFonts w:ascii="Times New Roman" w:cs="Times New Roman" w:eastAsia="Times New Roman" w:hAnsi="Times New Roman"/>
          <w:sz w:val="15"/>
          <w:szCs w:val="15"/>
          <w:color w:val="auto"/>
        </w:rPr>
        <w:t>OTES OR ANY OTHER DOCUMENT EXECUTED IN CONNECTION HEREWITH OR THEREWITH</w:t>
      </w:r>
      <w:r>
        <w:rPr>
          <w:rFonts w:ascii="Times New Roman" w:cs="Times New Roman" w:eastAsia="Times New Roman" w:hAnsi="Times New Roman"/>
          <w:sz w:val="21"/>
          <w:szCs w:val="21"/>
          <w:color w:val="auto"/>
        </w:rPr>
        <w:t>.</w:t>
      </w:r>
    </w:p>
    <w:p>
      <w:pPr>
        <w:spacing w:after="0" w:line="194" w:lineRule="exact"/>
        <w:rPr>
          <w:sz w:val="20"/>
          <w:szCs w:val="20"/>
          <w:color w:val="auto"/>
        </w:rPr>
      </w:pPr>
    </w:p>
    <w:p>
      <w:pPr>
        <w:jc w:val="center"/>
        <w:ind w:right="-19"/>
        <w:spacing w:after="0"/>
        <w:tabs>
          <w:tab w:leader="none" w:pos="200" w:val="left"/>
          <w:tab w:leader="none" w:pos="200" w:val="left"/>
          <w:tab w:leader="none" w:pos="200" w:val="left"/>
          <w:tab w:leader="none" w:pos="180" w:val="left"/>
        </w:tabs>
        <w:rPr>
          <w:sz w:val="20"/>
          <w:szCs w:val="20"/>
          <w:color w:val="auto"/>
        </w:rPr>
      </w:pPr>
      <w:r>
        <w:rPr>
          <w:rFonts w:ascii="Times New Roman" w:cs="Times New Roman" w:eastAsia="Times New Roman" w:hAnsi="Times New Roman"/>
          <w:sz w:val="22"/>
          <w:szCs w:val="22"/>
          <w:color w:val="auto"/>
        </w:rPr>
        <w:t>*</w:t>
        <w:tab/>
        <w:t>*</w:t>
        <w:tab/>
        <w:t>*</w:t>
        <w:tab/>
        <w:t>*</w:t>
        <w:tab/>
        <w: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49</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9" w:name="page60"/>
    <w:bookmarkEnd w:id="59"/>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90" w:lineRule="exact"/>
        <w:rPr>
          <w:sz w:val="20"/>
          <w:szCs w:val="20"/>
          <w:color w:val="auto"/>
        </w:rPr>
      </w:pPr>
    </w:p>
    <w:p>
      <w:pPr>
        <w:ind w:right="20" w:firstLine="877"/>
        <w:spacing w:after="0" w:line="258" w:lineRule="auto"/>
        <w:rPr>
          <w:sz w:val="20"/>
          <w:szCs w:val="20"/>
          <w:color w:val="auto"/>
        </w:rPr>
      </w:pPr>
      <w:r>
        <w:rPr>
          <w:rFonts w:ascii="Times New Roman" w:cs="Times New Roman" w:eastAsia="Times New Roman" w:hAnsi="Times New Roman"/>
          <w:sz w:val="22"/>
          <w:szCs w:val="22"/>
          <w:color w:val="auto"/>
        </w:rPr>
        <w:t>If you are in agreement with the foregoing, please sign the form of agreement on a counterpart of this Agreement and return it to the Company, whereupon this Agreement shall become a binding agreement between you and the Company.</w:t>
      </w:r>
    </w:p>
    <w:p>
      <w:pPr>
        <w:spacing w:after="0" w:line="200" w:lineRule="exact"/>
        <w:rPr>
          <w:sz w:val="20"/>
          <w:szCs w:val="20"/>
          <w:color w:val="auto"/>
        </w:rPr>
      </w:pPr>
    </w:p>
    <w:p>
      <w:pPr>
        <w:spacing w:after="0" w:line="20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ORO</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200" w:lineRule="exact"/>
        <w:rPr>
          <w:sz w:val="20"/>
          <w:szCs w:val="20"/>
          <w:color w:val="auto"/>
        </w:rPr>
      </w:pPr>
    </w:p>
    <w:p>
      <w:pPr>
        <w:spacing w:after="0" w:line="27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By  /s/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-13970</wp:posOffset>
            </wp:positionV>
            <wp:extent cx="12039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3960" cy="8890"/>
                    </a:xfrm>
                    <a:prstGeom prst="rect">
                      <a:avLst/>
                    </a:prstGeom>
                    <a:noFill/>
                  </pic:spPr>
                </pic:pic>
              </a:graphicData>
            </a:graphic>
          </wp:anchor>
        </w:drawing>
      </w:r>
    </w:p>
    <w:p>
      <w:pPr>
        <w:ind w:left="6260"/>
        <w:spacing w:after="0"/>
        <w:rPr>
          <w:sz w:val="20"/>
          <w:szCs w:val="20"/>
          <w:color w:val="auto"/>
        </w:rPr>
      </w:pPr>
      <w:r>
        <w:rPr>
          <w:rFonts w:ascii="Times New Roman" w:cs="Times New Roman" w:eastAsia="Times New Roman" w:hAnsi="Times New Roman"/>
          <w:sz w:val="22"/>
          <w:szCs w:val="22"/>
          <w:color w:val="auto"/>
        </w:rPr>
        <w:t>Name: Renee J. Peterson</w:t>
      </w:r>
    </w:p>
    <w:p>
      <w:pPr>
        <w:ind w:left="6260"/>
        <w:spacing w:after="0" w:line="230" w:lineRule="auto"/>
        <w:rPr>
          <w:sz w:val="20"/>
          <w:szCs w:val="20"/>
          <w:color w:val="auto"/>
        </w:rPr>
      </w:pPr>
      <w:r>
        <w:rPr>
          <w:rFonts w:ascii="Times New Roman" w:cs="Times New Roman" w:eastAsia="Times New Roman" w:hAnsi="Times New Roman"/>
          <w:sz w:val="22"/>
          <w:szCs w:val="22"/>
          <w:color w:val="auto"/>
        </w:rPr>
        <w:t>Title: Vice President, Treasurer and Chief Financial</w:t>
      </w:r>
    </w:p>
    <w:p>
      <w:pPr>
        <w:spacing w:after="0" w:line="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2"/>
          <w:szCs w:val="22"/>
          <w:color w:val="auto"/>
        </w:rPr>
        <w:t>Officer</w:t>
      </w:r>
    </w:p>
    <w:p>
      <w:pPr>
        <w:spacing w:after="0" w:line="200" w:lineRule="exact"/>
        <w:rPr>
          <w:sz w:val="20"/>
          <w:szCs w:val="20"/>
          <w:color w:val="auto"/>
        </w:rPr>
      </w:pPr>
    </w:p>
    <w:p>
      <w:pPr>
        <w:spacing w:after="0" w:line="25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By  /s/ Julie A. Kerekes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-13970</wp:posOffset>
            </wp:positionV>
            <wp:extent cx="11430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ind w:left="6260"/>
        <w:spacing w:after="0"/>
        <w:rPr>
          <w:sz w:val="20"/>
          <w:szCs w:val="20"/>
          <w:color w:val="auto"/>
        </w:rPr>
      </w:pPr>
      <w:r>
        <w:rPr>
          <w:rFonts w:ascii="Times New Roman" w:cs="Times New Roman" w:eastAsia="Times New Roman" w:hAnsi="Times New Roman"/>
          <w:sz w:val="22"/>
          <w:szCs w:val="22"/>
          <w:color w:val="auto"/>
        </w:rPr>
        <w:t>Name: Julie A. Kerekes</w:t>
      </w:r>
    </w:p>
    <w:p>
      <w:pPr>
        <w:ind w:left="6260"/>
        <w:spacing w:after="0" w:line="230" w:lineRule="auto"/>
        <w:rPr>
          <w:sz w:val="20"/>
          <w:szCs w:val="20"/>
          <w:color w:val="auto"/>
        </w:rPr>
      </w:pPr>
      <w:r>
        <w:rPr>
          <w:rFonts w:ascii="Times New Roman" w:cs="Times New Roman" w:eastAsia="Times New Roman" w:hAnsi="Times New Roman"/>
          <w:sz w:val="22"/>
          <w:szCs w:val="22"/>
          <w:color w:val="auto"/>
        </w:rPr>
        <w:t>Title: Managing Director, Tax, Treasury, Risk</w:t>
      </w:r>
    </w:p>
    <w:p>
      <w:pPr>
        <w:ind w:left="6260"/>
        <w:spacing w:after="0" w:line="231" w:lineRule="auto"/>
        <w:rPr>
          <w:sz w:val="20"/>
          <w:szCs w:val="20"/>
          <w:color w:val="auto"/>
        </w:rPr>
      </w:pPr>
      <w:r>
        <w:rPr>
          <w:rFonts w:ascii="Times New Roman" w:cs="Times New Roman" w:eastAsia="Times New Roman" w:hAnsi="Times New Roman"/>
          <w:sz w:val="22"/>
          <w:szCs w:val="22"/>
          <w:color w:val="auto"/>
        </w:rPr>
        <w:t>Management and Financial Services and Assistant</w:t>
      </w:r>
    </w:p>
    <w:p>
      <w:pPr>
        <w:ind w:left="626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50</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0" w:name="page61"/>
    <w:bookmarkEnd w:id="60"/>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ectPr>
          <w:pgSz w:w="11900" w:h="16838" w:orient="portrait"/>
          <w:cols w:equalWidth="0" w:num="1">
            <w:col w:w="11420"/>
          </w:cols>
          <w:pgMar w:left="240" w:top="112" w:right="239" w:bottom="1440" w:gutter="0" w:footer="0" w:header="0"/>
        </w:sectPr>
      </w:pPr>
    </w:p>
    <w:p>
      <w:pPr>
        <w:spacing w:after="0" w:line="2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ASSACHUSETTS</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UTUAL</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IFE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1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Barings LLC as Investment Adviser</w:t>
      </w:r>
    </w:p>
    <w:p>
      <w:pPr>
        <w:spacing w:after="0" w:line="200" w:lineRule="exact"/>
        <w:rPr>
          <w:sz w:val="20"/>
          <w:szCs w:val="20"/>
          <w:color w:val="auto"/>
        </w:rPr>
      </w:pPr>
    </w:p>
    <w:p>
      <w:pPr>
        <w:spacing w:after="0" w:line="25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Moore</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James Moore</w:t>
      </w:r>
    </w:p>
    <w:p>
      <w:pPr>
        <w:ind w:left="59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3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C.M. L</w:t>
      </w:r>
      <w:r>
        <w:rPr>
          <w:rFonts w:ascii="Times New Roman" w:cs="Times New Roman" w:eastAsia="Times New Roman" w:hAnsi="Times New Roman"/>
          <w:sz w:val="14"/>
          <w:szCs w:val="14"/>
          <w:color w:val="auto"/>
        </w:rPr>
        <w:t>IFE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1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Barings LLC as Investment Adviser</w:t>
      </w:r>
    </w:p>
    <w:p>
      <w:pPr>
        <w:spacing w:after="0" w:line="200" w:lineRule="exact"/>
        <w:rPr>
          <w:sz w:val="20"/>
          <w:szCs w:val="20"/>
          <w:color w:val="auto"/>
        </w:rPr>
      </w:pPr>
    </w:p>
    <w:p>
      <w:pPr>
        <w:spacing w:after="0" w:line="25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Moore</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James Moore</w:t>
      </w:r>
    </w:p>
    <w:p>
      <w:pPr>
        <w:ind w:left="59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3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YF L</w:t>
      </w:r>
      <w:r>
        <w:rPr>
          <w:rFonts w:ascii="Times New Roman" w:cs="Times New Roman" w:eastAsia="Times New Roman" w:hAnsi="Times New Roman"/>
          <w:sz w:val="14"/>
          <w:szCs w:val="14"/>
          <w:color w:val="auto"/>
        </w:rPr>
        <w:t>IFE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NTERNATIONAL</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IMITED</w:t>
      </w:r>
    </w:p>
    <w:p>
      <w:pPr>
        <w:spacing w:after="0" w:line="1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Barings LLC as Investment Adviser</w:t>
      </w:r>
    </w:p>
    <w:p>
      <w:pPr>
        <w:spacing w:after="0" w:line="200" w:lineRule="exact"/>
        <w:rPr>
          <w:sz w:val="20"/>
          <w:szCs w:val="20"/>
          <w:color w:val="auto"/>
        </w:rPr>
      </w:pPr>
    </w:p>
    <w:p>
      <w:pPr>
        <w:spacing w:after="0" w:line="25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Moore</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James Moore</w:t>
      </w:r>
    </w:p>
    <w:p>
      <w:pPr>
        <w:ind w:left="59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3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INCOLN</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IFE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1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Barings LLC as Investment Adviser</w:t>
      </w:r>
    </w:p>
    <w:p>
      <w:pPr>
        <w:spacing w:after="0" w:line="200" w:lineRule="exact"/>
        <w:rPr>
          <w:sz w:val="20"/>
          <w:szCs w:val="20"/>
          <w:color w:val="auto"/>
        </w:rPr>
      </w:pPr>
    </w:p>
    <w:p>
      <w:pPr>
        <w:spacing w:after="0" w:line="25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Moore</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James Moore</w:t>
      </w:r>
    </w:p>
    <w:p>
      <w:pPr>
        <w:ind w:left="59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51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61" w:name="page62"/>
    <w:bookmarkEnd w:id="61"/>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ectPr>
          <w:pgSz w:w="11900" w:h="16838" w:orient="portrait"/>
          <w:cols w:equalWidth="0" w:num="1">
            <w:col w:w="11420"/>
          </w:cols>
          <w:pgMar w:left="240" w:top="112" w:right="239" w:bottom="1440" w:gutter="0" w:footer="0" w:header="0"/>
        </w:sectPr>
      </w:pPr>
    </w:p>
    <w:p>
      <w:pPr>
        <w:spacing w:after="0" w:line="2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EW</w:t>
      </w:r>
      <w:r>
        <w:rPr>
          <w:rFonts w:ascii="Times New Roman" w:cs="Times New Roman" w:eastAsia="Times New Roman" w:hAnsi="Times New Roman"/>
          <w:sz w:val="22"/>
          <w:szCs w:val="22"/>
          <w:color w:val="auto"/>
        </w:rPr>
        <w:t xml:space="preserve"> Y</w:t>
      </w:r>
      <w:r>
        <w:rPr>
          <w:rFonts w:ascii="Times New Roman" w:cs="Times New Roman" w:eastAsia="Times New Roman" w:hAnsi="Times New Roman"/>
          <w:sz w:val="14"/>
          <w:szCs w:val="14"/>
          <w:color w:val="auto"/>
        </w:rPr>
        <w:t>ORK</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IFE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200" w:lineRule="exact"/>
        <w:rPr>
          <w:sz w:val="20"/>
          <w:szCs w:val="20"/>
          <w:color w:val="auto"/>
        </w:rPr>
      </w:pPr>
    </w:p>
    <w:p>
      <w:pPr>
        <w:spacing w:after="0" w:line="2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Clara Fagan</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Clara Fagan</w:t>
      </w:r>
    </w:p>
    <w:p>
      <w:pPr>
        <w:ind w:left="5900"/>
        <w:spacing w:after="0"/>
        <w:rPr>
          <w:sz w:val="20"/>
          <w:szCs w:val="20"/>
          <w:color w:val="auto"/>
        </w:rPr>
      </w:pPr>
      <w:r>
        <w:rPr>
          <w:rFonts w:ascii="Times New Roman" w:cs="Times New Roman" w:eastAsia="Times New Roman" w:hAnsi="Times New Roman"/>
          <w:sz w:val="22"/>
          <w:szCs w:val="22"/>
          <w:color w:val="auto"/>
        </w:rPr>
        <w:t>Title: Corporate Vice President</w:t>
      </w:r>
    </w:p>
    <w:p>
      <w:pPr>
        <w:spacing w:after="0" w:line="3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EW</w:t>
      </w:r>
      <w:r>
        <w:rPr>
          <w:rFonts w:ascii="Times New Roman" w:cs="Times New Roman" w:eastAsia="Times New Roman" w:hAnsi="Times New Roman"/>
          <w:sz w:val="22"/>
          <w:szCs w:val="22"/>
          <w:color w:val="auto"/>
        </w:rPr>
        <w:t xml:space="preserve"> Y</w:t>
      </w:r>
      <w:r>
        <w:rPr>
          <w:rFonts w:ascii="Times New Roman" w:cs="Times New Roman" w:eastAsia="Times New Roman" w:hAnsi="Times New Roman"/>
          <w:sz w:val="14"/>
          <w:szCs w:val="14"/>
          <w:color w:val="auto"/>
        </w:rPr>
        <w:t>ORK</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IFE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 AND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NNUITY</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ORPORATION</w:t>
      </w:r>
    </w:p>
    <w:p>
      <w:pPr>
        <w:spacing w:after="0" w:line="23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By: NYL Investors LLC, its Investment Manager</w:t>
      </w:r>
    </w:p>
    <w:p>
      <w:pPr>
        <w:spacing w:after="0" w:line="200" w:lineRule="exact"/>
        <w:rPr>
          <w:sz w:val="20"/>
          <w:szCs w:val="20"/>
          <w:color w:val="auto"/>
        </w:rPr>
      </w:pPr>
    </w:p>
    <w:p>
      <w:pPr>
        <w:spacing w:after="0" w:line="2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Clara Fagan</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Clara Fagan</w:t>
      </w:r>
    </w:p>
    <w:p>
      <w:pPr>
        <w:ind w:left="5900"/>
        <w:spacing w:after="0"/>
        <w:rPr>
          <w:sz w:val="20"/>
          <w:szCs w:val="20"/>
          <w:color w:val="auto"/>
        </w:rPr>
      </w:pPr>
      <w:r>
        <w:rPr>
          <w:rFonts w:ascii="Times New Roman" w:cs="Times New Roman" w:eastAsia="Times New Roman" w:hAnsi="Times New Roman"/>
          <w:sz w:val="22"/>
          <w:szCs w:val="22"/>
          <w:color w:val="auto"/>
        </w:rPr>
        <w:t>Title: Director</w:t>
      </w:r>
    </w:p>
    <w:p>
      <w:pPr>
        <w:spacing w:after="0" w:line="39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EW</w:t>
      </w:r>
      <w:r>
        <w:rPr>
          <w:rFonts w:ascii="Times New Roman" w:cs="Times New Roman" w:eastAsia="Times New Roman" w:hAnsi="Times New Roman"/>
          <w:sz w:val="22"/>
          <w:szCs w:val="22"/>
          <w:color w:val="auto"/>
        </w:rPr>
        <w:t xml:space="preserve"> Y</w:t>
      </w:r>
      <w:r>
        <w:rPr>
          <w:rFonts w:ascii="Times New Roman" w:cs="Times New Roman" w:eastAsia="Times New Roman" w:hAnsi="Times New Roman"/>
          <w:sz w:val="14"/>
          <w:szCs w:val="14"/>
          <w:color w:val="auto"/>
        </w:rPr>
        <w:t>ORK</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IFE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 AND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NNUITY</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ORPORATION</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NSTITUTIONALLY</w:t>
      </w:r>
    </w:p>
    <w:p>
      <w:pPr>
        <w:spacing w:after="0" w:line="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O</w:t>
      </w:r>
      <w:r>
        <w:rPr>
          <w:rFonts w:ascii="Times New Roman" w:cs="Times New Roman" w:eastAsia="Times New Roman" w:hAnsi="Times New Roman"/>
          <w:sz w:val="14"/>
          <w:szCs w:val="14"/>
          <w:color w:val="auto"/>
        </w:rPr>
        <w:t>WNED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IFE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EPARATE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CCOUNT</w:t>
      </w:r>
      <w:r>
        <w:rPr>
          <w:rFonts w:ascii="Times New Roman" w:cs="Times New Roman" w:eastAsia="Times New Roman" w:hAnsi="Times New Roman"/>
          <w:sz w:val="22"/>
          <w:szCs w:val="22"/>
          <w:color w:val="auto"/>
        </w:rPr>
        <w:t xml:space="preserve"> (BOLI 30C)</w:t>
      </w:r>
    </w:p>
    <w:p>
      <w:pPr>
        <w:spacing w:after="0" w:line="20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By: NYL Investors LLC, its Investment Manager</w:t>
      </w:r>
    </w:p>
    <w:p>
      <w:pPr>
        <w:spacing w:after="0" w:line="200" w:lineRule="exact"/>
        <w:rPr>
          <w:sz w:val="20"/>
          <w:szCs w:val="20"/>
          <w:color w:val="auto"/>
        </w:rPr>
      </w:pPr>
    </w:p>
    <w:p>
      <w:pPr>
        <w:spacing w:after="0" w:line="2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Clara Fagan</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Clara Fagan</w:t>
      </w:r>
    </w:p>
    <w:p>
      <w:pPr>
        <w:ind w:left="59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5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EW</w:t>
      </w:r>
      <w:r>
        <w:rPr>
          <w:rFonts w:ascii="Times New Roman" w:cs="Times New Roman" w:eastAsia="Times New Roman" w:hAnsi="Times New Roman"/>
          <w:sz w:val="22"/>
          <w:szCs w:val="22"/>
          <w:color w:val="auto"/>
        </w:rPr>
        <w:t xml:space="preserve"> Y</w:t>
      </w:r>
      <w:r>
        <w:rPr>
          <w:rFonts w:ascii="Times New Roman" w:cs="Times New Roman" w:eastAsia="Times New Roman" w:hAnsi="Times New Roman"/>
          <w:sz w:val="14"/>
          <w:szCs w:val="14"/>
          <w:color w:val="auto"/>
        </w:rPr>
        <w:t>ORK</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IFE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 AND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NNUITY</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ORPORATION</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NSTITUTIONALLY</w:t>
      </w:r>
    </w:p>
    <w:p>
      <w:pPr>
        <w:spacing w:after="0" w:line="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O</w:t>
      </w:r>
      <w:r>
        <w:rPr>
          <w:rFonts w:ascii="Times New Roman" w:cs="Times New Roman" w:eastAsia="Times New Roman" w:hAnsi="Times New Roman"/>
          <w:sz w:val="14"/>
          <w:szCs w:val="14"/>
          <w:color w:val="auto"/>
        </w:rPr>
        <w:t>WNED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IFE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EPARATE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CCOUNT</w:t>
      </w:r>
      <w:r>
        <w:rPr>
          <w:rFonts w:ascii="Times New Roman" w:cs="Times New Roman" w:eastAsia="Times New Roman" w:hAnsi="Times New Roman"/>
          <w:sz w:val="22"/>
          <w:szCs w:val="22"/>
          <w:color w:val="auto"/>
        </w:rPr>
        <w:t xml:space="preserve"> (BOLI 3-2)</w:t>
      </w:r>
    </w:p>
    <w:p>
      <w:pPr>
        <w:spacing w:after="0" w:line="20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By: NYL Investors LLC, its Investment Manager</w:t>
      </w:r>
    </w:p>
    <w:p>
      <w:pPr>
        <w:spacing w:after="0" w:line="200" w:lineRule="exact"/>
        <w:rPr>
          <w:sz w:val="20"/>
          <w:szCs w:val="20"/>
          <w:color w:val="auto"/>
        </w:rPr>
      </w:pPr>
    </w:p>
    <w:p>
      <w:pPr>
        <w:spacing w:after="0" w:line="2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Clara Fagan</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Clara Fagan</w:t>
      </w:r>
    </w:p>
    <w:p>
      <w:pPr>
        <w:ind w:left="59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52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62" w:name="page63"/>
    <w:bookmarkEnd w:id="62"/>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ectPr>
          <w:pgSz w:w="11900" w:h="16838" w:orient="portrait"/>
          <w:cols w:equalWidth="0" w:num="1">
            <w:col w:w="11420"/>
          </w:cols>
          <w:pgMar w:left="240" w:top="112" w:right="239" w:bottom="1440" w:gutter="0" w:footer="0" w:header="0"/>
        </w:sectPr>
      </w:pPr>
    </w:p>
    <w:p>
      <w:pPr>
        <w:spacing w:after="0" w:line="2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EW</w:t>
      </w:r>
      <w:r>
        <w:rPr>
          <w:rFonts w:ascii="Times New Roman" w:cs="Times New Roman" w:eastAsia="Times New Roman" w:hAnsi="Times New Roman"/>
          <w:sz w:val="22"/>
          <w:szCs w:val="22"/>
          <w:color w:val="auto"/>
        </w:rPr>
        <w:t xml:space="preserve"> Y</w:t>
      </w:r>
      <w:r>
        <w:rPr>
          <w:rFonts w:ascii="Times New Roman" w:cs="Times New Roman" w:eastAsia="Times New Roman" w:hAnsi="Times New Roman"/>
          <w:sz w:val="14"/>
          <w:szCs w:val="14"/>
          <w:color w:val="auto"/>
        </w:rPr>
        <w:t>ORK</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IFE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 AND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NNUITY</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ORPORATION</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NSTITUTIONALLY</w:t>
      </w:r>
    </w:p>
    <w:p>
      <w:pPr>
        <w:spacing w:after="0" w:line="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O</w:t>
      </w:r>
      <w:r>
        <w:rPr>
          <w:rFonts w:ascii="Times New Roman" w:cs="Times New Roman" w:eastAsia="Times New Roman" w:hAnsi="Times New Roman"/>
          <w:sz w:val="14"/>
          <w:szCs w:val="14"/>
          <w:color w:val="auto"/>
        </w:rPr>
        <w:t>WNED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IFE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EPARATE</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CCOUNT</w:t>
      </w:r>
      <w:r>
        <w:rPr>
          <w:rFonts w:ascii="Times New Roman" w:cs="Times New Roman" w:eastAsia="Times New Roman" w:hAnsi="Times New Roman"/>
          <w:sz w:val="22"/>
          <w:szCs w:val="22"/>
          <w:color w:val="auto"/>
        </w:rPr>
        <w:t xml:space="preserve"> (BOLI3)</w:t>
      </w:r>
    </w:p>
    <w:p>
      <w:pPr>
        <w:spacing w:after="0" w:line="20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By: NYL Investors LLC, its Investment Manager</w:t>
      </w:r>
    </w:p>
    <w:p>
      <w:pPr>
        <w:spacing w:after="0" w:line="200" w:lineRule="exact"/>
        <w:rPr>
          <w:sz w:val="20"/>
          <w:szCs w:val="20"/>
          <w:color w:val="auto"/>
        </w:rPr>
      </w:pPr>
    </w:p>
    <w:p>
      <w:pPr>
        <w:spacing w:after="0" w:line="2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Clara Fagan</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Clara Fagan</w:t>
      </w:r>
    </w:p>
    <w:p>
      <w:pPr>
        <w:ind w:left="5900"/>
        <w:spacing w:after="0"/>
        <w:rPr>
          <w:sz w:val="20"/>
          <w:szCs w:val="20"/>
          <w:color w:val="auto"/>
        </w:rPr>
      </w:pPr>
      <w:r>
        <w:rPr>
          <w:rFonts w:ascii="Times New Roman" w:cs="Times New Roman" w:eastAsia="Times New Roman" w:hAnsi="Times New Roman"/>
          <w:sz w:val="22"/>
          <w:szCs w:val="22"/>
          <w:color w:val="auto"/>
        </w:rPr>
        <w:t>Title: Director</w:t>
      </w:r>
    </w:p>
    <w:p>
      <w:pPr>
        <w:spacing w:after="0" w:line="398" w:lineRule="exact"/>
        <w:rPr>
          <w:sz w:val="20"/>
          <w:szCs w:val="20"/>
          <w:color w:val="auto"/>
        </w:rPr>
      </w:pPr>
    </w:p>
    <w:p>
      <w:pPr>
        <w:ind w:left="5380"/>
        <w:spacing w:after="0"/>
        <w:tabs>
          <w:tab w:leader="none" w:pos="6000" w:val="left"/>
          <w:tab w:leader="none" w:pos="6820" w:val="left"/>
          <w:tab w:leader="none" w:pos="7320" w:val="left"/>
          <w:tab w:leader="none" w:pos="8020" w:val="left"/>
          <w:tab w:leader="none" w:pos="8860" w:val="left"/>
          <w:tab w:leader="none" w:pos="10020" w:val="left"/>
          <w:tab w:leader="none" w:pos="10400" w:val="left"/>
        </w:tabs>
        <w:rPr>
          <w:sz w:val="20"/>
          <w:szCs w:val="20"/>
          <w:color w:val="auto"/>
        </w:rPr>
      </w:pPr>
      <w:r>
        <w:rPr>
          <w:rFonts w:ascii="Times New Roman" w:cs="Times New Roman" w:eastAsia="Times New Roman" w:hAnsi="Times New Roman"/>
          <w:sz w:val="22"/>
          <w:szCs w:val="22"/>
          <w:color w:val="auto"/>
        </w:rPr>
        <w:t>THE</w:t>
        <w:tab/>
        <w:t>BANK</w:t>
        <w:tab/>
        <w:t>OF</w:t>
        <w:tab/>
        <w:t>NEW</w:t>
        <w:tab/>
        <w:t>YORK</w:t>
        <w:tab/>
        <w:t>MELLON,</w:t>
        <w:tab/>
        <w:t>A</w:t>
      </w:r>
      <w:r>
        <w:rPr>
          <w:sz w:val="20"/>
          <w:szCs w:val="20"/>
          <w:color w:val="auto"/>
        </w:rPr>
        <w:tab/>
      </w:r>
      <w:r>
        <w:rPr>
          <w:rFonts w:ascii="Times New Roman" w:cs="Times New Roman" w:eastAsia="Times New Roman" w:hAnsi="Times New Roman"/>
          <w:sz w:val="21"/>
          <w:szCs w:val="21"/>
          <w:color w:val="auto"/>
        </w:rPr>
        <w:t>BANKING</w:t>
      </w:r>
    </w:p>
    <w:p>
      <w:pPr>
        <w:spacing w:after="0" w:line="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CORPORATION ORGANIZED UNDER THE LAWS OF NEW</w:t>
      </w:r>
    </w:p>
    <w:p>
      <w:pPr>
        <w:ind w:left="5500"/>
        <w:spacing w:after="0" w:line="230" w:lineRule="auto"/>
        <w:rPr>
          <w:sz w:val="20"/>
          <w:szCs w:val="20"/>
          <w:color w:val="auto"/>
        </w:rPr>
      </w:pPr>
      <w:r>
        <w:rPr>
          <w:rFonts w:ascii="Times New Roman" w:cs="Times New Roman" w:eastAsia="Times New Roman" w:hAnsi="Times New Roman"/>
          <w:sz w:val="22"/>
          <w:szCs w:val="22"/>
          <w:color w:val="auto"/>
        </w:rPr>
        <w:t>YORK, NOT IN ITS INDIVIDUAL CAPACITY BUT SOLELY</w:t>
      </w:r>
    </w:p>
    <w:p>
      <w:pPr>
        <w:spacing w:after="0" w:line="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AS TRUSTEE UNDER THAT CERTAIN TRUST AGREEMENT</w:t>
      </w:r>
    </w:p>
    <w:p>
      <w:pPr>
        <w:ind w:left="5500"/>
        <w:spacing w:after="0" w:line="232" w:lineRule="auto"/>
        <w:rPr>
          <w:sz w:val="20"/>
          <w:szCs w:val="20"/>
          <w:color w:val="auto"/>
        </w:rPr>
      </w:pPr>
      <w:r>
        <w:rPr>
          <w:rFonts w:ascii="Times New Roman" w:cs="Times New Roman" w:eastAsia="Times New Roman" w:hAnsi="Times New Roman"/>
          <w:sz w:val="22"/>
          <w:szCs w:val="22"/>
          <w:color w:val="auto"/>
        </w:rPr>
        <w:t>DATED AS OF JULY 1ST, 2015 BETWEEN NEW YORK LIFE</w:t>
      </w:r>
    </w:p>
    <w:p>
      <w:pPr>
        <w:jc w:val="right"/>
        <w:spacing w:after="0" w:line="230" w:lineRule="auto"/>
        <w:rPr>
          <w:sz w:val="20"/>
          <w:szCs w:val="20"/>
          <w:color w:val="auto"/>
        </w:rPr>
      </w:pPr>
      <w:r>
        <w:rPr>
          <w:rFonts w:ascii="Times New Roman" w:cs="Times New Roman" w:eastAsia="Times New Roman" w:hAnsi="Times New Roman"/>
          <w:sz w:val="22"/>
          <w:szCs w:val="22"/>
          <w:color w:val="auto"/>
        </w:rPr>
        <w:t>INSURANCE COMPANY, AS GRANTOR, JOHN HANCOCK</w:t>
      </w:r>
    </w:p>
    <w:p>
      <w:pPr>
        <w:ind w:left="5500"/>
        <w:spacing w:after="0" w:line="231" w:lineRule="auto"/>
        <w:rPr>
          <w:sz w:val="20"/>
          <w:szCs w:val="20"/>
          <w:color w:val="auto"/>
        </w:rPr>
      </w:pPr>
      <w:r>
        <w:rPr>
          <w:rFonts w:ascii="Times New Roman" w:cs="Times New Roman" w:eastAsia="Times New Roman" w:hAnsi="Times New Roman"/>
          <w:sz w:val="22"/>
          <w:szCs w:val="22"/>
          <w:color w:val="auto"/>
        </w:rPr>
        <w:t>LIFE INSURANCE COMPANY (U.S.A.), AS BENEFICIARY,</w:t>
      </w:r>
    </w:p>
    <w:p>
      <w:pPr>
        <w:ind w:left="5500"/>
        <w:spacing w:after="0" w:line="231" w:lineRule="auto"/>
        <w:rPr>
          <w:sz w:val="20"/>
          <w:szCs w:val="20"/>
          <w:color w:val="auto"/>
        </w:rPr>
      </w:pPr>
      <w:r>
        <w:rPr>
          <w:rFonts w:ascii="Times New Roman" w:cs="Times New Roman" w:eastAsia="Times New Roman" w:hAnsi="Times New Roman"/>
          <w:sz w:val="22"/>
          <w:szCs w:val="22"/>
          <w:color w:val="auto"/>
        </w:rPr>
        <w:t>JOHN HANCOCK LIFE INSURANCE COMPANY OF NEW</w:t>
      </w:r>
    </w:p>
    <w:p>
      <w:pPr>
        <w:ind w:left="5500"/>
        <w:spacing w:after="0" w:line="230" w:lineRule="auto"/>
        <w:rPr>
          <w:sz w:val="20"/>
          <w:szCs w:val="20"/>
          <w:color w:val="auto"/>
        </w:rPr>
      </w:pPr>
      <w:r>
        <w:rPr>
          <w:rFonts w:ascii="Times New Roman" w:cs="Times New Roman" w:eastAsia="Times New Roman" w:hAnsi="Times New Roman"/>
          <w:sz w:val="22"/>
          <w:szCs w:val="22"/>
          <w:color w:val="auto"/>
        </w:rPr>
        <w:t>YORK, AS BENEFICIARY, AND THE BANK OF NEW YORK</w:t>
      </w:r>
    </w:p>
    <w:p>
      <w:pPr>
        <w:spacing w:after="0" w:line="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MELLON, AS TRUSTEE</w:t>
      </w:r>
    </w:p>
    <w:p>
      <w:pPr>
        <w:spacing w:after="0" w:line="209" w:lineRule="exact"/>
        <w:rPr>
          <w:sz w:val="20"/>
          <w:szCs w:val="20"/>
          <w:color w:val="auto"/>
        </w:rPr>
      </w:pPr>
    </w:p>
    <w:p>
      <w:pPr>
        <w:ind w:left="5260"/>
        <w:spacing w:after="0"/>
        <w:tabs>
          <w:tab w:leader="none" w:pos="5780" w:val="left"/>
        </w:tabs>
        <w:rPr>
          <w:sz w:val="20"/>
          <w:szCs w:val="20"/>
          <w:color w:val="auto"/>
        </w:rPr>
      </w:pPr>
      <w:r>
        <w:rPr>
          <w:rFonts w:ascii="Times New Roman" w:cs="Times New Roman" w:eastAsia="Times New Roman" w:hAnsi="Times New Roman"/>
          <w:sz w:val="22"/>
          <w:szCs w:val="22"/>
          <w:color w:val="auto"/>
        </w:rPr>
        <w:t>By:</w:t>
        <w:tab/>
        <w:t>New York Life Insurance Company, its attorney-in-fact</w:t>
      </w:r>
    </w:p>
    <w:p>
      <w:pPr>
        <w:spacing w:after="0" w:line="200" w:lineRule="exact"/>
        <w:rPr>
          <w:sz w:val="20"/>
          <w:szCs w:val="20"/>
          <w:color w:val="auto"/>
        </w:rPr>
      </w:pPr>
    </w:p>
    <w:p>
      <w:pPr>
        <w:spacing w:after="0" w:line="2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Clara Fagan</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Clara Fagan</w:t>
      </w:r>
    </w:p>
    <w:p>
      <w:pPr>
        <w:ind w:left="5900"/>
        <w:spacing w:after="0"/>
        <w:rPr>
          <w:sz w:val="20"/>
          <w:szCs w:val="20"/>
          <w:color w:val="auto"/>
        </w:rPr>
      </w:pPr>
      <w:r>
        <w:rPr>
          <w:rFonts w:ascii="Times New Roman" w:cs="Times New Roman" w:eastAsia="Times New Roman" w:hAnsi="Times New Roman"/>
          <w:sz w:val="22"/>
          <w:szCs w:val="22"/>
          <w:color w:val="auto"/>
        </w:rPr>
        <w:t>Title: Corporate Vice President</w:t>
      </w:r>
    </w:p>
    <w:p>
      <w:pPr>
        <w:spacing w:after="0" w:line="200" w:lineRule="exact"/>
        <w:rPr>
          <w:sz w:val="20"/>
          <w:szCs w:val="20"/>
          <w:color w:val="auto"/>
        </w:rPr>
      </w:pPr>
    </w:p>
    <w:p>
      <w:pPr>
        <w:spacing w:after="0" w:line="25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OMP</w:t>
      </w: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OURCE</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UTUAL</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23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By: NYL Investors LLC, its Investment Manager</w:t>
      </w:r>
    </w:p>
    <w:p>
      <w:pPr>
        <w:spacing w:after="0" w:line="200" w:lineRule="exact"/>
        <w:rPr>
          <w:sz w:val="20"/>
          <w:szCs w:val="20"/>
          <w:color w:val="auto"/>
        </w:rPr>
      </w:pPr>
    </w:p>
    <w:p>
      <w:pPr>
        <w:spacing w:after="0" w:line="2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Clara Fagan</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Clara Fagan</w:t>
      </w:r>
    </w:p>
    <w:p>
      <w:pPr>
        <w:ind w:left="59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53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63" w:name="page64"/>
    <w:bookmarkEnd w:id="63"/>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ectPr>
          <w:pgSz w:w="11900" w:h="16838" w:orient="portrait"/>
          <w:cols w:equalWidth="0" w:num="1">
            <w:col w:w="11420"/>
          </w:cols>
          <w:pgMar w:left="240" w:top="112" w:right="239" w:bottom="1440" w:gutter="0" w:footer="0" w:header="0"/>
        </w:sectPr>
      </w:pPr>
    </w:p>
    <w:p>
      <w:pPr>
        <w:spacing w:after="0" w:line="2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RUDENTIAL</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 OF</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MERICA</w:t>
      </w:r>
    </w:p>
    <w:p>
      <w:pPr>
        <w:spacing w:after="0" w:line="200" w:lineRule="exact"/>
        <w:rPr>
          <w:sz w:val="20"/>
          <w:szCs w:val="20"/>
          <w:color w:val="auto"/>
        </w:rPr>
      </w:pPr>
    </w:p>
    <w:p>
      <w:pPr>
        <w:spacing w:after="0" w:line="276" w:lineRule="exact"/>
        <w:rPr>
          <w:sz w:val="20"/>
          <w:szCs w:val="20"/>
          <w:color w:val="auto"/>
        </w:rPr>
      </w:pPr>
    </w:p>
    <w:p>
      <w:pPr>
        <w:jc w:val="right"/>
        <w:ind w:right="43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Anna Sabiston</w:t>
      </w:r>
    </w:p>
    <w:p>
      <w:pPr>
        <w:spacing w:after="0" w:line="14" w:lineRule="exact"/>
        <w:rPr>
          <w:sz w:val="20"/>
          <w:szCs w:val="20"/>
          <w:color w:val="auto"/>
        </w:rPr>
      </w:pPr>
    </w:p>
    <w:p>
      <w:pPr>
        <w:jc w:val="right"/>
        <w:ind w:right="4260"/>
        <w:spacing w:after="0"/>
        <w:rPr>
          <w:sz w:val="20"/>
          <w:szCs w:val="20"/>
          <w:color w:val="auto"/>
        </w:rPr>
      </w:pPr>
      <w:r>
        <w:rPr>
          <w:rFonts w:ascii="Times New Roman" w:cs="Times New Roman" w:eastAsia="Times New Roman" w:hAnsi="Times New Roman"/>
          <w:sz w:val="22"/>
          <w:szCs w:val="22"/>
          <w:color w:val="auto"/>
        </w:rPr>
        <w:t>Vice President</w:t>
      </w:r>
    </w:p>
    <w:p>
      <w:pPr>
        <w:spacing w:after="0" w:line="3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IBRALTAR</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IFE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w:t>
      </w:r>
      <w:r>
        <w:rPr>
          <w:rFonts w:ascii="Times New Roman" w:cs="Times New Roman" w:eastAsia="Times New Roman" w:hAnsi="Times New Roman"/>
          <w:sz w:val="22"/>
          <w:szCs w:val="22"/>
          <w:color w:val="auto"/>
        </w:rPr>
        <w:t>., L</w:t>
      </w:r>
      <w:r>
        <w:rPr>
          <w:rFonts w:ascii="Times New Roman" w:cs="Times New Roman" w:eastAsia="Times New Roman" w:hAnsi="Times New Roman"/>
          <w:sz w:val="14"/>
          <w:szCs w:val="14"/>
          <w:color w:val="auto"/>
        </w:rPr>
        <w:t>TD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1"/>
          <w:szCs w:val="21"/>
          <w:color w:val="auto"/>
        </w:rPr>
        <w:t>By: Prudential Investment Management Japan Co., Ltd. (as</w:t>
      </w:r>
    </w:p>
    <w:p>
      <w:pPr>
        <w:spacing w:after="0" w:line="2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Investment Manager)</w:t>
      </w:r>
    </w:p>
    <w:p>
      <w:pPr>
        <w:spacing w:after="0" w:line="20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By: PGIM, Inc. (as Sub-Adviser)</w:t>
      </w:r>
    </w:p>
    <w:p>
      <w:pPr>
        <w:spacing w:after="0" w:line="200" w:lineRule="exact"/>
        <w:rPr>
          <w:sz w:val="20"/>
          <w:szCs w:val="20"/>
          <w:color w:val="auto"/>
        </w:rPr>
      </w:pPr>
    </w:p>
    <w:p>
      <w:pPr>
        <w:spacing w:after="0" w:line="276" w:lineRule="exact"/>
        <w:rPr>
          <w:sz w:val="20"/>
          <w:szCs w:val="20"/>
          <w:color w:val="auto"/>
        </w:rPr>
      </w:pPr>
    </w:p>
    <w:p>
      <w:pPr>
        <w:jc w:val="right"/>
        <w:ind w:right="43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Anna Sabiston</w:t>
      </w:r>
    </w:p>
    <w:p>
      <w:pPr>
        <w:spacing w:after="0" w:line="14" w:lineRule="exact"/>
        <w:rPr>
          <w:sz w:val="20"/>
          <w:szCs w:val="20"/>
          <w:color w:val="auto"/>
        </w:rPr>
      </w:pPr>
    </w:p>
    <w:p>
      <w:pPr>
        <w:jc w:val="right"/>
        <w:ind w:right="4260"/>
        <w:spacing w:after="0"/>
        <w:rPr>
          <w:sz w:val="20"/>
          <w:szCs w:val="20"/>
          <w:color w:val="auto"/>
        </w:rPr>
      </w:pPr>
      <w:r>
        <w:rPr>
          <w:rFonts w:ascii="Times New Roman" w:cs="Times New Roman" w:eastAsia="Times New Roman" w:hAnsi="Times New Roman"/>
          <w:sz w:val="22"/>
          <w:szCs w:val="22"/>
          <w:color w:val="auto"/>
        </w:rPr>
        <w:t>Vice President</w:t>
      </w:r>
    </w:p>
    <w:p>
      <w:pPr>
        <w:spacing w:after="0" w:line="3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ENSIONSKASSE DES</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14"/>
          <w:szCs w:val="14"/>
          <w:color w:val="auto"/>
        </w:rPr>
        <w:t>UNDES</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UBLICA</w:t>
      </w:r>
    </w:p>
    <w:p>
      <w:pPr>
        <w:spacing w:after="0" w:line="233"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22"/>
          <w:szCs w:val="22"/>
          <w:color w:val="auto"/>
        </w:rPr>
        <w:t>By: Pricoa Capital Group Limited (as Investment Manager)</w:t>
      </w:r>
    </w:p>
    <w:p>
      <w:pPr>
        <w:spacing w:after="0" w:line="200" w:lineRule="exact"/>
        <w:rPr>
          <w:sz w:val="20"/>
          <w:szCs w:val="20"/>
          <w:color w:val="auto"/>
        </w:rPr>
      </w:pPr>
    </w:p>
    <w:p>
      <w:pPr>
        <w:spacing w:after="0" w:line="2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Edward Jolly</w:t>
      </w:r>
    </w:p>
    <w:p>
      <w:pPr>
        <w:spacing w:after="0" w:line="1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54</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64" w:name="page65"/>
    <w:bookmarkEnd w:id="64"/>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ectPr>
          <w:pgSz w:w="11900" w:h="16838" w:orient="portrait"/>
          <w:cols w:equalWidth="0" w:num="1">
            <w:col w:w="11420"/>
          </w:cols>
          <w:pgMar w:left="240" w:top="112" w:right="239" w:bottom="1440" w:gutter="0" w:footer="0" w:header="0"/>
        </w:sectPr>
      </w:pPr>
    </w:p>
    <w:p>
      <w:pPr>
        <w:spacing w:after="0" w:line="2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TATE</w:t>
      </w:r>
      <w:r>
        <w:rPr>
          <w:rFonts w:ascii="Times New Roman" w:cs="Times New Roman" w:eastAsia="Times New Roman" w:hAnsi="Times New Roman"/>
          <w:sz w:val="22"/>
          <w:szCs w:val="22"/>
          <w:color w:val="auto"/>
        </w:rPr>
        <w:t xml:space="preserve"> F</w:t>
      </w:r>
      <w:r>
        <w:rPr>
          <w:rFonts w:ascii="Times New Roman" w:cs="Times New Roman" w:eastAsia="Times New Roman" w:hAnsi="Times New Roman"/>
          <w:sz w:val="14"/>
          <w:szCs w:val="14"/>
          <w:color w:val="auto"/>
        </w:rPr>
        <w:t>ARM</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IFE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200" w:lineRule="exact"/>
        <w:rPr>
          <w:sz w:val="20"/>
          <w:szCs w:val="20"/>
          <w:color w:val="auto"/>
        </w:rPr>
      </w:pPr>
    </w:p>
    <w:p>
      <w:pPr>
        <w:spacing w:after="0" w:line="2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Julie Hoyer</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Julie Hoyer</w:t>
      </w:r>
    </w:p>
    <w:p>
      <w:pPr>
        <w:ind w:left="5900"/>
        <w:spacing w:after="0"/>
        <w:rPr>
          <w:sz w:val="20"/>
          <w:szCs w:val="20"/>
          <w:color w:val="auto"/>
        </w:rPr>
      </w:pPr>
      <w:r>
        <w:rPr>
          <w:rFonts w:ascii="Times New Roman" w:cs="Times New Roman" w:eastAsia="Times New Roman" w:hAnsi="Times New Roman"/>
          <w:sz w:val="22"/>
          <w:szCs w:val="22"/>
          <w:color w:val="auto"/>
        </w:rPr>
        <w:t>Title: Investment Executive</w:t>
      </w:r>
    </w:p>
    <w:p>
      <w:pPr>
        <w:spacing w:after="0" w:line="200" w:lineRule="exact"/>
        <w:rPr>
          <w:sz w:val="20"/>
          <w:szCs w:val="20"/>
          <w:color w:val="auto"/>
        </w:rPr>
      </w:pPr>
    </w:p>
    <w:p>
      <w:pPr>
        <w:spacing w:after="0" w:line="25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Rebekah L. Holt</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Rebekah L. Holt</w:t>
      </w:r>
    </w:p>
    <w:p>
      <w:pPr>
        <w:jc w:val="right"/>
        <w:ind w:right="2860"/>
        <w:spacing w:after="0"/>
        <w:rPr>
          <w:sz w:val="20"/>
          <w:szCs w:val="20"/>
          <w:color w:val="auto"/>
        </w:rPr>
      </w:pPr>
      <w:r>
        <w:rPr>
          <w:rFonts w:ascii="Times New Roman" w:cs="Times New Roman" w:eastAsia="Times New Roman" w:hAnsi="Times New Roman"/>
          <w:sz w:val="22"/>
          <w:szCs w:val="22"/>
          <w:color w:val="auto"/>
        </w:rPr>
        <w:t>Title: Investment Professional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55</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65" w:name="page66"/>
    <w:bookmarkEnd w:id="65"/>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ectPr>
          <w:pgSz w:w="11900" w:h="16838" w:orient="portrait"/>
          <w:cols w:equalWidth="0" w:num="1">
            <w:col w:w="11420"/>
          </w:cols>
          <w:pgMar w:left="240" w:top="112" w:right="239" w:bottom="1440" w:gutter="0" w:footer="0" w:header="0"/>
        </w:sectPr>
      </w:pPr>
    </w:p>
    <w:p>
      <w:pPr>
        <w:spacing w:after="0" w:line="2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jc w:val="right"/>
        <w:ind w:right="2480"/>
        <w:spacing w:after="0"/>
        <w:rPr>
          <w:sz w:val="20"/>
          <w:szCs w:val="20"/>
          <w:color w:val="auto"/>
        </w:rPr>
      </w:pPr>
      <w:r>
        <w:rPr>
          <w:rFonts w:ascii="Times New Roman" w:cs="Times New Roman" w:eastAsia="Times New Roman" w:hAnsi="Times New Roman"/>
          <w:sz w:val="22"/>
          <w:szCs w:val="22"/>
          <w:color w:val="auto"/>
        </w:rPr>
        <w:t>U</w:t>
      </w:r>
      <w:r>
        <w:rPr>
          <w:rFonts w:ascii="Times New Roman" w:cs="Times New Roman" w:eastAsia="Times New Roman" w:hAnsi="Times New Roman"/>
          <w:sz w:val="14"/>
          <w:szCs w:val="14"/>
          <w:color w:val="auto"/>
        </w:rPr>
        <w:t>NITED OF</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4"/>
          <w:szCs w:val="14"/>
          <w:color w:val="auto"/>
        </w:rPr>
        <w:t>MAHA</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IFE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200" w:lineRule="exact"/>
        <w:rPr>
          <w:sz w:val="20"/>
          <w:szCs w:val="20"/>
          <w:color w:val="auto"/>
        </w:rPr>
      </w:pPr>
    </w:p>
    <w:p>
      <w:pPr>
        <w:spacing w:after="0" w:line="2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Lee Martin</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Lee Martin</w:t>
      </w:r>
    </w:p>
    <w:p>
      <w:pPr>
        <w:ind w:left="59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39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UTUAL OF</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4"/>
          <w:szCs w:val="14"/>
          <w:color w:val="auto"/>
        </w:rPr>
        <w:t>MAHA</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200" w:lineRule="exact"/>
        <w:rPr>
          <w:sz w:val="20"/>
          <w:szCs w:val="20"/>
          <w:color w:val="auto"/>
        </w:rPr>
      </w:pPr>
    </w:p>
    <w:p>
      <w:pPr>
        <w:spacing w:after="0" w:line="2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Lee Martin</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Lee Martin</w:t>
      </w:r>
    </w:p>
    <w:p>
      <w:pPr>
        <w:ind w:left="59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39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OMPANION</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IFE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200" w:lineRule="exact"/>
        <w:rPr>
          <w:sz w:val="20"/>
          <w:szCs w:val="20"/>
          <w:color w:val="auto"/>
        </w:rPr>
      </w:pPr>
    </w:p>
    <w:p>
      <w:pPr>
        <w:spacing w:after="0" w:line="2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Lee Martin</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Lee Martin</w:t>
      </w:r>
    </w:p>
    <w:p>
      <w:pPr>
        <w:ind w:left="5900"/>
        <w:spacing w:after="0"/>
        <w:rPr>
          <w:sz w:val="20"/>
          <w:szCs w:val="20"/>
          <w:color w:val="auto"/>
        </w:rPr>
      </w:pPr>
      <w:r>
        <w:rPr>
          <w:rFonts w:ascii="Times New Roman" w:cs="Times New Roman" w:eastAsia="Times New Roman" w:hAnsi="Times New Roman"/>
          <w:sz w:val="22"/>
          <w:szCs w:val="22"/>
          <w:color w:val="auto"/>
        </w:rPr>
        <w:t>Title: An Authorized Signer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56</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66" w:name="page67"/>
    <w:bookmarkEnd w:id="66"/>
    <w:p>
      <w:pPr>
        <w:spacing w:after="0"/>
        <w:tabs>
          <w:tab w:leader="none" w:pos="914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ectPr>
          <w:pgSz w:w="11900" w:h="16838" w:orient="portrait"/>
          <w:cols w:equalWidth="0" w:num="1">
            <w:col w:w="11420"/>
          </w:cols>
          <w:pgMar w:left="240" w:top="112" w:right="239" w:bottom="1440" w:gutter="0" w:footer="0" w:header="0"/>
        </w:sectPr>
      </w:pPr>
    </w:p>
    <w:p>
      <w:pPr>
        <w:spacing w:after="0" w:line="2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00" w:lineRule="exact"/>
        <w:rPr>
          <w:sz w:val="20"/>
          <w:szCs w:val="20"/>
          <w:color w:val="auto"/>
        </w:rPr>
      </w:pPr>
    </w:p>
    <w:p>
      <w:pPr>
        <w:spacing w:after="0" w:line="27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MERICAN</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NITED</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IFE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200" w:lineRule="exact"/>
        <w:rPr>
          <w:sz w:val="20"/>
          <w:szCs w:val="20"/>
          <w:color w:val="auto"/>
        </w:rPr>
      </w:pPr>
    </w:p>
    <w:p>
      <w:pPr>
        <w:spacing w:after="0" w:line="2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David Weisenburger</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David Weisenburger</w:t>
      </w:r>
    </w:p>
    <w:p>
      <w:pPr>
        <w:ind w:left="5900"/>
        <w:spacing w:after="0"/>
        <w:rPr>
          <w:sz w:val="20"/>
          <w:szCs w:val="20"/>
          <w:color w:val="auto"/>
        </w:rPr>
      </w:pPr>
      <w:r>
        <w:rPr>
          <w:rFonts w:ascii="Times New Roman" w:cs="Times New Roman" w:eastAsia="Times New Roman" w:hAnsi="Times New Roman"/>
          <w:sz w:val="22"/>
          <w:szCs w:val="22"/>
          <w:color w:val="auto"/>
        </w:rPr>
        <w:t>Title: VP, Fixed Income Securities</w:t>
      </w:r>
    </w:p>
    <w:p>
      <w:pPr>
        <w:spacing w:after="0" w:line="3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TATE</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IFE</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NSURANCE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58" w:lineRule="exact"/>
        <w:rPr>
          <w:sz w:val="20"/>
          <w:szCs w:val="20"/>
          <w:color w:val="auto"/>
        </w:rPr>
      </w:pPr>
    </w:p>
    <w:p>
      <w:pPr>
        <w:ind w:left="5260"/>
        <w:spacing w:after="0"/>
        <w:tabs>
          <w:tab w:leader="none" w:pos="58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American United Life Insurance Company</w:t>
      </w:r>
    </w:p>
    <w:p>
      <w:pPr>
        <w:spacing w:after="0" w:line="26" w:lineRule="exact"/>
        <w:rPr>
          <w:sz w:val="20"/>
          <w:szCs w:val="20"/>
          <w:color w:val="auto"/>
        </w:rPr>
      </w:pPr>
    </w:p>
    <w:p>
      <w:pPr>
        <w:ind w:left="5260"/>
        <w:spacing w:after="0"/>
        <w:tabs>
          <w:tab w:leader="none" w:pos="58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Agent</w:t>
      </w:r>
    </w:p>
    <w:p>
      <w:pPr>
        <w:spacing w:after="0" w:line="200" w:lineRule="exact"/>
        <w:rPr>
          <w:sz w:val="20"/>
          <w:szCs w:val="20"/>
          <w:color w:val="auto"/>
        </w:rPr>
      </w:pPr>
    </w:p>
    <w:p>
      <w:pPr>
        <w:spacing w:after="0" w:line="25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David Weisenburger</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Name: David Weisenburger</w:t>
      </w:r>
    </w:p>
    <w:p>
      <w:pPr>
        <w:ind w:left="5900"/>
        <w:spacing w:after="0"/>
        <w:rPr>
          <w:sz w:val="20"/>
          <w:szCs w:val="20"/>
          <w:color w:val="auto"/>
        </w:rPr>
      </w:pPr>
      <w:r>
        <w:rPr>
          <w:rFonts w:ascii="Times New Roman" w:cs="Times New Roman" w:eastAsia="Times New Roman" w:hAnsi="Times New Roman"/>
          <w:sz w:val="22"/>
          <w:szCs w:val="22"/>
          <w:color w:val="auto"/>
        </w:rPr>
        <w:t>Title: VP, Fixed Income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57</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EFINED</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ERMS</w:t>
      </w:r>
    </w:p>
    <w:p>
      <w:pPr>
        <w:spacing w:after="0" w:line="251" w:lineRule="exact"/>
        <w:rPr>
          <w:sz w:val="20"/>
          <w:szCs w:val="20"/>
          <w:color w:val="auto"/>
        </w:rPr>
      </w:pPr>
    </w:p>
    <w:p>
      <w:pPr>
        <w:jc w:val="both"/>
        <w:ind w:firstLine="877"/>
        <w:spacing w:after="0" w:line="258" w:lineRule="auto"/>
        <w:rPr>
          <w:sz w:val="20"/>
          <w:szCs w:val="20"/>
          <w:color w:val="auto"/>
        </w:rPr>
      </w:pPr>
      <w:r>
        <w:rPr>
          <w:rFonts w:ascii="Times New Roman" w:cs="Times New Roman" w:eastAsia="Times New Roman" w:hAnsi="Times New Roman"/>
          <w:sz w:val="22"/>
          <w:szCs w:val="22"/>
          <w:color w:val="auto"/>
        </w:rPr>
        <w:t>As used herein, the following terms have the respective meanings set forth below or set forth in the Section hereof following such term:</w:t>
      </w:r>
    </w:p>
    <w:p>
      <w:pPr>
        <w:spacing w:after="0" w:line="181"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“Acquisition” </w:t>
      </w:r>
      <w:r>
        <w:rPr>
          <w:rFonts w:ascii="Times New Roman" w:cs="Times New Roman" w:eastAsia="Times New Roman" w:hAnsi="Times New Roman"/>
          <w:sz w:val="21"/>
          <w:szCs w:val="21"/>
          <w:color w:val="auto"/>
        </w:rPr>
        <w:t>means any investment which involves a transaction or series of related transactions for the purpose of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resulting, directly or indirectly, in (a) the acquisition of all or substantially all of the assets of a Person, or of any business or division of a Person, (b) the acquisition of in excess of 50% of the capital stock, partnership interests, membership interests or equity of any Person, or otherwise causing any Person to become a Subsidiary or (c) a merger or consolidation or any other combination with another Person that is otherwise permitted under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each case, (i) before and after giving pro forma effect to any such Acquisition, the Company is in compliance with financial covenant set forth in Section 10.8,</w:t>
      </w:r>
    </w:p>
    <w:p>
      <w:pPr>
        <w:spacing w:after="0" w:line="1" w:lineRule="exact"/>
        <w:rPr>
          <w:sz w:val="20"/>
          <w:szCs w:val="20"/>
          <w:color w:val="auto"/>
        </w:rPr>
      </w:pPr>
    </w:p>
    <w:p>
      <w:pPr>
        <w:ind w:firstLine="8"/>
        <w:spacing w:after="0" w:line="237" w:lineRule="auto"/>
        <w:tabs>
          <w:tab w:leader="none" w:pos="32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Acquisition is undertaken in accordance with all applicable Laws, and (iii) the prior, effective written consent or approval to such Acquisition of the board of directors or equivalent governing body of the acquiree is obtained.</w:t>
      </w:r>
    </w:p>
    <w:p>
      <w:pPr>
        <w:spacing w:after="0" w:line="215"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“Affiliate” </w:t>
      </w:r>
      <w:r>
        <w:rPr>
          <w:rFonts w:ascii="Times New Roman" w:cs="Times New Roman" w:eastAsia="Times New Roman" w:hAnsi="Times New Roman"/>
          <w:sz w:val="22"/>
          <w:szCs w:val="22"/>
          <w:color w:val="auto"/>
        </w:rPr>
        <w:t>means, at any time, and with respect to any Person, any other Person that at such time directly or indirectly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through one or more intermediaries Controls, or is Controlled by, or is under common Control with, such first Person. Unless the context otherwise clearly requires, any reference to an “Affiliate” is a reference to an Affiliate of the Company.</w:t>
      </w:r>
    </w:p>
    <w:p>
      <w:pPr>
        <w:spacing w:after="0" w:line="2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“Agreement” </w:t>
      </w:r>
      <w:r>
        <w:rPr>
          <w:rFonts w:ascii="Times New Roman" w:cs="Times New Roman" w:eastAsia="Times New Roman" w:hAnsi="Times New Roman"/>
          <w:sz w:val="22"/>
          <w:szCs w:val="22"/>
          <w:color w:val="auto"/>
        </w:rPr>
        <w:t>means this Note Purchase Agreement, including all Schedules attached to this Agreement.</w:t>
      </w:r>
    </w:p>
    <w:p>
      <w:pPr>
        <w:spacing w:after="0" w:line="203" w:lineRule="exact"/>
        <w:rPr>
          <w:sz w:val="20"/>
          <w:szCs w:val="20"/>
          <w:color w:val="auto"/>
        </w:rPr>
      </w:pPr>
    </w:p>
    <w:p>
      <w:pPr>
        <w:jc w:val="both"/>
        <w:ind w:firstLine="877"/>
        <w:spacing w:after="0" w:line="280" w:lineRule="exact"/>
        <w:rPr>
          <w:sz w:val="20"/>
          <w:szCs w:val="20"/>
          <w:color w:val="auto"/>
        </w:rPr>
      </w:pPr>
      <w:r>
        <w:rPr>
          <w:rFonts w:ascii="Times New Roman" w:cs="Times New Roman" w:eastAsia="Times New Roman" w:hAnsi="Times New Roman"/>
          <w:sz w:val="22"/>
          <w:szCs w:val="22"/>
          <w:b w:val="1"/>
          <w:bCs w:val="1"/>
          <w:color w:val="auto"/>
        </w:rPr>
        <w:t>“Anti</w:t>
      </w:r>
      <w:r>
        <w:rPr>
          <w:rFonts w:ascii="MS PGothic" w:cs="MS PGothic" w:eastAsia="MS PGothic" w:hAnsi="MS PGothic"/>
          <w:sz w:val="22"/>
          <w:szCs w:val="22"/>
          <w:color w:val="auto"/>
        </w:rPr>
        <w:t>‑</w:t>
      </w:r>
      <w:r>
        <w:rPr>
          <w:rFonts w:ascii="Times New Roman" w:cs="Times New Roman" w:eastAsia="Times New Roman" w:hAnsi="Times New Roman"/>
          <w:sz w:val="22"/>
          <w:szCs w:val="22"/>
          <w:b w:val="1"/>
          <w:bCs w:val="1"/>
          <w:color w:val="auto"/>
        </w:rPr>
        <w:t xml:space="preserve">Corruption Laws” </w:t>
      </w:r>
      <w:r>
        <w:rPr>
          <w:rFonts w:ascii="Times New Roman" w:cs="Times New Roman" w:eastAsia="Times New Roman" w:hAnsi="Times New Roman"/>
          <w:sz w:val="22"/>
          <w:szCs w:val="22"/>
          <w:color w:val="auto"/>
        </w:rPr>
        <w:t>means any law or regulation in a U.S. or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jurisdiction regarding bribery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corrupt activity, including the U.S. Foreign Corrupt Practices Act and the U.K. Bribery Act 2010.</w:t>
      </w:r>
    </w:p>
    <w:p>
      <w:pPr>
        <w:spacing w:after="0" w:line="184" w:lineRule="exact"/>
        <w:rPr>
          <w:sz w:val="20"/>
          <w:szCs w:val="20"/>
          <w:color w:val="auto"/>
        </w:rPr>
      </w:pPr>
    </w:p>
    <w:p>
      <w:pPr>
        <w:jc w:val="both"/>
        <w:ind w:firstLine="877"/>
        <w:spacing w:after="0" w:line="267" w:lineRule="exact"/>
        <w:rPr>
          <w:sz w:val="20"/>
          <w:szCs w:val="20"/>
          <w:color w:val="auto"/>
        </w:rPr>
      </w:pPr>
      <w:r>
        <w:rPr>
          <w:rFonts w:ascii="Times New Roman" w:cs="Times New Roman" w:eastAsia="Times New Roman" w:hAnsi="Times New Roman"/>
          <w:sz w:val="21"/>
          <w:szCs w:val="21"/>
          <w:b w:val="1"/>
          <w:bCs w:val="1"/>
          <w:color w:val="auto"/>
        </w:rPr>
        <w:t>“Anti</w:t>
      </w:r>
      <w:r>
        <w:rPr>
          <w:rFonts w:ascii="MS PGothic" w:cs="MS PGothic" w:eastAsia="MS PGothic" w:hAnsi="MS PGothic"/>
          <w:sz w:val="21"/>
          <w:szCs w:val="21"/>
          <w:color w:val="auto"/>
        </w:rPr>
        <w:t>‑</w:t>
      </w:r>
      <w:r>
        <w:rPr>
          <w:rFonts w:ascii="Times New Roman" w:cs="Times New Roman" w:eastAsia="Times New Roman" w:hAnsi="Times New Roman"/>
          <w:sz w:val="21"/>
          <w:szCs w:val="21"/>
          <w:b w:val="1"/>
          <w:bCs w:val="1"/>
          <w:color w:val="auto"/>
        </w:rPr>
        <w:t xml:space="preserve"> Money Laundering Laws” </w:t>
      </w:r>
      <w:r>
        <w:rPr>
          <w:rFonts w:ascii="Times New Roman" w:cs="Times New Roman" w:eastAsia="Times New Roman" w:hAnsi="Times New Roman"/>
          <w:sz w:val="21"/>
          <w:szCs w:val="21"/>
          <w:color w:val="auto"/>
        </w:rPr>
        <w:t>means any law or regulation in a U.S. or any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U.S. jurisdiction regarding money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laundering, drug trafficking, terrorist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related activities or other money laundering predicate crimes, including the Currency and Foreign Transactions Reporting Act of 1970 (otherwise known as the Bank Secrecy Act) and the USA PATRIOT Act.</w:t>
      </w:r>
    </w:p>
    <w:p>
      <w:pPr>
        <w:spacing w:after="0" w:line="216"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Blocked Person</w:t>
      </w:r>
      <w:r>
        <w:rPr>
          <w:rFonts w:ascii="Times New Roman" w:cs="Times New Roman" w:eastAsia="Times New Roman" w:hAnsi="Times New Roman"/>
          <w:sz w:val="22"/>
          <w:szCs w:val="22"/>
          <w:color w:val="auto"/>
        </w:rPr>
        <w:t>” means (a) a Person whose name appears on the list of Specially 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spacing w:after="0" w:line="204"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“Business Day” </w:t>
      </w:r>
      <w:r>
        <w:rPr>
          <w:rFonts w:ascii="Times New Roman" w:cs="Times New Roman" w:eastAsia="Times New Roman" w:hAnsi="Times New Roman"/>
          <w:sz w:val="22"/>
          <w:szCs w:val="22"/>
          <w:color w:val="auto"/>
        </w:rPr>
        <w:t>means (a) for the purposes of Section 8.6 only, any day other than a Saturday, a Sunday or a day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commercial banks in New York City are required or authorized to be closed, and (b) for the purposes of any other provision of this Agreement, any day other than a Saturday, a Sunday or a day on which commercial banks in New York, New York or South Bloomington, Minnesota are required or authorized to be closed.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68" w:name="page69"/>
    <w:bookmarkEnd w:id="68"/>
    <w:p>
      <w:pPr>
        <w:jc w:val="both"/>
        <w:ind w:firstLine="877"/>
        <w:spacing w:after="0" w:line="246" w:lineRule="exact"/>
        <w:rPr>
          <w:sz w:val="20"/>
          <w:szCs w:val="20"/>
          <w:color w:val="auto"/>
        </w:rPr>
      </w:pPr>
      <w:r>
        <w:rPr>
          <w:rFonts w:ascii="Times New Roman" w:cs="Times New Roman" w:eastAsia="Times New Roman" w:hAnsi="Times New Roman"/>
          <w:sz w:val="22"/>
          <w:szCs w:val="22"/>
          <w:b w:val="1"/>
          <w:bCs w:val="1"/>
          <w:color w:val="auto"/>
        </w:rPr>
        <w:t xml:space="preserve">“Change of Control” </w:t>
      </w:r>
      <w:r>
        <w:rPr>
          <w:rFonts w:ascii="Times New Roman" w:cs="Times New Roman" w:eastAsia="Times New Roman" w:hAnsi="Times New Roman"/>
          <w:sz w:val="22"/>
          <w:szCs w:val="22"/>
          <w:color w:val="auto"/>
        </w:rPr>
        <w:t>means an event or series of events by which (i) any Person or group within the meaning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13(d)(3) of the Exchange Act and the rules and regulations promulgated thereunder, shall, after the date of Closing, acquire beneficial ownership (within the meaning of Rule 13d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3 of the Exchange Act), directly or indirectly, of securities of the Company (or other securities convertible into such securities) representing thirty percent (30%) of the combined voting power of all securities of the Company entitled to vote in the election of directors, other than securities having such power only by reason of the happening of a contingency (hereinafter called a </w:t>
      </w:r>
      <w:r>
        <w:rPr>
          <w:rFonts w:ascii="Times New Roman" w:cs="Times New Roman" w:eastAsia="Times New Roman" w:hAnsi="Times New Roman"/>
          <w:sz w:val="22"/>
          <w:szCs w:val="22"/>
          <w:b w:val="1"/>
          <w:bCs w:val="1"/>
          <w:color w:val="auto"/>
        </w:rPr>
        <w:t>“Controlling Person”</w:t>
      </w:r>
      <w:r>
        <w:rPr>
          <w:rFonts w:ascii="Times New Roman" w:cs="Times New Roman" w:eastAsia="Times New Roman" w:hAnsi="Times New Roman"/>
          <w:sz w:val="22"/>
          <w:szCs w:val="22"/>
          <w:color w:val="auto"/>
        </w:rPr>
        <w:t>); or (ii) a majority of the Board of Directors of the Company shall cease for any reason to consist of (A) individuals who on the Closing Date were serving as directors of the Company and (B) individuals who subsequently become members of the Board if such individuals’ nomination for election or election to the Board is recommended or approved by a majority of the Board of Directors of the Company; or (iii) a default or the happening of any event shall occur under any charter, indenture, agreement or other instrument in connection with which any preferred stock of the Company may be issued, and as a result of such default or event the holders of such preferred stock shall designate or elect members of the Board of Directors of the Company. For purposes of clause (i) above, a Person or group shall not be a Controlling Person if such Person or group holds voting power in good faith and not for the purpose of circumventing Section 8.7 as an agent, bank, broker, nominee, trustee, or holder of revocable proxies given in response to a solicitation pursuant to the Exchange Act, for one or more beneficial owners who do not individually, or, if they are a group acting in concert, as a group, have the voting power specified in clause (i).</w:t>
      </w:r>
    </w:p>
    <w:p>
      <w:pPr>
        <w:spacing w:after="0" w:line="20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“Charles Machine Works” </w:t>
      </w:r>
      <w:r>
        <w:rPr>
          <w:rFonts w:ascii="Times New Roman" w:cs="Times New Roman" w:eastAsia="Times New Roman" w:hAnsi="Times New Roman"/>
          <w:sz w:val="22"/>
          <w:szCs w:val="22"/>
          <w:color w:val="auto"/>
        </w:rPr>
        <w:t>means The Charles Machine Works, Inc., an Oklahoma corporation.</w:t>
      </w:r>
    </w:p>
    <w:p>
      <w:pPr>
        <w:spacing w:after="0" w:line="2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“Closing” </w:t>
      </w:r>
      <w:r>
        <w:rPr>
          <w:rFonts w:ascii="Times New Roman" w:cs="Times New Roman" w:eastAsia="Times New Roman" w:hAnsi="Times New Roman"/>
          <w:sz w:val="22"/>
          <w:szCs w:val="22"/>
          <w:color w:val="auto"/>
        </w:rPr>
        <w:t>is defined in Section 3.</w:t>
      </w:r>
    </w:p>
    <w:p>
      <w:pPr>
        <w:spacing w:after="0" w:line="2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“Closing Date” </w:t>
      </w:r>
      <w:r>
        <w:rPr>
          <w:rFonts w:ascii="Times New Roman" w:cs="Times New Roman" w:eastAsia="Times New Roman" w:hAnsi="Times New Roman"/>
          <w:sz w:val="22"/>
          <w:szCs w:val="22"/>
          <w:color w:val="auto"/>
        </w:rPr>
        <w:t>shall mean the date of the Closing.</w:t>
      </w:r>
    </w:p>
    <w:p>
      <w:pPr>
        <w:spacing w:after="0" w:line="2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“Code” </w:t>
      </w:r>
      <w:r>
        <w:rPr>
          <w:rFonts w:ascii="Times New Roman" w:cs="Times New Roman" w:eastAsia="Times New Roman" w:hAnsi="Times New Roman"/>
          <w:sz w:val="22"/>
          <w:szCs w:val="22"/>
          <w:color w:val="auto"/>
        </w:rPr>
        <w:t>means the Internal Revenue Code of 1986 and the rules and regulations promulgated thereunder from time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2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“Company” </w:t>
      </w:r>
      <w:r>
        <w:rPr>
          <w:rFonts w:ascii="Times New Roman" w:cs="Times New Roman" w:eastAsia="Times New Roman" w:hAnsi="Times New Roman"/>
          <w:sz w:val="22"/>
          <w:szCs w:val="22"/>
          <w:color w:val="auto"/>
        </w:rPr>
        <w:t>is defined in the first paragraph of this Agreement.</w:t>
      </w:r>
    </w:p>
    <w:p>
      <w:pPr>
        <w:spacing w:after="0" w:line="247" w:lineRule="exact"/>
        <w:rPr>
          <w:sz w:val="20"/>
          <w:szCs w:val="20"/>
          <w:color w:val="auto"/>
        </w:rPr>
      </w:pPr>
    </w:p>
    <w:p>
      <w:pPr>
        <w:jc w:val="both"/>
        <w:ind w:firstLine="877"/>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“Competitor” </w:t>
      </w:r>
      <w:r>
        <w:rPr>
          <w:rFonts w:ascii="Times New Roman" w:cs="Times New Roman" w:eastAsia="Times New Roman" w:hAnsi="Times New Roman"/>
          <w:sz w:val="21"/>
          <w:szCs w:val="21"/>
          <w:color w:val="auto"/>
        </w:rPr>
        <w:t>mean any Person that may reasonably be deemed to be engaged in a business that is competitive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Company’s and any of its Subsidiary’s business as currently conducted or as may be conducted in the future;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an Institutional Investor shall not be deemed a Competitor so long as, to the extent it makes investments in entities that would be Competitors, such investments are non-controlling and passive in nature (it being understood that any enforcement of rights by such Institutional Investor in connection with such investments shall be deemed to be consistent with investments of such nature).</w:t>
      </w:r>
    </w:p>
    <w:p>
      <w:pPr>
        <w:spacing w:after="0" w:line="1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“Confidential Information” </w:t>
      </w:r>
      <w:r>
        <w:rPr>
          <w:rFonts w:ascii="Times New Roman" w:cs="Times New Roman" w:eastAsia="Times New Roman" w:hAnsi="Times New Roman"/>
          <w:sz w:val="22"/>
          <w:szCs w:val="22"/>
          <w:color w:val="auto"/>
        </w:rPr>
        <w:t>is defined in Section 20.</w:t>
      </w:r>
    </w:p>
    <w:p>
      <w:pPr>
        <w:spacing w:after="0" w:line="247"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“Consolidated EBIT” </w:t>
      </w:r>
      <w:r>
        <w:rPr>
          <w:rFonts w:ascii="Times New Roman" w:cs="Times New Roman" w:eastAsia="Times New Roman" w:hAnsi="Times New Roman"/>
          <w:sz w:val="22"/>
          <w:szCs w:val="22"/>
          <w:color w:val="auto"/>
        </w:rPr>
        <w:t>means, for any period, for the Company and its Subsidiaries on a consolidated basis, an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equal to Consolidated Net Income for such period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following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69" w:name="page70"/>
    <w:bookmarkEnd w:id="69"/>
    <w:p>
      <w:pPr>
        <w:spacing w:after="0" w:line="238" w:lineRule="auto"/>
        <w:rPr>
          <w:sz w:val="20"/>
          <w:szCs w:val="20"/>
          <w:color w:val="auto"/>
        </w:rPr>
      </w:pPr>
      <w:r>
        <w:rPr>
          <w:rFonts w:ascii="Times New Roman" w:cs="Times New Roman" w:eastAsia="Times New Roman" w:hAnsi="Times New Roman"/>
          <w:sz w:val="22"/>
          <w:szCs w:val="22"/>
          <w:color w:val="auto"/>
        </w:rPr>
        <w:t>to the extent deducted in calculating such Consolidated Net Income: (i) Consolidated Interest Charges for such period, (ii) the provision for federal, state, local and foreign income taxes payable by the Company and its Subsidiaries for such period, and</w:t>
      </w:r>
    </w:p>
    <w:p>
      <w:pPr>
        <w:ind w:left="400" w:hanging="392"/>
        <w:spacing w:after="0" w:line="251" w:lineRule="exact"/>
        <w:tabs>
          <w:tab w:leader="none" w:pos="4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time,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recurring cash fees and expenses, not to exceed $15,000,000 in the aggregate, (x) related to restructurings, or</w:t>
      </w:r>
    </w:p>
    <w:p>
      <w:pPr>
        <w:jc w:val="both"/>
        <w:ind w:firstLine="8"/>
        <w:spacing w:after="0" w:line="235" w:lineRule="auto"/>
        <w:tabs>
          <w:tab w:leader="none" w:pos="3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related to cost savings, restructuring, severance, integration, or consolidation related to an Acquisition, and to include without limitation advisory, legal, financing, and consulting fees related to an Acquisition, incurred in anticipation of, in connection with or as a result of such Acquisition.</w:t>
      </w:r>
    </w:p>
    <w:p>
      <w:pPr>
        <w:spacing w:after="0" w:line="201" w:lineRule="exact"/>
        <w:rPr>
          <w:sz w:val="20"/>
          <w:szCs w:val="20"/>
          <w:color w:val="auto"/>
        </w:rPr>
      </w:pPr>
    </w:p>
    <w:p>
      <w:pPr>
        <w:jc w:val="both"/>
        <w:ind w:firstLine="87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“Consolidated Interest Charges” </w:t>
      </w:r>
      <w:r>
        <w:rPr>
          <w:rFonts w:ascii="Times New Roman" w:cs="Times New Roman" w:eastAsia="Times New Roman" w:hAnsi="Times New Roman"/>
          <w:sz w:val="22"/>
          <w:szCs w:val="22"/>
          <w:color w:val="auto"/>
        </w:rPr>
        <w:t>means, for any period, for the Company and its Subsidiaries on a consolidated basis,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sum of (a) all interest, discounts, premium payments, commissions, fees (other than fees incurred hereunder or in connection herewith), charges and related expenses of the Company and its Subsidiaries in connection with Indebtedness (including capitalized interest) or in connection with the deferred purchase price of assets or incurred with respect to any Receivables Purchase Facility permitted hereunder, in each case to the extent treated as interest in accordance with GAAP and (b) the portion of rent expense of the Company and its Subsidiaries with respect to such period under capital leases that is treated as interest in accordance with GAAP.</w:t>
      </w:r>
    </w:p>
    <w:p>
      <w:pPr>
        <w:spacing w:after="0" w:line="217"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“Consolidated Interest Coverage Ratio” </w:t>
      </w:r>
      <w:r>
        <w:rPr>
          <w:rFonts w:ascii="Times New Roman" w:cs="Times New Roman" w:eastAsia="Times New Roman" w:hAnsi="Times New Roman"/>
          <w:sz w:val="22"/>
          <w:szCs w:val="22"/>
          <w:color w:val="auto"/>
        </w:rPr>
        <w:t>means, as of any date of determination, the ratio of (a) Consolidated EBIT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plus depreciation and amortization expense for the period of the four prior fiscal quarters ending on such date to (b) Consolidated Interest Charges for such period.</w:t>
      </w:r>
    </w:p>
    <w:p>
      <w:pPr>
        <w:spacing w:after="0" w:line="208"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“Consolidated Net Income” </w:t>
      </w:r>
      <w:r>
        <w:rPr>
          <w:rFonts w:ascii="Times New Roman" w:cs="Times New Roman" w:eastAsia="Times New Roman" w:hAnsi="Times New Roman"/>
          <w:sz w:val="22"/>
          <w:szCs w:val="22"/>
          <w:color w:val="auto"/>
        </w:rPr>
        <w:t>means, for any period, for the Company and its Subsidiaries on a consolidated basis, the net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income of the Company and its Subsidiaries for that period.</w:t>
      </w:r>
    </w:p>
    <w:p>
      <w:pPr>
        <w:spacing w:after="0" w:line="177"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“Consolidated Total Assets” </w:t>
      </w:r>
      <w:r>
        <w:rPr>
          <w:rFonts w:ascii="Times New Roman" w:cs="Times New Roman" w:eastAsia="Times New Roman" w:hAnsi="Times New Roman"/>
          <w:sz w:val="22"/>
          <w:szCs w:val="22"/>
          <w:color w:val="auto"/>
        </w:rPr>
        <w:t>means the total assets of the Company and its Subsidiaries, determined on a consolidated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basis in accordance with GAAP.</w:t>
      </w:r>
    </w:p>
    <w:p>
      <w:pPr>
        <w:spacing w:after="0" w:line="190"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and policies of a Person, whether through the ownership of voting securities, by contract or otherwise; and the terms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Controlling</w:t>
      </w:r>
      <w:r>
        <w:rPr>
          <w:rFonts w:ascii="Times New Roman" w:cs="Times New Roman" w:eastAsia="Times New Roman" w:hAnsi="Times New Roman"/>
          <w:sz w:val="22"/>
          <w:szCs w:val="22"/>
          <w:color w:val="auto"/>
        </w:rPr>
        <w:t>” shall have meanings correlative to the foregoing.</w:t>
      </w:r>
    </w:p>
    <w:p>
      <w:pPr>
        <w:spacing w:after="0" w:line="2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“Control Event” </w:t>
      </w:r>
      <w:r>
        <w:rPr>
          <w:rFonts w:ascii="Times New Roman" w:cs="Times New Roman" w:eastAsia="Times New Roman" w:hAnsi="Times New Roman"/>
          <w:sz w:val="22"/>
          <w:szCs w:val="22"/>
          <w:color w:val="auto"/>
        </w:rPr>
        <w:t>means:</w:t>
      </w:r>
    </w:p>
    <w:p>
      <w:pPr>
        <w:spacing w:after="0" w:line="237" w:lineRule="exact"/>
        <w:rPr>
          <w:sz w:val="20"/>
          <w:szCs w:val="20"/>
          <w:color w:val="auto"/>
        </w:rPr>
      </w:pPr>
    </w:p>
    <w:p>
      <w:pPr>
        <w:jc w:val="both"/>
        <w:ind w:left="880" w:firstLine="816"/>
        <w:spacing w:after="0" w:line="244" w:lineRule="auto"/>
        <w:tabs>
          <w:tab w:leader="none" w:pos="254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by the Company or any of its Subsidiaries or Affiliates of any agreement or letter of intent with respect to any proposed transaction or event or series of transactions or events which, individually or in the aggregate, may reasonably be expected to result in a Change of Control,</w:t>
      </w:r>
    </w:p>
    <w:p>
      <w:pPr>
        <w:spacing w:after="0" w:line="214" w:lineRule="exact"/>
        <w:rPr>
          <w:rFonts w:ascii="Times New Roman" w:cs="Times New Roman" w:eastAsia="Times New Roman" w:hAnsi="Times New Roman"/>
          <w:sz w:val="22"/>
          <w:szCs w:val="22"/>
          <w:color w:val="auto"/>
        </w:rPr>
      </w:pPr>
    </w:p>
    <w:p>
      <w:pPr>
        <w:ind w:left="880" w:firstLine="816"/>
        <w:spacing w:after="0" w:line="258" w:lineRule="auto"/>
        <w:tabs>
          <w:tab w:leader="none" w:pos="260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of any written agreement which, when fully performed by the parties thereto, would result in a Change of Control, or</w:t>
      </w:r>
    </w:p>
    <w:p>
      <w:pPr>
        <w:spacing w:after="0" w:line="198" w:lineRule="exact"/>
        <w:rPr>
          <w:rFonts w:ascii="Times New Roman" w:cs="Times New Roman" w:eastAsia="Times New Roman" w:hAnsi="Times New Roman"/>
          <w:sz w:val="22"/>
          <w:szCs w:val="22"/>
          <w:color w:val="auto"/>
        </w:rPr>
      </w:pPr>
    </w:p>
    <w:p>
      <w:pPr>
        <w:ind w:left="880" w:firstLine="816"/>
        <w:spacing w:after="0" w:line="258" w:lineRule="auto"/>
        <w:tabs>
          <w:tab w:leader="none" w:pos="266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making of any written offer by any person (as such term is used in section 13(d) and section 14(d)(2) of the Exchange Act as in effect on the date of the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70" w:name="page71"/>
    <w:bookmarkEnd w:id="70"/>
    <w:p>
      <w:pPr>
        <w:jc w:val="both"/>
        <w:ind w:left="880"/>
        <w:spacing w:after="0" w:line="244" w:lineRule="auto"/>
        <w:rPr>
          <w:sz w:val="20"/>
          <w:szCs w:val="20"/>
          <w:color w:val="auto"/>
        </w:rPr>
      </w:pPr>
      <w:r>
        <w:rPr>
          <w:rFonts w:ascii="Times New Roman" w:cs="Times New Roman" w:eastAsia="Times New Roman" w:hAnsi="Times New Roman"/>
          <w:sz w:val="22"/>
          <w:szCs w:val="22"/>
          <w:color w:val="auto"/>
        </w:rPr>
        <w:t>Closing) or related persons constituting a group (as such term is used in Rule 13d-5 under the Exchange Act as in effect on the date of the Closing) to the holders of the common stock of the Company, which offer, if accepted by the requisite number of holders, would result in a Change of Control.</w:t>
      </w:r>
    </w:p>
    <w:p>
      <w:pPr>
        <w:spacing w:after="0" w:line="197" w:lineRule="exact"/>
        <w:rPr>
          <w:sz w:val="20"/>
          <w:szCs w:val="20"/>
          <w:color w:val="auto"/>
        </w:rPr>
      </w:pPr>
    </w:p>
    <w:p>
      <w:pPr>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“Controlled Entity” </w:t>
      </w:r>
      <w:r>
        <w:rPr>
          <w:rFonts w:ascii="Times New Roman" w:cs="Times New Roman" w:eastAsia="Times New Roman" w:hAnsi="Times New Roman"/>
          <w:sz w:val="22"/>
          <w:szCs w:val="22"/>
          <w:color w:val="auto"/>
        </w:rPr>
        <w:t>means (a) any of the Subsidiaries of the Company and any of their or the Company’s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Controlled Affiliates and (b) if the Company has a parent company, such parent company and its Controlled Affiliates.</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“Controlling Person” </w:t>
      </w:r>
      <w:r>
        <w:rPr>
          <w:rFonts w:ascii="Times New Roman" w:cs="Times New Roman" w:eastAsia="Times New Roman" w:hAnsi="Times New Roman"/>
          <w:sz w:val="22"/>
          <w:szCs w:val="22"/>
          <w:color w:val="auto"/>
        </w:rPr>
        <w:t>has the meaning set forth in the definition of Change of Control.</w:t>
      </w:r>
    </w:p>
    <w:p>
      <w:pPr>
        <w:spacing w:after="0" w:line="2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“Covenant Holiday” </w:t>
      </w:r>
      <w:r>
        <w:rPr>
          <w:rFonts w:ascii="Times New Roman" w:cs="Times New Roman" w:eastAsia="Times New Roman" w:hAnsi="Times New Roman"/>
          <w:sz w:val="22"/>
          <w:szCs w:val="22"/>
          <w:color w:val="auto"/>
        </w:rPr>
        <w:t>is defined in Section 10.8.</w:t>
      </w:r>
    </w:p>
    <w:p>
      <w:pPr>
        <w:spacing w:after="0" w:line="2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“Exchange Act” </w:t>
      </w:r>
      <w:r>
        <w:rPr>
          <w:rFonts w:ascii="Times New Roman" w:cs="Times New Roman" w:eastAsia="Times New Roman" w:hAnsi="Times New Roman"/>
          <w:sz w:val="22"/>
          <w:szCs w:val="22"/>
          <w:color w:val="auto"/>
        </w:rPr>
        <w:t>means the Securities Exchange Act of 1934, and regulations promulgated thereunder.</w:t>
      </w:r>
    </w:p>
    <w:p>
      <w:pPr>
        <w:spacing w:after="0" w:line="247" w:lineRule="exact"/>
        <w:rPr>
          <w:sz w:val="20"/>
          <w:szCs w:val="20"/>
          <w:color w:val="auto"/>
        </w:rPr>
      </w:pPr>
    </w:p>
    <w:p>
      <w:pPr>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“Default” </w:t>
      </w:r>
      <w:r>
        <w:rPr>
          <w:rFonts w:ascii="Times New Roman" w:cs="Times New Roman" w:eastAsia="Times New Roman" w:hAnsi="Times New Roman"/>
          <w:sz w:val="22"/>
          <w:szCs w:val="22"/>
          <w:color w:val="auto"/>
        </w:rPr>
        <w:t>means an event or condition the occurrence or existence of which would, with the lapse of time or the giving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notice or both, become an Event of Default.</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“Default Rate” </w:t>
      </w:r>
      <w:r>
        <w:rPr>
          <w:rFonts w:ascii="Times New Roman" w:cs="Times New Roman" w:eastAsia="Times New Roman" w:hAnsi="Times New Roman"/>
          <w:sz w:val="22"/>
          <w:szCs w:val="22"/>
          <w:color w:val="auto"/>
        </w:rPr>
        <w:t>means for any Series of Notes for any series of that rate of interest per annum that is the greater of</w:t>
      </w:r>
    </w:p>
    <w:p>
      <w:pPr>
        <w:spacing w:after="0" w:line="18" w:lineRule="exact"/>
        <w:rPr>
          <w:sz w:val="20"/>
          <w:szCs w:val="20"/>
          <w:color w:val="auto"/>
        </w:rPr>
      </w:pPr>
    </w:p>
    <w:p>
      <w:pPr>
        <w:ind w:firstLine="8"/>
        <w:spacing w:after="0" w:line="237" w:lineRule="auto"/>
        <w:tabs>
          <w:tab w:leader="none" w:pos="29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 above the rate of interest stated in clause (a) of the first paragraph of the Notes of such Series or (b) 2.0% over the rate of interest publicly announced by Bank of America, N.A., in New York, New York as its “base” or “prime” rate.</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“Disclosure Documents” </w:t>
      </w:r>
      <w:r>
        <w:rPr>
          <w:rFonts w:ascii="Times New Roman" w:cs="Times New Roman" w:eastAsia="Times New Roman" w:hAnsi="Times New Roman"/>
          <w:sz w:val="22"/>
          <w:szCs w:val="22"/>
          <w:color w:val="auto"/>
        </w:rPr>
        <w:t>is defined in Section 5.3.</w:t>
      </w:r>
    </w:p>
    <w:p>
      <w:pPr>
        <w:spacing w:after="0" w:line="247"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“EDGAR” </w:t>
      </w:r>
      <w:r>
        <w:rPr>
          <w:rFonts w:ascii="Times New Roman" w:cs="Times New Roman" w:eastAsia="Times New Roman" w:hAnsi="Times New Roman"/>
          <w:sz w:val="22"/>
          <w:szCs w:val="22"/>
          <w:color w:val="auto"/>
        </w:rPr>
        <w:t>means the SEC’s Electronic Data Gathering, Analysis and Retrieval System or any successor SEC electronic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filing system for such purposes.</w:t>
      </w:r>
    </w:p>
    <w:p>
      <w:pPr>
        <w:spacing w:after="0" w:line="160" w:lineRule="exact"/>
        <w:rPr>
          <w:sz w:val="20"/>
          <w:szCs w:val="20"/>
          <w:color w:val="auto"/>
        </w:rPr>
      </w:pPr>
    </w:p>
    <w:p>
      <w:pPr>
        <w:ind w:left="880"/>
        <w:spacing w:after="0" w:line="253" w:lineRule="exact"/>
        <w:rPr>
          <w:sz w:val="20"/>
          <w:szCs w:val="20"/>
          <w:color w:val="auto"/>
        </w:rPr>
      </w:pPr>
      <w:r>
        <w:rPr>
          <w:rFonts w:ascii="Times New Roman" w:cs="Times New Roman" w:eastAsia="Times New Roman" w:hAnsi="Times New Roman"/>
          <w:sz w:val="22"/>
          <w:szCs w:val="22"/>
          <w:b w:val="1"/>
          <w:bCs w:val="1"/>
          <w:color w:val="auto"/>
        </w:rPr>
        <w:t>“End</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User Financing Arrangements” </w:t>
      </w:r>
      <w:r>
        <w:rPr>
          <w:rFonts w:ascii="Times New Roman" w:cs="Times New Roman" w:eastAsia="Times New Roman" w:hAnsi="Times New Roman"/>
          <w:sz w:val="22"/>
          <w:szCs w:val="22"/>
          <w:color w:val="auto"/>
        </w:rPr>
        <w:t>has the meaning specified in the definition of “Indebtedness.”</w:t>
      </w:r>
    </w:p>
    <w:p>
      <w:pPr>
        <w:spacing w:after="0" w:line="263"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“Environmental Laws” </w:t>
      </w:r>
      <w:r>
        <w:rPr>
          <w:rFonts w:ascii="Times New Roman" w:cs="Times New Roman" w:eastAsia="Times New Roman" w:hAnsi="Times New Roman"/>
          <w:sz w:val="22"/>
          <w:szCs w:val="22"/>
          <w:color w:val="auto"/>
        </w:rPr>
        <w:t>means any and all federal, state, local, and foreign statutes, laws, regulations, ordinances,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judgments, orders, decrees, permits, concessions, grants, franchises, licenses, agreements or governmental restrictions relating to pollution and the protection of the environment or the release of any materials into the environment, including those related to Hazardous Materials.</w:t>
      </w:r>
    </w:p>
    <w:p>
      <w:pPr>
        <w:spacing w:after="0" w:line="213"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“ERISA” </w:t>
      </w:r>
      <w:r>
        <w:rPr>
          <w:rFonts w:ascii="Times New Roman" w:cs="Times New Roman" w:eastAsia="Times New Roman" w:hAnsi="Times New Roman"/>
          <w:sz w:val="22"/>
          <w:szCs w:val="22"/>
          <w:color w:val="auto"/>
        </w:rPr>
        <w:t>means the Employee Retirement Income Security Act of 1974, as amended from time to time, and the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regulations promulgated thereunder from time to time in effect.</w:t>
      </w:r>
    </w:p>
    <w:p>
      <w:pPr>
        <w:spacing w:after="0" w:line="190"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“ERISA Affiliate” </w:t>
      </w:r>
      <w:r>
        <w:rPr>
          <w:rFonts w:ascii="Times New Roman" w:cs="Times New Roman" w:eastAsia="Times New Roman" w:hAnsi="Times New Roman"/>
          <w:sz w:val="22"/>
          <w:szCs w:val="22"/>
          <w:color w:val="auto"/>
        </w:rPr>
        <w:t>means any trade or business (whether or not incorporated) that is treated as a single employer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together with the Company under section 414 of the Code.</w:t>
      </w:r>
    </w:p>
    <w:p>
      <w:pPr>
        <w:spacing w:after="0" w:line="177"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“Equity Interests” </w:t>
      </w:r>
      <w:r>
        <w:rPr>
          <w:rFonts w:ascii="Times New Roman" w:cs="Times New Roman" w:eastAsia="Times New Roman" w:hAnsi="Times New Roman"/>
          <w:sz w:val="22"/>
          <w:szCs w:val="22"/>
          <w:color w:val="auto"/>
        </w:rPr>
        <w:t>means, with respect to any Person, all of the shares of capital stock of (or other ownership or profit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interests in) such Person, all of the warrants, options or other rights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71" w:name="page72"/>
    <w:bookmarkEnd w:id="71"/>
    <w:p>
      <w:pPr>
        <w:jc w:val="both"/>
        <w:spacing w:after="0" w:line="236" w:lineRule="auto"/>
        <w:rPr>
          <w:sz w:val="20"/>
          <w:szCs w:val="20"/>
          <w:color w:val="auto"/>
        </w:rPr>
      </w:pPr>
      <w:r>
        <w:rPr>
          <w:rFonts w:ascii="Times New Roman" w:cs="Times New Roman" w:eastAsia="Times New Roman" w:hAnsi="Times New Roman"/>
          <w:sz w:val="22"/>
          <w:szCs w:val="22"/>
          <w:color w:val="auto"/>
        </w:rPr>
        <w:t>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20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“Event of Default” </w:t>
      </w:r>
      <w:r>
        <w:rPr>
          <w:rFonts w:ascii="Times New Roman" w:cs="Times New Roman" w:eastAsia="Times New Roman" w:hAnsi="Times New Roman"/>
          <w:sz w:val="22"/>
          <w:szCs w:val="22"/>
          <w:color w:val="auto"/>
        </w:rPr>
        <w:t>is defined in Section 11.</w:t>
      </w:r>
    </w:p>
    <w:p>
      <w:pPr>
        <w:spacing w:after="0" w:line="2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“Exchange Act” </w:t>
      </w:r>
      <w:r>
        <w:rPr>
          <w:rFonts w:ascii="Times New Roman" w:cs="Times New Roman" w:eastAsia="Times New Roman" w:hAnsi="Times New Roman"/>
          <w:sz w:val="22"/>
          <w:szCs w:val="22"/>
          <w:color w:val="auto"/>
        </w:rPr>
        <w:t>means the Securities Exchange Act of 1934, and regulations promulgated thereunder.</w:t>
      </w:r>
    </w:p>
    <w:p>
      <w:pPr>
        <w:spacing w:after="0" w:line="2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“Existing Revolving Credit Agreement” </w:t>
      </w:r>
      <w:r>
        <w:rPr>
          <w:rFonts w:ascii="Times New Roman" w:cs="Times New Roman" w:eastAsia="Times New Roman" w:hAnsi="Times New Roman"/>
          <w:sz w:val="22"/>
          <w:szCs w:val="22"/>
          <w:color w:val="auto"/>
        </w:rPr>
        <w:t>is defined within the definition of Material Credit Facility.</w:t>
      </w:r>
    </w:p>
    <w:p>
      <w:pPr>
        <w:spacing w:after="0" w:line="2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Existing Term Credit Agreement</w:t>
      </w:r>
      <w:r>
        <w:rPr>
          <w:rFonts w:ascii="Times New Roman" w:cs="Times New Roman" w:eastAsia="Times New Roman" w:hAnsi="Times New Roman"/>
          <w:sz w:val="22"/>
          <w:szCs w:val="22"/>
          <w:color w:val="auto"/>
        </w:rPr>
        <w:t>” is defined within the definition of Material Credit Facility.</w:t>
      </w:r>
    </w:p>
    <w:p>
      <w:pPr>
        <w:spacing w:after="0" w:line="247"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FATCA</w:t>
      </w:r>
      <w:r>
        <w:rPr>
          <w:rFonts w:ascii="Times New Roman" w:cs="Times New Roman" w:eastAsia="Times New Roman" w:hAnsi="Times New Roman"/>
          <w:sz w:val="22"/>
          <w:szCs w:val="22"/>
          <w:color w:val="auto"/>
        </w:rPr>
        <w:t>” means (a) sections 1471 through 1474 of the Code, as of the date of this Agreement (or any amended or successor version that is substantively comparable and not materially more onerous to comply with), together with any current or future regulations or official interpretations thereof, (b) any treaty, law or regulation of any other jurisdiction, or relating to an intergovernmental agreement between the United States of America and any other jurisdiction, which (in either case) facilitates the implementation of the foregoing clause (a), and (c) any agreements entered into pursuant to section 1471(b)(1) of the Code.</w:t>
      </w:r>
    </w:p>
    <w:p>
      <w:pPr>
        <w:spacing w:after="0" w:line="2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Foreign Borrowing</w:t>
      </w:r>
      <w:r>
        <w:rPr>
          <w:rFonts w:ascii="Times New Roman" w:cs="Times New Roman" w:eastAsia="Times New Roman" w:hAnsi="Times New Roman"/>
          <w:sz w:val="22"/>
          <w:szCs w:val="22"/>
          <w:color w:val="auto"/>
        </w:rPr>
        <w:t>” is defined in Section 9.7(a).</w:t>
      </w:r>
    </w:p>
    <w:p>
      <w:pPr>
        <w:spacing w:after="0" w:line="2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“Foreign Guarantee” </w:t>
      </w:r>
      <w:r>
        <w:rPr>
          <w:rFonts w:ascii="Times New Roman" w:cs="Times New Roman" w:eastAsia="Times New Roman" w:hAnsi="Times New Roman"/>
          <w:sz w:val="22"/>
          <w:szCs w:val="22"/>
          <w:color w:val="auto"/>
        </w:rPr>
        <w:t>is defined in Section 9.7(a).</w:t>
      </w:r>
    </w:p>
    <w:p>
      <w:pPr>
        <w:spacing w:after="0" w:line="247"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“Foreign Subsidiary” </w:t>
      </w:r>
      <w:r>
        <w:rPr>
          <w:rFonts w:ascii="Times New Roman" w:cs="Times New Roman" w:eastAsia="Times New Roman" w:hAnsi="Times New Roman"/>
          <w:sz w:val="22"/>
          <w:szCs w:val="22"/>
          <w:color w:val="auto"/>
        </w:rPr>
        <w:t>means (i) any Subsidiary of the Company which is not organized under the laws of the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States of America, any State thereof or the District of Columbia and (ii) any Subsidiary that is owned, in whole or in part, directly or indirectly, by one or more Foreign Subsidiaries.</w:t>
      </w:r>
    </w:p>
    <w:p>
      <w:pPr>
        <w:spacing w:after="0" w:line="178" w:lineRule="exact"/>
        <w:rPr>
          <w:sz w:val="20"/>
          <w:szCs w:val="20"/>
          <w:color w:val="auto"/>
        </w:rPr>
      </w:pPr>
    </w:p>
    <w:p>
      <w:pPr>
        <w:ind w:left="880"/>
        <w:spacing w:after="0" w:line="253" w:lineRule="exact"/>
        <w:rPr>
          <w:sz w:val="20"/>
          <w:szCs w:val="20"/>
          <w:color w:val="auto"/>
        </w:rPr>
      </w:pPr>
      <w:r>
        <w:rPr>
          <w:rFonts w:ascii="Times New Roman" w:cs="Times New Roman" w:eastAsia="Times New Roman" w:hAnsi="Times New Roman"/>
          <w:sz w:val="22"/>
          <w:szCs w:val="22"/>
          <w:b w:val="1"/>
          <w:bCs w:val="1"/>
          <w:color w:val="auto"/>
        </w:rPr>
        <w:t>“Form 10</w:t>
      </w:r>
      <w:r>
        <w:rPr>
          <w:rFonts w:ascii="MS PGothic" w:cs="MS PGothic" w:eastAsia="MS PGothic" w:hAnsi="MS PGothic"/>
          <w:sz w:val="22"/>
          <w:szCs w:val="22"/>
          <w:color w:val="auto"/>
        </w:rPr>
        <w:t>‑</w:t>
      </w:r>
      <w:r>
        <w:rPr>
          <w:rFonts w:ascii="Times New Roman" w:cs="Times New Roman" w:eastAsia="Times New Roman" w:hAnsi="Times New Roman"/>
          <w:sz w:val="22"/>
          <w:szCs w:val="22"/>
          <w:b w:val="1"/>
          <w:bCs w:val="1"/>
          <w:color w:val="auto"/>
        </w:rPr>
        <w:t xml:space="preserve">K” </w:t>
      </w:r>
      <w:r>
        <w:rPr>
          <w:rFonts w:ascii="Times New Roman" w:cs="Times New Roman" w:eastAsia="Times New Roman" w:hAnsi="Times New Roman"/>
          <w:sz w:val="22"/>
          <w:szCs w:val="22"/>
          <w:color w:val="auto"/>
        </w:rPr>
        <w:t>is defined in Section 7.1(b).</w:t>
      </w:r>
    </w:p>
    <w:p>
      <w:pPr>
        <w:spacing w:after="0" w:line="233" w:lineRule="exact"/>
        <w:rPr>
          <w:sz w:val="20"/>
          <w:szCs w:val="20"/>
          <w:color w:val="auto"/>
        </w:rPr>
      </w:pPr>
    </w:p>
    <w:p>
      <w:pPr>
        <w:ind w:left="880"/>
        <w:spacing w:after="0" w:line="253" w:lineRule="exact"/>
        <w:rPr>
          <w:sz w:val="20"/>
          <w:szCs w:val="20"/>
          <w:color w:val="auto"/>
        </w:rPr>
      </w:pPr>
      <w:r>
        <w:rPr>
          <w:rFonts w:ascii="Times New Roman" w:cs="Times New Roman" w:eastAsia="Times New Roman" w:hAnsi="Times New Roman"/>
          <w:sz w:val="22"/>
          <w:szCs w:val="22"/>
          <w:b w:val="1"/>
          <w:bCs w:val="1"/>
          <w:color w:val="auto"/>
        </w:rPr>
        <w:t>“Form 10</w:t>
      </w:r>
      <w:r>
        <w:rPr>
          <w:rFonts w:ascii="MS PGothic" w:cs="MS PGothic" w:eastAsia="MS PGothic" w:hAnsi="MS PGothic"/>
          <w:sz w:val="22"/>
          <w:szCs w:val="22"/>
          <w:color w:val="auto"/>
        </w:rPr>
        <w:t>‑</w:t>
      </w:r>
      <w:r>
        <w:rPr>
          <w:rFonts w:ascii="Times New Roman" w:cs="Times New Roman" w:eastAsia="Times New Roman" w:hAnsi="Times New Roman"/>
          <w:sz w:val="22"/>
          <w:szCs w:val="22"/>
          <w:b w:val="1"/>
          <w:bCs w:val="1"/>
          <w:color w:val="auto"/>
        </w:rPr>
        <w:t xml:space="preserve">Q” </w:t>
      </w:r>
      <w:r>
        <w:rPr>
          <w:rFonts w:ascii="Times New Roman" w:cs="Times New Roman" w:eastAsia="Times New Roman" w:hAnsi="Times New Roman"/>
          <w:sz w:val="22"/>
          <w:szCs w:val="22"/>
          <w:color w:val="auto"/>
        </w:rPr>
        <w:t>is defined in Section 7.1(a).</w:t>
      </w:r>
    </w:p>
    <w:p>
      <w:pPr>
        <w:spacing w:after="0" w:line="2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“FRB” </w:t>
      </w:r>
      <w:r>
        <w:rPr>
          <w:rFonts w:ascii="Times New Roman" w:cs="Times New Roman" w:eastAsia="Times New Roman" w:hAnsi="Times New Roman"/>
          <w:sz w:val="22"/>
          <w:szCs w:val="22"/>
          <w:color w:val="auto"/>
        </w:rPr>
        <w:t>means the Board of Governors of the Federal Reserve System of the United States.</w:t>
      </w:r>
    </w:p>
    <w:p>
      <w:pPr>
        <w:spacing w:after="0" w:line="247"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“GAAP” </w:t>
      </w:r>
      <w:r>
        <w:rPr>
          <w:rFonts w:ascii="Times New Roman" w:cs="Times New Roman" w:eastAsia="Times New Roman" w:hAnsi="Times New Roman"/>
          <w:sz w:val="22"/>
          <w:szCs w:val="22"/>
          <w:color w:val="auto"/>
        </w:rPr>
        <w:t>means (a) generally accepted accounting principles as in effect from time to time in the United States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America and (b) for purposes of Section 9.6, with respect to any Subsidiary, generally accepted accounting principles (including International Financial Reporting Standards, as applicable) as in effect from time to time in the jurisdiction of organization of such Subsidiary.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72" w:name="page73"/>
    <w:bookmarkEnd w:id="72"/>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“Governmental Authority” </w:t>
      </w:r>
      <w:r>
        <w:rPr>
          <w:rFonts w:ascii="Times New Roman" w:cs="Times New Roman" w:eastAsia="Times New Roman" w:hAnsi="Times New Roman"/>
          <w:sz w:val="22"/>
          <w:szCs w:val="22"/>
          <w:color w:val="auto"/>
        </w:rPr>
        <w:t>means</w:t>
      </w:r>
    </w:p>
    <w:p>
      <w:pPr>
        <w:spacing w:after="0" w:line="237" w:lineRule="exact"/>
        <w:rPr>
          <w:sz w:val="20"/>
          <w:szCs w:val="20"/>
          <w:color w:val="auto"/>
        </w:rPr>
      </w:pPr>
    </w:p>
    <w:p>
      <w:pPr>
        <w:ind w:left="2580" w:hanging="884"/>
        <w:spacing w:after="0"/>
        <w:tabs>
          <w:tab w:leader="none" w:pos="25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government of</w:t>
      </w:r>
    </w:p>
    <w:p>
      <w:pPr>
        <w:spacing w:after="0" w:line="246" w:lineRule="exact"/>
        <w:rPr>
          <w:rFonts w:ascii="Times New Roman" w:cs="Times New Roman" w:eastAsia="Times New Roman" w:hAnsi="Times New Roman"/>
          <w:sz w:val="22"/>
          <w:szCs w:val="22"/>
          <w:color w:val="auto"/>
        </w:rPr>
      </w:pPr>
    </w:p>
    <w:p>
      <w:pPr>
        <w:ind w:left="3360" w:hanging="854"/>
        <w:spacing w:after="0"/>
        <w:tabs>
          <w:tab w:leader="none" w:pos="336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United States of America or any state or other political subdivision thereof, or</w:t>
      </w:r>
    </w:p>
    <w:p>
      <w:pPr>
        <w:spacing w:after="0" w:line="246" w:lineRule="exact"/>
        <w:rPr>
          <w:rFonts w:ascii="Times New Roman" w:cs="Times New Roman" w:eastAsia="Times New Roman" w:hAnsi="Times New Roman"/>
          <w:sz w:val="22"/>
          <w:szCs w:val="22"/>
          <w:color w:val="auto"/>
        </w:rPr>
      </w:pPr>
    </w:p>
    <w:p>
      <w:pPr>
        <w:ind w:left="1760" w:right="20" w:firstLine="746"/>
        <w:spacing w:after="0" w:line="258" w:lineRule="auto"/>
        <w:tabs>
          <w:tab w:leader="none" w:pos="3415"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jurisdiction in which the Company or any Subsidiary conducts all or any part of its business, or which asserts jurisdiction over any properties of the Company or any Subsidiary, or</w:t>
      </w:r>
    </w:p>
    <w:p>
      <w:pPr>
        <w:spacing w:after="0" w:line="185" w:lineRule="exact"/>
        <w:rPr>
          <w:rFonts w:ascii="Times New Roman" w:cs="Times New Roman" w:eastAsia="Times New Roman" w:hAnsi="Times New Roman"/>
          <w:sz w:val="22"/>
          <w:szCs w:val="22"/>
          <w:color w:val="auto"/>
        </w:rPr>
      </w:pPr>
    </w:p>
    <w:p>
      <w:pPr>
        <w:ind w:left="880" w:firstLine="816"/>
        <w:spacing w:after="0" w:line="258" w:lineRule="auto"/>
        <w:tabs>
          <w:tab w:leader="none" w:pos="259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entity exercising executive, legislative, judicial, regulatory or administrative functions of, or pertaining to, any such government.</w:t>
      </w:r>
    </w:p>
    <w:p>
      <w:pPr>
        <w:spacing w:after="0" w:line="165" w:lineRule="exact"/>
        <w:rPr>
          <w:sz w:val="20"/>
          <w:szCs w:val="20"/>
          <w:color w:val="auto"/>
        </w:rPr>
      </w:pPr>
    </w:p>
    <w:p>
      <w:pPr>
        <w:jc w:val="both"/>
        <w:ind w:firstLine="877"/>
        <w:spacing w:after="0" w:line="267" w:lineRule="exact"/>
        <w:rPr>
          <w:sz w:val="20"/>
          <w:szCs w:val="20"/>
          <w:color w:val="auto"/>
        </w:rPr>
      </w:pPr>
      <w:r>
        <w:rPr>
          <w:rFonts w:ascii="Times New Roman" w:cs="Times New Roman" w:eastAsia="Times New Roman" w:hAnsi="Times New Roman"/>
          <w:sz w:val="22"/>
          <w:szCs w:val="22"/>
          <w:b w:val="1"/>
          <w:bCs w:val="1"/>
          <w:color w:val="auto"/>
        </w:rPr>
        <w:t xml:space="preserve">“Governmental Official” </w:t>
      </w:r>
      <w:r>
        <w:rPr>
          <w:rFonts w:ascii="Times New Roman" w:cs="Times New Roman" w:eastAsia="Times New Roman" w:hAnsi="Times New Roman"/>
          <w:sz w:val="22"/>
          <w:szCs w:val="22"/>
          <w:color w:val="auto"/>
        </w:rPr>
        <w:t>means any governmental official or employee, employee of any government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government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controlled entity, political party, any official of a political party, candidate for political office, official of any public international organization or anyone else acting in an official capacity.</w:t>
      </w:r>
    </w:p>
    <w:p>
      <w:pPr>
        <w:spacing w:after="0" w:line="216"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b w:val="1"/>
          <w:bCs w:val="1"/>
          <w:color w:val="auto"/>
        </w:rPr>
        <w:t xml:space="preserve">“Guarantee” </w:t>
      </w:r>
      <w:r>
        <w:rPr>
          <w:rFonts w:ascii="Times New Roman" w:cs="Times New Roman" w:eastAsia="Times New Roman" w:hAnsi="Times New Roman"/>
          <w:sz w:val="22"/>
          <w:szCs w:val="22"/>
          <w:color w:val="auto"/>
        </w:rPr>
        <w:t>means, as to any Person, (a) any obligation, contingent or otherwise, of such Person guaranteeing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having the economic effect of guaranteeing any Indebtedness or other obligation payable or performable by another Person (the </w:t>
      </w:r>
      <w:r>
        <w:rPr>
          <w:rFonts w:ascii="Times New Roman" w:cs="Times New Roman" w:eastAsia="Times New Roman" w:hAnsi="Times New Roman"/>
          <w:sz w:val="22"/>
          <w:szCs w:val="22"/>
          <w:i w:val="1"/>
          <w:iCs w:val="1"/>
          <w:color w:val="auto"/>
        </w:rPr>
        <w:t>“primary obligor”</w:t>
      </w:r>
      <w:r>
        <w:rPr>
          <w:rFonts w:ascii="Times New Roman" w:cs="Times New Roman" w:eastAsia="Times New Roman" w:hAnsi="Times New Roman"/>
          <w:sz w:val="22"/>
          <w:szCs w:val="22"/>
          <w:color w:val="auto"/>
        </w:rPr>
        <w:t>) in any manner, whether directly or indirectly, and including any obligation of such Person, direct or indirect,</w:t>
      </w:r>
    </w:p>
    <w:p>
      <w:pPr>
        <w:spacing w:after="0" w:line="2" w:lineRule="exact"/>
        <w:rPr>
          <w:sz w:val="20"/>
          <w:szCs w:val="20"/>
          <w:color w:val="auto"/>
        </w:rPr>
      </w:pPr>
    </w:p>
    <w:p>
      <w:pPr>
        <w:jc w:val="both"/>
        <w:ind w:firstLine="8"/>
        <w:spacing w:after="0" w:line="243" w:lineRule="auto"/>
        <w:tabs>
          <w:tab w:leader="none" w:pos="277"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98"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“Hazardous Materials” </w:t>
      </w:r>
      <w:r>
        <w:rPr>
          <w:rFonts w:ascii="Times New Roman" w:cs="Times New Roman" w:eastAsia="Times New Roman" w:hAnsi="Times New Roman"/>
          <w:sz w:val="22"/>
          <w:szCs w:val="22"/>
          <w:color w:val="auto"/>
        </w:rPr>
        <w:t>means any and all pollutants, toxic or hazardous wastes or other substances that might pose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asbestos, urea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73" w:name="page74"/>
    <w:bookmarkEnd w:id="73"/>
    <w:p>
      <w:pPr>
        <w:jc w:val="both"/>
        <w:spacing w:after="0" w:line="258" w:lineRule="auto"/>
        <w:rPr>
          <w:sz w:val="20"/>
          <w:szCs w:val="20"/>
          <w:color w:val="auto"/>
        </w:rPr>
      </w:pPr>
      <w:r>
        <w:rPr>
          <w:rFonts w:ascii="Times New Roman" w:cs="Times New Roman" w:eastAsia="Times New Roman" w:hAnsi="Times New Roman"/>
          <w:sz w:val="22"/>
          <w:szCs w:val="22"/>
          <w:color w:val="auto"/>
        </w:rPr>
        <w:t>formaldehyde foam insulation, polychlorinated biphenyls, petroleum, petroleum products, lead based paint, radon gas or similar restricted, prohibited or penalized substances.</w:t>
      </w:r>
    </w:p>
    <w:p>
      <w:pPr>
        <w:spacing w:after="0" w:line="181"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“holder” </w:t>
      </w:r>
      <w:r>
        <w:rPr>
          <w:rFonts w:ascii="Times New Roman" w:cs="Times New Roman" w:eastAsia="Times New Roman" w:hAnsi="Times New Roman"/>
          <w:sz w:val="22"/>
          <w:szCs w:val="22"/>
          <w:color w:val="auto"/>
        </w:rPr>
        <w:t>means, with respect to any Note, the Person in whose name such Note is registered in the register maintained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by the Company pursuant to Section 13.1,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such Person is a nominee, then for the purposes of Sections 7, 12, 17.2 and 18 and any related definitions in this Schedule A, “holder” shall mean the beneficial owner of such Note whose name and address appears in such register.</w:t>
      </w:r>
    </w:p>
    <w:p>
      <w:pPr>
        <w:spacing w:after="0" w:line="213"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“Indebtedness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as to any Person at a particular time, without duplication, all of the following, whether or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included as indebtedness or liabilities in accordance with GAAP:</w:t>
      </w:r>
    </w:p>
    <w:p>
      <w:pPr>
        <w:spacing w:after="0" w:line="194" w:lineRule="exact"/>
        <w:rPr>
          <w:sz w:val="20"/>
          <w:szCs w:val="20"/>
          <w:color w:val="auto"/>
        </w:rPr>
      </w:pPr>
    </w:p>
    <w:p>
      <w:pPr>
        <w:ind w:left="880" w:firstLine="816"/>
        <w:spacing w:after="0" w:line="258" w:lineRule="auto"/>
        <w:tabs>
          <w:tab w:leader="none" w:pos="2578"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for borrowed money and all obligations of such Person evidenced by bonds, debentures, notes, loan agreements or other similar instruments;</w:t>
      </w:r>
    </w:p>
    <w:p>
      <w:pPr>
        <w:spacing w:after="0" w:line="185" w:lineRule="exact"/>
        <w:rPr>
          <w:rFonts w:ascii="Times New Roman" w:cs="Times New Roman" w:eastAsia="Times New Roman" w:hAnsi="Times New Roman"/>
          <w:sz w:val="22"/>
          <w:szCs w:val="22"/>
          <w:color w:val="auto"/>
        </w:rPr>
      </w:pPr>
    </w:p>
    <w:p>
      <w:pPr>
        <w:jc w:val="both"/>
        <w:ind w:left="880" w:firstLine="816"/>
        <w:spacing w:after="0" w:line="242" w:lineRule="auto"/>
        <w:tabs>
          <w:tab w:leader="none" w:pos="259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direct or contingent obligations of such Person arising under letters of credit (including standby and commercial), bankers’ acceptances, bank guaranties, surety bonds and similar instruments, except to the extent</w:t>
      </w:r>
    </w:p>
    <w:p>
      <w:pPr>
        <w:jc w:val="both"/>
        <w:ind w:left="880" w:firstLine="5"/>
        <w:spacing w:after="0" w:line="235" w:lineRule="auto"/>
        <w:tabs>
          <w:tab w:leader="none" w:pos="114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issued as a means of trade payment in the ordinary course of business or to support or secure any other obligation of any Person unless such other obligation also constitutes Indebtedness hereunder and (ii) in an aggregate stated or principal amount at any time outstanding not to exceed $75,000,000;</w:t>
      </w:r>
    </w:p>
    <w:p>
      <w:pPr>
        <w:spacing w:after="0" w:line="218" w:lineRule="exact"/>
        <w:rPr>
          <w:rFonts w:ascii="Times New Roman" w:cs="Times New Roman" w:eastAsia="Times New Roman" w:hAnsi="Times New Roman"/>
          <w:sz w:val="22"/>
          <w:szCs w:val="22"/>
          <w:color w:val="auto"/>
        </w:rPr>
      </w:pPr>
    </w:p>
    <w:p>
      <w:pPr>
        <w:ind w:left="880" w:firstLine="816"/>
        <w:spacing w:after="0" w:line="258" w:lineRule="auto"/>
        <w:tabs>
          <w:tab w:leader="none" w:pos="2578"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to pay the deferred purchase price of property or services (other than trade accounts payable in the ordinary course of business);</w:t>
      </w:r>
    </w:p>
    <w:p>
      <w:pPr>
        <w:spacing w:after="0" w:line="198" w:lineRule="exact"/>
        <w:rPr>
          <w:rFonts w:ascii="Times New Roman" w:cs="Times New Roman" w:eastAsia="Times New Roman" w:hAnsi="Times New Roman"/>
          <w:sz w:val="22"/>
          <w:szCs w:val="22"/>
          <w:color w:val="auto"/>
        </w:rPr>
      </w:pPr>
    </w:p>
    <w:p>
      <w:pPr>
        <w:jc w:val="both"/>
        <w:ind w:left="880" w:firstLine="816"/>
        <w:spacing w:after="0" w:line="244" w:lineRule="auto"/>
        <w:tabs>
          <w:tab w:leader="none" w:pos="259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200" w:lineRule="exact"/>
        <w:rPr>
          <w:rFonts w:ascii="Times New Roman" w:cs="Times New Roman" w:eastAsia="Times New Roman" w:hAnsi="Times New Roman"/>
          <w:sz w:val="22"/>
          <w:szCs w:val="22"/>
          <w:color w:val="auto"/>
        </w:rPr>
      </w:pPr>
    </w:p>
    <w:p>
      <w:pPr>
        <w:ind w:left="2580" w:hanging="884"/>
        <w:spacing w:after="0"/>
        <w:tabs>
          <w:tab w:leader="none" w:pos="258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leases and Synthetic Lease Obligations;</w:t>
      </w:r>
    </w:p>
    <w:p>
      <w:pPr>
        <w:spacing w:after="0" w:line="246" w:lineRule="exact"/>
        <w:rPr>
          <w:rFonts w:ascii="Times New Roman" w:cs="Times New Roman" w:eastAsia="Times New Roman" w:hAnsi="Times New Roman"/>
          <w:sz w:val="22"/>
          <w:szCs w:val="22"/>
          <w:color w:val="auto"/>
        </w:rPr>
      </w:pPr>
    </w:p>
    <w:p>
      <w:pPr>
        <w:jc w:val="both"/>
        <w:ind w:left="880" w:firstLine="816"/>
        <w:spacing w:after="0" w:line="238" w:lineRule="auto"/>
        <w:tabs>
          <w:tab w:leader="none" w:pos="2554"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obligations of such Person to purchase, redeem, retire, defease or otherwise make any payment in respect of any Equity Interest in such Person or any other Person (other than obligations of the Company or a Subsidiary to Red Iron under the terms of the Red Iron LLC Agreement (as in effect on the Closing Date)), valued, in the case of a redeemable preferred interest, at the greater of its voluntary or involuntary liquidation preference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accrued and unpaid dividends;</w:t>
      </w:r>
    </w:p>
    <w:p>
      <w:pPr>
        <w:spacing w:after="0" w:line="217" w:lineRule="exact"/>
        <w:rPr>
          <w:rFonts w:ascii="Times New Roman" w:cs="Times New Roman" w:eastAsia="Times New Roman" w:hAnsi="Times New Roman"/>
          <w:sz w:val="22"/>
          <w:szCs w:val="22"/>
          <w:color w:val="auto"/>
        </w:rPr>
      </w:pPr>
    </w:p>
    <w:p>
      <w:pPr>
        <w:jc w:val="both"/>
        <w:ind w:left="880" w:firstLine="816"/>
        <w:spacing w:after="0" w:line="239" w:lineRule="auto"/>
        <w:tabs>
          <w:tab w:leader="none" w:pos="259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unpaid amount of all Receivables sold by any Person for which such Person has recourse liability or portion thereof for which such Person has recourse liability in cases where such recourse liability is not full except to the extent in an aggregate stated or principal amount, when taken together with amounts subject to the exception set forth in the following clause (h), at any time outstanding not to exceed $75,000,000; 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74" w:name="page75"/>
    <w:bookmarkEnd w:id="74"/>
    <w:p>
      <w:pPr>
        <w:jc w:val="both"/>
        <w:ind w:left="880" w:firstLine="816"/>
        <w:spacing w:after="0" w:line="247" w:lineRule="exact"/>
        <w:tabs>
          <w:tab w:leader="none" w:pos="259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Guarantees of such Person in respect of any of the foregoing, except to the extent (i) issued as a means of providing assurance of payment of amounts due by purchasers or lessees of the products or services of such Person or Affiliates of such Person to obligees providing financing for or purchasing obligations related to the acquisition or lease of such products or services (the </w:t>
      </w:r>
      <w:r>
        <w:rPr>
          <w:rFonts w:ascii="Times New Roman" w:cs="Times New Roman" w:eastAsia="Times New Roman" w:hAnsi="Times New Roman"/>
          <w:sz w:val="22"/>
          <w:szCs w:val="22"/>
          <w:b w:val="1"/>
          <w:bCs w:val="1"/>
          <w:color w:val="auto"/>
        </w:rPr>
        <w:t>“End</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User Financing Arrangements”</w:t>
      </w:r>
      <w:r>
        <w:rPr>
          <w:rFonts w:ascii="Times New Roman" w:cs="Times New Roman" w:eastAsia="Times New Roman" w:hAnsi="Times New Roman"/>
          <w:sz w:val="22"/>
          <w:szCs w:val="22"/>
          <w:color w:val="auto"/>
        </w:rPr>
        <w:t xml:space="preserve">); or, without duplication, (ii) to provide assurance of payments of amounts due Red Iron or TCF Canada in the ordinary course of Red Iron’s or TCF Canada’s business of financing purchases by distributors and dealers or products and services of such Person or an Affiliate of such Person (the </w:t>
      </w:r>
      <w:r>
        <w:rPr>
          <w:rFonts w:ascii="Times New Roman" w:cs="Times New Roman" w:eastAsia="Times New Roman" w:hAnsi="Times New Roman"/>
          <w:sz w:val="22"/>
          <w:szCs w:val="22"/>
          <w:b w:val="1"/>
          <w:bCs w:val="1"/>
          <w:color w:val="auto"/>
        </w:rPr>
        <w:t>“Red Iron/TCF Repurchase Obligations”</w:t>
      </w:r>
      <w:r>
        <w:rPr>
          <w:rFonts w:ascii="Times New Roman" w:cs="Times New Roman" w:eastAsia="Times New Roman" w:hAnsi="Times New Roman"/>
          <w:sz w:val="22"/>
          <w:szCs w:val="22"/>
          <w:color w:val="auto"/>
        </w:rPr>
        <w:t>), in an aggregate stated or principal amount, when taken together with amounts subject to the exception set forth in the preceding clause (g), at any time outstanding not to exceed $75,000,000.</w:t>
      </w:r>
    </w:p>
    <w:p>
      <w:pPr>
        <w:spacing w:after="0" w:line="211" w:lineRule="exact"/>
        <w:rPr>
          <w:sz w:val="20"/>
          <w:szCs w:val="20"/>
          <w:color w:val="auto"/>
        </w:rPr>
      </w:pPr>
    </w:p>
    <w:p>
      <w:pPr>
        <w:jc w:val="both"/>
        <w:ind w:firstLine="877"/>
        <w:spacing w:after="0" w:line="251" w:lineRule="exact"/>
        <w:rPr>
          <w:sz w:val="20"/>
          <w:szCs w:val="20"/>
          <w:color w:val="auto"/>
        </w:rPr>
      </w:pPr>
      <w:r>
        <w:rPr>
          <w:rFonts w:ascii="Times New Roman" w:cs="Times New Roman" w:eastAsia="Times New Roman" w:hAnsi="Times New Roman"/>
          <w:sz w:val="22"/>
          <w:szCs w:val="22"/>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recourse to such Person. The amount of any capital lease or Synthetic Lease Obligation as of any date shall be deemed to be the amount of Attributable Indebtedness in respect thereof as of such date.</w:t>
      </w:r>
    </w:p>
    <w:p>
      <w:pPr>
        <w:spacing w:after="0" w:line="2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“INHAM Exemption” </w:t>
      </w:r>
      <w:r>
        <w:rPr>
          <w:rFonts w:ascii="Times New Roman" w:cs="Times New Roman" w:eastAsia="Times New Roman" w:hAnsi="Times New Roman"/>
          <w:sz w:val="22"/>
          <w:szCs w:val="22"/>
          <w:color w:val="auto"/>
        </w:rPr>
        <w:t>is defined in Section 6.2(e).</w:t>
      </w:r>
    </w:p>
    <w:p>
      <w:pPr>
        <w:spacing w:after="0" w:line="247"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“Institutional Investor” </w:t>
      </w:r>
      <w:r>
        <w:rPr>
          <w:rFonts w:ascii="Times New Roman" w:cs="Times New Roman" w:eastAsia="Times New Roman" w:hAnsi="Times New Roman"/>
          <w:sz w:val="22"/>
          <w:szCs w:val="22"/>
          <w:color w:val="auto"/>
        </w:rPr>
        <w:t>means (a) any Purchaser of a Note, (b) any holder of a Note holding (together with one or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its affiliates) more than 3% of the aggregate principal amount of the Notes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Note.</w:t>
      </w:r>
    </w:p>
    <w:p>
      <w:pPr>
        <w:spacing w:after="0" w:line="20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“Intellectual Property” </w:t>
      </w:r>
      <w:r>
        <w:rPr>
          <w:rFonts w:ascii="Times New Roman" w:cs="Times New Roman" w:eastAsia="Times New Roman" w:hAnsi="Times New Roman"/>
          <w:sz w:val="22"/>
          <w:szCs w:val="22"/>
          <w:color w:val="auto"/>
        </w:rPr>
        <w:t>is defined in Section 5.11(a).</w:t>
      </w:r>
    </w:p>
    <w:p>
      <w:pPr>
        <w:spacing w:after="0" w:line="2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“Investor Presentation” </w:t>
      </w:r>
      <w:r>
        <w:rPr>
          <w:rFonts w:ascii="Times New Roman" w:cs="Times New Roman" w:eastAsia="Times New Roman" w:hAnsi="Times New Roman"/>
          <w:sz w:val="22"/>
          <w:szCs w:val="22"/>
          <w:color w:val="auto"/>
        </w:rPr>
        <w:t>is defined in Section 5.3.</w:t>
      </w:r>
    </w:p>
    <w:p>
      <w:pPr>
        <w:spacing w:after="0" w:line="2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“Leverage Ratio” </w:t>
      </w:r>
      <w:r>
        <w:rPr>
          <w:rFonts w:ascii="Times New Roman" w:cs="Times New Roman" w:eastAsia="Times New Roman" w:hAnsi="Times New Roman"/>
          <w:sz w:val="22"/>
          <w:szCs w:val="22"/>
          <w:color w:val="auto"/>
        </w:rPr>
        <w:t>has the meaning specified in Section 108.</w:t>
      </w:r>
    </w:p>
    <w:p>
      <w:pPr>
        <w:spacing w:after="0" w:line="233"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“Lien” </w:t>
      </w:r>
      <w:r>
        <w:rPr>
          <w:rFonts w:ascii="Times New Roman" w:cs="Times New Roman" w:eastAsia="Times New Roman" w:hAnsi="Times New Roman"/>
          <w:sz w:val="22"/>
          <w:szCs w:val="22"/>
          <w:color w:val="auto"/>
        </w:rPr>
        <w:t>means, with respect to any Person, any mortgage, lien, pledge, charge, security interest or other encumbrance,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83" w:lineRule="exact"/>
        <w:rPr>
          <w:sz w:val="20"/>
          <w:szCs w:val="20"/>
          <w:color w:val="auto"/>
        </w:rPr>
      </w:pPr>
    </w:p>
    <w:p>
      <w:pPr>
        <w:ind w:left="880"/>
        <w:spacing w:after="0" w:line="253" w:lineRule="exact"/>
        <w:rPr>
          <w:sz w:val="20"/>
          <w:szCs w:val="20"/>
          <w:color w:val="auto"/>
        </w:rPr>
      </w:pPr>
      <w:r>
        <w:rPr>
          <w:rFonts w:ascii="Times New Roman" w:cs="Times New Roman" w:eastAsia="Times New Roman" w:hAnsi="Times New Roman"/>
          <w:sz w:val="22"/>
          <w:szCs w:val="22"/>
          <w:b w:val="1"/>
          <w:bCs w:val="1"/>
          <w:color w:val="auto"/>
        </w:rPr>
        <w:t>“Make</w:t>
      </w:r>
      <w:r>
        <w:rPr>
          <w:rFonts w:ascii="MS PGothic" w:cs="MS PGothic" w:eastAsia="MS PGothic" w:hAnsi="MS PGothic"/>
          <w:sz w:val="22"/>
          <w:szCs w:val="22"/>
          <w:color w:val="auto"/>
        </w:rPr>
        <w:t>‑</w:t>
      </w:r>
      <w:r>
        <w:rPr>
          <w:rFonts w:ascii="Times New Roman" w:cs="Times New Roman" w:eastAsia="Times New Roman" w:hAnsi="Times New Roman"/>
          <w:sz w:val="22"/>
          <w:szCs w:val="22"/>
          <w:b w:val="1"/>
          <w:bCs w:val="1"/>
          <w:color w:val="auto"/>
        </w:rPr>
        <w:t xml:space="preserve">Whole Amount” </w:t>
      </w:r>
      <w:r>
        <w:rPr>
          <w:rFonts w:ascii="Times New Roman" w:cs="Times New Roman" w:eastAsia="Times New Roman" w:hAnsi="Times New Roman"/>
          <w:sz w:val="22"/>
          <w:szCs w:val="22"/>
          <w:color w:val="auto"/>
        </w:rPr>
        <w:t>is defined in Section 8.6.</w:t>
      </w:r>
    </w:p>
    <w:p>
      <w:pPr>
        <w:spacing w:after="0" w:line="277"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“Material” </w:t>
      </w:r>
      <w:r>
        <w:rPr>
          <w:rFonts w:ascii="Times New Roman" w:cs="Times New Roman" w:eastAsia="Times New Roman" w:hAnsi="Times New Roman"/>
          <w:sz w:val="22"/>
          <w:szCs w:val="22"/>
          <w:color w:val="auto"/>
        </w:rPr>
        <w:t>means material in relation to the business, operations, affairs, financial condition, assets, or properties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its Subsidiaries taken as a whole.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75" w:name="page76"/>
    <w:bookmarkEnd w:id="75"/>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“Material Adverse Effect” </w:t>
      </w:r>
      <w:r>
        <w:rPr>
          <w:rFonts w:ascii="Times New Roman" w:cs="Times New Roman" w:eastAsia="Times New Roman" w:hAnsi="Times New Roman"/>
          <w:sz w:val="22"/>
          <w:szCs w:val="22"/>
          <w:color w:val="auto"/>
        </w:rPr>
        <w:t>means a material adverse effect on (a) the business, operations, affairs, financial condition,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or properties of the Company and its Subsidiaries taken as a whole, (b) the ability of the Company to perform its obligations under this Agreement and the Notes, (c) the ability of any Subsidiary Guarantor to perform its obligations under its Subsidiary Guaranty, or (d) the validity or enforceability of this Agreement, the Notes or any Subsidiary Guaranty.</w:t>
      </w:r>
    </w:p>
    <w:p>
      <w:pPr>
        <w:spacing w:after="0" w:line="1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“Material Credit Facility” </w:t>
      </w:r>
      <w:r>
        <w:rPr>
          <w:rFonts w:ascii="Times New Roman" w:cs="Times New Roman" w:eastAsia="Times New Roman" w:hAnsi="Times New Roman"/>
          <w:sz w:val="22"/>
          <w:szCs w:val="22"/>
          <w:color w:val="auto"/>
        </w:rPr>
        <w:t>means, as to the Company and its Subsidiaries,</w:t>
      </w:r>
    </w:p>
    <w:p>
      <w:pPr>
        <w:spacing w:after="0" w:line="251" w:lineRule="exact"/>
        <w:rPr>
          <w:sz w:val="20"/>
          <w:szCs w:val="20"/>
          <w:color w:val="auto"/>
        </w:rPr>
      </w:pPr>
    </w:p>
    <w:p>
      <w:pPr>
        <w:jc w:val="both"/>
        <w:ind w:left="880" w:firstLine="816"/>
        <w:spacing w:after="0" w:line="238" w:lineRule="auto"/>
        <w:tabs>
          <w:tab w:leader="none" w:pos="257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Credit Agreement dated as of June 19, 2018 among the Company, Toro Luxembourg, certain other Subsidiaries, as borrowers, Bank of America, N.A. as Administrative Agent, Swing Line Lender and L/C Issuer, Wells Fargo Bank, National Association, as syndication agent, BMO Harris Bank, N.A., HSBC Bank USA, National Association, and U.S. Bank National Association, as co-documentation agents and the other lenders party thereto, (the </w:t>
      </w:r>
      <w:r>
        <w:rPr>
          <w:rFonts w:ascii="Times New Roman" w:cs="Times New Roman" w:eastAsia="Times New Roman" w:hAnsi="Times New Roman"/>
          <w:sz w:val="22"/>
          <w:szCs w:val="22"/>
          <w:b w:val="1"/>
          <w:bCs w:val="1"/>
          <w:color w:val="auto"/>
        </w:rPr>
        <w:t>“Existing Revolving Credit Agreement”</w:t>
      </w:r>
      <w:r>
        <w:rPr>
          <w:rFonts w:ascii="Times New Roman" w:cs="Times New Roman" w:eastAsia="Times New Roman" w:hAnsi="Times New Roman"/>
          <w:sz w:val="22"/>
          <w:szCs w:val="22"/>
          <w:color w:val="auto"/>
        </w:rPr>
        <w:t>);</w:t>
      </w:r>
    </w:p>
    <w:p>
      <w:pPr>
        <w:spacing w:after="0" w:line="217" w:lineRule="exact"/>
        <w:rPr>
          <w:rFonts w:ascii="Times New Roman" w:cs="Times New Roman" w:eastAsia="Times New Roman" w:hAnsi="Times New Roman"/>
          <w:sz w:val="22"/>
          <w:szCs w:val="22"/>
          <w:color w:val="auto"/>
        </w:rPr>
      </w:pPr>
    </w:p>
    <w:p>
      <w:pPr>
        <w:jc w:val="both"/>
        <w:ind w:left="880" w:firstLine="816"/>
        <w:spacing w:after="0" w:line="244" w:lineRule="auto"/>
        <w:tabs>
          <w:tab w:leader="none" w:pos="259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 Loan Credit Agreement dated as of March 19, 2019 among the Company, as borrower, Bank of America, N.A., as Administrative Agent and each lender from time to time party thereto (the </w:t>
      </w:r>
      <w:r>
        <w:rPr>
          <w:rFonts w:ascii="Times New Roman" w:cs="Times New Roman" w:eastAsia="Times New Roman" w:hAnsi="Times New Roman"/>
          <w:sz w:val="22"/>
          <w:szCs w:val="22"/>
          <w:b w:val="1"/>
          <w:bCs w:val="1"/>
          <w:color w:val="auto"/>
        </w:rPr>
        <w:t>“Existing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Credit Agreement”</w:t>
      </w:r>
      <w:r>
        <w:rPr>
          <w:rFonts w:ascii="Times New Roman" w:cs="Times New Roman" w:eastAsia="Times New Roman" w:hAnsi="Times New Roman"/>
          <w:sz w:val="22"/>
          <w:szCs w:val="22"/>
          <w:color w:val="auto"/>
        </w:rPr>
        <w:t>); and</w:t>
      </w:r>
    </w:p>
    <w:p>
      <w:pPr>
        <w:spacing w:after="0" w:line="200" w:lineRule="exact"/>
        <w:rPr>
          <w:rFonts w:ascii="Times New Roman" w:cs="Times New Roman" w:eastAsia="Times New Roman" w:hAnsi="Times New Roman"/>
          <w:sz w:val="22"/>
          <w:szCs w:val="22"/>
          <w:color w:val="auto"/>
        </w:rPr>
      </w:pPr>
    </w:p>
    <w:p>
      <w:pPr>
        <w:jc w:val="both"/>
        <w:ind w:left="880" w:firstLine="816"/>
        <w:spacing w:after="0" w:line="234" w:lineRule="auto"/>
        <w:tabs>
          <w:tab w:leader="none" w:pos="257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agreement(s) (other than the Receivables Purchase Facility), including any renewals, extensions, amendments, supplements, restatements, replacements or refinancings of the Existing Revolving Credit Agreement and/or the Existing Term Credit Agreement, creating or evidencing indebtedness for borrowed money entered into by the Company or any Subsidiary, or in respect of which the Company or any Subsidiary is an obligor or otherwise provides a guarantee or other credit support (</w:t>
      </w:r>
      <w:r>
        <w:rPr>
          <w:rFonts w:ascii="Times New Roman" w:cs="Times New Roman" w:eastAsia="Times New Roman" w:hAnsi="Times New Roman"/>
          <w:sz w:val="22"/>
          <w:szCs w:val="22"/>
          <w:b w:val="1"/>
          <w:bCs w:val="1"/>
          <w:color w:val="auto"/>
        </w:rPr>
        <w:t>“Credit Facility”</w:t>
      </w:r>
      <w:r>
        <w:rPr>
          <w:rFonts w:ascii="Times New Roman" w:cs="Times New Roman" w:eastAsia="Times New Roman" w:hAnsi="Times New Roman"/>
          <w:sz w:val="22"/>
          <w:szCs w:val="22"/>
          <w:color w:val="auto"/>
        </w:rPr>
        <w:t>), in a principal amount outstanding or available for borrowing equal to or greater than $50,000,000 (or the equivalent of such amount in the relevant currency of payment, determined as of the date of the closing of such facility based on the exchange rate of such other currency); and if no Credit Facility or Credit Facilities equal or exceed such amounts, then the largest Credit Facility shall be deemed to be a Material Credit Facility</w:t>
      </w:r>
      <w:r>
        <w:rPr>
          <w:rFonts w:ascii="Times New Roman" w:cs="Times New Roman" w:eastAsia="Times New Roman" w:hAnsi="Times New Roman"/>
          <w:sz w:val="22"/>
          <w:szCs w:val="22"/>
          <w:i w:val="1"/>
          <w:iCs w:val="1"/>
          <w:color w:val="auto"/>
        </w:rPr>
        <w:t>.</w:t>
      </w:r>
    </w:p>
    <w:p>
      <w:pPr>
        <w:spacing w:after="0" w:line="221"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“Material Subsidiary” </w:t>
      </w:r>
      <w:r>
        <w:rPr>
          <w:rFonts w:ascii="Times New Roman" w:cs="Times New Roman" w:eastAsia="Times New Roman" w:hAnsi="Times New Roman"/>
          <w:sz w:val="22"/>
          <w:szCs w:val="22"/>
          <w:color w:val="auto"/>
        </w:rPr>
        <w:t>means, at any time of determination, any Subsidiary having at such time either (i) 10% or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net book value of Consolidated Total Assets as of the last day of the preceding fiscal quarter or (ii) 5% or more of the consolidated total (gross) revenues of the Company and its Subsidiaries for the preceding four fiscal quarter period, in each case, based upon the Company’s most recent annual or quarterly consolidated financial statements.</w:t>
      </w:r>
    </w:p>
    <w:p>
      <w:pPr>
        <w:spacing w:after="0" w:line="21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“Maturity Date” </w:t>
      </w:r>
      <w:r>
        <w:rPr>
          <w:rFonts w:ascii="Times New Roman" w:cs="Times New Roman" w:eastAsia="Times New Roman" w:hAnsi="Times New Roman"/>
          <w:sz w:val="22"/>
          <w:szCs w:val="22"/>
          <w:color w:val="auto"/>
        </w:rPr>
        <w:t>is defined in the first paragraph of each Note.</w:t>
      </w:r>
    </w:p>
    <w:p>
      <w:pPr>
        <w:spacing w:after="0" w:line="2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b w:val="1"/>
          <w:bCs w:val="1"/>
          <w:color w:val="auto"/>
        </w:rPr>
        <w:t xml:space="preserve">“Multiemployer Plan” </w:t>
      </w:r>
      <w:r>
        <w:rPr>
          <w:rFonts w:ascii="Times New Roman" w:cs="Times New Roman" w:eastAsia="Times New Roman" w:hAnsi="Times New Roman"/>
          <w:sz w:val="21"/>
          <w:szCs w:val="21"/>
          <w:color w:val="auto"/>
        </w:rPr>
        <w:t>means any Plan that is a “multiemployer plan” (as such term is defined in section 4001(a)(3)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ERISA).</w:t>
      </w:r>
    </w:p>
    <w:p>
      <w:pPr>
        <w:spacing w:after="0" w:line="2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“NAIC” </w:t>
      </w:r>
      <w:r>
        <w:rPr>
          <w:rFonts w:ascii="Times New Roman" w:cs="Times New Roman" w:eastAsia="Times New Roman" w:hAnsi="Times New Roman"/>
          <w:sz w:val="22"/>
          <w:szCs w:val="22"/>
          <w:color w:val="auto"/>
        </w:rPr>
        <w:t>means the National Association of Insurance Commissioners.</w:t>
      </w:r>
    </w:p>
    <w:p>
      <w:pPr>
        <w:spacing w:after="0" w:line="21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76" w:name="page77"/>
    <w:bookmarkEnd w:id="76"/>
    <w:p>
      <w:pPr>
        <w:jc w:val="both"/>
        <w:ind w:firstLine="877"/>
        <w:spacing w:after="0" w:line="258" w:lineRule="exact"/>
        <w:rPr>
          <w:sz w:val="20"/>
          <w:szCs w:val="20"/>
          <w:color w:val="auto"/>
        </w:rPr>
      </w:pPr>
      <w:r>
        <w:rPr>
          <w:rFonts w:ascii="Times New Roman" w:cs="Times New Roman" w:eastAsia="Times New Roman" w:hAnsi="Times New Roman"/>
          <w:sz w:val="22"/>
          <w:szCs w:val="22"/>
          <w:b w:val="1"/>
          <w:bCs w:val="1"/>
          <w:color w:val="auto"/>
        </w:rPr>
        <w:t>“Non</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U.S. Plan” </w:t>
      </w:r>
      <w:r>
        <w:rPr>
          <w:rFonts w:ascii="Times New Roman" w:cs="Times New Roman" w:eastAsia="Times New Roman" w:hAnsi="Times New Roman"/>
          <w:sz w:val="22"/>
          <w:szCs w:val="22"/>
          <w:color w:val="auto"/>
        </w:rPr>
        <w:t>means any plan, fund or other similar program that (a) is established or maintained outside the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20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“Notes” </w:t>
      </w:r>
      <w:r>
        <w:rPr>
          <w:rFonts w:ascii="Times New Roman" w:cs="Times New Roman" w:eastAsia="Times New Roman" w:hAnsi="Times New Roman"/>
          <w:sz w:val="22"/>
          <w:szCs w:val="22"/>
          <w:color w:val="auto"/>
        </w:rPr>
        <w:t>is defined in Section 1.</w:t>
      </w:r>
    </w:p>
    <w:p>
      <w:pPr>
        <w:spacing w:after="0" w:line="2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“OFAC” </w:t>
      </w:r>
      <w:r>
        <w:rPr>
          <w:rFonts w:ascii="Times New Roman" w:cs="Times New Roman" w:eastAsia="Times New Roman" w:hAnsi="Times New Roman"/>
          <w:sz w:val="22"/>
          <w:szCs w:val="22"/>
          <w:color w:val="auto"/>
        </w:rPr>
        <w:t>means the Office of Foreign Assets Control of the United States Department of the Treasury.</w:t>
      </w:r>
    </w:p>
    <w:p>
      <w:pPr>
        <w:spacing w:after="0" w:line="2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“OFAC Sanctions Program” </w:t>
      </w:r>
      <w:r>
        <w:rPr>
          <w:rFonts w:ascii="Times New Roman" w:cs="Times New Roman" w:eastAsia="Times New Roman" w:hAnsi="Times New Roman"/>
          <w:sz w:val="22"/>
          <w:szCs w:val="22"/>
          <w:color w:val="auto"/>
        </w:rPr>
        <w:t>means any economic or trade sanction that OFAC is responsible for administering and</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enforcing. A list of OFAC Sanctions Programs may be found at http://www.treasury.gov/resource-center/sanctions/Programs/Pages/Programs.aspx.</w:t>
      </w:r>
    </w:p>
    <w:p>
      <w:pPr>
        <w:spacing w:after="0" w:line="202"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“Officer’s Certificate” </w:t>
      </w:r>
      <w:r>
        <w:rPr>
          <w:rFonts w:ascii="Times New Roman" w:cs="Times New Roman" w:eastAsia="Times New Roman" w:hAnsi="Times New Roman"/>
          <w:sz w:val="22"/>
          <w:szCs w:val="22"/>
          <w:color w:val="auto"/>
        </w:rPr>
        <w:t>means a certificate of a Senior Financial Officer or of any other officer of the Company whose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responsibilities extend to the subject matter of such certificate.</w:t>
      </w:r>
    </w:p>
    <w:p>
      <w:pPr>
        <w:spacing w:after="0" w:line="160" w:lineRule="exact"/>
        <w:rPr>
          <w:sz w:val="20"/>
          <w:szCs w:val="20"/>
          <w:color w:val="auto"/>
        </w:rPr>
      </w:pPr>
    </w:p>
    <w:p>
      <w:pPr>
        <w:jc w:val="both"/>
        <w:ind w:firstLine="877"/>
        <w:spacing w:after="0" w:line="267" w:lineRule="exact"/>
        <w:rPr>
          <w:sz w:val="20"/>
          <w:szCs w:val="20"/>
          <w:color w:val="auto"/>
        </w:rPr>
      </w:pPr>
      <w:r>
        <w:rPr>
          <w:rFonts w:ascii="Times New Roman" w:cs="Times New Roman" w:eastAsia="Times New Roman" w:hAnsi="Times New Roman"/>
          <w:sz w:val="22"/>
          <w:szCs w:val="22"/>
          <w:b w:val="1"/>
          <w:bCs w:val="1"/>
          <w:color w:val="auto"/>
        </w:rPr>
        <w:t xml:space="preserve">“Originators” </w:t>
      </w:r>
      <w:r>
        <w:rPr>
          <w:rFonts w:ascii="Times New Roman" w:cs="Times New Roman" w:eastAsia="Times New Roman" w:hAnsi="Times New Roman"/>
          <w:sz w:val="22"/>
          <w:szCs w:val="22"/>
          <w:color w:val="auto"/>
        </w:rPr>
        <w:t>means the Company and/or any of its domestic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Subsidiaries in their respective capacities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parties to any documents related to any Receivables Purchase Facility, as sellers or transferors of any Receivables and related security in connection with a Permitted Receivables Transfer.</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“PBGC” </w:t>
      </w:r>
      <w:r>
        <w:rPr>
          <w:rFonts w:ascii="Times New Roman" w:cs="Times New Roman" w:eastAsia="Times New Roman" w:hAnsi="Times New Roman"/>
          <w:sz w:val="22"/>
          <w:szCs w:val="22"/>
          <w:color w:val="auto"/>
        </w:rPr>
        <w:t>means the Pension Benefit Guaranty Corporation referred to and defined in ERISA or any successor thereto.</w:t>
      </w:r>
    </w:p>
    <w:p>
      <w:pPr>
        <w:spacing w:after="0" w:line="2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Liens</w:t>
      </w:r>
      <w:r>
        <w:rPr>
          <w:rFonts w:ascii="Times New Roman" w:cs="Times New Roman" w:eastAsia="Times New Roman" w:hAnsi="Times New Roman"/>
          <w:sz w:val="22"/>
          <w:szCs w:val="22"/>
          <w:color w:val="auto"/>
        </w:rPr>
        <w:t>” is defined in Section 10.6.</w:t>
      </w:r>
    </w:p>
    <w:p>
      <w:pPr>
        <w:spacing w:after="0" w:line="247"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“Person” </w:t>
      </w:r>
      <w:r>
        <w:rPr>
          <w:rFonts w:ascii="Times New Roman" w:cs="Times New Roman" w:eastAsia="Times New Roman" w:hAnsi="Times New Roman"/>
          <w:sz w:val="22"/>
          <w:szCs w:val="22"/>
          <w:color w:val="auto"/>
        </w:rPr>
        <w:t>means an individual, partnership, corporation, limited liability company, association, trust, unincorporated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organization, business entity or Governmental Authority.</w:t>
      </w:r>
    </w:p>
    <w:p>
      <w:pPr>
        <w:spacing w:after="0" w:line="190"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“Plan” </w:t>
      </w:r>
      <w:r>
        <w:rPr>
          <w:rFonts w:ascii="Times New Roman" w:cs="Times New Roman" w:eastAsia="Times New Roman" w:hAnsi="Times New Roman"/>
          <w:sz w:val="22"/>
          <w:szCs w:val="22"/>
          <w:color w:val="auto"/>
        </w:rPr>
        <w:t>means an “employee benefit plan” (as defined in section 3(3) of ERISA) subject to Title I of ERISA that is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199"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“Preferred Stock” </w:t>
      </w:r>
      <w:r>
        <w:rPr>
          <w:rFonts w:ascii="Times New Roman" w:cs="Times New Roman" w:eastAsia="Times New Roman" w:hAnsi="Times New Roman"/>
          <w:sz w:val="22"/>
          <w:szCs w:val="22"/>
          <w:color w:val="auto"/>
        </w:rPr>
        <w:t>means any class of capital stock of a Person that is preferred over any other class of capital stock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similar equity interests) of such Person as to the payment of dividends or the payment of any amount upon liquidation or dissolution of such Person.</w:t>
      </w:r>
    </w:p>
    <w:p>
      <w:pPr>
        <w:spacing w:after="0" w:line="208" w:lineRule="exact"/>
        <w:rPr>
          <w:sz w:val="20"/>
          <w:szCs w:val="20"/>
          <w:color w:val="auto"/>
        </w:rPr>
      </w:pPr>
    </w:p>
    <w:p>
      <w:pPr>
        <w:jc w:val="both"/>
        <w:ind w:firstLine="877"/>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“Priority Indebtedness” </w:t>
      </w:r>
      <w:r>
        <w:rPr>
          <w:rFonts w:ascii="Times New Roman" w:cs="Times New Roman" w:eastAsia="Times New Roman" w:hAnsi="Times New Roman"/>
          <w:sz w:val="21"/>
          <w:szCs w:val="21"/>
          <w:color w:val="auto"/>
        </w:rPr>
        <w:t>means (without duplication), as of the date of any determination thereof, the sum of (i)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unsecured Indebtedness of Subsidiaries (including all Guarantees of Indebtedness of the Company or any Subsidiary but excluding</w:t>
      </w:r>
    </w:p>
    <w:p>
      <w:pPr>
        <w:spacing w:after="0" w:line="1" w:lineRule="exact"/>
        <w:rPr>
          <w:sz w:val="20"/>
          <w:szCs w:val="20"/>
          <w:color w:val="auto"/>
        </w:rPr>
      </w:pPr>
    </w:p>
    <w:p>
      <w:pPr>
        <w:ind w:left="360" w:hanging="352"/>
        <w:spacing w:after="0"/>
        <w:tabs>
          <w:tab w:leader="none" w:pos="3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 to $200,000,000 of Indebtedness of a Wholly-Owned Subsidiary outstanding under the Receivables Purchase Facility,</w:t>
      </w:r>
    </w:p>
    <w:p>
      <w:pPr>
        <w:spacing w:after="0" w:line="182" w:lineRule="exact"/>
        <w:rPr>
          <w:rFonts w:ascii="Times New Roman" w:cs="Times New Roman" w:eastAsia="Times New Roman" w:hAnsi="Times New Roman"/>
          <w:sz w:val="22"/>
          <w:szCs w:val="22"/>
          <w:color w:val="auto"/>
        </w:rPr>
      </w:pPr>
    </w:p>
    <w:p>
      <w:pPr>
        <w:ind w:left="5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77" w:name="page78"/>
    <w:bookmarkEnd w:id="77"/>
    <w:p>
      <w:pPr>
        <w:jc w:val="both"/>
        <w:ind w:firstLine="8"/>
        <w:spacing w:after="0" w:line="235" w:lineRule="auto"/>
        <w:tabs>
          <w:tab w:leader="none" w:pos="30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unsecured Indebtedness owing to the Company or any other Subsidiary, (y) unsecured Indebtedness outstanding at the time such Person became a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Indebtedness shall have not been incurred in contemplation of such person becoming a Subsidiary, and (z) unsecured Indebtedness of Subsidiary Guarantors), and (ii) all Indebtedness of the Company and its Subsidiaries secured by Liens other than Indebtedness secured by Liens permitted by subparagraphs (a) through (i), inclusive, of Section 10.6. For the avoidance of doubt, all Indebtedness of any Foreign Subsidiary party to a Material Credit Facility that does not become a Subsidiary Guarantor under the terms of this Agreement shall constitute Priority Indebtedness for all purposes of this Agreement, including without limitation, all Indebtedness of Toro Luxembourg under the Existing Credit Agreement.</w:t>
      </w:r>
    </w:p>
    <w:p>
      <w:pPr>
        <w:spacing w:after="0" w:line="207"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“property”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“properties” </w:t>
      </w:r>
      <w:r>
        <w:rPr>
          <w:rFonts w:ascii="Times New Roman" w:cs="Times New Roman" w:eastAsia="Times New Roman" w:hAnsi="Times New Roman"/>
          <w:sz w:val="22"/>
          <w:szCs w:val="22"/>
          <w:color w:val="auto"/>
        </w:rPr>
        <w:t>means, unless otherwise specifically limited, real or personal property of any kind, tangible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intangible, choate or inchoate.</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“PTE” </w:t>
      </w:r>
      <w:r>
        <w:rPr>
          <w:rFonts w:ascii="Times New Roman" w:cs="Times New Roman" w:eastAsia="Times New Roman" w:hAnsi="Times New Roman"/>
          <w:sz w:val="22"/>
          <w:szCs w:val="22"/>
          <w:color w:val="auto"/>
        </w:rPr>
        <w:t>is defined in Section 6.2(a).</w:t>
      </w:r>
    </w:p>
    <w:p>
      <w:pPr>
        <w:spacing w:after="0" w:line="247"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“Purchaser”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“Purchasers” </w:t>
      </w:r>
      <w:r>
        <w:rPr>
          <w:rFonts w:ascii="Times New Roman" w:cs="Times New Roman" w:eastAsia="Times New Roman" w:hAnsi="Times New Roman"/>
          <w:sz w:val="22"/>
          <w:szCs w:val="22"/>
          <w:color w:val="auto"/>
        </w:rPr>
        <w:t>means each of the purchasers that has executed and delivered this Agreement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and such Purchaser’s successors and assigns (so long as any such assignment complies with Section 13.2),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any Purchaser of a Note that ceases to be the registered holder or a beneficial owner (through a nominee) of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Note as the result of a transfer thereof pursuant to Section 13.2 shall cease to be included within the meaning of “Purchaser” of such Note for the purposes of this Agreement upon such transfer.</w:t>
      </w:r>
    </w:p>
    <w:p>
      <w:pPr>
        <w:spacing w:after="0" w:line="204"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Purchaser Schedule</w:t>
      </w:r>
      <w:r>
        <w:rPr>
          <w:rFonts w:ascii="Times New Roman" w:cs="Times New Roman" w:eastAsia="Times New Roman" w:hAnsi="Times New Roman"/>
          <w:sz w:val="22"/>
          <w:szCs w:val="22"/>
          <w:color w:val="auto"/>
        </w:rPr>
        <w:t>” means the Purchaser Schedule to this Agreement listing the Purchasers of the Notes and including their notice and payment information.</w:t>
      </w:r>
    </w:p>
    <w:p>
      <w:pPr>
        <w:spacing w:after="0" w:line="190" w:lineRule="exact"/>
        <w:rPr>
          <w:sz w:val="20"/>
          <w:szCs w:val="20"/>
          <w:color w:val="auto"/>
        </w:rPr>
      </w:pPr>
    </w:p>
    <w:p>
      <w:pPr>
        <w:jc w:val="both"/>
        <w:ind w:right="20"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“Qualified Institutional Buyer” </w:t>
      </w:r>
      <w:r>
        <w:rPr>
          <w:rFonts w:ascii="Times New Roman" w:cs="Times New Roman" w:eastAsia="Times New Roman" w:hAnsi="Times New Roman"/>
          <w:sz w:val="22"/>
          <w:szCs w:val="22"/>
          <w:color w:val="auto"/>
        </w:rPr>
        <w:t>means any Person who is a “qualified institutional buyer” within the meaning of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as set forth in Rule 144A(a)(1) under the Securities Act.</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“QPAM Exemption” </w:t>
      </w:r>
      <w:r>
        <w:rPr>
          <w:rFonts w:ascii="Times New Roman" w:cs="Times New Roman" w:eastAsia="Times New Roman" w:hAnsi="Times New Roman"/>
          <w:sz w:val="22"/>
          <w:szCs w:val="22"/>
          <w:color w:val="auto"/>
        </w:rPr>
        <w:t>is defined in Section 6.2(d).</w:t>
      </w:r>
    </w:p>
    <w:p>
      <w:pPr>
        <w:spacing w:after="0" w:line="233"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“Ratable Portion” </w:t>
      </w:r>
      <w:r>
        <w:rPr>
          <w:rFonts w:ascii="Times New Roman" w:cs="Times New Roman" w:eastAsia="Times New Roman" w:hAnsi="Times New Roman"/>
          <w:sz w:val="22"/>
          <w:szCs w:val="22"/>
          <w:color w:val="auto"/>
        </w:rPr>
        <w:t>means, with respect to any Note, an amount equal to the product of (x) the amount equal to the net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proceeds being so applied to the prepayment of Indebtedness in accordance with Section 10.3(2), multiplied by (y) a fraction the numerator of which is the outstanding principal amount of such Note and the denominator of which is the aggregate principal amount of Indebtedness of the Company and its Subsidiaries being prepaid pursuant to Section 10.3(2).</w:t>
      </w:r>
    </w:p>
    <w:p>
      <w:pPr>
        <w:spacing w:after="0" w:line="213"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“Receivables” </w:t>
      </w:r>
      <w:r>
        <w:rPr>
          <w:rFonts w:ascii="Times New Roman" w:cs="Times New Roman" w:eastAsia="Times New Roman" w:hAnsi="Times New Roman"/>
          <w:sz w:val="22"/>
          <w:szCs w:val="22"/>
          <w:color w:val="auto"/>
        </w:rPr>
        <w:t>shall mean, with respect to any Person, all obligations of any obligor (whether now existing or hereafter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arising) under a contract for sale of goods or services by such Person or any of them, which shall include any obligation of such obligor (whether now existing or hereafter arising) to pay interest, finance charges or amounts with respect thereto, and, with respect to any of the foregoing receivables or obligations, (a) all of the interest of such Person in the goods (including returned goods) the sale of which gave rise to such receivable or obligation after the passage of title thereto to any obligor, (b) all other Liens and property subject thereto from time to time purporting to secure payment of such receivables or obligations, (c) all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78" w:name="page79"/>
    <w:bookmarkEnd w:id="78"/>
    <w:p>
      <w:pPr>
        <w:jc w:val="both"/>
        <w:spacing w:after="0" w:line="258" w:lineRule="auto"/>
        <w:rPr>
          <w:sz w:val="20"/>
          <w:szCs w:val="20"/>
          <w:color w:val="auto"/>
        </w:rPr>
      </w:pPr>
      <w:r>
        <w:rPr>
          <w:rFonts w:ascii="Times New Roman" w:cs="Times New Roman" w:eastAsia="Times New Roman" w:hAnsi="Times New Roman"/>
          <w:sz w:val="22"/>
          <w:szCs w:val="22"/>
          <w:color w:val="auto"/>
        </w:rPr>
        <w:t>guarantees, insurance, letters of credit and other agreements or arrangements of whatever character from time to time supporting or securing payment of any such receivables or obligations, (d) all Records and (e) all proceeds of the foregoing.</w:t>
      </w:r>
    </w:p>
    <w:p>
      <w:pPr>
        <w:spacing w:after="0" w:line="181" w:lineRule="exact"/>
        <w:rPr>
          <w:sz w:val="20"/>
          <w:szCs w:val="20"/>
          <w:color w:val="auto"/>
        </w:rPr>
      </w:pPr>
    </w:p>
    <w:p>
      <w:pPr>
        <w:jc w:val="both"/>
        <w:ind w:firstLine="877"/>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“Receivables Purchase Facility” </w:t>
      </w:r>
      <w:r>
        <w:rPr>
          <w:rFonts w:ascii="Times New Roman" w:cs="Times New Roman" w:eastAsia="Times New Roman" w:hAnsi="Times New Roman"/>
          <w:sz w:val="21"/>
          <w:szCs w:val="21"/>
          <w:color w:val="auto"/>
        </w:rPr>
        <w:t>shall mean any agreement of any Originator providing for sales, transfers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conveyances of Receivables of such Originator purporting to be sales (and considered sales under GAAP) that do not provide, directly or indirectly, for recourse against the seller of such Receivables (or against any of such seller’s Affiliates) by way of a guaranty or any other support arrangement, with respect to the amount of such Receivables (based on the financial condition or circumstances of the obligor thereunder), other than such limited recourse as is reasonable given market standards for transactions of a similar type, taking into account such factors as historical bad debt loss experience and obligor concentration levels.</w:t>
      </w:r>
    </w:p>
    <w:p>
      <w:pPr>
        <w:spacing w:after="0" w:line="206"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“Red Iron” </w:t>
      </w:r>
      <w:r>
        <w:rPr>
          <w:rFonts w:ascii="Times New Roman" w:cs="Times New Roman" w:eastAsia="Times New Roman" w:hAnsi="Times New Roman"/>
          <w:sz w:val="22"/>
          <w:szCs w:val="22"/>
          <w:color w:val="auto"/>
        </w:rPr>
        <w:t>means Red Iron Acceptance, LLC, a Delaware limited liability company. For avoidance of doubt, for 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long as Red Iron is governed by the Red Iron LLC Agreement as in effect on the Closing Date, except for amendments that do not change the ownership interests of its members or materially change the overall management structure of Red Iron in a manner that would cause Red Iron to be considered a Subsidiary of the Company, any obligations of Red Iron shall not be considered an obligation of Toro or Red Iron Holding Corporation, a Delaware corporation.</w:t>
      </w:r>
    </w:p>
    <w:p>
      <w:pPr>
        <w:spacing w:after="0" w:line="218"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“Red Iron LLC Agreement” </w:t>
      </w:r>
      <w:r>
        <w:rPr>
          <w:rFonts w:ascii="Times New Roman" w:cs="Times New Roman" w:eastAsia="Times New Roman" w:hAnsi="Times New Roman"/>
          <w:sz w:val="22"/>
          <w:szCs w:val="22"/>
          <w:color w:val="auto"/>
        </w:rPr>
        <w:t>means that certain limited liability company agreement of Red Iron Acceptance, LLC,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dated as of August 12, 2009 and as amended as of May 31, 2011, as of June 6, 2012 and as of November 29, 2016, by and among Red Iron Holding Corporation, a Delaware corporation and a Subsidiary of the Company, and TCFIF Joint Venture I, LLC, a Minnesota limited liability company.</w:t>
      </w:r>
    </w:p>
    <w:p>
      <w:pPr>
        <w:spacing w:after="0" w:line="1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“Red Iron/TCF Repurchase Obligations” </w:t>
      </w:r>
      <w:r>
        <w:rPr>
          <w:rFonts w:ascii="Times New Roman" w:cs="Times New Roman" w:eastAsia="Times New Roman" w:hAnsi="Times New Roman"/>
          <w:sz w:val="22"/>
          <w:szCs w:val="22"/>
          <w:color w:val="auto"/>
        </w:rPr>
        <w:t>has the meaning specified in the definition of “Indebtedness.”</w:t>
      </w:r>
    </w:p>
    <w:p>
      <w:pPr>
        <w:spacing w:after="0" w:line="247"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“Related Fund” </w:t>
      </w:r>
      <w:r>
        <w:rPr>
          <w:rFonts w:ascii="Times New Roman" w:cs="Times New Roman" w:eastAsia="Times New Roman" w:hAnsi="Times New Roman"/>
          <w:sz w:val="22"/>
          <w:szCs w:val="22"/>
          <w:color w:val="auto"/>
        </w:rPr>
        <w:t>means, with respect to any holder of any Note, any fund or entity that (a) invests in Securities or bank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loans, and (b) is advised or managed by such holder, the same investment advisor as such holder or by an affiliate of such holder or such investment advisor.</w:t>
      </w:r>
    </w:p>
    <w:p>
      <w:pPr>
        <w:spacing w:after="0" w:line="208"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“Required Holders” </w:t>
      </w:r>
      <w:r>
        <w:rPr>
          <w:rFonts w:ascii="Times New Roman" w:cs="Times New Roman" w:eastAsia="Times New Roman" w:hAnsi="Times New Roman"/>
          <w:sz w:val="22"/>
          <w:szCs w:val="22"/>
          <w:color w:val="auto"/>
        </w:rPr>
        <w:t>means at any time (i) prior to the Closing, the Purchasers and (ii) on or after the Closing,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holders of at least 51% in aggregate principal amount of the Notes at the time outstanding (exclusive of Notes then owned by the Company or any of its Affiliates).</w:t>
      </w:r>
    </w:p>
    <w:p>
      <w:pPr>
        <w:spacing w:after="0" w:line="194"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“Responsible Officer” </w:t>
      </w:r>
      <w:r>
        <w:rPr>
          <w:rFonts w:ascii="Times New Roman" w:cs="Times New Roman" w:eastAsia="Times New Roman" w:hAnsi="Times New Roman"/>
          <w:sz w:val="22"/>
          <w:szCs w:val="22"/>
          <w:color w:val="auto"/>
        </w:rPr>
        <w:t>means any Senior Financial Officer and any other officer of the Company with responsibility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administration of the relevant portion of this Agreement.</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“Restricted Payment” </w:t>
      </w:r>
      <w:r>
        <w:rPr>
          <w:rFonts w:ascii="Times New Roman" w:cs="Times New Roman" w:eastAsia="Times New Roman" w:hAnsi="Times New Roman"/>
          <w:sz w:val="22"/>
          <w:szCs w:val="22"/>
          <w:color w:val="auto"/>
        </w:rPr>
        <w:t>has the meaning set forth in Section 10.11.</w:t>
      </w:r>
    </w:p>
    <w:p>
      <w:pPr>
        <w:spacing w:after="0" w:line="2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“SEC” </w:t>
      </w:r>
      <w:r>
        <w:rPr>
          <w:rFonts w:ascii="Times New Roman" w:cs="Times New Roman" w:eastAsia="Times New Roman" w:hAnsi="Times New Roman"/>
          <w:sz w:val="22"/>
          <w:szCs w:val="22"/>
          <w:color w:val="auto"/>
        </w:rPr>
        <w:t>means the Securities and Exchange Commission of the United States of America.</w:t>
      </w: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79" w:name="page80"/>
    <w:bookmarkEnd w:id="79"/>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“Securities”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“Security” </w:t>
      </w:r>
      <w:r>
        <w:rPr>
          <w:rFonts w:ascii="Times New Roman" w:cs="Times New Roman" w:eastAsia="Times New Roman" w:hAnsi="Times New Roman"/>
          <w:sz w:val="22"/>
          <w:szCs w:val="22"/>
          <w:color w:val="auto"/>
        </w:rPr>
        <w:t>shall have the meaning specified in section 2(1) of the Securities Act.</w:t>
      </w:r>
    </w:p>
    <w:p>
      <w:pPr>
        <w:spacing w:after="0" w:line="233"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“Securities Act” </w:t>
      </w:r>
      <w:r>
        <w:rPr>
          <w:rFonts w:ascii="Times New Roman" w:cs="Times New Roman" w:eastAsia="Times New Roman" w:hAnsi="Times New Roman"/>
          <w:sz w:val="22"/>
          <w:szCs w:val="22"/>
          <w:color w:val="auto"/>
        </w:rPr>
        <w:t>means the Securities Act of 1933 and the rules and regulations promulgated thereunder from time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in effect.</w:t>
      </w:r>
    </w:p>
    <w:p>
      <w:pPr>
        <w:spacing w:after="0" w:line="190"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“Senior Financial Officer” </w:t>
      </w:r>
      <w:r>
        <w:rPr>
          <w:rFonts w:ascii="Times New Roman" w:cs="Times New Roman" w:eastAsia="Times New Roman" w:hAnsi="Times New Roman"/>
          <w:sz w:val="22"/>
          <w:szCs w:val="22"/>
          <w:color w:val="auto"/>
        </w:rPr>
        <w:t>means the chief financial officer, principal accounting officer, treasurer or comptroller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w:t>
      </w:r>
    </w:p>
    <w:p>
      <w:pPr>
        <w:spacing w:after="0" w:line="190" w:lineRule="exact"/>
        <w:rPr>
          <w:sz w:val="20"/>
          <w:szCs w:val="20"/>
          <w:color w:val="auto"/>
        </w:rPr>
      </w:pPr>
    </w:p>
    <w:p>
      <w:pPr>
        <w:jc w:val="both"/>
        <w:ind w:firstLine="87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“Senior Indebtedness” </w:t>
      </w:r>
      <w:r>
        <w:rPr>
          <w:rFonts w:ascii="Times New Roman" w:cs="Times New Roman" w:eastAsia="Times New Roman" w:hAnsi="Times New Roman"/>
          <w:sz w:val="22"/>
          <w:szCs w:val="22"/>
          <w:color w:val="auto"/>
        </w:rPr>
        <w:t>means all Indebtedness of the Company or any Subsidiary which is not expressed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subordinate or junior in rank to any other Indebtedness of the Company or such Subsidiary.</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“Series A 90-Day Period” </w:t>
      </w:r>
      <w:r>
        <w:rPr>
          <w:rFonts w:ascii="Times New Roman" w:cs="Times New Roman" w:eastAsia="Times New Roman" w:hAnsi="Times New Roman"/>
          <w:sz w:val="22"/>
          <w:szCs w:val="22"/>
          <w:color w:val="auto"/>
        </w:rPr>
        <w:t>is defined in Section 8.2(b).</w:t>
      </w:r>
    </w:p>
    <w:p>
      <w:pPr>
        <w:spacing w:after="0" w:line="2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“Series A Notes” </w:t>
      </w:r>
      <w:r>
        <w:rPr>
          <w:rFonts w:ascii="Times New Roman" w:cs="Times New Roman" w:eastAsia="Times New Roman" w:hAnsi="Times New Roman"/>
          <w:sz w:val="22"/>
          <w:szCs w:val="22"/>
          <w:color w:val="auto"/>
        </w:rPr>
        <w:t>is defined in Section 1.</w:t>
      </w:r>
    </w:p>
    <w:p>
      <w:pPr>
        <w:spacing w:after="0" w:line="2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“Series B 90-Day Period” </w:t>
      </w:r>
      <w:r>
        <w:rPr>
          <w:rFonts w:ascii="Times New Roman" w:cs="Times New Roman" w:eastAsia="Times New Roman" w:hAnsi="Times New Roman"/>
          <w:sz w:val="22"/>
          <w:szCs w:val="22"/>
          <w:color w:val="auto"/>
        </w:rPr>
        <w:t>is defined in Section 8.2(c).</w:t>
      </w:r>
    </w:p>
    <w:p>
      <w:pPr>
        <w:spacing w:after="0" w:line="2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“Series B Notes” </w:t>
      </w:r>
      <w:r>
        <w:rPr>
          <w:rFonts w:ascii="Times New Roman" w:cs="Times New Roman" w:eastAsia="Times New Roman" w:hAnsi="Times New Roman"/>
          <w:sz w:val="22"/>
          <w:szCs w:val="22"/>
          <w:color w:val="auto"/>
        </w:rPr>
        <w:t>is defined in Section 1.</w:t>
      </w:r>
    </w:p>
    <w:p>
      <w:pPr>
        <w:spacing w:after="0" w:line="2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“Source” </w:t>
      </w:r>
      <w:r>
        <w:rPr>
          <w:rFonts w:ascii="Times New Roman" w:cs="Times New Roman" w:eastAsia="Times New Roman" w:hAnsi="Times New Roman"/>
          <w:sz w:val="22"/>
          <w:szCs w:val="22"/>
          <w:color w:val="auto"/>
        </w:rPr>
        <w:t>is defined in Section 6.2.</w:t>
      </w:r>
    </w:p>
    <w:p>
      <w:pPr>
        <w:spacing w:after="0" w:line="247"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State Sanctions List</w:t>
      </w:r>
      <w:r>
        <w:rPr>
          <w:rFonts w:ascii="Times New Roman" w:cs="Times New Roman" w:eastAsia="Times New Roman" w:hAnsi="Times New Roman"/>
          <w:sz w:val="22"/>
          <w:szCs w:val="22"/>
          <w:color w:val="auto"/>
        </w:rPr>
        <w:t>” means a list that is adopted by any state Governmental Authority within the United States of America pertaining to Persons that engage in investment or other commercial activities in Iran or any other country that is a target of economic sanctions imposed under U.S. Economic Sanctions Laws.</w:t>
      </w:r>
    </w:p>
    <w:p>
      <w:pPr>
        <w:spacing w:after="0" w:line="194" w:lineRule="exact"/>
        <w:rPr>
          <w:sz w:val="20"/>
          <w:szCs w:val="20"/>
          <w:color w:val="auto"/>
        </w:rPr>
      </w:pPr>
    </w:p>
    <w:p>
      <w:pPr>
        <w:jc w:val="both"/>
        <w:ind w:firstLine="87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“Subsidiary” </w:t>
      </w:r>
      <w:r>
        <w:rPr>
          <w:rFonts w:ascii="Times New Roman" w:cs="Times New Roman" w:eastAsia="Times New Roman" w:hAnsi="Times New Roman"/>
          <w:sz w:val="22"/>
          <w:szCs w:val="22"/>
          <w:color w:val="auto"/>
        </w:rPr>
        <w:t>means, as to any Person, any other Person in which such first Person or one or more of its Subsidiaries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“Subsidiary Guarantor” </w:t>
      </w:r>
      <w:r>
        <w:rPr>
          <w:rFonts w:ascii="Times New Roman" w:cs="Times New Roman" w:eastAsia="Times New Roman" w:hAnsi="Times New Roman"/>
          <w:sz w:val="22"/>
          <w:szCs w:val="22"/>
          <w:color w:val="auto"/>
        </w:rPr>
        <w:t>means each Subsidiary that has executed and delivered a Subsidiary Guaranty.</w:t>
      </w:r>
    </w:p>
    <w:p>
      <w:pPr>
        <w:spacing w:after="0" w:line="2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“Subsidiary Guaranty” </w:t>
      </w:r>
      <w:r>
        <w:rPr>
          <w:rFonts w:ascii="Times New Roman" w:cs="Times New Roman" w:eastAsia="Times New Roman" w:hAnsi="Times New Roman"/>
          <w:sz w:val="22"/>
          <w:szCs w:val="22"/>
          <w:color w:val="auto"/>
        </w:rPr>
        <w:t>is defined in Section 9.7(a).</w:t>
      </w:r>
    </w:p>
    <w:p>
      <w:pPr>
        <w:spacing w:after="0" w:line="2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“Substitute Purchaser” </w:t>
      </w:r>
      <w:r>
        <w:rPr>
          <w:rFonts w:ascii="Times New Roman" w:cs="Times New Roman" w:eastAsia="Times New Roman" w:hAnsi="Times New Roman"/>
          <w:sz w:val="22"/>
          <w:szCs w:val="22"/>
          <w:color w:val="auto"/>
        </w:rPr>
        <w:t>is defined in Section 21.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80" w:name="page81"/>
    <w:bookmarkEnd w:id="80"/>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“SVO” </w:t>
      </w:r>
      <w:r>
        <w:rPr>
          <w:rFonts w:ascii="Times New Roman" w:cs="Times New Roman" w:eastAsia="Times New Roman" w:hAnsi="Times New Roman"/>
          <w:sz w:val="22"/>
          <w:szCs w:val="22"/>
          <w:color w:val="auto"/>
        </w:rPr>
        <w:t>means the Securities Valuation Office of the NAIC.</w:t>
      </w:r>
    </w:p>
    <w:p>
      <w:pPr>
        <w:spacing w:after="0" w:line="203" w:lineRule="exact"/>
        <w:rPr>
          <w:sz w:val="20"/>
          <w:szCs w:val="20"/>
          <w:color w:val="auto"/>
        </w:rPr>
      </w:pPr>
    </w:p>
    <w:p>
      <w:pPr>
        <w:jc w:val="both"/>
        <w:ind w:firstLine="877"/>
        <w:spacing w:after="0" w:line="262" w:lineRule="exact"/>
        <w:rPr>
          <w:sz w:val="20"/>
          <w:szCs w:val="20"/>
          <w:color w:val="auto"/>
        </w:rPr>
      </w:pPr>
      <w:r>
        <w:rPr>
          <w:rFonts w:ascii="Times New Roman" w:cs="Times New Roman" w:eastAsia="Times New Roman" w:hAnsi="Times New Roman"/>
          <w:sz w:val="22"/>
          <w:szCs w:val="22"/>
          <w:b w:val="1"/>
          <w:bCs w:val="1"/>
          <w:color w:val="auto"/>
        </w:rPr>
        <w:t xml:space="preserve">“Synthetic Lease Obligation” </w:t>
      </w:r>
      <w:r>
        <w:rPr>
          <w:rFonts w:ascii="Times New Roman" w:cs="Times New Roman" w:eastAsia="Times New Roman" w:hAnsi="Times New Roman"/>
          <w:sz w:val="22"/>
          <w:szCs w:val="22"/>
          <w:color w:val="auto"/>
        </w:rPr>
        <w:t>means the monetary obligation of a Person under (a) a so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called synthetic, off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balance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21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 xml:space="preserve">“TCF Canada” </w:t>
      </w:r>
      <w:r>
        <w:rPr>
          <w:rFonts w:ascii="Times New Roman" w:cs="Times New Roman" w:eastAsia="Times New Roman" w:hAnsi="Times New Roman"/>
          <w:sz w:val="22"/>
          <w:szCs w:val="22"/>
          <w:color w:val="auto"/>
        </w:rPr>
        <w:t>means TCF Commercial Finance Canada, Inc., a Canada corporation.</w:t>
      </w:r>
    </w:p>
    <w:p>
      <w:pPr>
        <w:spacing w:after="0" w:line="247"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“Toro Luxembourg” </w:t>
      </w:r>
      <w:r>
        <w:rPr>
          <w:rFonts w:ascii="Times New Roman" w:cs="Times New Roman" w:eastAsia="Times New Roman" w:hAnsi="Times New Roman"/>
          <w:sz w:val="22"/>
          <w:szCs w:val="22"/>
          <w:color w:val="auto"/>
        </w:rPr>
        <w:t>means Toro Luxembourg S.A.R.L., a Luxembourg limited liability company (société à</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responsabilité limitée) incorporated and existing under the laws of the Grand Duchy of Luxembourg, and registered with the Luxembourg trade and companies register (Registre de Commerce et des Sociétés de Luxembourg) under registration number B 131.092.</w:t>
      </w:r>
    </w:p>
    <w:p>
      <w:pPr>
        <w:spacing w:after="0" w:line="1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“United States Person</w:t>
      </w:r>
      <w:r>
        <w:rPr>
          <w:rFonts w:ascii="Times New Roman" w:cs="Times New Roman" w:eastAsia="Times New Roman" w:hAnsi="Times New Roman"/>
          <w:sz w:val="22"/>
          <w:szCs w:val="22"/>
          <w:color w:val="auto"/>
        </w:rPr>
        <w:t>” has the meaning set forth in Section 7701(a)(30) of the Code.</w:t>
      </w:r>
    </w:p>
    <w:p>
      <w:pPr>
        <w:spacing w:after="0" w:line="217" w:lineRule="exact"/>
        <w:rPr>
          <w:sz w:val="20"/>
          <w:szCs w:val="20"/>
          <w:color w:val="auto"/>
        </w:rPr>
      </w:pPr>
    </w:p>
    <w:p>
      <w:pPr>
        <w:jc w:val="both"/>
        <w:ind w:firstLine="877"/>
        <w:spacing w:after="0" w:line="267" w:lineRule="exact"/>
        <w:rPr>
          <w:sz w:val="20"/>
          <w:szCs w:val="20"/>
          <w:color w:val="auto"/>
        </w:rPr>
      </w:pPr>
      <w:r>
        <w:rPr>
          <w:rFonts w:ascii="Times New Roman" w:cs="Times New Roman" w:eastAsia="Times New Roman" w:hAnsi="Times New Roman"/>
          <w:sz w:val="22"/>
          <w:szCs w:val="22"/>
          <w:b w:val="1"/>
          <w:bCs w:val="1"/>
          <w:color w:val="auto"/>
        </w:rPr>
        <w:t xml:space="preserve">“USA PATRIOT Act” </w:t>
      </w:r>
      <w:r>
        <w:rPr>
          <w:rFonts w:ascii="Times New Roman" w:cs="Times New Roman" w:eastAsia="Times New Roman" w:hAnsi="Times New Roman"/>
          <w:sz w:val="22"/>
          <w:szCs w:val="22"/>
          <w:color w:val="auto"/>
        </w:rPr>
        <w:t>means United States Public Law 107</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56, Uniting and Strengthening America by Providing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Appropriate Tools Required to Intercept and Obstruct Terrorism (USA PATRIOT ACT) Act of 2001 and the rules and regulations promulgated thereunder from time to time in effect.</w:t>
      </w:r>
    </w:p>
    <w:p>
      <w:pPr>
        <w:spacing w:after="0" w:line="216"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“U.S. Economic Sanctions Laws” </w:t>
      </w:r>
      <w:r>
        <w:rPr>
          <w:rFonts w:ascii="Times New Roman" w:cs="Times New Roman" w:eastAsia="Times New Roman" w:hAnsi="Times New Roman"/>
          <w:sz w:val="22"/>
          <w:szCs w:val="22"/>
          <w:color w:val="auto"/>
        </w:rPr>
        <w:t>means those laws, executive orders, enabling legislation or regulations administered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w:t>
      </w:r>
    </w:p>
    <w:p>
      <w:pPr>
        <w:spacing w:after="0" w:line="169" w:lineRule="exact"/>
        <w:rPr>
          <w:sz w:val="20"/>
          <w:szCs w:val="20"/>
          <w:color w:val="auto"/>
        </w:rPr>
      </w:pPr>
    </w:p>
    <w:p>
      <w:pPr>
        <w:jc w:val="both"/>
        <w:ind w:firstLine="877"/>
        <w:spacing w:after="0" w:line="267" w:lineRule="exact"/>
        <w:rPr>
          <w:sz w:val="20"/>
          <w:szCs w:val="20"/>
          <w:color w:val="auto"/>
        </w:rPr>
      </w:pPr>
      <w:r>
        <w:rPr>
          <w:rFonts w:ascii="Times New Roman" w:cs="Times New Roman" w:eastAsia="Times New Roman" w:hAnsi="Times New Roman"/>
          <w:sz w:val="22"/>
          <w:szCs w:val="22"/>
          <w:b w:val="1"/>
          <w:bCs w:val="1"/>
          <w:color w:val="auto"/>
        </w:rPr>
        <w:t>“Wholly</w:t>
      </w:r>
      <w:r>
        <w:rPr>
          <w:rFonts w:ascii="MS PGothic" w:cs="MS PGothic" w:eastAsia="MS PGothic" w:hAnsi="MS PGothic"/>
          <w:sz w:val="22"/>
          <w:szCs w:val="22"/>
          <w:color w:val="auto"/>
        </w:rPr>
        <w:t>‑</w:t>
      </w:r>
      <w:r>
        <w:rPr>
          <w:rFonts w:ascii="Times New Roman" w:cs="Times New Roman" w:eastAsia="Times New Roman" w:hAnsi="Times New Roman"/>
          <w:sz w:val="22"/>
          <w:szCs w:val="22"/>
          <w:b w:val="1"/>
          <w:bCs w:val="1"/>
          <w:color w:val="auto"/>
        </w:rPr>
        <w:t xml:space="preserve">Owned Subsidiary” </w:t>
      </w:r>
      <w:r>
        <w:rPr>
          <w:rFonts w:ascii="Times New Roman" w:cs="Times New Roman" w:eastAsia="Times New Roman" w:hAnsi="Times New Roman"/>
          <w:sz w:val="22"/>
          <w:szCs w:val="22"/>
          <w:color w:val="auto"/>
        </w:rPr>
        <w:t>means, at any time, any Subsidiary all of the equity interests (except directors’ qualifying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and voting interests of which are owned by any one or more of the Company and the Company’s other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Subsidiaries at such time.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ERIES</w:t>
      </w:r>
      <w:r>
        <w:rPr>
          <w:rFonts w:ascii="Times New Roman" w:cs="Times New Roman" w:eastAsia="Times New Roman" w:hAnsi="Times New Roman"/>
          <w:sz w:val="22"/>
          <w:szCs w:val="22"/>
          <w:b w:val="1"/>
          <w:bCs w:val="1"/>
          <w:color w:val="auto"/>
        </w:rPr>
        <w:t xml:space="preserve"> A N</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22"/>
          <w:szCs w:val="22"/>
          <w:b w:val="1"/>
          <w:bCs w:val="1"/>
          <w:color w:val="auto"/>
        </w:rPr>
        <w:t>]</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ORO</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OMPANY</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3.81% S</w:t>
      </w:r>
      <w:r>
        <w:rPr>
          <w:rFonts w:ascii="Times New Roman" w:cs="Times New Roman" w:eastAsia="Times New Roman" w:hAnsi="Times New Roman"/>
          <w:sz w:val="14"/>
          <w:szCs w:val="14"/>
          <w:b w:val="1"/>
          <w:bCs w:val="1"/>
          <w:color w:val="auto"/>
        </w:rPr>
        <w:t>ENIOR</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UE</w:t>
      </w:r>
      <w:r>
        <w:rPr>
          <w:rFonts w:ascii="Times New Roman" w:cs="Times New Roman" w:eastAsia="Times New Roman" w:hAnsi="Times New Roman"/>
          <w:sz w:val="22"/>
          <w:szCs w:val="22"/>
          <w:b w:val="1"/>
          <w:bCs w:val="1"/>
          <w:color w:val="auto"/>
        </w:rPr>
        <w:t xml:space="preserve"> J</w:t>
      </w:r>
      <w:r>
        <w:rPr>
          <w:rFonts w:ascii="Times New Roman" w:cs="Times New Roman" w:eastAsia="Times New Roman" w:hAnsi="Times New Roman"/>
          <w:sz w:val="14"/>
          <w:szCs w:val="14"/>
          <w:b w:val="1"/>
          <w:bCs w:val="1"/>
          <w:color w:val="auto"/>
        </w:rPr>
        <w:t>UNE</w:t>
      </w:r>
      <w:r>
        <w:rPr>
          <w:rFonts w:ascii="Times New Roman" w:cs="Times New Roman" w:eastAsia="Times New Roman" w:hAnsi="Times New Roman"/>
          <w:sz w:val="22"/>
          <w:szCs w:val="22"/>
          <w:b w:val="1"/>
          <w:bCs w:val="1"/>
          <w:color w:val="auto"/>
        </w:rPr>
        <w:t xml:space="preserve"> 15, 2029</w:t>
      </w:r>
    </w:p>
    <w:p>
      <w:pPr>
        <w:sectPr>
          <w:pgSz w:w="11900" w:h="16838" w:orient="portrait"/>
          <w:cols w:equalWidth="0" w:num="1">
            <w:col w:w="11420"/>
          </w:cols>
          <w:pgMar w:left="240" w:top="324" w:right="239" w:bottom="1440" w:gutter="0" w:footer="0" w:header="0"/>
        </w:sect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 AR-[_____]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PPN 891092 B*8</w:t>
      </w:r>
    </w:p>
    <w:p>
      <w:pPr>
        <w:spacing w:after="0" w:line="211" w:lineRule="exact"/>
        <w:rPr>
          <w:sz w:val="20"/>
          <w:szCs w:val="20"/>
          <w:color w:val="auto"/>
        </w:rPr>
      </w:pPr>
    </w:p>
    <w:p>
      <w:pPr>
        <w:sectPr>
          <w:pgSz w:w="11900" w:h="16838" w:orient="portrait"/>
          <w:cols w:equalWidth="0" w:num="2">
            <w:col w:w="9180" w:space="720"/>
            <w:col w:w="1520"/>
          </w:cols>
          <w:pgMar w:left="240" w:top="324" w:right="239" w:bottom="1440" w:gutter="0" w:footer="0" w:header="0"/>
          <w:type w:val="continuous"/>
        </w:sectPr>
      </w:pPr>
    </w:p>
    <w:p>
      <w:pPr>
        <w:spacing w:after="0" w:line="262" w:lineRule="exact"/>
        <w:rPr>
          <w:sz w:val="20"/>
          <w:szCs w:val="20"/>
          <w:color w:val="auto"/>
        </w:rPr>
      </w:pPr>
    </w:p>
    <w:p>
      <w:pPr>
        <w:jc w:val="both"/>
        <w:ind w:firstLine="877"/>
        <w:spacing w:after="0" w:line="255" w:lineRule="auto"/>
        <w:rPr>
          <w:sz w:val="20"/>
          <w:szCs w:val="20"/>
          <w:color w:val="auto"/>
        </w:rPr>
      </w:pPr>
      <w:r>
        <w:rPr>
          <w:rFonts w:ascii="Times New Roman" w:cs="Times New Roman" w:eastAsia="Times New Roman" w:hAnsi="Times New Roman"/>
          <w:sz w:val="21"/>
          <w:szCs w:val="21"/>
          <w:color w:val="auto"/>
        </w:rPr>
        <w:t>F</w:t>
      </w:r>
      <w:r>
        <w:rPr>
          <w:rFonts w:ascii="Times New Roman" w:cs="Times New Roman" w:eastAsia="Times New Roman" w:hAnsi="Times New Roman"/>
          <w:sz w:val="13"/>
          <w:szCs w:val="13"/>
          <w:color w:val="auto"/>
        </w:rPr>
        <w:t>OR</w:t>
      </w:r>
      <w:r>
        <w:rPr>
          <w:rFonts w:ascii="Times New Roman" w:cs="Times New Roman" w:eastAsia="Times New Roman" w:hAnsi="Times New Roman"/>
          <w:sz w:val="21"/>
          <w:szCs w:val="21"/>
          <w:color w:val="auto"/>
        </w:rPr>
        <w:t xml:space="preserve"> V</w:t>
      </w:r>
      <w:r>
        <w:rPr>
          <w:rFonts w:ascii="Times New Roman" w:cs="Times New Roman" w:eastAsia="Times New Roman" w:hAnsi="Times New Roman"/>
          <w:sz w:val="13"/>
          <w:szCs w:val="13"/>
          <w:color w:val="auto"/>
        </w:rPr>
        <w:t>ALUE</w:t>
      </w:r>
      <w:r>
        <w:rPr>
          <w:rFonts w:ascii="Times New Roman" w:cs="Times New Roman" w:eastAsia="Times New Roman" w:hAnsi="Times New Roman"/>
          <w:sz w:val="21"/>
          <w:szCs w:val="21"/>
          <w:color w:val="auto"/>
        </w:rPr>
        <w:t xml:space="preserve"> R</w:t>
      </w:r>
      <w:r>
        <w:rPr>
          <w:rFonts w:ascii="Times New Roman" w:cs="Times New Roman" w:eastAsia="Times New Roman" w:hAnsi="Times New Roman"/>
          <w:sz w:val="13"/>
          <w:szCs w:val="13"/>
          <w:color w:val="auto"/>
        </w:rPr>
        <w:t>ECEIVED</w:t>
      </w:r>
      <w:r>
        <w:rPr>
          <w:rFonts w:ascii="Times New Roman" w:cs="Times New Roman" w:eastAsia="Times New Roman" w:hAnsi="Times New Roman"/>
          <w:sz w:val="21"/>
          <w:szCs w:val="21"/>
          <w:color w:val="auto"/>
        </w:rPr>
        <w:t xml:space="preserve">, the undersigned, </w:t>
      </w:r>
      <w:r>
        <w:rPr>
          <w:rFonts w:ascii="Times New Roman" w:cs="Times New Roman" w:eastAsia="Times New Roman" w:hAnsi="Times New Roman"/>
          <w:sz w:val="21"/>
          <w:szCs w:val="21"/>
          <w:b w:val="1"/>
          <w:bCs w:val="1"/>
          <w:color w:val="auto"/>
        </w:rPr>
        <w:t>The Toro Company</w:t>
      </w:r>
      <w:r>
        <w:rPr>
          <w:rFonts w:ascii="Times New Roman" w:cs="Times New Roman" w:eastAsia="Times New Roman" w:hAnsi="Times New Roman"/>
          <w:sz w:val="21"/>
          <w:szCs w:val="21"/>
          <w:color w:val="auto"/>
        </w:rPr>
        <w:t xml:space="preserve"> (herein called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 corporation organized and existing under the laws of the State of Delaware, hereby promises to pay to [____________], or registered assigns, the principal</w:t>
      </w:r>
    </w:p>
    <w:p>
      <w:pPr>
        <w:spacing w:after="0" w:line="224" w:lineRule="auto"/>
        <w:rPr>
          <w:sz w:val="20"/>
          <w:szCs w:val="20"/>
          <w:color w:val="auto"/>
        </w:rPr>
      </w:pPr>
      <w:r>
        <w:rPr>
          <w:rFonts w:ascii="Times New Roman" w:cs="Times New Roman" w:eastAsia="Times New Roman" w:hAnsi="Times New Roman"/>
          <w:sz w:val="22"/>
          <w:szCs w:val="22"/>
          <w:color w:val="auto"/>
        </w:rPr>
        <w:t>sum of [_____________________] D</w:t>
      </w:r>
      <w:r>
        <w:rPr>
          <w:rFonts w:ascii="Times New Roman" w:cs="Times New Roman" w:eastAsia="Times New Roman" w:hAnsi="Times New Roman"/>
          <w:sz w:val="14"/>
          <w:szCs w:val="14"/>
          <w:color w:val="auto"/>
        </w:rPr>
        <w:t>OLLARS</w:t>
      </w:r>
      <w:r>
        <w:rPr>
          <w:rFonts w:ascii="Times New Roman" w:cs="Times New Roman" w:eastAsia="Times New Roman" w:hAnsi="Times New Roman"/>
          <w:sz w:val="22"/>
          <w:szCs w:val="22"/>
          <w:color w:val="auto"/>
        </w:rPr>
        <w:t xml:space="preserve"> (or so much thereof as shall not have been prepaid) on June 15, 2029 (the </w:t>
      </w:r>
      <w:r>
        <w:rPr>
          <w:rFonts w:ascii="Times New Roman" w:cs="Times New Roman" w:eastAsia="Times New Roman" w:hAnsi="Times New Roman"/>
          <w:sz w:val="22"/>
          <w:szCs w:val="22"/>
          <w:b w:val="1"/>
          <w:bCs w:val="1"/>
          <w:color w:val="auto"/>
        </w:rPr>
        <w:t>“Maturity</w:t>
      </w:r>
    </w:p>
    <w:p>
      <w:pPr>
        <w:jc w:val="both"/>
        <w:ind w:right="20"/>
        <w:spacing w:after="0" w:line="246" w:lineRule="exact"/>
        <w:rPr>
          <w:sz w:val="20"/>
          <w:szCs w:val="20"/>
          <w:color w:val="auto"/>
        </w:rPr>
      </w:pP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with interest (computed on the basis of a 360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day year of twelve 30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day months) (a) on the unpaid balance hereof 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rate of 3.81% per annum from the date hereof, payable semiannually, on the 15th day of June and December in each year, commencing on December 15, 2019, and on the Maturity Date, until the principal hereof shall have become due and payable, and</w:t>
      </w:r>
    </w:p>
    <w:p>
      <w:pPr>
        <w:spacing w:after="0" w:line="1" w:lineRule="exact"/>
        <w:rPr>
          <w:sz w:val="20"/>
          <w:szCs w:val="20"/>
          <w:color w:val="auto"/>
        </w:rPr>
      </w:pPr>
    </w:p>
    <w:p>
      <w:pPr>
        <w:jc w:val="both"/>
        <w:ind w:firstLine="8"/>
        <w:spacing w:after="0" w:line="246" w:lineRule="exact"/>
        <w:tabs>
          <w:tab w:leader="none" w:pos="30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law, (x) on any overdue payment of interest and (y) during the continuance of an Event of Default, on such unpaid balance and on any overdue payment of any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at a rate per annum from time to time equal to the greater of (i) 2.0% over the coupon or (ii) 2.0% over the rate of interest publicly announced by Bank of America, N.A. from time to time in New York, New York as its “base” or “prime” rate, payable semiannually as aforesaid (or, at the option of the registered holder hereof, on demand).</w:t>
      </w:r>
    </w:p>
    <w:p>
      <w:pPr>
        <w:spacing w:after="0" w:line="173" w:lineRule="exact"/>
        <w:rPr>
          <w:sz w:val="20"/>
          <w:szCs w:val="20"/>
          <w:color w:val="auto"/>
        </w:rPr>
      </w:pPr>
    </w:p>
    <w:p>
      <w:pPr>
        <w:jc w:val="both"/>
        <w:ind w:firstLine="877"/>
        <w:spacing w:after="0" w:line="267" w:lineRule="exact"/>
        <w:rPr>
          <w:sz w:val="20"/>
          <w:szCs w:val="20"/>
          <w:color w:val="auto"/>
        </w:rPr>
      </w:pPr>
      <w:r>
        <w:rPr>
          <w:rFonts w:ascii="Times New Roman" w:cs="Times New Roman" w:eastAsia="Times New Roman" w:hAnsi="Times New Roman"/>
          <w:sz w:val="22"/>
          <w:szCs w:val="22"/>
          <w:color w:val="auto"/>
        </w:rPr>
        <w:t>Payments of principal of, interest on and any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with respect to this Note are to be made in lawful money of the United States of America at Bank of America, N.A. or at such other place as the Company shall have designated by written notice to the holder of this Note as provided in the Note Purchase Agreement referred to below.</w:t>
      </w:r>
    </w:p>
    <w:p>
      <w:pPr>
        <w:spacing w:after="0" w:line="216"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color w:val="auto"/>
        </w:rPr>
        <w:t xml:space="preserve">This Note is one of a series of Senior Notes (herein called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xml:space="preserve">) issued pursuant to the Note Purchase Agreement, dated April 30, 2019 (as from time to time amended, the </w:t>
      </w:r>
      <w:r>
        <w:rPr>
          <w:rFonts w:ascii="Times New Roman" w:cs="Times New Roman" w:eastAsia="Times New Roman" w:hAnsi="Times New Roman"/>
          <w:sz w:val="22"/>
          <w:szCs w:val="22"/>
          <w:b w:val="1"/>
          <w:bCs w:val="1"/>
          <w:color w:val="auto"/>
        </w:rPr>
        <w:t>“Note Purchase Agreement”</w:t>
      </w:r>
      <w:r>
        <w:rPr>
          <w:rFonts w:ascii="Times New Roman" w:cs="Times New Roman" w:eastAsia="Times New Roman" w:hAnsi="Times New Roman"/>
          <w:sz w:val="22"/>
          <w:szCs w:val="22"/>
          <w:color w:val="auto"/>
        </w:rPr>
        <w:t>), between the Company and the respective Purchasers named therein and is entitled to the benefits thereof. Each holder of this Note will be deemed, by its acceptance hereof, to have (i) 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w:t>
      </w:r>
    </w:p>
    <w:p>
      <w:pPr>
        <w:spacing w:after="0" w:line="220"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1-A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type w:val="continuous"/>
        </w:sectPr>
      </w:pPr>
    </w:p>
    <w:bookmarkStart w:id="82" w:name="page83"/>
    <w:bookmarkEnd w:id="82"/>
    <w:p>
      <w:pPr>
        <w:jc w:val="both"/>
        <w:spacing w:after="0" w:line="258" w:lineRule="auto"/>
        <w:rPr>
          <w:sz w:val="20"/>
          <w:szCs w:val="20"/>
          <w:color w:val="auto"/>
        </w:rPr>
      </w:pPr>
      <w:r>
        <w:rPr>
          <w:rFonts w:ascii="Times New Roman" w:cs="Times New Roman" w:eastAsia="Times New Roman" w:hAnsi="Times New Roman"/>
          <w:sz w:val="22"/>
          <w:szCs w:val="22"/>
          <w:color w:val="auto"/>
        </w:rPr>
        <w:t>in whose name this Note is registered as the owner hereof for the purpose of receiving payment and for all other purposes, and the Company will not be affected by any notice to the contrary.</w:t>
      </w:r>
    </w:p>
    <w:p>
      <w:pPr>
        <w:spacing w:after="0" w:line="185" w:lineRule="exact"/>
        <w:rPr>
          <w:sz w:val="20"/>
          <w:szCs w:val="20"/>
          <w:color w:val="auto"/>
        </w:rPr>
      </w:pPr>
    </w:p>
    <w:p>
      <w:pPr>
        <w:jc w:val="both"/>
        <w:ind w:right="20" w:firstLine="877"/>
        <w:spacing w:after="0" w:line="258" w:lineRule="auto"/>
        <w:rPr>
          <w:sz w:val="20"/>
          <w:szCs w:val="20"/>
          <w:color w:val="auto"/>
        </w:rPr>
      </w:pPr>
      <w:r>
        <w:rPr>
          <w:rFonts w:ascii="Times New Roman" w:cs="Times New Roman" w:eastAsia="Times New Roman" w:hAnsi="Times New Roman"/>
          <w:sz w:val="22"/>
          <w:szCs w:val="22"/>
          <w:color w:val="auto"/>
        </w:rPr>
        <w:t>This Note is subject to optional prepayment, in whole or from time to time in part, at the times and on the terms specified in the Note Purchase Agreement, but not otherwise.</w:t>
      </w:r>
    </w:p>
    <w:p>
      <w:pPr>
        <w:spacing w:after="0" w:line="199" w:lineRule="exact"/>
        <w:rPr>
          <w:sz w:val="20"/>
          <w:szCs w:val="20"/>
          <w:color w:val="auto"/>
        </w:rPr>
      </w:pPr>
    </w:p>
    <w:p>
      <w:pPr>
        <w:jc w:val="both"/>
        <w:ind w:firstLine="877"/>
        <w:spacing w:after="0" w:line="257" w:lineRule="exact"/>
        <w:rPr>
          <w:sz w:val="20"/>
          <w:szCs w:val="20"/>
          <w:color w:val="auto"/>
        </w:rPr>
      </w:pPr>
      <w:r>
        <w:rPr>
          <w:rFonts w:ascii="Times New Roman" w:cs="Times New Roman" w:eastAsia="Times New Roman" w:hAnsi="Times New Roman"/>
          <w:sz w:val="22"/>
          <w:szCs w:val="22"/>
          <w:color w:val="auto"/>
        </w:rPr>
        <w:t>If an Event of Default occurs and is continuing, the principal of this Note may be declared or otherwise become due and payable in the manner, at the price (including any applicable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and with the effect provided in the Note Purchase Agreement.</w:t>
      </w:r>
    </w:p>
    <w:p>
      <w:pPr>
        <w:spacing w:after="0" w:line="217" w:lineRule="exact"/>
        <w:rPr>
          <w:sz w:val="20"/>
          <w:szCs w:val="20"/>
          <w:color w:val="auto"/>
        </w:rPr>
      </w:pPr>
    </w:p>
    <w:p>
      <w:pPr>
        <w:jc w:val="both"/>
        <w:ind w:firstLine="877"/>
        <w:spacing w:after="0" w:line="257" w:lineRule="exact"/>
        <w:rPr>
          <w:sz w:val="20"/>
          <w:szCs w:val="20"/>
          <w:color w:val="auto"/>
        </w:rPr>
      </w:pPr>
      <w:r>
        <w:rPr>
          <w:rFonts w:ascii="Times New Roman" w:cs="Times New Roman" w:eastAsia="Times New Roman" w:hAnsi="Times New Roman"/>
          <w:sz w:val="22"/>
          <w:szCs w:val="22"/>
          <w:color w:val="auto"/>
        </w:rPr>
        <w:t>This Note shall be construed and enforced in accordance with, and the rights of the Company and the holder of this Note shall be governed by, the law of the State of New York excluding choice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 principles of the law of such State that would permit the application of the laws of a jurisdiction other than such State.</w:t>
      </w:r>
    </w:p>
    <w:p>
      <w:pPr>
        <w:spacing w:after="0" w:line="20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ORO</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200" w:lineRule="exact"/>
        <w:rPr>
          <w:sz w:val="20"/>
          <w:szCs w:val="20"/>
          <w:color w:val="auto"/>
        </w:rPr>
      </w:pPr>
    </w:p>
    <w:p>
      <w:pPr>
        <w:spacing w:after="0" w:line="27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By ___________________________________</w:t>
      </w:r>
    </w:p>
    <w:p>
      <w:pPr>
        <w:spacing w:after="0" w:line="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2"/>
          <w:szCs w:val="22"/>
          <w:color w:val="auto"/>
        </w:rPr>
        <w:t>Name:</w:t>
      </w:r>
    </w:p>
    <w:p>
      <w:pPr>
        <w:ind w:left="6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___________________________________</w:t>
      </w:r>
    </w:p>
    <w:p>
      <w:pPr>
        <w:spacing w:after="0" w:line="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2"/>
          <w:szCs w:val="22"/>
          <w:color w:val="auto"/>
        </w:rPr>
        <w:t>Name:</w:t>
      </w:r>
    </w:p>
    <w:p>
      <w:pPr>
        <w:ind w:left="6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ERIES</w:t>
      </w:r>
      <w:r>
        <w:rPr>
          <w:rFonts w:ascii="Times New Roman" w:cs="Times New Roman" w:eastAsia="Times New Roman" w:hAnsi="Times New Roman"/>
          <w:sz w:val="22"/>
          <w:szCs w:val="22"/>
          <w:b w:val="1"/>
          <w:bCs w:val="1"/>
          <w:color w:val="auto"/>
        </w:rPr>
        <w:t xml:space="preserve"> B N</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22"/>
          <w:szCs w:val="22"/>
          <w:b w:val="1"/>
          <w:bCs w:val="1"/>
          <w:color w:val="auto"/>
        </w:rPr>
        <w:t>]</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ORO</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OMPANY</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3.91% S</w:t>
      </w:r>
      <w:r>
        <w:rPr>
          <w:rFonts w:ascii="Times New Roman" w:cs="Times New Roman" w:eastAsia="Times New Roman" w:hAnsi="Times New Roman"/>
          <w:sz w:val="14"/>
          <w:szCs w:val="14"/>
          <w:b w:val="1"/>
          <w:bCs w:val="1"/>
          <w:color w:val="auto"/>
        </w:rPr>
        <w:t>ENIOR</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UE</w:t>
      </w:r>
      <w:r>
        <w:rPr>
          <w:rFonts w:ascii="Times New Roman" w:cs="Times New Roman" w:eastAsia="Times New Roman" w:hAnsi="Times New Roman"/>
          <w:sz w:val="22"/>
          <w:szCs w:val="22"/>
          <w:b w:val="1"/>
          <w:bCs w:val="1"/>
          <w:color w:val="auto"/>
        </w:rPr>
        <w:t xml:space="preserve"> J</w:t>
      </w:r>
      <w:r>
        <w:rPr>
          <w:rFonts w:ascii="Times New Roman" w:cs="Times New Roman" w:eastAsia="Times New Roman" w:hAnsi="Times New Roman"/>
          <w:sz w:val="14"/>
          <w:szCs w:val="14"/>
          <w:b w:val="1"/>
          <w:bCs w:val="1"/>
          <w:color w:val="auto"/>
        </w:rPr>
        <w:t>UNE</w:t>
      </w:r>
      <w:r>
        <w:rPr>
          <w:rFonts w:ascii="Times New Roman" w:cs="Times New Roman" w:eastAsia="Times New Roman" w:hAnsi="Times New Roman"/>
          <w:sz w:val="22"/>
          <w:szCs w:val="22"/>
          <w:b w:val="1"/>
          <w:bCs w:val="1"/>
          <w:color w:val="auto"/>
        </w:rPr>
        <w:t xml:space="preserve"> 15, 2031</w:t>
      </w:r>
    </w:p>
    <w:p>
      <w:pPr>
        <w:sectPr>
          <w:pgSz w:w="11900" w:h="16838" w:orient="portrait"/>
          <w:cols w:equalWidth="0" w:num="1">
            <w:col w:w="11420"/>
          </w:cols>
          <w:pgMar w:left="240" w:top="324" w:right="239" w:bottom="1440" w:gutter="0" w:footer="0" w:header="0"/>
        </w:sect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 BR-[_____]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PPN 891092 B@6</w:t>
      </w:r>
    </w:p>
    <w:p>
      <w:pPr>
        <w:spacing w:after="0" w:line="211" w:lineRule="exact"/>
        <w:rPr>
          <w:sz w:val="20"/>
          <w:szCs w:val="20"/>
          <w:color w:val="auto"/>
        </w:rPr>
      </w:pPr>
    </w:p>
    <w:p>
      <w:pPr>
        <w:sectPr>
          <w:pgSz w:w="11900" w:h="16838" w:orient="portrait"/>
          <w:cols w:equalWidth="0" w:num="2">
            <w:col w:w="9100" w:space="720"/>
            <w:col w:w="1600"/>
          </w:cols>
          <w:pgMar w:left="240" w:top="324" w:right="239" w:bottom="1440" w:gutter="0" w:footer="0" w:header="0"/>
          <w:type w:val="continuous"/>
        </w:sectPr>
      </w:pPr>
    </w:p>
    <w:p>
      <w:pPr>
        <w:spacing w:after="0" w:line="262" w:lineRule="exact"/>
        <w:rPr>
          <w:sz w:val="20"/>
          <w:szCs w:val="20"/>
          <w:color w:val="auto"/>
        </w:rPr>
      </w:pPr>
    </w:p>
    <w:p>
      <w:pPr>
        <w:jc w:val="both"/>
        <w:ind w:firstLine="877"/>
        <w:spacing w:after="0" w:line="255" w:lineRule="auto"/>
        <w:rPr>
          <w:sz w:val="20"/>
          <w:szCs w:val="20"/>
          <w:color w:val="auto"/>
        </w:rPr>
      </w:pPr>
      <w:r>
        <w:rPr>
          <w:rFonts w:ascii="Times New Roman" w:cs="Times New Roman" w:eastAsia="Times New Roman" w:hAnsi="Times New Roman"/>
          <w:sz w:val="21"/>
          <w:szCs w:val="21"/>
          <w:color w:val="auto"/>
        </w:rPr>
        <w:t>F</w:t>
      </w:r>
      <w:r>
        <w:rPr>
          <w:rFonts w:ascii="Times New Roman" w:cs="Times New Roman" w:eastAsia="Times New Roman" w:hAnsi="Times New Roman"/>
          <w:sz w:val="13"/>
          <w:szCs w:val="13"/>
          <w:color w:val="auto"/>
        </w:rPr>
        <w:t>OR</w:t>
      </w:r>
      <w:r>
        <w:rPr>
          <w:rFonts w:ascii="Times New Roman" w:cs="Times New Roman" w:eastAsia="Times New Roman" w:hAnsi="Times New Roman"/>
          <w:sz w:val="21"/>
          <w:szCs w:val="21"/>
          <w:color w:val="auto"/>
        </w:rPr>
        <w:t xml:space="preserve"> V</w:t>
      </w:r>
      <w:r>
        <w:rPr>
          <w:rFonts w:ascii="Times New Roman" w:cs="Times New Roman" w:eastAsia="Times New Roman" w:hAnsi="Times New Roman"/>
          <w:sz w:val="13"/>
          <w:szCs w:val="13"/>
          <w:color w:val="auto"/>
        </w:rPr>
        <w:t>ALUE</w:t>
      </w:r>
      <w:r>
        <w:rPr>
          <w:rFonts w:ascii="Times New Roman" w:cs="Times New Roman" w:eastAsia="Times New Roman" w:hAnsi="Times New Roman"/>
          <w:sz w:val="21"/>
          <w:szCs w:val="21"/>
          <w:color w:val="auto"/>
        </w:rPr>
        <w:t xml:space="preserve"> R</w:t>
      </w:r>
      <w:r>
        <w:rPr>
          <w:rFonts w:ascii="Times New Roman" w:cs="Times New Roman" w:eastAsia="Times New Roman" w:hAnsi="Times New Roman"/>
          <w:sz w:val="13"/>
          <w:szCs w:val="13"/>
          <w:color w:val="auto"/>
        </w:rPr>
        <w:t>ECEIVED</w:t>
      </w:r>
      <w:r>
        <w:rPr>
          <w:rFonts w:ascii="Times New Roman" w:cs="Times New Roman" w:eastAsia="Times New Roman" w:hAnsi="Times New Roman"/>
          <w:sz w:val="21"/>
          <w:szCs w:val="21"/>
          <w:color w:val="auto"/>
        </w:rPr>
        <w:t xml:space="preserve">, the undersigned, </w:t>
      </w:r>
      <w:r>
        <w:rPr>
          <w:rFonts w:ascii="Times New Roman" w:cs="Times New Roman" w:eastAsia="Times New Roman" w:hAnsi="Times New Roman"/>
          <w:sz w:val="21"/>
          <w:szCs w:val="21"/>
          <w:b w:val="1"/>
          <w:bCs w:val="1"/>
          <w:color w:val="auto"/>
        </w:rPr>
        <w:t>The Toro Company</w:t>
      </w:r>
      <w:r>
        <w:rPr>
          <w:rFonts w:ascii="Times New Roman" w:cs="Times New Roman" w:eastAsia="Times New Roman" w:hAnsi="Times New Roman"/>
          <w:sz w:val="21"/>
          <w:szCs w:val="21"/>
          <w:color w:val="auto"/>
        </w:rPr>
        <w:t xml:space="preserve"> (herein called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 corporation organized and existing under the laws of the State of Delaware, hereby promises to pay to [____________], or registered assigns, the principal</w:t>
      </w:r>
    </w:p>
    <w:p>
      <w:pPr>
        <w:spacing w:after="0" w:line="224" w:lineRule="auto"/>
        <w:rPr>
          <w:sz w:val="20"/>
          <w:szCs w:val="20"/>
          <w:color w:val="auto"/>
        </w:rPr>
      </w:pPr>
      <w:r>
        <w:rPr>
          <w:rFonts w:ascii="Times New Roman" w:cs="Times New Roman" w:eastAsia="Times New Roman" w:hAnsi="Times New Roman"/>
          <w:sz w:val="22"/>
          <w:szCs w:val="22"/>
          <w:color w:val="auto"/>
        </w:rPr>
        <w:t>sum of [_____________________] D</w:t>
      </w:r>
      <w:r>
        <w:rPr>
          <w:rFonts w:ascii="Times New Roman" w:cs="Times New Roman" w:eastAsia="Times New Roman" w:hAnsi="Times New Roman"/>
          <w:sz w:val="14"/>
          <w:szCs w:val="14"/>
          <w:color w:val="auto"/>
        </w:rPr>
        <w:t>OLLARS</w:t>
      </w:r>
      <w:r>
        <w:rPr>
          <w:rFonts w:ascii="Times New Roman" w:cs="Times New Roman" w:eastAsia="Times New Roman" w:hAnsi="Times New Roman"/>
          <w:sz w:val="22"/>
          <w:szCs w:val="22"/>
          <w:color w:val="auto"/>
        </w:rPr>
        <w:t xml:space="preserve"> (or so much thereof as shall not have been prepaid) on June 15, 2031 (the </w:t>
      </w:r>
      <w:r>
        <w:rPr>
          <w:rFonts w:ascii="Times New Roman" w:cs="Times New Roman" w:eastAsia="Times New Roman" w:hAnsi="Times New Roman"/>
          <w:sz w:val="22"/>
          <w:szCs w:val="22"/>
          <w:b w:val="1"/>
          <w:bCs w:val="1"/>
          <w:color w:val="auto"/>
        </w:rPr>
        <w:t>“Maturity</w:t>
      </w:r>
    </w:p>
    <w:p>
      <w:pPr>
        <w:jc w:val="both"/>
        <w:ind w:right="20"/>
        <w:spacing w:after="0" w:line="246" w:lineRule="exact"/>
        <w:rPr>
          <w:sz w:val="20"/>
          <w:szCs w:val="20"/>
          <w:color w:val="auto"/>
        </w:rPr>
      </w:pP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with interest (computed on the basis of a 360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day year of twelve 30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day months) (a) on the unpaid balance hereof 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rate of 3.91% per annum from the date hereof, payable semiannually, on the 15th day of June and December in each year, commencing on December 15, 2019, and on the Maturity Date, until the principal hereof shall have become due and payable, and</w:t>
      </w:r>
    </w:p>
    <w:p>
      <w:pPr>
        <w:spacing w:after="0" w:line="1" w:lineRule="exact"/>
        <w:rPr>
          <w:sz w:val="20"/>
          <w:szCs w:val="20"/>
          <w:color w:val="auto"/>
        </w:rPr>
      </w:pPr>
    </w:p>
    <w:p>
      <w:pPr>
        <w:jc w:val="both"/>
        <w:ind w:firstLine="8"/>
        <w:spacing w:after="0" w:line="246" w:lineRule="exact"/>
        <w:tabs>
          <w:tab w:leader="none" w:pos="30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law, (x) on any overdue payment of interest and (y) during the continuance of an Event of Default, on such unpaid balance and on any overdue payment of any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at a rate per annum from time to time equal to the greater of (i) 2% over the coupon or (ii) 2% over the rate of interest publicly announced by Bank of America, N.A. from time to time in New York, New York as its “base” or “prime” rate, payable semiannually as aforesaid (or, at the option of the registered holder hereof, on demand).</w:t>
      </w:r>
    </w:p>
    <w:p>
      <w:pPr>
        <w:spacing w:after="0" w:line="173" w:lineRule="exact"/>
        <w:rPr>
          <w:sz w:val="20"/>
          <w:szCs w:val="20"/>
          <w:color w:val="auto"/>
        </w:rPr>
      </w:pPr>
    </w:p>
    <w:p>
      <w:pPr>
        <w:jc w:val="both"/>
        <w:ind w:firstLine="877"/>
        <w:spacing w:after="0" w:line="267" w:lineRule="exact"/>
        <w:rPr>
          <w:sz w:val="20"/>
          <w:szCs w:val="20"/>
          <w:color w:val="auto"/>
        </w:rPr>
      </w:pPr>
      <w:r>
        <w:rPr>
          <w:rFonts w:ascii="Times New Roman" w:cs="Times New Roman" w:eastAsia="Times New Roman" w:hAnsi="Times New Roman"/>
          <w:sz w:val="22"/>
          <w:szCs w:val="22"/>
          <w:color w:val="auto"/>
        </w:rPr>
        <w:t>Payments of principal of, interest on and any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with respect to this Note are to be made in lawful money of the United States of America at Bank of America, N.A. or at such other place as the Company shall have designated by written notice to the holder of this Note as provided in the Note Purchase Agreement referred to below.</w:t>
      </w:r>
    </w:p>
    <w:p>
      <w:pPr>
        <w:spacing w:after="0" w:line="216" w:lineRule="exact"/>
        <w:rPr>
          <w:sz w:val="20"/>
          <w:szCs w:val="20"/>
          <w:color w:val="auto"/>
        </w:rPr>
      </w:pPr>
    </w:p>
    <w:p>
      <w:pPr>
        <w:jc w:val="both"/>
        <w:ind w:firstLine="877"/>
        <w:spacing w:after="0" w:line="237" w:lineRule="auto"/>
        <w:rPr>
          <w:sz w:val="20"/>
          <w:szCs w:val="20"/>
          <w:color w:val="auto"/>
        </w:rPr>
      </w:pPr>
      <w:r>
        <w:rPr>
          <w:rFonts w:ascii="Times New Roman" w:cs="Times New Roman" w:eastAsia="Times New Roman" w:hAnsi="Times New Roman"/>
          <w:sz w:val="22"/>
          <w:szCs w:val="22"/>
          <w:color w:val="auto"/>
        </w:rPr>
        <w:t xml:space="preserve">This Note is one of a series of Senior Notes (herein called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xml:space="preserve">) issued pursuant to the Note Purchase Agreement, dated April 30, 2019 (as from time to time amended, the </w:t>
      </w:r>
      <w:r>
        <w:rPr>
          <w:rFonts w:ascii="Times New Roman" w:cs="Times New Roman" w:eastAsia="Times New Roman" w:hAnsi="Times New Roman"/>
          <w:sz w:val="22"/>
          <w:szCs w:val="22"/>
          <w:b w:val="1"/>
          <w:bCs w:val="1"/>
          <w:color w:val="auto"/>
        </w:rPr>
        <w:t>“Note Purchase Agreement”</w:t>
      </w:r>
      <w:r>
        <w:rPr>
          <w:rFonts w:ascii="Times New Roman" w:cs="Times New Roman" w:eastAsia="Times New Roman" w:hAnsi="Times New Roman"/>
          <w:sz w:val="22"/>
          <w:szCs w:val="22"/>
          <w:color w:val="auto"/>
        </w:rPr>
        <w:t>), between the Company and the respective Purchasers named therein and is entitled to the benefits thereof. Each holder of this Note will be deemed, by its acceptance hereof, to have (i) 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w:t>
      </w:r>
    </w:p>
    <w:p>
      <w:pPr>
        <w:spacing w:after="0" w:line="220" w:lineRule="exact"/>
        <w:rPr>
          <w:sz w:val="20"/>
          <w:szCs w:val="20"/>
          <w:color w:val="auto"/>
        </w:rPr>
      </w:pPr>
    </w:p>
    <w:p>
      <w:pPr>
        <w:jc w:val="both"/>
        <w:ind w:firstLine="877"/>
        <w:spacing w:after="0" w:line="239" w:lineRule="auto"/>
        <w:rPr>
          <w:sz w:val="20"/>
          <w:szCs w:val="20"/>
          <w:color w:val="auto"/>
        </w:rPr>
      </w:pPr>
      <w:r>
        <w:rPr>
          <w:rFonts w:ascii="Times New Roman" w:cs="Times New Roman" w:eastAsia="Times New Roman" w:hAnsi="Times New Roman"/>
          <w:sz w:val="22"/>
          <w:szCs w:val="22"/>
          <w:color w:val="auto"/>
        </w:rPr>
        <w:t>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URCHASER</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CHEDULE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type w:val="continuous"/>
        </w:sectPr>
      </w:pPr>
    </w:p>
    <w:bookmarkStart w:id="84" w:name="page85"/>
    <w:bookmarkEnd w:id="84"/>
    <w:p>
      <w:pPr>
        <w:jc w:val="both"/>
        <w:spacing w:after="0" w:line="258" w:lineRule="auto"/>
        <w:rPr>
          <w:sz w:val="20"/>
          <w:szCs w:val="20"/>
          <w:color w:val="auto"/>
        </w:rPr>
      </w:pPr>
      <w:r>
        <w:rPr>
          <w:rFonts w:ascii="Times New Roman" w:cs="Times New Roman" w:eastAsia="Times New Roman" w:hAnsi="Times New Roman"/>
          <w:sz w:val="22"/>
          <w:szCs w:val="22"/>
          <w:color w:val="auto"/>
        </w:rPr>
        <w:t>in whose name this Note is registered as the owner hereof for the purpose of receiving payment and for all other purposes, and the Company will not be affected by any notice to the contrary.</w:t>
      </w:r>
    </w:p>
    <w:p>
      <w:pPr>
        <w:spacing w:after="0" w:line="185" w:lineRule="exact"/>
        <w:rPr>
          <w:sz w:val="20"/>
          <w:szCs w:val="20"/>
          <w:color w:val="auto"/>
        </w:rPr>
      </w:pPr>
    </w:p>
    <w:p>
      <w:pPr>
        <w:jc w:val="both"/>
        <w:ind w:right="20" w:firstLine="877"/>
        <w:spacing w:after="0" w:line="258" w:lineRule="auto"/>
        <w:rPr>
          <w:sz w:val="20"/>
          <w:szCs w:val="20"/>
          <w:color w:val="auto"/>
        </w:rPr>
      </w:pPr>
      <w:r>
        <w:rPr>
          <w:rFonts w:ascii="Times New Roman" w:cs="Times New Roman" w:eastAsia="Times New Roman" w:hAnsi="Times New Roman"/>
          <w:sz w:val="22"/>
          <w:szCs w:val="22"/>
          <w:color w:val="auto"/>
        </w:rPr>
        <w:t>This Note is subject to optional prepayment, in whole or from time to time in part, at the times and on the terms specified in the Note Purchase Agreement, but not otherwise.</w:t>
      </w:r>
    </w:p>
    <w:p>
      <w:pPr>
        <w:spacing w:after="0" w:line="199" w:lineRule="exact"/>
        <w:rPr>
          <w:sz w:val="20"/>
          <w:szCs w:val="20"/>
          <w:color w:val="auto"/>
        </w:rPr>
      </w:pPr>
    </w:p>
    <w:p>
      <w:pPr>
        <w:jc w:val="both"/>
        <w:ind w:firstLine="877"/>
        <w:spacing w:after="0" w:line="257" w:lineRule="exact"/>
        <w:rPr>
          <w:sz w:val="20"/>
          <w:szCs w:val="20"/>
          <w:color w:val="auto"/>
        </w:rPr>
      </w:pPr>
      <w:r>
        <w:rPr>
          <w:rFonts w:ascii="Times New Roman" w:cs="Times New Roman" w:eastAsia="Times New Roman" w:hAnsi="Times New Roman"/>
          <w:sz w:val="22"/>
          <w:szCs w:val="22"/>
          <w:color w:val="auto"/>
        </w:rPr>
        <w:t>If an Event of Default occurs and is continuing, the principal of this Note may be declared or otherwise become due and payable in the manner, at the price (including any applicable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and with the effect provided in the Note Purchase Agreement.</w:t>
      </w:r>
    </w:p>
    <w:p>
      <w:pPr>
        <w:spacing w:after="0" w:line="217" w:lineRule="exact"/>
        <w:rPr>
          <w:sz w:val="20"/>
          <w:szCs w:val="20"/>
          <w:color w:val="auto"/>
        </w:rPr>
      </w:pPr>
    </w:p>
    <w:p>
      <w:pPr>
        <w:jc w:val="both"/>
        <w:ind w:firstLine="877"/>
        <w:spacing w:after="0" w:line="257" w:lineRule="exact"/>
        <w:rPr>
          <w:sz w:val="20"/>
          <w:szCs w:val="20"/>
          <w:color w:val="auto"/>
        </w:rPr>
      </w:pPr>
      <w:r>
        <w:rPr>
          <w:rFonts w:ascii="Times New Roman" w:cs="Times New Roman" w:eastAsia="Times New Roman" w:hAnsi="Times New Roman"/>
          <w:sz w:val="22"/>
          <w:szCs w:val="22"/>
          <w:color w:val="auto"/>
        </w:rPr>
        <w:t>This Note shall be construed and enforced in accordance with, and the rights of the Company and the holder of this Note shall be governed by, the law of the State of New York excluding choice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 principles of the law of such State that would permit the application of the laws of a jurisdiction other than such State.</w:t>
      </w:r>
    </w:p>
    <w:p>
      <w:pPr>
        <w:spacing w:after="0" w:line="20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ORO</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OMPANY</w:t>
      </w:r>
    </w:p>
    <w:p>
      <w:pPr>
        <w:spacing w:after="0" w:line="200" w:lineRule="exact"/>
        <w:rPr>
          <w:sz w:val="20"/>
          <w:szCs w:val="20"/>
          <w:color w:val="auto"/>
        </w:rPr>
      </w:pPr>
    </w:p>
    <w:p>
      <w:pPr>
        <w:spacing w:after="0" w:line="27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By ___________________________________</w:t>
      </w:r>
    </w:p>
    <w:p>
      <w:pPr>
        <w:spacing w:after="0" w:line="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2"/>
          <w:szCs w:val="22"/>
          <w:color w:val="auto"/>
        </w:rPr>
        <w:t>Name:</w:t>
      </w:r>
    </w:p>
    <w:p>
      <w:pPr>
        <w:ind w:left="6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___________________________________</w:t>
      </w:r>
    </w:p>
    <w:p>
      <w:pPr>
        <w:spacing w:after="0" w:line="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2"/>
          <w:szCs w:val="22"/>
          <w:color w:val="auto"/>
        </w:rPr>
        <w:t>Name:</w:t>
      </w:r>
    </w:p>
    <w:p>
      <w:pPr>
        <w:ind w:left="62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ORM OF</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PINION OF</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PECIAL</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OUNSEL</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FOR THE </w:t>
      </w: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15"/>
          <w:szCs w:val="15"/>
          <w:b w:val="1"/>
          <w:bCs w:val="1"/>
          <w:color w:val="auto"/>
        </w:rPr>
        <w:t>OMPANY</w:t>
      </w:r>
    </w:p>
    <w:p>
      <w:pPr>
        <w:spacing w:after="0" w:line="234"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The following opinions are to be provided by special counsel for the Company, subject to customary assumptions, limitations and qualifications. All capitalized terms used herein without definition shall have the meanings ascribed thereto in the Note Purchase Agreement.</w:t>
      </w:r>
    </w:p>
    <w:p>
      <w:pPr>
        <w:spacing w:after="0" w:line="200" w:lineRule="exact"/>
        <w:rPr>
          <w:sz w:val="20"/>
          <w:szCs w:val="20"/>
          <w:color w:val="auto"/>
        </w:rPr>
      </w:pPr>
    </w:p>
    <w:p>
      <w:pPr>
        <w:spacing w:after="0" w:line="244" w:lineRule="exact"/>
        <w:rPr>
          <w:sz w:val="20"/>
          <w:szCs w:val="20"/>
          <w:color w:val="auto"/>
        </w:rPr>
      </w:pPr>
    </w:p>
    <w:p>
      <w:pPr>
        <w:ind w:firstLine="8"/>
        <w:spacing w:after="0" w:line="258" w:lineRule="auto"/>
        <w:tabs>
          <w:tab w:leader="none" w:pos="10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 corporation under the DGCL with corporate power and authority to enter into the Note Purchase Agreement and the Notes and to perform its obligations thereunder.</w:t>
      </w:r>
    </w:p>
    <w:p>
      <w:pPr>
        <w:spacing w:after="0" w:line="158" w:lineRule="exact"/>
        <w:rPr>
          <w:rFonts w:ascii="Times New Roman" w:cs="Times New Roman" w:eastAsia="Times New Roman" w:hAnsi="Times New Roman"/>
          <w:sz w:val="22"/>
          <w:szCs w:val="22"/>
          <w:color w:val="auto"/>
        </w:rPr>
      </w:pPr>
    </w:p>
    <w:p>
      <w:pPr>
        <w:jc w:val="both"/>
        <w:ind w:firstLine="8"/>
        <w:spacing w:after="0" w:line="244" w:lineRule="auto"/>
        <w:tabs>
          <w:tab w:leader="none" w:pos="97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the Note Purchase Agreement and the Notes has been duly authorized by all necessary corporate action of the Company, and each of the Note Purchase Agreement and the Notes has been duly executed and delivered by the Company.</w:t>
      </w:r>
    </w:p>
    <w:p>
      <w:pPr>
        <w:spacing w:after="0" w:line="173" w:lineRule="exact"/>
        <w:rPr>
          <w:rFonts w:ascii="Times New Roman" w:cs="Times New Roman" w:eastAsia="Times New Roman" w:hAnsi="Times New Roman"/>
          <w:sz w:val="22"/>
          <w:szCs w:val="22"/>
          <w:color w:val="auto"/>
        </w:rPr>
      </w:pPr>
    </w:p>
    <w:p>
      <w:pPr>
        <w:ind w:right="20" w:firstLine="8"/>
        <w:spacing w:after="0" w:line="258" w:lineRule="auto"/>
        <w:tabs>
          <w:tab w:leader="none" w:pos="106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Note Purchase Agreement and the Notes is the legally valid and binding agreement of the Company, enforceable against the Company in accordance with its terms.</w:t>
      </w:r>
    </w:p>
    <w:p>
      <w:pPr>
        <w:spacing w:after="0" w:line="158" w:lineRule="exact"/>
        <w:rPr>
          <w:rFonts w:ascii="Times New Roman" w:cs="Times New Roman" w:eastAsia="Times New Roman" w:hAnsi="Times New Roman"/>
          <w:sz w:val="22"/>
          <w:szCs w:val="22"/>
          <w:color w:val="auto"/>
        </w:rPr>
      </w:pPr>
    </w:p>
    <w:p>
      <w:pPr>
        <w:ind w:left="980" w:hanging="972"/>
        <w:spacing w:after="0"/>
        <w:tabs>
          <w:tab w:leader="none" w:pos="98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and delivery by the Company of the Note Purchase Agreement and the Notes does not on the date hereof:</w:t>
      </w:r>
    </w:p>
    <w:p>
      <w:pPr>
        <w:spacing w:after="0" w:line="217" w:lineRule="exact"/>
        <w:rPr>
          <w:rFonts w:ascii="Times New Roman" w:cs="Times New Roman" w:eastAsia="Times New Roman" w:hAnsi="Times New Roman"/>
          <w:sz w:val="21"/>
          <w:szCs w:val="21"/>
          <w:color w:val="auto"/>
        </w:rPr>
      </w:pPr>
    </w:p>
    <w:p>
      <w:pPr>
        <w:ind w:left="2300" w:hanging="874"/>
        <w:spacing w:after="0"/>
        <w:tabs>
          <w:tab w:leader="none" w:pos="230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violate the provisions of the certificate of incorporation and the bylaws of the Company;</w:t>
      </w:r>
    </w:p>
    <w:p>
      <w:pPr>
        <w:spacing w:after="0" w:line="206" w:lineRule="exact"/>
        <w:rPr>
          <w:rFonts w:ascii="Times New Roman" w:cs="Times New Roman" w:eastAsia="Times New Roman" w:hAnsi="Times New Roman"/>
          <w:sz w:val="22"/>
          <w:szCs w:val="22"/>
          <w:color w:val="auto"/>
        </w:rPr>
      </w:pPr>
    </w:p>
    <w:p>
      <w:pPr>
        <w:jc w:val="both"/>
        <w:ind w:left="2300" w:hanging="874"/>
        <w:spacing w:after="0" w:line="239" w:lineRule="auto"/>
        <w:tabs>
          <w:tab w:leader="none" w:pos="230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violate any federal or New York statute, rule or regulation applicable to the Company (including, without limitation, Regulation T, U or X of the Board of Governors of the Federal Reserve System, assuming the Company complies with the provisions of the Note Purchase Agreement and the Notes relating to the use of proceeds) or the DGCL; or</w:t>
      </w:r>
    </w:p>
    <w:p>
      <w:pPr>
        <w:spacing w:after="0" w:line="180" w:lineRule="exact"/>
        <w:rPr>
          <w:rFonts w:ascii="Times New Roman" w:cs="Times New Roman" w:eastAsia="Times New Roman" w:hAnsi="Times New Roman"/>
          <w:sz w:val="22"/>
          <w:szCs w:val="22"/>
          <w:color w:val="auto"/>
        </w:rPr>
      </w:pPr>
    </w:p>
    <w:p>
      <w:pPr>
        <w:jc w:val="both"/>
        <w:ind w:left="2300" w:hanging="874"/>
        <w:spacing w:after="0" w:line="239" w:lineRule="auto"/>
        <w:tabs>
          <w:tab w:leader="none" w:pos="230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any consents, approvals or authorizations to be obtained by the Company from, or any registrations, declarations or filings to be made by the Company with, any governmental authority under any federal or New York statute, rule or regulation or the DGCL, that have not been obtained or made prior to the date hereof.</w:t>
      </w:r>
    </w:p>
    <w:p>
      <w:pPr>
        <w:spacing w:after="0" w:line="180" w:lineRule="exact"/>
        <w:rPr>
          <w:rFonts w:ascii="Times New Roman" w:cs="Times New Roman" w:eastAsia="Times New Roman" w:hAnsi="Times New Roman"/>
          <w:sz w:val="22"/>
          <w:szCs w:val="22"/>
          <w:color w:val="auto"/>
        </w:rPr>
      </w:pPr>
    </w:p>
    <w:p>
      <w:pPr>
        <w:ind w:right="20" w:firstLine="8"/>
        <w:spacing w:after="0" w:line="258" w:lineRule="auto"/>
        <w:tabs>
          <w:tab w:leader="none" w:pos="106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required to be registered as an “investment company” within the meaning of the Investment Company Act of 1940, as amended.</w:t>
      </w:r>
    </w:p>
    <w:p>
      <w:pPr>
        <w:spacing w:after="0" w:line="158" w:lineRule="exact"/>
        <w:rPr>
          <w:rFonts w:ascii="Times New Roman" w:cs="Times New Roman" w:eastAsia="Times New Roman" w:hAnsi="Times New Roman"/>
          <w:sz w:val="22"/>
          <w:szCs w:val="22"/>
          <w:color w:val="auto"/>
        </w:rPr>
      </w:pPr>
    </w:p>
    <w:p>
      <w:pPr>
        <w:jc w:val="both"/>
        <w:ind w:firstLine="8"/>
        <w:spacing w:after="0" w:line="239" w:lineRule="auto"/>
        <w:tabs>
          <w:tab w:leader="none" w:pos="101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registration of the Notes under the Securities Act of 1933, as amended, and no qualification of an indenture under the Trust Indenture Act of 1939, as amended, is required for the purchase of the Notes by the Purchasers in the manner contemplated by the Note Purchase Agreement. We express no opinion, however, as to when or under what circumstances any Notes initially purchased by the Purchasers may be reoffered or resold.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4.4(a)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ERTIFICATE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4"/>
          <w:szCs w:val="14"/>
          <w:b w:val="1"/>
          <w:bCs w:val="1"/>
          <w:color w:val="auto"/>
        </w:rPr>
        <w:t>OREIGN</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ENDERS THAT ARE</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OT</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ARTNERSHIPS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 xml:space="preserve">FOR </w:t>
      </w:r>
      <w:r>
        <w:rPr>
          <w:rFonts w:ascii="Times New Roman" w:cs="Times New Roman" w:eastAsia="Times New Roman" w:hAnsi="Times New Roman"/>
          <w:sz w:val="21"/>
          <w:szCs w:val="21"/>
          <w:b w:val="1"/>
          <w:bCs w:val="1"/>
          <w:color w:val="auto"/>
        </w:rPr>
        <w:t>U.S. F</w:t>
      </w:r>
      <w:r>
        <w:rPr>
          <w:rFonts w:ascii="Times New Roman" w:cs="Times New Roman" w:eastAsia="Times New Roman" w:hAnsi="Times New Roman"/>
          <w:sz w:val="15"/>
          <w:szCs w:val="15"/>
          <w:b w:val="1"/>
          <w:bCs w:val="1"/>
          <w:color w:val="auto"/>
        </w:rPr>
        <w:t xml:space="preserve">EDERAL </w:t>
      </w:r>
      <w:r>
        <w:rPr>
          <w:rFonts w:ascii="Times New Roman" w:cs="Times New Roman" w:eastAsia="Times New Roman" w:hAnsi="Times New Roman"/>
          <w:sz w:val="21"/>
          <w:szCs w:val="21"/>
          <w:b w:val="1"/>
          <w:bCs w:val="1"/>
          <w:color w:val="auto"/>
        </w:rPr>
        <w:t>I</w:t>
      </w:r>
      <w:r>
        <w:rPr>
          <w:rFonts w:ascii="Times New Roman" w:cs="Times New Roman" w:eastAsia="Times New Roman" w:hAnsi="Times New Roman"/>
          <w:sz w:val="15"/>
          <w:szCs w:val="15"/>
          <w:b w:val="1"/>
          <w:bCs w:val="1"/>
          <w:color w:val="auto"/>
        </w:rPr>
        <w:t xml:space="preserve">NCOME </w:t>
      </w:r>
      <w:r>
        <w:rPr>
          <w:rFonts w:ascii="Times New Roman" w:cs="Times New Roman" w:eastAsia="Times New Roman" w:hAnsi="Times New Roman"/>
          <w:sz w:val="21"/>
          <w:szCs w:val="21"/>
          <w:b w:val="1"/>
          <w:bCs w:val="1"/>
          <w:color w:val="auto"/>
        </w:rPr>
        <w:t>T</w:t>
      </w:r>
      <w:r>
        <w:rPr>
          <w:rFonts w:ascii="Times New Roman" w:cs="Times New Roman" w:eastAsia="Times New Roman" w:hAnsi="Times New Roman"/>
          <w:sz w:val="15"/>
          <w:szCs w:val="15"/>
          <w:b w:val="1"/>
          <w:bCs w:val="1"/>
          <w:color w:val="auto"/>
        </w:rPr>
        <w:t xml:space="preserve">AX </w:t>
      </w:r>
      <w:r>
        <w:rPr>
          <w:rFonts w:ascii="Times New Roman" w:cs="Times New Roman" w:eastAsia="Times New Roman" w:hAnsi="Times New Roman"/>
          <w:sz w:val="21"/>
          <w:szCs w:val="21"/>
          <w:b w:val="1"/>
          <w:bCs w:val="1"/>
          <w:color w:val="auto"/>
        </w:rPr>
        <w:t>P</w:t>
      </w:r>
      <w:r>
        <w:rPr>
          <w:rFonts w:ascii="Times New Roman" w:cs="Times New Roman" w:eastAsia="Times New Roman" w:hAnsi="Times New Roman"/>
          <w:sz w:val="15"/>
          <w:szCs w:val="15"/>
          <w:b w:val="1"/>
          <w:bCs w:val="1"/>
          <w:color w:val="auto"/>
        </w:rPr>
        <w:t>URPOSES</w:t>
      </w:r>
      <w:r>
        <w:rPr>
          <w:rFonts w:ascii="Times New Roman" w:cs="Times New Roman" w:eastAsia="Times New Roman" w:hAnsi="Times New Roman"/>
          <w:sz w:val="21"/>
          <w:szCs w:val="21"/>
          <w:b w:val="1"/>
          <w:bCs w:val="1"/>
          <w:color w:val="auto"/>
        </w:rPr>
        <w:t>)</w:t>
      </w:r>
    </w:p>
    <w:p>
      <w:pPr>
        <w:spacing w:after="0" w:line="234"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2"/>
          <w:szCs w:val="22"/>
          <w:color w:val="auto"/>
        </w:rPr>
        <w:t xml:space="preserve">Reference is hereby made to the Note Purchase Agreement dated as of April 30, 2019 (as amended, supplemented or otherwise modified from time to time, the </w:t>
      </w:r>
      <w:r>
        <w:rPr>
          <w:rFonts w:ascii="Times New Roman" w:cs="Times New Roman" w:eastAsia="Times New Roman" w:hAnsi="Times New Roman"/>
          <w:sz w:val="22"/>
          <w:szCs w:val="22"/>
          <w:b w:val="1"/>
          <w:bCs w:val="1"/>
          <w:color w:val="auto"/>
        </w:rPr>
        <w:t>“Note Purchase Agreement”</w:t>
      </w:r>
      <w:r>
        <w:rPr>
          <w:rFonts w:ascii="Times New Roman" w:cs="Times New Roman" w:eastAsia="Times New Roman" w:hAnsi="Times New Roman"/>
          <w:sz w:val="22"/>
          <w:szCs w:val="22"/>
          <w:color w:val="auto"/>
        </w:rPr>
        <w:t xml:space="preserve">), among The Toro Company,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each holder of Notes from time to time party thereto.</w:t>
      </w:r>
    </w:p>
    <w:p>
      <w:pPr>
        <w:spacing w:after="0" w:line="201" w:lineRule="exact"/>
        <w:rPr>
          <w:sz w:val="20"/>
          <w:szCs w:val="20"/>
          <w:color w:val="auto"/>
        </w:rPr>
      </w:pPr>
    </w:p>
    <w:p>
      <w:pPr>
        <w:jc w:val="both"/>
        <w:ind w:firstLine="877"/>
        <w:spacing w:after="0" w:line="238" w:lineRule="auto"/>
        <w:rPr>
          <w:sz w:val="20"/>
          <w:szCs w:val="20"/>
          <w:color w:val="auto"/>
        </w:rPr>
      </w:pPr>
      <w:r>
        <w:rPr>
          <w:rFonts w:ascii="Times New Roman" w:cs="Times New Roman" w:eastAsia="Times New Roman" w:hAnsi="Times New Roman"/>
          <w:sz w:val="22"/>
          <w:szCs w:val="22"/>
          <w:color w:val="auto"/>
        </w:rPr>
        <w:t>Pursuant to the provisions of the Note Purchase Agreement, the undersigned hereby certifies that (i) it is the sole record and beneficial owner of the Notes in respect of which it is providing this certificate, (ii) it is not a “bank” within the meaning of Section 881(c)(3)(A) of the Code, (iii) it is not a “ten percent shareholder” of the Company within the meaning of Section 871(h)</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(3)(B) of the Code and (iv) it is not a “controlled foreign corporation” related to the Company as described in Section 881(c)(3)(C) of the Code.</w:t>
      </w:r>
    </w:p>
    <w:p>
      <w:pPr>
        <w:spacing w:after="0" w:line="185" w:lineRule="exact"/>
        <w:rPr>
          <w:sz w:val="20"/>
          <w:szCs w:val="20"/>
          <w:color w:val="auto"/>
        </w:rPr>
      </w:pPr>
    </w:p>
    <w:p>
      <w:pPr>
        <w:jc w:val="both"/>
        <w:ind w:firstLine="877"/>
        <w:spacing w:after="0" w:line="258" w:lineRule="exact"/>
        <w:rPr>
          <w:sz w:val="20"/>
          <w:szCs w:val="20"/>
          <w:color w:val="auto"/>
        </w:rPr>
      </w:pPr>
      <w:r>
        <w:rPr>
          <w:rFonts w:ascii="Times New Roman" w:cs="Times New Roman" w:eastAsia="Times New Roman" w:hAnsi="Times New Roman"/>
          <w:sz w:val="22"/>
          <w:szCs w:val="22"/>
          <w:color w:val="auto"/>
        </w:rPr>
        <w:t>The undersigned has furnished the Company with a certificate of its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Person status on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 By executing this certificate, the undersigned agrees that (1) if the information provided in this certificate changes, the undersigned shall promptly so inform the Company, and (2) the undersigned shall have at all times furnished the Company with a properly completed and currently effective certificate in either the calendar year in which each payment is to be made to the undersigned, or in either of the two calendar years preceding such payments.</w:t>
      </w:r>
    </w:p>
    <w:p>
      <w:pPr>
        <w:spacing w:after="0" w:line="220" w:lineRule="exact"/>
        <w:rPr>
          <w:sz w:val="20"/>
          <w:szCs w:val="20"/>
          <w:color w:val="auto"/>
        </w:rPr>
      </w:pPr>
    </w:p>
    <w:p>
      <w:pPr>
        <w:jc w:val="both"/>
        <w:ind w:firstLine="877"/>
        <w:spacing w:after="0" w:line="258" w:lineRule="auto"/>
        <w:rPr>
          <w:sz w:val="20"/>
          <w:szCs w:val="20"/>
          <w:color w:val="auto"/>
        </w:rPr>
      </w:pPr>
      <w:r>
        <w:rPr>
          <w:rFonts w:ascii="Times New Roman" w:cs="Times New Roman" w:eastAsia="Times New Roman" w:hAnsi="Times New Roman"/>
          <w:sz w:val="22"/>
          <w:szCs w:val="22"/>
          <w:color w:val="auto"/>
        </w:rPr>
        <w:t>Unless otherwise defined herein, terms defined in the Note Purchase Agreement and used herein shall have the meanings given to them in the Note Purchase Agreement.</w:t>
      </w:r>
    </w:p>
    <w:p>
      <w:pPr>
        <w:spacing w:after="0" w:line="18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AME OF</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URCHASER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__________________________________</w:t>
      </w:r>
    </w:p>
    <w:p>
      <w:pPr>
        <w:spacing w:after="0" w:line="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2"/>
          <w:szCs w:val="22"/>
          <w:color w:val="auto"/>
        </w:rPr>
        <w:t>Name:</w:t>
      </w:r>
    </w:p>
    <w:p>
      <w:pPr>
        <w:ind w:left="6160"/>
        <w:spacing w:after="0"/>
        <w:rPr>
          <w:sz w:val="20"/>
          <w:szCs w:val="20"/>
          <w:color w:val="auto"/>
        </w:rPr>
      </w:pPr>
      <w:r>
        <w:rPr>
          <w:rFonts w:ascii="Times New Roman" w:cs="Times New Roman" w:eastAsia="Times New Roman" w:hAnsi="Times New Roman"/>
          <w:sz w:val="22"/>
          <w:szCs w:val="22"/>
          <w:color w:val="auto"/>
        </w:rPr>
        <w:t>Title: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 __, 20[___]</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CHEDULE</w:t>
      </w:r>
      <w:r>
        <w:rPr>
          <w:rFonts w:ascii="Times New Roman" w:cs="Times New Roman" w:eastAsia="Times New Roman" w:hAnsi="Times New Roman"/>
          <w:sz w:val="22"/>
          <w:szCs w:val="22"/>
          <w:color w:val="auto"/>
        </w:rPr>
        <w:t xml:space="preserve"> 14.3</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(to Note Purchase Agreement)</w:t>
      </w:r>
    </w:p>
    <w:sectPr>
      <w:pgSz w:w="11900" w:h="16838" w:orient="portrait"/>
      <w:cols w:equalWidth="0" w:num="1">
        <w:col w:w="11420"/>
      </w:cols>
      <w:pgMar w:left="240" w:top="3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1)"/>
      <w:numFmt w:val="lowerLetter"/>
      <w:start w:val="4"/>
    </w:lvl>
  </w:abstractNum>
  <w:abstractNum w:abstractNumId="2">
    <w:nsid w:val="580BD78F"/>
    <w:multiLevelType w:val="hybridMultilevel"/>
    <w:lvl w:ilvl="0">
      <w:lvlJc w:val="left"/>
      <w:lvlText w:val="(%1)"/>
      <w:numFmt w:val="lowerLetter"/>
      <w:start w:val="2"/>
    </w:lvl>
  </w:abstractNum>
  <w:abstractNum w:abstractNumId="3">
    <w:nsid w:val="153EA438"/>
    <w:multiLevelType w:val="hybridMultilevel"/>
    <w:lvl w:ilvl="0">
      <w:lvlJc w:val="left"/>
      <w:lvlText w:val="(%1)"/>
      <w:numFmt w:val="lowerLetter"/>
      <w:start w:val="3"/>
    </w:lvl>
  </w:abstractNum>
  <w:abstractNum w:abstractNumId="4">
    <w:nsid w:val="3855585C"/>
    <w:multiLevelType w:val="hybridMultilevel"/>
    <w:lvl w:ilvl="0">
      <w:lvlJc w:val="left"/>
      <w:lvlText w:val="(%1)"/>
      <w:numFmt w:val="lowerRoman"/>
      <w:start w:val="2"/>
    </w:lvl>
  </w:abstractNum>
  <w:abstractNum w:abstractNumId="5">
    <w:nsid w:val="70A64E2A"/>
    <w:multiLevelType w:val="hybridMultilevel"/>
    <w:lvl w:ilvl="0">
      <w:lvlJc w:val="left"/>
      <w:lvlText w:val="(%1)"/>
      <w:numFmt w:val="lowerLetter"/>
      <w:start w:val="1"/>
    </w:lvl>
  </w:abstractNum>
  <w:abstractNum w:abstractNumId="6">
    <w:nsid w:val="6A2342EC"/>
    <w:multiLevelType w:val="hybridMultilevel"/>
    <w:lvl w:ilvl="0">
      <w:lvlJc w:val="left"/>
      <w:lvlText w:val="(%1)"/>
      <w:numFmt w:val="lowerLetter"/>
      <w:start w:val="2"/>
    </w:lvl>
  </w:abstractNum>
  <w:abstractNum w:abstractNumId="7">
    <w:nsid w:val="2A487CB0"/>
    <w:multiLevelType w:val="hybridMultilevel"/>
    <w:lvl w:ilvl="0">
      <w:lvlJc w:val="left"/>
      <w:lvlText w:val="(%1)"/>
      <w:numFmt w:val="lowerLetter"/>
      <w:start w:val="2"/>
    </w:lvl>
  </w:abstractNum>
  <w:abstractNum w:abstractNumId="8">
    <w:nsid w:val="1D4ED43B"/>
    <w:multiLevelType w:val="hybridMultilevel"/>
    <w:lvl w:ilvl="0">
      <w:lvlJc w:val="left"/>
      <w:lvlText w:val="(%1)"/>
      <w:numFmt w:val="lowerLetter"/>
      <w:start w:val="2"/>
    </w:lvl>
  </w:abstractNum>
  <w:abstractNum w:abstractNumId="9">
    <w:nsid w:val="725A06FB"/>
    <w:multiLevelType w:val="hybridMultilevel"/>
    <w:lvl w:ilvl="0">
      <w:lvlJc w:val="left"/>
      <w:lvlText w:val="(%1)"/>
      <w:numFmt w:val="lowerLetter"/>
      <w:start w:val="2"/>
    </w:lvl>
  </w:abstractNum>
  <w:abstractNum w:abstractNumId="10">
    <w:nsid w:val="2CD89A32"/>
    <w:multiLevelType w:val="hybridMultilevel"/>
    <w:lvl w:ilvl="0">
      <w:lvlJc w:val="left"/>
      <w:lvlText w:val="(%1)"/>
      <w:numFmt w:val="lowerLetter"/>
      <w:start w:val="2"/>
    </w:lvl>
  </w:abstractNum>
  <w:abstractNum w:abstractNumId="11">
    <w:nsid w:val="57E4CCAF"/>
    <w:multiLevelType w:val="hybridMultilevel"/>
    <w:lvl w:ilvl="0">
      <w:lvlJc w:val="left"/>
      <w:lvlText w:val="(%1)"/>
      <w:numFmt w:val="lowerLetter"/>
      <w:start w:val="2"/>
    </w:lvl>
  </w:abstractNum>
  <w:abstractNum w:abstractNumId="12">
    <w:nsid w:val="7A6D8D3C"/>
    <w:multiLevelType w:val="hybridMultilevel"/>
    <w:lvl w:ilvl="0">
      <w:lvlJc w:val="left"/>
      <w:lvlText w:val="(%1)"/>
      <w:numFmt w:val="lowerLetter"/>
      <w:start w:val="3"/>
    </w:lvl>
  </w:abstractNum>
  <w:abstractNum w:abstractNumId="13">
    <w:nsid w:val="4B588F54"/>
    <w:multiLevelType w:val="hybridMultilevel"/>
    <w:lvl w:ilvl="0">
      <w:lvlJc w:val="left"/>
      <w:lvlText w:val="(%1)"/>
      <w:numFmt w:val="lowerLetter"/>
      <w:start w:val="2"/>
    </w:lvl>
    <w:lvl w:ilvl="1">
      <w:lvlJc w:val="left"/>
      <w:lvlText w:val="(%2)"/>
      <w:numFmt w:val="lowerRoman"/>
      <w:start w:val="1"/>
    </w:lvl>
  </w:abstractNum>
  <w:abstractNum w:abstractNumId="14">
    <w:nsid w:val="542289EC"/>
    <w:multiLevelType w:val="hybridMultilevel"/>
    <w:lvl w:ilvl="0">
      <w:lvlJc w:val="left"/>
      <w:lvlText w:val="(%1)"/>
      <w:numFmt w:val="lowerLetter"/>
      <w:start w:val="1"/>
    </w:lvl>
  </w:abstractNum>
  <w:abstractNum w:abstractNumId="15">
    <w:nsid w:val="6DE91B18"/>
    <w:multiLevelType w:val="hybridMultilevel"/>
    <w:lvl w:ilvl="0">
      <w:lvlJc w:val="left"/>
      <w:lvlText w:val="(%1)"/>
      <w:numFmt w:val="lowerLetter"/>
      <w:start w:val="3"/>
    </w:lvl>
  </w:abstractNum>
  <w:abstractNum w:abstractNumId="16">
    <w:nsid w:val="38437FDB"/>
    <w:multiLevelType w:val="hybridMultilevel"/>
    <w:lvl w:ilvl="0">
      <w:lvlJc w:val="left"/>
      <w:lvlText w:val="(%1)"/>
      <w:numFmt w:val="lowerLetter"/>
      <w:start w:val="1"/>
    </w:lvl>
    <w:lvl w:ilvl="1">
      <w:lvlJc w:val="left"/>
      <w:lvlText w:val="(%2)"/>
      <w:numFmt w:val="lowerRoman"/>
      <w:start w:val="1"/>
    </w:lvl>
  </w:abstractNum>
  <w:abstractNum w:abstractNumId="17">
    <w:nsid w:val="7644A45C"/>
    <w:multiLevelType w:val="hybridMultilevel"/>
    <w:lvl w:ilvl="0">
      <w:lvlJc w:val="left"/>
      <w:lvlText w:val="(%1)"/>
      <w:numFmt w:val="lowerLetter"/>
      <w:start w:val="2"/>
    </w:lvl>
  </w:abstractNum>
  <w:abstractNum w:abstractNumId="18">
    <w:nsid w:val="32FFF902"/>
    <w:multiLevelType w:val="hybridMultilevel"/>
    <w:lvl w:ilvl="0">
      <w:lvlJc w:val="left"/>
      <w:lvlText w:val="(%1)"/>
      <w:numFmt w:val="lowerRoman"/>
      <w:start w:val="1"/>
    </w:lvl>
  </w:abstractNum>
  <w:abstractNum w:abstractNumId="19">
    <w:nsid w:val="684A481A"/>
    <w:multiLevelType w:val="hybridMultilevel"/>
    <w:lvl w:ilvl="0">
      <w:lvlJc w:val="left"/>
      <w:lvlText w:val="(%1)"/>
      <w:numFmt w:val="lowerRoman"/>
      <w:start w:val="2"/>
    </w:lvl>
  </w:abstractNum>
  <w:abstractNum w:abstractNumId="20">
    <w:nsid w:val="579478FE"/>
    <w:multiLevelType w:val="hybridMultilevel"/>
    <w:lvl w:ilvl="0">
      <w:lvlJc w:val="left"/>
      <w:lvlText w:val="%1"/>
      <w:numFmt w:val="lowerLetter"/>
      <w:start w:val="1"/>
    </w:lvl>
    <w:lvl w:ilvl="1">
      <w:lvlJc w:val="left"/>
      <w:lvlText w:val="(%2)"/>
      <w:numFmt w:val="lowerLetter"/>
      <w:start w:val="3"/>
    </w:lvl>
  </w:abstractNum>
  <w:abstractNum w:abstractNumId="21">
    <w:nsid w:val="749ABB43"/>
    <w:multiLevelType w:val="hybridMultilevel"/>
    <w:lvl w:ilvl="0">
      <w:lvlJc w:val="left"/>
      <w:lvlText w:val="(%1)"/>
      <w:numFmt w:val="lowerLetter"/>
      <w:start w:val="35"/>
    </w:lvl>
    <w:lvl w:ilvl="1">
      <w:lvlJc w:val="left"/>
      <w:lvlText w:val="(%2)"/>
      <w:numFmt w:val="lowerLetter"/>
      <w:start w:val="4"/>
    </w:lvl>
  </w:abstractNum>
  <w:abstractNum w:abstractNumId="22">
    <w:nsid w:val="3DC240FB"/>
    <w:multiLevelType w:val="hybridMultilevel"/>
    <w:lvl w:ilvl="0">
      <w:lvlJc w:val="left"/>
      <w:lvlText w:val="%1"/>
      <w:numFmt w:val="lowerLetter"/>
      <w:start w:val="1"/>
    </w:lvl>
    <w:lvl w:ilvl="1">
      <w:lvlJc w:val="left"/>
      <w:lvlText w:val="(%2)"/>
      <w:numFmt w:val="lowerRoman"/>
      <w:start w:val="1"/>
    </w:lvl>
  </w:abstractNum>
  <w:abstractNum w:abstractNumId="23">
    <w:nsid w:val="1BA026FA"/>
    <w:multiLevelType w:val="hybridMultilevel"/>
    <w:lvl w:ilvl="0">
      <w:lvlJc w:val="left"/>
      <w:lvlText w:val="(%1)"/>
      <w:numFmt w:val="lowerLetter"/>
      <w:start w:val="6"/>
    </w:lvl>
    <w:lvl w:ilvl="1">
      <w:lvlJc w:val="left"/>
      <w:lvlText w:val="%2"/>
      <w:numFmt w:val="lowerRoman"/>
      <w:start w:val="1"/>
    </w:lvl>
  </w:abstractNum>
  <w:abstractNum w:abstractNumId="24">
    <w:nsid w:val="79A1DEAA"/>
    <w:multiLevelType w:val="hybridMultilevel"/>
    <w:lvl w:ilvl="0">
      <w:lvlJc w:val="left"/>
      <w:lvlText w:val="(%1)"/>
      <w:numFmt w:val="lowerLetter"/>
      <w:start w:val="1"/>
    </w:lvl>
  </w:abstractNum>
  <w:abstractNum w:abstractNumId="25">
    <w:nsid w:val="75C6C33A"/>
    <w:multiLevelType w:val="hybridMultilevel"/>
    <w:lvl w:ilvl="0">
      <w:lvlJc w:val="left"/>
      <w:lvlText w:val="(%1)"/>
      <w:numFmt w:val="lowerLetter"/>
      <w:start w:val="1"/>
    </w:lvl>
  </w:abstractNum>
  <w:abstractNum w:abstractNumId="26">
    <w:nsid w:val="12E685FB"/>
    <w:multiLevelType w:val="hybridMultilevel"/>
    <w:lvl w:ilvl="0">
      <w:lvlJc w:val="left"/>
      <w:lvlText w:val="(%1)"/>
      <w:numFmt w:val="lowerLetter"/>
      <w:start w:val="2"/>
    </w:lvl>
  </w:abstractNum>
  <w:abstractNum w:abstractNumId="27">
    <w:nsid w:val="70C6A529"/>
    <w:multiLevelType w:val="hybridMultilevel"/>
    <w:lvl w:ilvl="0">
      <w:lvlJc w:val="left"/>
      <w:lvlText w:val="%1"/>
      <w:numFmt w:val="lowerLetter"/>
      <w:start w:val="1"/>
    </w:lvl>
    <w:lvl w:ilvl="1">
      <w:lvlJc w:val="left"/>
      <w:lvlText w:val="(%2)"/>
      <w:numFmt w:val="lowerLetter"/>
      <w:start w:val="1"/>
    </w:lvl>
  </w:abstractNum>
  <w:abstractNum w:abstractNumId="28">
    <w:nsid w:val="520EEDD1"/>
    <w:multiLevelType w:val="hybridMultilevel"/>
    <w:lvl w:ilvl="0">
      <w:lvlJc w:val="left"/>
      <w:lvlText w:val="(%1)"/>
      <w:numFmt w:val="lowerLetter"/>
      <w:start w:val="9"/>
    </w:lvl>
    <w:lvl w:ilvl="1">
      <w:lvlJc w:val="left"/>
      <w:lvlText w:val="(%2)"/>
      <w:numFmt w:val="lowerLetter"/>
      <w:start w:val="3"/>
    </w:lvl>
  </w:abstractNum>
  <w:abstractNum w:abstractNumId="29">
    <w:nsid w:val="374A3FE6"/>
    <w:multiLevelType w:val="hybridMultilevel"/>
    <w:lvl w:ilvl="0">
      <w:lvlJc w:val="left"/>
      <w:lvlText w:val="(%1)"/>
      <w:numFmt w:val="lowerLetter"/>
      <w:start w:val="2"/>
    </w:lvl>
  </w:abstractNum>
  <w:abstractNum w:abstractNumId="30">
    <w:nsid w:val="4F4EF005"/>
    <w:multiLevelType w:val="hybridMultilevel"/>
    <w:lvl w:ilvl="0">
      <w:lvlJc w:val="left"/>
      <w:lvlText w:val="(%1)"/>
      <w:numFmt w:val="lowerLetter"/>
      <w:start w:val="9"/>
    </w:lvl>
    <w:lvl w:ilvl="1">
      <w:lvlJc w:val="left"/>
      <w:lvlText w:val="(%2)"/>
      <w:numFmt w:val="lowerLetter"/>
      <w:start w:val="2"/>
    </w:lvl>
  </w:abstractNum>
  <w:abstractNum w:abstractNumId="31">
    <w:nsid w:val="23F9C13C"/>
    <w:multiLevelType w:val="hybridMultilevel"/>
    <w:lvl w:ilvl="0">
      <w:lvlJc w:val="left"/>
      <w:lvlText w:val="(%1)"/>
      <w:numFmt w:val="lowerLetter"/>
      <w:start w:val="3"/>
    </w:lvl>
  </w:abstractNum>
  <w:abstractNum w:abstractNumId="32">
    <w:nsid w:val="649BB77C"/>
    <w:multiLevelType w:val="hybridMultilevel"/>
    <w:lvl w:ilvl="0">
      <w:lvlJc w:val="left"/>
      <w:lvlText w:val="(%1)"/>
      <w:numFmt w:val="lowerLetter"/>
      <w:start w:val="2"/>
    </w:lvl>
  </w:abstractNum>
  <w:abstractNum w:abstractNumId="33">
    <w:nsid w:val="275AC794"/>
    <w:multiLevelType w:val="hybridMultilevel"/>
    <w:lvl w:ilvl="0">
      <w:lvlJc w:val="left"/>
      <w:lvlText w:val="(%1)"/>
      <w:numFmt w:val="lowerLetter"/>
      <w:start w:val="25"/>
    </w:lvl>
  </w:abstractNum>
  <w:abstractNum w:abstractNumId="34">
    <w:nsid w:val="39386575"/>
    <w:multiLevelType w:val="hybridMultilevel"/>
    <w:lvl w:ilvl="0">
      <w:lvlJc w:val="left"/>
      <w:lvlText w:val="(%1)"/>
      <w:numFmt w:val="lowerLetter"/>
      <w:start w:val="2"/>
    </w:lvl>
  </w:abstractNum>
  <w:abstractNum w:abstractNumId="35">
    <w:nsid w:val="1CF10FD8"/>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36">
    <w:nsid w:val="180115BE"/>
    <w:multiLevelType w:val="hybridMultilevel"/>
    <w:lvl w:ilvl="0">
      <w:lvlJc w:val="left"/>
      <w:lvlText w:val="(%1)"/>
      <w:numFmt w:val="upperLetter"/>
      <w:start w:val="3"/>
    </w:lvl>
  </w:abstractNum>
  <w:abstractNum w:abstractNumId="37">
    <w:nsid w:val="235BA861"/>
    <w:multiLevelType w:val="hybridMultilevel"/>
    <w:lvl w:ilvl="0">
      <w:lvlJc w:val="left"/>
      <w:lvlText w:val="(%1)"/>
      <w:numFmt w:val="lowerLetter"/>
      <w:start w:val="2"/>
    </w:lvl>
  </w:abstractNum>
  <w:abstractNum w:abstractNumId="38">
    <w:nsid w:val="47398C89"/>
    <w:multiLevelType w:val="hybridMultilevel"/>
    <w:lvl w:ilvl="0">
      <w:lvlJc w:val="left"/>
      <w:lvlText w:val="(%1)"/>
      <w:numFmt w:val="lowerLetter"/>
      <w:start w:val="1"/>
    </w:lvl>
  </w:abstractNum>
  <w:abstractNum w:abstractNumId="39">
    <w:nsid w:val="354FE9F9"/>
    <w:multiLevelType w:val="hybridMultilevel"/>
    <w:lvl w:ilvl="0">
      <w:lvlJc w:val="left"/>
      <w:lvlText w:val="(%1)"/>
      <w:numFmt w:val="lowerLetter"/>
      <w:start w:val="2"/>
    </w:lvl>
  </w:abstractNum>
  <w:abstractNum w:abstractNumId="40">
    <w:nsid w:val="15B5AF5C"/>
    <w:multiLevelType w:val="hybridMultilevel"/>
    <w:lvl w:ilvl="0">
      <w:lvlJc w:val="left"/>
      <w:lvlText w:val="(%1)"/>
      <w:numFmt w:val="decimal"/>
      <w:start w:val="1"/>
    </w:lvl>
  </w:abstractNum>
  <w:abstractNum w:abstractNumId="41">
    <w:nsid w:val="741226BB"/>
    <w:multiLevelType w:val="hybridMultilevel"/>
    <w:lvl w:ilvl="0">
      <w:lvlJc w:val="left"/>
      <w:lvlText w:val="(%1)"/>
      <w:numFmt w:val="lowerLetter"/>
      <w:start w:val="1"/>
    </w:lvl>
  </w:abstractNum>
  <w:abstractNum w:abstractNumId="42">
    <w:nsid w:val="D34B6A8"/>
    <w:multiLevelType w:val="hybridMultilevel"/>
    <w:lvl w:ilvl="0">
      <w:lvlJc w:val="left"/>
      <w:lvlText w:val="(%1)"/>
      <w:numFmt w:val="lowerLetter"/>
      <w:start w:val="1"/>
    </w:lvl>
    <w:lvl w:ilvl="1">
      <w:lvlJc w:val="left"/>
      <w:lvlText w:val="(%2)"/>
      <w:numFmt w:val="lowerLetter"/>
      <w:start w:val="2"/>
    </w:lvl>
  </w:abstractNum>
  <w:abstractNum w:abstractNumId="43">
    <w:nsid w:val="10233C99"/>
    <w:multiLevelType w:val="hybridMultilevel"/>
    <w:lvl w:ilvl="0">
      <w:lvlJc w:val="left"/>
      <w:lvlText w:val="%1"/>
      <w:numFmt w:val="lowerLetter"/>
      <w:start w:val="1"/>
    </w:lvl>
    <w:lvl w:ilvl="1">
      <w:lvlJc w:val="left"/>
      <w:lvlText w:val="(%2)"/>
      <w:numFmt w:val="lowerLetter"/>
      <w:start w:val="6"/>
    </w:lvl>
  </w:abstractNum>
  <w:abstractNum w:abstractNumId="44">
    <w:nsid w:val="3F6AB60F"/>
    <w:multiLevelType w:val="hybridMultilevel"/>
    <w:lvl w:ilvl="0">
      <w:lvlJc w:val="left"/>
      <w:lvlText w:val="(%1)"/>
      <w:numFmt w:val="lowerLetter"/>
      <w:start w:val="35"/>
    </w:lvl>
    <w:lvl w:ilvl="1">
      <w:lvlJc w:val="left"/>
      <w:lvlText w:val="(%2)"/>
      <w:numFmt w:val="lowerLetter"/>
      <w:start w:val="10"/>
    </w:lvl>
  </w:abstractNum>
  <w:abstractNum w:abstractNumId="45">
    <w:nsid w:val="61574095"/>
    <w:multiLevelType w:val="hybridMultilevel"/>
    <w:lvl w:ilvl="0">
      <w:lvlJc w:val="left"/>
      <w:lvlText w:val="(%1)"/>
      <w:numFmt w:val="lowerLetter"/>
      <w:start w:val="1"/>
    </w:lvl>
  </w:abstractNum>
  <w:abstractNum w:abstractNumId="46">
    <w:nsid w:val="7E0C57B1"/>
    <w:multiLevelType w:val="hybridMultilevel"/>
    <w:lvl w:ilvl="0">
      <w:lvlJc w:val="left"/>
      <w:lvlText w:val="(%1)"/>
      <w:numFmt w:val="lowerLetter"/>
      <w:start w:val="1"/>
    </w:lvl>
  </w:abstractNum>
  <w:abstractNum w:abstractNumId="47">
    <w:nsid w:val="77AE35EB"/>
    <w:multiLevelType w:val="hybridMultilevel"/>
    <w:lvl w:ilvl="0">
      <w:lvlJc w:val="left"/>
      <w:lvlText w:val="(%1)"/>
      <w:numFmt w:val="lowerLetter"/>
      <w:start w:val="3"/>
    </w:lvl>
    <w:lvl w:ilvl="1">
      <w:lvlJc w:val="left"/>
      <w:lvlText w:val="(%2)"/>
      <w:numFmt w:val="lowerLetter"/>
      <w:start w:val="7"/>
    </w:lvl>
  </w:abstractNum>
  <w:abstractNum w:abstractNumId="48">
    <w:nsid w:val="579BE4F1"/>
    <w:multiLevelType w:val="hybridMultilevel"/>
    <w:lvl w:ilvl="0">
      <w:lvlJc w:val="left"/>
      <w:lvlText w:val="(%1)"/>
      <w:numFmt w:val="lowerLetter"/>
      <w:start w:val="8"/>
    </w:lvl>
  </w:abstractNum>
  <w:abstractNum w:abstractNumId="49">
    <w:nsid w:val="310C50B3"/>
    <w:multiLevelType w:val="hybridMultilevel"/>
    <w:lvl w:ilvl="0">
      <w:lvlJc w:val="left"/>
      <w:lvlText w:val="(%1)"/>
      <w:numFmt w:val="lowerLetter"/>
      <w:start w:val="13"/>
    </w:lvl>
  </w:abstractNum>
  <w:abstractNum w:abstractNumId="50">
    <w:nsid w:val="5FF87E05"/>
    <w:multiLevelType w:val="hybridMultilevel"/>
    <w:lvl w:ilvl="0">
      <w:lvlJc w:val="left"/>
      <w:lvlText w:val="(%1)"/>
      <w:numFmt w:val="lowerLetter"/>
      <w:start w:val="10"/>
    </w:lvl>
    <w:lvl w:ilvl="1">
      <w:lvlJc w:val="left"/>
      <w:lvlText w:val="(%2)"/>
      <w:numFmt w:val="lowerLetter"/>
      <w:start w:val="2"/>
    </w:lvl>
  </w:abstractNum>
  <w:abstractNum w:abstractNumId="51">
    <w:nsid w:val="2F305DEF"/>
    <w:multiLevelType w:val="hybridMultilevel"/>
    <w:lvl w:ilvl="0">
      <w:lvlJc w:val="left"/>
      <w:lvlText w:val="(%1)"/>
      <w:numFmt w:val="lowerLetter"/>
      <w:start w:val="1"/>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1)"/>
      <w:numFmt w:val="lowerLetter"/>
      <w:start w:val="1"/>
    </w:lvl>
  </w:abstractNum>
  <w:abstractNum w:abstractNumId="54">
    <w:nsid w:val="4AD084E9"/>
    <w:multiLevelType w:val="hybridMultilevel"/>
    <w:lvl w:ilvl="0">
      <w:lvlJc w:val="left"/>
      <w:lvlText w:val="(%1)"/>
      <w:numFmt w:val="lowerLetter"/>
      <w:start w:val="1"/>
    </w:lvl>
  </w:abstractNum>
  <w:abstractNum w:abstractNumId="55">
    <w:nsid w:val="1F48EAA1"/>
    <w:multiLevelType w:val="hybridMultilevel"/>
    <w:lvl w:ilvl="0">
      <w:lvlJc w:val="left"/>
      <w:lvlText w:val="(%1)"/>
      <w:numFmt w:val="lowerRoman"/>
      <w:start w:val="1"/>
    </w:lvl>
  </w:abstractNum>
  <w:abstractNum w:abstractNumId="56">
    <w:nsid w:val="1381823A"/>
    <w:multiLevelType w:val="hybridMultilevel"/>
    <w:lvl w:ilvl="0">
      <w:lvlJc w:val="left"/>
      <w:lvlText w:val="(%1)"/>
      <w:numFmt w:val="lowerLetter"/>
      <w:start w:val="2"/>
    </w:lvl>
  </w:abstractNum>
  <w:abstractNum w:abstractNumId="57">
    <w:nsid w:val="5DB70AE5"/>
    <w:multiLevelType w:val="hybridMultilevel"/>
    <w:lvl w:ilvl="0">
      <w:lvlJc w:val="left"/>
      <w:lvlText w:val="(%1)"/>
      <w:numFmt w:val="lowerLetter"/>
      <w:start w:val="2"/>
    </w:lvl>
  </w:abstractNum>
  <w:abstractNum w:abstractNumId="58">
    <w:nsid w:val="100F8FCA"/>
    <w:multiLevelType w:val="hybridMultilevel"/>
    <w:lvl w:ilvl="0">
      <w:lvlJc w:val="left"/>
      <w:lvlText w:val="(%1)"/>
      <w:numFmt w:val="lowerLetter"/>
      <w:start w:val="6"/>
    </w:lvl>
  </w:abstractNum>
  <w:abstractNum w:abstractNumId="59">
    <w:nsid w:val="6590700B"/>
    <w:multiLevelType w:val="hybridMultilevel"/>
    <w:lvl w:ilvl="0">
      <w:lvlJc w:val="left"/>
      <w:lvlText w:val="(%1)"/>
      <w:numFmt w:val="lowerLetter"/>
      <w:start w:val="5"/>
    </w:lvl>
  </w:abstractNum>
  <w:abstractNum w:abstractNumId="60">
    <w:nsid w:val="15014ACB"/>
    <w:multiLevelType w:val="hybridMultilevel"/>
    <w:lvl w:ilvl="0">
      <w:lvlJc w:val="left"/>
      <w:lvlText w:val="(%1)"/>
      <w:numFmt w:val="lowerLetter"/>
      <w:start w:val="2"/>
    </w:lvl>
  </w:abstractNum>
  <w:abstractNum w:abstractNumId="61">
    <w:nsid w:val="5F5E7FD0"/>
    <w:multiLevelType w:val="hybridMultilevel"/>
    <w:lvl w:ilvl="0">
      <w:lvlJc w:val="left"/>
      <w:lvlText w:val="(%1)"/>
      <w:numFmt w:val="lowerLetter"/>
      <w:start w:val="4"/>
    </w:lvl>
  </w:abstractNum>
  <w:abstractNum w:abstractNumId="62">
    <w:nsid w:val="98A3148"/>
    <w:multiLevelType w:val="hybridMultilevel"/>
    <w:lvl w:ilvl="0">
      <w:lvlJc w:val="left"/>
      <w:lvlText w:val="(%1)"/>
      <w:numFmt w:val="lowerRoman"/>
      <w:start w:val="2"/>
    </w:lvl>
  </w:abstractNum>
  <w:abstractNum w:abstractNumId="63">
    <w:nsid w:val="799D0247"/>
    <w:multiLevelType w:val="hybridMultilevel"/>
    <w:lvl w:ilvl="0">
      <w:lvlJc w:val="left"/>
      <w:lvlText w:val="(%1)"/>
      <w:numFmt w:val="lowerLetter"/>
      <w:start w:val="61"/>
    </w:lvl>
  </w:abstractNum>
  <w:abstractNum w:abstractNumId="64">
    <w:nsid w:val="6B94764"/>
    <w:multiLevelType w:val="hybridMultilevel"/>
    <w:lvl w:ilvl="0">
      <w:lvlJc w:val="left"/>
      <w:lvlText w:val="(%1)"/>
      <w:numFmt w:val="lowerLetter"/>
      <w:start w:val="25"/>
    </w:lvl>
  </w:abstractNum>
  <w:abstractNum w:abstractNumId="65">
    <w:nsid w:val="42C296BD"/>
    <w:multiLevelType w:val="hybridMultilevel"/>
    <w:lvl w:ilvl="0">
      <w:lvlJc w:val="left"/>
      <w:lvlText w:val="(%1)"/>
      <w:numFmt w:val="lowerRoman"/>
      <w:start w:val="1"/>
    </w:lvl>
  </w:abstractNum>
  <w:abstractNum w:abstractNumId="66">
    <w:nsid w:val="168E121F"/>
    <w:multiLevelType w:val="hybridMultilevel"/>
    <w:lvl w:ilvl="0">
      <w:lvlJc w:val="left"/>
      <w:lvlText w:val="(%1)"/>
      <w:numFmt w:val="lowerLetter"/>
      <w:start w:val="1"/>
    </w:lvl>
  </w:abstractNum>
  <w:abstractNum w:abstractNumId="67">
    <w:nsid w:val="1EBA5D23"/>
    <w:multiLevelType w:val="hybridMultilevel"/>
    <w:lvl w:ilvl="0">
      <w:lvlJc w:val="left"/>
      <w:lvlText w:val="(%1)"/>
      <w:numFmt w:val="lowerLetter"/>
      <w:start w:val="1"/>
    </w:lvl>
    <w:lvl w:ilvl="1">
      <w:lvlJc w:val="left"/>
      <w:lvlText w:val="(%2)"/>
      <w:numFmt w:val="lowerRoman"/>
      <w:start w:val="1"/>
    </w:lvl>
  </w:abstractNum>
  <w:abstractNum w:abstractNumId="68">
    <w:nsid w:val="661E3F1E"/>
    <w:multiLevelType w:val="hybridMultilevel"/>
    <w:lvl w:ilvl="0">
      <w:lvlJc w:val="left"/>
      <w:lvlText w:val="(%1)"/>
      <w:numFmt w:val="lowerRoman"/>
      <w:start w:val="1"/>
    </w:lvl>
  </w:abstractNum>
  <w:abstractNum w:abstractNumId="69">
    <w:nsid w:val="5DC79EA8"/>
    <w:multiLevelType w:val="hybridMultilevel"/>
    <w:lvl w:ilvl="0">
      <w:lvlJc w:val="left"/>
      <w:lvlText w:val="%1"/>
      <w:numFmt w:val="lowerLetter"/>
      <w:start w:val="1"/>
    </w:lvl>
    <w:lvl w:ilvl="1">
      <w:lvlJc w:val="left"/>
      <w:lvlText w:val="(%2)"/>
      <w:numFmt w:val="lowerLetter"/>
      <w:start w:val="1"/>
    </w:lvl>
  </w:abstractNum>
  <w:abstractNum w:abstractNumId="70">
    <w:nsid w:val="540A471C"/>
    <w:multiLevelType w:val="hybridMultilevel"/>
    <w:lvl w:ilvl="0">
      <w:lvlJc w:val="left"/>
      <w:lvlText w:val="(%1)"/>
      <w:numFmt w:val="lowerLetter"/>
      <w:start w:val="9"/>
    </w:lvl>
    <w:lvl w:ilvl="1">
      <w:lvlJc w:val="left"/>
      <w:lvlText w:val="(%2)"/>
      <w:numFmt w:val="lowerLetter"/>
      <w:start w:val="3"/>
    </w:lvl>
  </w:abstractNum>
  <w:abstractNum w:abstractNumId="71">
    <w:nsid w:val="7BD3EE7B"/>
    <w:multiLevelType w:val="hybridMultilevel"/>
    <w:lvl w:ilvl="0">
      <w:lvlJc w:val="left"/>
      <w:lvlText w:val="(%1)"/>
      <w:numFmt w:val="lowerLetter"/>
      <w:start w:val="8"/>
    </w:lvl>
  </w:abstractNum>
  <w:abstractNum w:abstractNumId="72">
    <w:nsid w:val="51D9C564"/>
    <w:multiLevelType w:val="hybridMultilevel"/>
    <w:lvl w:ilvl="0">
      <w:lvlJc w:val="left"/>
      <w:lvlText w:val="(%1)"/>
      <w:numFmt w:val="lowerLetter"/>
      <w:start w:val="1"/>
    </w:lvl>
  </w:abstractNum>
  <w:abstractNum w:abstractNumId="73">
    <w:nsid w:val="613EFDC5"/>
    <w:multiLevelType w:val="hybridMultilevel"/>
    <w:lvl w:ilvl="0">
      <w:lvlJc w:val="left"/>
      <w:lvlText w:val="(%1)"/>
      <w:numFmt w:val="lowerLetter"/>
      <w:start w:val="23"/>
    </w:lvl>
  </w:abstractNum>
  <w:abstractNum w:abstractNumId="74">
    <w:nsid w:val="BF72B14"/>
    <w:multiLevelType w:val="hybridMultilevel"/>
    <w:lvl w:ilvl="0">
      <w:lvlJc w:val="left"/>
      <w:lvlText w:val="(%1)"/>
      <w:numFmt w:val="lowerRoman"/>
      <w:start w:val="10"/>
    </w:lvl>
  </w:abstractNum>
  <w:abstractNum w:abstractNumId="75">
    <w:nsid w:val="11447B73"/>
    <w:multiLevelType w:val="hybridMultilevel"/>
    <w:lvl w:ilvl="0">
      <w:lvlJc w:val="left"/>
      <w:lvlText w:val="(%1)"/>
      <w:numFmt w:val="lowerLetter"/>
      <w:start w:val="2"/>
    </w:lvl>
  </w:abstractNum>
  <w:abstractNum w:abstractNumId="76">
    <w:nsid w:val="42963E5A"/>
    <w:multiLevelType w:val="hybridMultilevel"/>
    <w:lvl w:ilvl="0">
      <w:lvlJc w:val="left"/>
      <w:lvlText w:val="(%1)"/>
      <w:numFmt w:val="lowerLetter"/>
      <w:start w:val="2"/>
    </w:lvl>
  </w:abstractNum>
  <w:abstractNum w:abstractNumId="77">
    <w:nsid w:val="A0382C5"/>
    <w:multiLevelType w:val="hybridMultilevel"/>
    <w:lvl w:ilvl="0">
      <w:lvlJc w:val="left"/>
      <w:lvlText w:val="%1."/>
      <w:numFmt w:val="decimal"/>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2019-12-28T13:25:04Z</dcterms:created>
  <dcterms:modified xsi:type="dcterms:W3CDTF">2019-12-28T13:25:04Z</dcterms:modified>
</cp:coreProperties>
</file>