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DAHL AMY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0000FF"/>
        </w:rPr>
        <w:t>VP, International</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Line)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8"/>
          </w:tcPr>
          <w:p>
            <w:pPr>
              <w:ind w:left="2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09/30/2025</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16,200</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47,536.261</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09/30/2025</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14,194</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33,342.261</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2"/>
              </w:rPr>
              <w:t>4,176.758</w:t>
            </w:r>
            <w:r>
              <w:rPr>
                <w:rFonts w:ascii="Times New Roman" w:cs="Times New Roman" w:eastAsia="Times New Roman" w:hAnsi="Times New Roman"/>
                <w:sz w:val="21"/>
                <w:szCs w:val="21"/>
                <w:color w:val="008000"/>
                <w:w w:val="92"/>
                <w:vertAlign w:val="superscript"/>
              </w:rPr>
              <w:t>(1)</w:t>
            </w:r>
          </w:p>
        </w:tc>
        <w:tc>
          <w:tcPr>
            <w:tcW w:w="34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18,777.125</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58.53</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09/30/2025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16,200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12/07/2028</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16,200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1.676 shares of common stock acquired by the reporting person through regular individual and issuer matching contributions to The Toro Company Retirement Plan since the date of her last report.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December 7,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10/01/2025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97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2025-10-01T11:38:06Z</dcterms:created>
  <dcterms:modified xsi:type="dcterms:W3CDTF">2025-10-01T11:38:06Z</dcterms:modified>
</cp:coreProperties>
</file>