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358140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4, 2017</w:t>
      </w:r>
    </w:p>
    <w:p>
      <w:pPr>
        <w:spacing w:after="0" w:line="230"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304"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60" w:space="500"/>
            <w:col w:w="4560"/>
          </w:cols>
          <w:pgMar w:left="240" w:top="233"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7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0" w:lineRule="exact"/>
        <w:rPr>
          <w:sz w:val="24"/>
          <w:szCs w:val="24"/>
          <w:color w:val="auto"/>
        </w:rPr>
      </w:pPr>
    </w:p>
    <w:p>
      <w:pPr>
        <w:sectPr>
          <w:pgSz w:w="11900" w:h="16838" w:orient="portrait"/>
          <w:cols w:equalWidth="0" w:num="3">
            <w:col w:w="4680" w:space="720"/>
            <w:col w:w="2960" w:space="720"/>
            <w:col w:w="2340"/>
          </w:cols>
          <w:pgMar w:left="240" w:top="233" w:right="2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33" w:right="239" w:bottom="1440" w:gutter="0" w:footer="0" w:header="0"/>
          <w:type w:val="continuous"/>
        </w:sectPr>
      </w:pPr>
    </w:p>
    <w:p>
      <w:pPr>
        <w:spacing w:after="0" w:line="7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94"/>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August 31, 2017 was 107,768,170.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30">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686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40" w:type="dxa"/>
            <w:vAlign w:val="bottom"/>
            <w:tcBorders>
              <w:left w:val="single" w:sz="8" w:color="0000EE"/>
            </w:tcBorders>
            <w:gridSpan w:val="5"/>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5.</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Other Information</w:t>
              </w:r>
            </w:hyperlink>
          </w:p>
        </w:tc>
        <w:tc>
          <w:tcPr>
            <w:tcW w:w="3040" w:type="dxa"/>
            <w:vAlign w:val="bottom"/>
            <w:gridSpan w:val="5"/>
          </w:tcPr>
          <w:p>
            <w:pPr>
              <w:spacing w:after="0"/>
              <w:rPr>
                <w:sz w:val="24"/>
                <w:szCs w:val="24"/>
                <w:color w:val="auto"/>
              </w:rPr>
            </w:pPr>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40" w:type="dxa"/>
            <w:vAlign w:val="bottom"/>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86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13"/>
                <w:szCs w:val="13"/>
                <w:color w:val="auto"/>
              </w:rPr>
            </w:pPr>
          </w:p>
        </w:tc>
        <w:tc>
          <w:tcPr>
            <w:tcW w:w="122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July 29,</w:t>
            </w:r>
          </w:p>
        </w:tc>
        <w:tc>
          <w:tcPr>
            <w:tcW w:w="340" w:type="dxa"/>
            <w:vAlign w:val="bottom"/>
          </w:tcPr>
          <w:p>
            <w:pPr>
              <w:spacing w:after="0"/>
              <w:rPr>
                <w:sz w:val="13"/>
                <w:szCs w:val="13"/>
                <w:color w:val="auto"/>
              </w:rPr>
            </w:pPr>
          </w:p>
        </w:tc>
        <w:tc>
          <w:tcPr>
            <w:tcW w:w="124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5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627,943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600,980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2,016,549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1,923,819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401,158</w:t>
            </w:r>
          </w:p>
        </w:tc>
        <w:tc>
          <w:tcPr>
            <w:tcW w:w="3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384,363</w:t>
            </w:r>
          </w:p>
        </w:tc>
        <w:tc>
          <w:tcPr>
            <w:tcW w:w="3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1,279,970</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1,221,361</w:t>
            </w:r>
          </w:p>
        </w:tc>
      </w:tr>
      <w:tr>
        <w:trPr>
          <w:trHeight w:val="27"/>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226,785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216,617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736,579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702,458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139,001</w:t>
            </w:r>
          </w:p>
        </w:tc>
        <w:tc>
          <w:tcPr>
            <w:tcW w:w="38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134,664</w:t>
            </w:r>
          </w:p>
        </w:tc>
        <w:tc>
          <w:tcPr>
            <w:tcW w:w="34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428,929</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411,576</w:t>
            </w:r>
          </w:p>
        </w:tc>
      </w:tr>
      <w:tr>
        <w:trPr>
          <w:trHeight w:val="27"/>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87,784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81,953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307,650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290,882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(4,750)</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(14,309)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(14,021)</w:t>
            </w:r>
          </w:p>
        </w:tc>
      </w:tr>
      <w:tr>
        <w:trPr>
          <w:trHeight w:val="27"/>
        </w:trPr>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5,349</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3,480</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12,916</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11,865</w:t>
            </w:r>
          </w:p>
        </w:tc>
      </w:tr>
      <w:tr>
        <w:trPr>
          <w:trHeight w:val="237"/>
        </w:trPr>
        <w:tc>
          <w:tcPr>
            <w:tcW w:w="5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88,383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80,787</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306,257</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288,726</w:t>
            </w:r>
          </w:p>
        </w:tc>
      </w:tr>
      <w:tr>
        <w:trPr>
          <w:trHeight w:val="27"/>
        </w:trPr>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19,979</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24,965</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72,388</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87,962</w:t>
            </w:r>
          </w:p>
        </w:tc>
      </w:tr>
      <w:tr>
        <w:trPr>
          <w:trHeight w:val="237"/>
        </w:trPr>
        <w:tc>
          <w:tcPr>
            <w:tcW w:w="5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68,404</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55,822</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233,869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200,764</w:t>
            </w:r>
          </w:p>
        </w:tc>
      </w:tr>
      <w:tr>
        <w:trPr>
          <w:trHeight w:val="67"/>
        </w:trPr>
        <w:tc>
          <w:tcPr>
            <w:tcW w:w="50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5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0.63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1.83</w:t>
            </w:r>
          </w:p>
        </w:tc>
      </w:tr>
      <w:tr>
        <w:trPr>
          <w:trHeight w:val="27"/>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5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0.61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0.50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5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 Basic</w:t>
            </w:r>
          </w:p>
        </w:tc>
        <w:tc>
          <w:tcPr>
            <w:tcW w:w="440" w:type="dxa"/>
            <w:vAlign w:val="bottom"/>
          </w:tcPr>
          <w:p>
            <w:pPr>
              <w:spacing w:after="0"/>
              <w:rPr>
                <w:sz w:val="20"/>
                <w:szCs w:val="20"/>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108,456</w:t>
            </w:r>
          </w:p>
        </w:tc>
        <w:tc>
          <w:tcPr>
            <w:tcW w:w="38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109,966</w:t>
            </w:r>
          </w:p>
        </w:tc>
        <w:tc>
          <w:tcPr>
            <w:tcW w:w="34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108,434</w:t>
            </w:r>
          </w:p>
        </w:tc>
        <w:tc>
          <w:tcPr>
            <w:tcW w:w="3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109,946</w:t>
            </w:r>
          </w:p>
        </w:tc>
      </w:tr>
      <w:tr>
        <w:trPr>
          <w:trHeight w:val="27"/>
        </w:trPr>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0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 Diluted</w:t>
            </w:r>
          </w:p>
        </w:tc>
        <w:tc>
          <w:tcPr>
            <w:tcW w:w="440" w:type="dxa"/>
            <w:vAlign w:val="bottom"/>
          </w:tcPr>
          <w:p>
            <w:pPr>
              <w:spacing w:after="0"/>
              <w:rPr>
                <w:sz w:val="20"/>
                <w:szCs w:val="20"/>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111,457</w:t>
            </w:r>
          </w:p>
        </w:tc>
        <w:tc>
          <w:tcPr>
            <w:tcW w:w="38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112,112</w:t>
            </w:r>
          </w:p>
        </w:tc>
        <w:tc>
          <w:tcPr>
            <w:tcW w:w="34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111,460</w:t>
            </w:r>
          </w:p>
        </w:tc>
        <w:tc>
          <w:tcPr>
            <w:tcW w:w="3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112,154</w:t>
            </w:r>
          </w:p>
        </w:tc>
      </w:tr>
      <w:tr>
        <w:trPr>
          <w:trHeight w:val="27"/>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13"/>
                <w:szCs w:val="13"/>
                <w:color w:val="auto"/>
              </w:rPr>
            </w:pPr>
          </w:p>
        </w:tc>
        <w:tc>
          <w:tcPr>
            <w:tcW w:w="122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July 29,</w:t>
            </w:r>
          </w:p>
        </w:tc>
        <w:tc>
          <w:tcPr>
            <w:tcW w:w="340" w:type="dxa"/>
            <w:vAlign w:val="bottom"/>
          </w:tcPr>
          <w:p>
            <w:pPr>
              <w:spacing w:after="0"/>
              <w:rPr>
                <w:sz w:val="13"/>
                <w:szCs w:val="13"/>
                <w:color w:val="auto"/>
              </w:rPr>
            </w:pPr>
          </w:p>
        </w:tc>
        <w:tc>
          <w:tcPr>
            <w:tcW w:w="124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3"/>
                <w:szCs w:val="13"/>
                <w:color w:val="auto"/>
              </w:rPr>
            </w:pPr>
          </w:p>
        </w:tc>
        <w:tc>
          <w:tcPr>
            <w:tcW w:w="118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July 29,</w:t>
            </w:r>
          </w:p>
        </w:tc>
      </w:tr>
      <w:tr>
        <w:trPr>
          <w:trHeight w:val="192"/>
        </w:trPr>
        <w:tc>
          <w:tcPr>
            <w:tcW w:w="4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68,404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55,822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233,869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200,764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12,300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13,017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w w:val="96"/>
              </w:rPr>
              <w:t>Cash flow derivative instruments, net of tax of $(2,262), $652,</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$(2,236), and $(1,000), respectively</w:t>
            </w:r>
          </w:p>
        </w:tc>
        <w:tc>
          <w:tcPr>
            <w:tcW w:w="52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(3,062)</w:t>
            </w:r>
          </w:p>
        </w:tc>
        <w:tc>
          <w:tcPr>
            <w:tcW w:w="38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7"/>
        </w:trPr>
        <w:tc>
          <w:tcPr>
            <w:tcW w:w="4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9,238</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11,917</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77,642</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50,736</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245,786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194,036</w:t>
            </w:r>
          </w:p>
        </w:tc>
      </w:tr>
      <w:tr>
        <w:trPr>
          <w:trHeight w:val="27"/>
        </w:trPr>
        <w:tc>
          <w:tcPr>
            <w:tcW w:w="4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31"/>
              <w:spacing w:after="0"/>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4"/>
                <w:szCs w:val="14"/>
                <w:color w:val="auto"/>
              </w:rPr>
            </w:pPr>
          </w:p>
        </w:tc>
        <w:tc>
          <w:tcPr>
            <w:tcW w:w="1220" w:type="dxa"/>
            <w:vAlign w:val="bottom"/>
          </w:tcPr>
          <w:p>
            <w:pPr>
              <w:jc w:val="right"/>
              <w:ind w:right="471"/>
              <w:spacing w:after="0"/>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02"/>
        </w:trPr>
        <w:tc>
          <w:tcPr>
            <w:tcW w:w="6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335,026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277,243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273,555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221,551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202,389</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163,265</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349,022</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327,114</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307,034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42,550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39,658</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948,149</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846,404</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779,009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890,585</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833,664</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838,036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663,659</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612,788</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615,998</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226,926</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220,876</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222,038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deferred income taxes</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59,754</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65,216</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57,228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25,779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26,148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23,422</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202,678</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195,016</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194,782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106,258</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110,785</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108,093</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1,569,544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1,464,445</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1,384,572</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23,056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22,484</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211,453</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172,156</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174,668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309,385</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318,628</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266,687</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543,894</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513,411</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463,839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308,793</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331,641</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328,477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24,964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11,958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11,830</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31,971</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29,585</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30,391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1"/>
              </w:rPr>
              <w:t>outstanding 107,883,039 shares as of August 4, 2017, 109,289,956 shares as of July 29,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2016, and 108,427,393 shares as of October 31, 2016</w:t>
            </w:r>
          </w:p>
        </w:tc>
        <w:tc>
          <w:tcPr>
            <w:tcW w:w="34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107,883</w:t>
            </w:r>
          </w:p>
        </w:tc>
        <w:tc>
          <w:tcPr>
            <w:tcW w:w="3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109,290</w:t>
            </w:r>
          </w:p>
        </w:tc>
        <w:tc>
          <w:tcPr>
            <w:tcW w:w="3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108,427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578,558</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505,131</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480,044</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(26,519)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(36,571)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(38,436)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659,922</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577,850</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550,035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1,569,544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1,464,445</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1,384,572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6"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411"/>
              <w:spacing w:after="0"/>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14"/>
                <w:szCs w:val="14"/>
                <w:color w:val="auto"/>
              </w:rPr>
            </w:pPr>
          </w:p>
        </w:tc>
        <w:tc>
          <w:tcPr>
            <w:tcW w:w="1180" w:type="dxa"/>
            <w:vAlign w:val="bottom"/>
          </w:tcPr>
          <w:p>
            <w:pPr>
              <w:jc w:val="right"/>
              <w:ind w:right="43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233,869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200,764</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(7,566)</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(7,302)</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47,713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46,332</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9,691</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7,723</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deferred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(23,699)</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86,991</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79,055</w:t>
            </w:r>
          </w:p>
        </w:tc>
      </w:tr>
      <w:tr>
        <w:trPr>
          <w:trHeight w:val="237"/>
        </w:trPr>
        <w:tc>
          <w:tcPr>
            <w:tcW w:w="73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272,019</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303,985</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4,617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Proceeds from sale of a business</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(24,181)</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(56,062)</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(29,275)</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short-term debt</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1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(19,158)</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(20,713)</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9,756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(96,059)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(69,189)</w:t>
            </w:r>
          </w:p>
        </w:tc>
      </w:tr>
      <w:tr>
        <w:trPr>
          <w:trHeight w:val="27"/>
        </w:trPr>
        <w:tc>
          <w:tcPr>
            <w:tcW w:w="7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(56,926)</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(49,488)</w:t>
            </w:r>
          </w:p>
        </w:tc>
      </w:tr>
      <w:tr>
        <w:trPr>
          <w:trHeight w:val="237"/>
        </w:trPr>
        <w:tc>
          <w:tcPr>
            <w:tcW w:w="73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(162,387)</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(120,860)</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7,901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61,471</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150,968</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273,555</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126,275</w:t>
            </w:r>
          </w:p>
        </w:tc>
      </w:tr>
      <w:tr>
        <w:trPr>
          <w:trHeight w:val="237"/>
        </w:trPr>
        <w:tc>
          <w:tcPr>
            <w:tcW w:w="7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335,026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277,243</w:t>
            </w:r>
          </w:p>
        </w:tc>
      </w:tr>
      <w:tr>
        <w:trPr>
          <w:trHeight w:val="27"/>
        </w:trPr>
        <w:tc>
          <w:tcPr>
            <w:tcW w:w="7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generally accepted accounting principles (“U.S.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financial position, results of operations, and cash flows for the periods presented. Since the company’s business is seasonal, operating results for the nine months ended August 4, 2017 cannot be annualized to determine the expected results for the fiscal year ending October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further information, refer to the Consolidated Financial Statements and Notes to Consolidated Financial Statements included in the company’s Annual Report on Form 10-K for the fiscal year ended October 31, 2016. The policies described in that report are used for preparing quarterly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earn-out liabilities, allowance for doubtful accounts, pension and post-retirement accruals, self-insurance accruals, useful lives for tangible and definite-lived intangible assets, and future cash flows associated with impairment testing for goodwill, indefinite-lived intangible assets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 Changes in those estimates will be reflected in the Consolidated Financial Statements in future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broadens and strengthens the company's irrigation solutions for the sport, agricultural, and industrial markets. The acquisition was funded with existing foreign cash and cash equivalents.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this acquisition was allocated to the identifiable assets acquired and liabilities assumed based on estimates of their fair value, with the excess purchase price recorded as goodwill. As of August 4, 2017, the company has not yet finalized the purchase accounting for the acquisition, but expects to finalize such purchase accounting in the fourth quarter of fiscal 2017. This acquisition was immaterial based on the company's consolidated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Joint Venture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2009, the company and TCF Inventory Finance, Inc. (“TCFIF”), a subsidiary of TCF National Bank, established Red Iron Acceptance, LLC (“Red Iron”), a joint venture in the form of a Delaware limited liability company that primarily provides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inventory financing to certain distributors and dealers of the company’s products in the United States.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August 4, 2017 was $21.7 million. The company has not guaranteed the outstanding indebtedness of Red Iron. The company has agreed to repurchase products repossessed by Red Iron and the TCFIF Canadian affiliate, up to a maximum aggregate amount of $7.5 million in a calendar year.</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August 4, 2017 and July 29, 2016 were $1,466.5 million and $1,389.5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2017, Red Iron’s total assets were $428.9 million and total liabilities were $380.8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360" w:type="dxa"/>
            <w:vAlign w:val="bottom"/>
          </w:tcPr>
          <w:p>
            <w:pPr>
              <w:spacing w:after="0"/>
              <w:rPr>
                <w:sz w:val="14"/>
                <w:szCs w:val="14"/>
                <w:color w:val="auto"/>
              </w:rPr>
            </w:pPr>
          </w:p>
        </w:tc>
        <w:tc>
          <w:tcPr>
            <w:tcW w:w="1240" w:type="dxa"/>
            <w:vAlign w:val="bottom"/>
          </w:tcPr>
          <w:p>
            <w:pPr>
              <w:jc w:val="right"/>
              <w:ind w:right="415"/>
              <w:spacing w:after="0"/>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14"/>
                <w:szCs w:val="14"/>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July 29,</w:t>
            </w:r>
          </w:p>
        </w:tc>
        <w:tc>
          <w:tcPr>
            <w:tcW w:w="32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work in process</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88,440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88,581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90,463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Finished goods and service parts</w:t>
            </w:r>
          </w:p>
        </w:tc>
        <w:tc>
          <w:tcPr>
            <w:tcW w:w="2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318,940</w:t>
            </w: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302,573</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274,929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407,380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391,154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365,392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Less: Adjustment to LIFO value</w:t>
            </w:r>
          </w:p>
        </w:tc>
        <w:tc>
          <w:tcPr>
            <w:tcW w:w="2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58,358</w:t>
            </w: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64,040</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58,358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net</w:t>
            </w:r>
          </w:p>
        </w:tc>
        <w:tc>
          <w:tcPr>
            <w:tcW w:w="2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349,022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327,114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307,034</w:t>
            </w:r>
          </w:p>
        </w:tc>
        <w:tc>
          <w:tcPr>
            <w:tcW w:w="0" w:type="dxa"/>
            <w:vAlign w:val="bottom"/>
          </w:tcPr>
          <w:p>
            <w:pPr>
              <w:spacing w:after="0"/>
              <w:rPr>
                <w:sz w:val="1"/>
                <w:szCs w:val="1"/>
                <w:color w:val="auto"/>
              </w:rPr>
            </w:pP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Professional Segment</w:t>
            </w: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Residential Segment</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Balance as of October 31, 2016</w:t>
            </w:r>
          </w:p>
        </w:tc>
        <w:tc>
          <w:tcPr>
            <w:tcW w:w="32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184,338</w:t>
            </w:r>
          </w:p>
        </w:tc>
        <w:tc>
          <w:tcPr>
            <w:tcW w:w="5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194,782</w:t>
            </w:r>
          </w:p>
        </w:tc>
      </w:tr>
      <w:tr>
        <w:trPr>
          <w:trHeight w:val="27"/>
        </w:trPr>
        <w:tc>
          <w:tcPr>
            <w:tcW w:w="3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w:t>
            </w:r>
          </w:p>
        </w:tc>
        <w:tc>
          <w:tcPr>
            <w:tcW w:w="3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6,678</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3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1,218</w:t>
            </w:r>
          </w:p>
        </w:tc>
      </w:tr>
      <w:tr>
        <w:trPr>
          <w:trHeight w:val="27"/>
        </w:trPr>
        <w:tc>
          <w:tcPr>
            <w:tcW w:w="39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August 4, 2017</w:t>
            </w:r>
          </w:p>
        </w:tc>
        <w:tc>
          <w:tcPr>
            <w:tcW w:w="32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192,096</w:t>
            </w:r>
          </w:p>
        </w:tc>
        <w:tc>
          <w:tcPr>
            <w:tcW w:w="5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202,678</w:t>
            </w: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980" w:type="dxa"/>
            <w:vAlign w:val="bottom"/>
          </w:tcPr>
          <w:p>
            <w:pPr>
              <w:spacing w:after="0"/>
              <w:rPr>
                <w:sz w:val="24"/>
                <w:szCs w:val="24"/>
                <w:color w:val="auto"/>
              </w:rPr>
            </w:pPr>
          </w:p>
        </w:tc>
        <w:tc>
          <w:tcPr>
            <w:tcW w:w="3240" w:type="dxa"/>
            <w:vAlign w:val="bottom"/>
          </w:tcPr>
          <w:p>
            <w:pPr>
              <w:jc w:val="right"/>
              <w:ind w:right="1374"/>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August 4,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4"/>
                <w:szCs w:val="1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Gross Carrying</w:t>
            </w:r>
          </w:p>
        </w:tc>
        <w:tc>
          <w:tcPr>
            <w:tcW w:w="300" w:type="dxa"/>
            <w:vAlign w:val="bottom"/>
          </w:tcPr>
          <w:p>
            <w:pPr>
              <w:spacing w:after="0"/>
              <w:rPr>
                <w:sz w:val="14"/>
                <w:szCs w:val="14"/>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15,155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Customer-related</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87,507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(17,812)</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69,695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30,232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30,096</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(5,889)</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amortizable</w:t>
            </w: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170,680</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(68,864)</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101,816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Non-amortizable - trade names</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4,442</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intangible assets, net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175,122</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(68,864)</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106,258</w:t>
            </w:r>
          </w:p>
        </w:tc>
        <w:tc>
          <w:tcPr>
            <w:tcW w:w="0" w:type="dxa"/>
            <w:vAlign w:val="bottom"/>
          </w:tcPr>
          <w:p>
            <w:pPr>
              <w:spacing w:after="0"/>
              <w:rPr>
                <w:sz w:val="1"/>
                <w:szCs w:val="1"/>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Arial" w:cs="Arial" w:eastAsia="Arial" w:hAnsi="Arial"/>
                <w:sz w:val="18"/>
                <w:szCs w:val="18"/>
                <w:color w:val="auto"/>
                <w:w w:val="96"/>
              </w:rPr>
              <w:t>The components of other intangible assets as of October 31, 2016 were as follows: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132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w w:val="94"/>
              </w:rPr>
              <w:t>Gross Carrying</w:t>
            </w:r>
          </w:p>
        </w:tc>
        <w:tc>
          <w:tcPr>
            <w:tcW w:w="300" w:type="dxa"/>
            <w:vAlign w:val="bottom"/>
          </w:tcPr>
          <w:p>
            <w:pPr>
              <w:spacing w:after="0"/>
              <w:rPr>
                <w:sz w:val="12"/>
                <w:szCs w:val="12"/>
                <w:color w:val="auto"/>
              </w:rPr>
            </w:pPr>
          </w:p>
        </w:tc>
        <w:tc>
          <w:tcPr>
            <w:tcW w:w="1300" w:type="dxa"/>
            <w:vAlign w:val="bottom"/>
          </w:tcPr>
          <w:p>
            <w:pPr>
              <w:jc w:val="right"/>
              <w:ind w:right="273"/>
              <w:spacing w:after="0" w:line="147" w:lineRule="exact"/>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15,151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(10,866)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6,886</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Customer-related</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84,353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(14,434)</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69,919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28,648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28,715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(4,235)</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24,480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amortizable</w:t>
            </w: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164,553</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(60,728)</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103,825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Non-amortizable - trade names</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4,268</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intangible assets, net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168,821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(60,728)</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108,093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during the third quarter of fiscal 2017 was $2.5 million, compared to $2.5 million for the same period last fiscal year. Amortization expense for intangible assets during the first nine months of fiscal 2017 was $7.4 million, compared to $8.1 million for the same period last fiscal year. Estimated amortization expense for the remainder of fiscal 2017 and succeeding fiscal years is as follows: fiscal 2017 (remainder), $2.4 million; fiscal 2018, $8.0 million; fiscal 2019, $7.1 million; fiscal 2020, $6.6 million; fiscal 2021, $6.2 million; fiscal 2022, $6.1 million; and after fiscal 2022, $65.4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580" w:type="dxa"/>
            <w:vAlign w:val="bottom"/>
          </w:tcPr>
          <w:p>
            <w:pPr>
              <w:spacing w:after="0"/>
              <w:rPr>
                <w:sz w:val="14"/>
                <w:szCs w:val="14"/>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14"/>
                <w:szCs w:val="14"/>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July 29,</w:t>
            </w:r>
          </w:p>
        </w:tc>
        <w:tc>
          <w:tcPr>
            <w:tcW w:w="320" w:type="dxa"/>
            <w:vAlign w:val="bottom"/>
          </w:tcPr>
          <w:p>
            <w:pPr>
              <w:spacing w:after="0"/>
              <w:rPr>
                <w:sz w:val="14"/>
                <w:szCs w:val="14"/>
                <w:color w:val="auto"/>
              </w:rPr>
            </w:pPr>
          </w:p>
        </w:tc>
        <w:tc>
          <w:tcPr>
            <w:tcW w:w="1240" w:type="dxa"/>
            <w:vAlign w:val="bottom"/>
          </w:tcPr>
          <w:p>
            <w:pPr>
              <w:jc w:val="right"/>
              <w:ind w:right="316"/>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18,089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29,636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31,430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25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6,683</w:t>
            </w:r>
          </w:p>
        </w:tc>
        <w:tc>
          <w:tcPr>
            <w:tcW w:w="3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4,881</w:t>
            </w:r>
          </w:p>
        </w:tc>
        <w:tc>
          <w:tcPr>
            <w:tcW w:w="3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derivative instruments</w:t>
            </w:r>
          </w:p>
        </w:tc>
        <w:tc>
          <w:tcPr>
            <w:tcW w:w="2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1,747</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2,054</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26,519</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36,571</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38,436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580" w:type="dxa"/>
            <w:vAlign w:val="bottom"/>
          </w:tcPr>
          <w:p>
            <w:pPr>
              <w:jc w:val="right"/>
              <w:ind w:right="119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14"/>
                <w:szCs w:val="14"/>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Pension and</w:t>
            </w:r>
          </w:p>
        </w:tc>
        <w:tc>
          <w:tcPr>
            <w:tcW w:w="32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Cash Flow</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2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Derivative</w:t>
            </w:r>
          </w:p>
        </w:tc>
        <w:tc>
          <w:tcPr>
            <w:tcW w:w="42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Benefits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Instruments</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31,430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647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5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(13,341)</w:t>
            </w:r>
          </w:p>
        </w:tc>
        <w:tc>
          <w:tcPr>
            <w:tcW w:w="26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2,092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(13,341)</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324</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1,100</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August 4, 2017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18,089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1,747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26,519</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Pension and</w:t>
            </w:r>
          </w:p>
        </w:tc>
        <w:tc>
          <w:tcPr>
            <w:tcW w:w="30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Cash Flow</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14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2"/>
                <w:szCs w:val="12"/>
                <w:color w:val="auto"/>
              </w:rPr>
            </w:pPr>
          </w:p>
        </w:tc>
        <w:tc>
          <w:tcPr>
            <w:tcW w:w="13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0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Derivative</w:t>
            </w:r>
          </w:p>
        </w:tc>
        <w:tc>
          <w:tcPr>
            <w:tcW w:w="42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Benefits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Instruments</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5,386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54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5,308</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2,140</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5,308</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1,925</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29,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29,636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4,881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2,054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the components reclassified from AOCL refer to Note 12,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and non-employee directors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Fiscal 2017</w:t>
            </w:r>
          </w:p>
        </w:tc>
        <w:tc>
          <w:tcPr>
            <w:tcW w:w="16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Fiscal 2016</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Arial" w:cs="Arial" w:eastAsia="Arial" w:hAnsi="Arial"/>
                <w:sz w:val="18"/>
                <w:szCs w:val="18"/>
                <w:color w:val="auto"/>
                <w:w w:val="91"/>
              </w:rPr>
              <w:t>6.02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5.97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900" w:type="dxa"/>
            <w:vAlign w:val="bottom"/>
          </w:tcPr>
          <w:p>
            <w:pPr>
              <w:jc w:val="center"/>
              <w:ind w:left="2093"/>
              <w:spacing w:after="0"/>
              <w:rPr>
                <w:sz w:val="20"/>
                <w:szCs w:val="20"/>
                <w:color w:val="auto"/>
              </w:rPr>
            </w:pPr>
            <w:r>
              <w:rPr>
                <w:rFonts w:ascii="Arial" w:cs="Arial" w:eastAsia="Arial" w:hAnsi="Arial"/>
                <w:sz w:val="18"/>
                <w:szCs w:val="18"/>
                <w:color w:val="auto"/>
                <w:w w:val="91"/>
              </w:rPr>
              <w:t>22.15%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24.04%</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Arial" w:cs="Arial" w:eastAsia="Arial" w:hAnsi="Arial"/>
                <w:sz w:val="18"/>
                <w:szCs w:val="18"/>
                <w:color w:val="auto"/>
                <w:w w:val="93"/>
              </w:rPr>
              <w:t>2.03%</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tcPr>
          <w:p>
            <w:pPr>
              <w:jc w:val="center"/>
              <w:ind w:left="2093"/>
              <w:spacing w:after="0"/>
              <w:rPr>
                <w:sz w:val="20"/>
                <w:szCs w:val="20"/>
                <w:color w:val="auto"/>
              </w:rPr>
            </w:pPr>
            <w:r>
              <w:rPr>
                <w:rFonts w:ascii="Arial" w:cs="Arial" w:eastAsia="Arial" w:hAnsi="Arial"/>
                <w:sz w:val="18"/>
                <w:szCs w:val="18"/>
                <w:color w:val="auto"/>
                <w:w w:val="93"/>
              </w:rPr>
              <w:t>1.01%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1.24%</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at date of grant</w:t>
            </w:r>
          </w:p>
        </w:tc>
        <w:tc>
          <w:tcPr>
            <w:tcW w:w="3900" w:type="dxa"/>
            <w:vAlign w:val="bottom"/>
            <w:shd w:val="clear" w:color="auto" w:fill="CCEEFF"/>
          </w:tcPr>
          <w:p>
            <w:pPr>
              <w:jc w:val="center"/>
              <w:ind w:left="2093"/>
              <w:spacing w:after="0"/>
              <w:rPr>
                <w:sz w:val="20"/>
                <w:szCs w:val="20"/>
                <w:color w:val="auto"/>
              </w:rPr>
            </w:pPr>
            <w:r>
              <w:rPr>
                <w:rFonts w:ascii="Arial" w:cs="Arial" w:eastAsia="Arial" w:hAnsi="Arial"/>
                <w:sz w:val="18"/>
                <w:szCs w:val="18"/>
                <w:color w:val="auto"/>
                <w:w w:val="87"/>
              </w:rPr>
              <w:t>$12.55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$8.79</w:t>
            </w:r>
          </w:p>
        </w:tc>
      </w:tr>
      <w:tr>
        <w:trPr>
          <w:trHeight w:val="27"/>
        </w:trPr>
        <w:tc>
          <w:tcPr>
            <w:tcW w:w="58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fiscal 2017 and 2016 was $54.52 and $38.89, respectively. No performance shares awards were granted during the second or third quarter of fiscal 2017 or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unit awards granted during the first nine months of fiscal 2017 and 2016 was $65.86 and $41.84,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1154"/>
              <w:spacing w:after="0"/>
              <w:rPr>
                <w:sz w:val="20"/>
                <w:szCs w:val="20"/>
                <w:color w:val="auto"/>
              </w:rPr>
            </w:pPr>
            <w:r>
              <w:rPr>
                <w:rFonts w:ascii="Arial" w:cs="Arial" w:eastAsia="Arial" w:hAnsi="Arial"/>
                <w:sz w:val="14"/>
                <w:szCs w:val="14"/>
                <w:b w:val="1"/>
                <w:bCs w:val="1"/>
                <w:color w:val="auto"/>
              </w:rPr>
              <w:t>Three Months Ended</w:t>
            </w:r>
          </w:p>
        </w:tc>
        <w:tc>
          <w:tcPr>
            <w:tcW w:w="314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41"/>
        </w:trPr>
        <w:tc>
          <w:tcPr>
            <w:tcW w:w="4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780" w:type="dxa"/>
            <w:vAlign w:val="bottom"/>
          </w:tcPr>
          <w:p>
            <w:pPr>
              <w:jc w:val="right"/>
              <w:ind w:right="716"/>
              <w:spacing w:after="0"/>
              <w:rPr>
                <w:sz w:val="20"/>
                <w:szCs w:val="20"/>
                <w:color w:val="auto"/>
              </w:rPr>
            </w:pPr>
            <w:r>
              <w:rPr>
                <w:rFonts w:ascii="Arial" w:cs="Arial" w:eastAsia="Arial" w:hAnsi="Arial"/>
                <w:sz w:val="14"/>
                <w:szCs w:val="14"/>
                <w:b w:val="1"/>
                <w:bCs w:val="1"/>
                <w:color w:val="auto"/>
              </w:rPr>
              <w:t>August 4,</w:t>
            </w:r>
          </w:p>
        </w:tc>
        <w:tc>
          <w:tcPr>
            <w:tcW w:w="1700" w:type="dxa"/>
            <w:vAlign w:val="bottom"/>
          </w:tcPr>
          <w:p>
            <w:pPr>
              <w:jc w:val="right"/>
              <w:ind w:right="734"/>
              <w:spacing w:after="0"/>
              <w:rPr>
                <w:sz w:val="20"/>
                <w:szCs w:val="20"/>
                <w:color w:val="auto"/>
              </w:rPr>
            </w:pPr>
            <w:r>
              <w:rPr>
                <w:rFonts w:ascii="Arial" w:cs="Arial" w:eastAsia="Arial" w:hAnsi="Arial"/>
                <w:sz w:val="14"/>
                <w:szCs w:val="14"/>
                <w:b w:val="1"/>
                <w:bCs w:val="1"/>
                <w:color w:val="auto"/>
              </w:rPr>
              <w:t>July 29,</w:t>
            </w:r>
          </w:p>
        </w:tc>
        <w:tc>
          <w:tcPr>
            <w:tcW w:w="1720" w:type="dxa"/>
            <w:vAlign w:val="bottom"/>
          </w:tcPr>
          <w:p>
            <w:pPr>
              <w:jc w:val="right"/>
              <w:ind w:right="696"/>
              <w:spacing w:after="0"/>
              <w:rPr>
                <w:sz w:val="20"/>
                <w:szCs w:val="20"/>
                <w:color w:val="auto"/>
              </w:rPr>
            </w:pPr>
            <w:r>
              <w:rPr>
                <w:rFonts w:ascii="Arial" w:cs="Arial" w:eastAsia="Arial" w:hAnsi="Arial"/>
                <w:sz w:val="14"/>
                <w:szCs w:val="14"/>
                <w:b w:val="1"/>
                <w:bCs w:val="1"/>
                <w:color w:val="auto"/>
              </w:rPr>
              <w:t>August 4,</w:t>
            </w: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gridSpan w:val="4"/>
            <w:vMerge w:val="continue"/>
          </w:tcPr>
          <w:p>
            <w:pPr>
              <w:spacing w:after="0"/>
              <w:rPr>
                <w:sz w:val="16"/>
                <w:szCs w:val="16"/>
                <w:color w:val="auto"/>
              </w:rPr>
            </w:pPr>
          </w:p>
        </w:tc>
        <w:tc>
          <w:tcPr>
            <w:tcW w:w="17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c>
          <w:tcPr>
            <w:tcW w:w="17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2016</w:t>
            </w:r>
          </w:p>
        </w:tc>
        <w:tc>
          <w:tcPr>
            <w:tcW w:w="17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2017</w:t>
            </w: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4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Basic</w:t>
            </w:r>
          </w:p>
        </w:tc>
        <w:tc>
          <w:tcPr>
            <w:tcW w:w="17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780" w:type="dxa"/>
            <w:vAlign w:val="bottom"/>
          </w:tcPr>
          <w:p>
            <w:pPr>
              <w:jc w:val="right"/>
              <w:ind w:right="296"/>
              <w:spacing w:after="0"/>
              <w:rPr>
                <w:sz w:val="20"/>
                <w:szCs w:val="20"/>
                <w:color w:val="auto"/>
              </w:rPr>
            </w:pPr>
            <w:r>
              <w:rPr>
                <w:rFonts w:ascii="Arial" w:cs="Arial" w:eastAsia="Arial" w:hAnsi="Arial"/>
                <w:sz w:val="18"/>
                <w:szCs w:val="18"/>
                <w:color w:val="auto"/>
              </w:rPr>
              <w:t>108,456</w:t>
            </w:r>
          </w:p>
        </w:tc>
        <w:tc>
          <w:tcPr>
            <w:tcW w:w="1700" w:type="dxa"/>
            <w:vAlign w:val="bottom"/>
          </w:tcPr>
          <w:p>
            <w:pPr>
              <w:jc w:val="right"/>
              <w:ind w:right="274"/>
              <w:spacing w:after="0"/>
              <w:rPr>
                <w:sz w:val="20"/>
                <w:szCs w:val="20"/>
                <w:color w:val="auto"/>
              </w:rPr>
            </w:pPr>
            <w:r>
              <w:rPr>
                <w:rFonts w:ascii="Arial" w:cs="Arial" w:eastAsia="Arial" w:hAnsi="Arial"/>
                <w:sz w:val="18"/>
                <w:szCs w:val="18"/>
                <w:color w:val="auto"/>
              </w:rPr>
              <w:t>109,966</w:t>
            </w:r>
          </w:p>
        </w:tc>
        <w:tc>
          <w:tcPr>
            <w:tcW w:w="1720" w:type="dxa"/>
            <w:vAlign w:val="bottom"/>
          </w:tcPr>
          <w:p>
            <w:pPr>
              <w:jc w:val="right"/>
              <w:ind w:right="296"/>
              <w:spacing w:after="0"/>
              <w:rPr>
                <w:sz w:val="20"/>
                <w:szCs w:val="20"/>
                <w:color w:val="auto"/>
              </w:rPr>
            </w:pPr>
            <w:r>
              <w:rPr>
                <w:rFonts w:ascii="Arial" w:cs="Arial" w:eastAsia="Arial" w:hAnsi="Arial"/>
                <w:sz w:val="18"/>
                <w:szCs w:val="18"/>
                <w:color w:val="auto"/>
              </w:rPr>
              <w:t>108,417</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109,910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7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48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Weighted-average number of shares of common stock and</w:t>
            </w:r>
          </w:p>
        </w:tc>
        <w:tc>
          <w:tcPr>
            <w:tcW w:w="17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assumed issuance of contingent shares</w:t>
            </w:r>
          </w:p>
        </w:tc>
        <w:tc>
          <w:tcPr>
            <w:tcW w:w="1780" w:type="dxa"/>
            <w:vAlign w:val="bottom"/>
          </w:tcPr>
          <w:p>
            <w:pPr>
              <w:jc w:val="right"/>
              <w:ind w:right="296"/>
              <w:spacing w:after="0"/>
              <w:rPr>
                <w:sz w:val="20"/>
                <w:szCs w:val="20"/>
                <w:color w:val="auto"/>
              </w:rPr>
            </w:pPr>
            <w:r>
              <w:rPr>
                <w:rFonts w:ascii="Arial" w:cs="Arial" w:eastAsia="Arial" w:hAnsi="Arial"/>
                <w:sz w:val="18"/>
                <w:szCs w:val="18"/>
                <w:color w:val="auto"/>
              </w:rPr>
              <w:t>108,456</w:t>
            </w:r>
          </w:p>
        </w:tc>
        <w:tc>
          <w:tcPr>
            <w:tcW w:w="1700" w:type="dxa"/>
            <w:vAlign w:val="bottom"/>
          </w:tcPr>
          <w:p>
            <w:pPr>
              <w:jc w:val="right"/>
              <w:ind w:right="274"/>
              <w:spacing w:after="0"/>
              <w:rPr>
                <w:sz w:val="20"/>
                <w:szCs w:val="20"/>
                <w:color w:val="auto"/>
              </w:rPr>
            </w:pPr>
            <w:r>
              <w:rPr>
                <w:rFonts w:ascii="Arial" w:cs="Arial" w:eastAsia="Arial" w:hAnsi="Arial"/>
                <w:sz w:val="18"/>
                <w:szCs w:val="18"/>
                <w:color w:val="auto"/>
              </w:rPr>
              <w:t>109,966</w:t>
            </w:r>
          </w:p>
        </w:tc>
        <w:tc>
          <w:tcPr>
            <w:tcW w:w="1720" w:type="dxa"/>
            <w:vAlign w:val="bottom"/>
          </w:tcPr>
          <w:p>
            <w:pPr>
              <w:jc w:val="right"/>
              <w:ind w:right="296"/>
              <w:spacing w:after="0"/>
              <w:rPr>
                <w:sz w:val="20"/>
                <w:szCs w:val="20"/>
                <w:color w:val="auto"/>
              </w:rPr>
            </w:pPr>
            <w:r>
              <w:rPr>
                <w:rFonts w:ascii="Arial" w:cs="Arial" w:eastAsia="Arial" w:hAnsi="Arial"/>
                <w:sz w:val="18"/>
                <w:szCs w:val="18"/>
                <w:color w:val="auto"/>
              </w:rPr>
              <w:t>108,434</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80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8"/>
                <w:szCs w:val="18"/>
                <w:i w:val="1"/>
                <w:iCs w:val="1"/>
                <w:color w:val="auto"/>
              </w:rPr>
              <w:t>Diluted</w:t>
            </w:r>
          </w:p>
        </w:tc>
        <w:tc>
          <w:tcPr>
            <w:tcW w:w="17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 and</w:t>
            </w:r>
          </w:p>
        </w:tc>
        <w:tc>
          <w:tcPr>
            <w:tcW w:w="1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assumed issuance of contingent shares</w:t>
            </w:r>
          </w:p>
        </w:tc>
        <w:tc>
          <w:tcPr>
            <w:tcW w:w="1780" w:type="dxa"/>
            <w:vAlign w:val="bottom"/>
          </w:tcPr>
          <w:p>
            <w:pPr>
              <w:jc w:val="right"/>
              <w:ind w:right="296"/>
              <w:spacing w:after="0"/>
              <w:rPr>
                <w:sz w:val="20"/>
                <w:szCs w:val="20"/>
                <w:color w:val="auto"/>
              </w:rPr>
            </w:pPr>
            <w:r>
              <w:rPr>
                <w:rFonts w:ascii="Arial" w:cs="Arial" w:eastAsia="Arial" w:hAnsi="Arial"/>
                <w:sz w:val="18"/>
                <w:szCs w:val="18"/>
                <w:color w:val="auto"/>
              </w:rPr>
              <w:t>108,456</w:t>
            </w:r>
          </w:p>
        </w:tc>
        <w:tc>
          <w:tcPr>
            <w:tcW w:w="1700" w:type="dxa"/>
            <w:vAlign w:val="bottom"/>
          </w:tcPr>
          <w:p>
            <w:pPr>
              <w:jc w:val="right"/>
              <w:ind w:right="274"/>
              <w:spacing w:after="0"/>
              <w:rPr>
                <w:sz w:val="20"/>
                <w:szCs w:val="20"/>
                <w:color w:val="auto"/>
              </w:rPr>
            </w:pPr>
            <w:r>
              <w:rPr>
                <w:rFonts w:ascii="Arial" w:cs="Arial" w:eastAsia="Arial" w:hAnsi="Arial"/>
                <w:sz w:val="18"/>
                <w:szCs w:val="18"/>
                <w:color w:val="auto"/>
              </w:rPr>
              <w:t>109,966</w:t>
            </w:r>
          </w:p>
        </w:tc>
        <w:tc>
          <w:tcPr>
            <w:tcW w:w="1720" w:type="dxa"/>
            <w:vAlign w:val="bottom"/>
          </w:tcPr>
          <w:p>
            <w:pPr>
              <w:jc w:val="right"/>
              <w:ind w:right="296"/>
              <w:spacing w:after="0"/>
              <w:rPr>
                <w:sz w:val="20"/>
                <w:szCs w:val="20"/>
                <w:color w:val="auto"/>
              </w:rPr>
            </w:pPr>
            <w:r>
              <w:rPr>
                <w:rFonts w:ascii="Arial" w:cs="Arial" w:eastAsia="Arial" w:hAnsi="Arial"/>
                <w:sz w:val="18"/>
                <w:szCs w:val="18"/>
                <w:color w:val="auto"/>
              </w:rPr>
              <w:t>108,434</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7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3,001</w:t>
            </w:r>
          </w:p>
        </w:tc>
        <w:tc>
          <w:tcPr>
            <w:tcW w:w="17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2,146</w:t>
            </w:r>
          </w:p>
        </w:tc>
        <w:tc>
          <w:tcPr>
            <w:tcW w:w="172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3,026</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2"/>
        </w:trPr>
        <w:tc>
          <w:tcPr>
            <w:tcW w:w="48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7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gridSpan w:val="4"/>
          </w:tcPr>
          <w:p>
            <w:pPr>
              <w:ind w:left="40"/>
              <w:spacing w:after="0"/>
              <w:rPr>
                <w:sz w:val="20"/>
                <w:szCs w:val="20"/>
                <w:color w:val="auto"/>
              </w:rPr>
            </w:pPr>
            <w:r>
              <w:rPr>
                <w:rFonts w:ascii="Arial" w:cs="Arial" w:eastAsia="Arial" w:hAnsi="Arial"/>
                <w:sz w:val="18"/>
                <w:szCs w:val="18"/>
                <w:color w:val="auto"/>
                <w:w w:val="97"/>
              </w:rPr>
              <w:t>assumed issuance of contingent shares, and effect of dilutive</w:t>
            </w: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4"/>
          </w:tcPr>
          <w:p>
            <w:pPr>
              <w:ind w:left="40"/>
              <w:spacing w:after="0"/>
              <w:rPr>
                <w:sz w:val="20"/>
                <w:szCs w:val="20"/>
                <w:color w:val="auto"/>
              </w:rPr>
            </w:pPr>
            <w:r>
              <w:rPr>
                <w:rFonts w:ascii="Arial" w:cs="Arial" w:eastAsia="Arial" w:hAnsi="Arial"/>
                <w:sz w:val="18"/>
                <w:szCs w:val="18"/>
                <w:color w:val="auto"/>
              </w:rPr>
              <w:t>securities</w:t>
            </w:r>
          </w:p>
        </w:tc>
        <w:tc>
          <w:tcPr>
            <w:tcW w:w="1780" w:type="dxa"/>
            <w:vAlign w:val="bottom"/>
          </w:tcPr>
          <w:p>
            <w:pPr>
              <w:jc w:val="right"/>
              <w:ind w:right="296"/>
              <w:spacing w:after="0"/>
              <w:rPr>
                <w:sz w:val="20"/>
                <w:szCs w:val="20"/>
                <w:color w:val="auto"/>
              </w:rPr>
            </w:pPr>
            <w:r>
              <w:rPr>
                <w:rFonts w:ascii="Arial" w:cs="Arial" w:eastAsia="Arial" w:hAnsi="Arial"/>
                <w:sz w:val="18"/>
                <w:szCs w:val="18"/>
                <w:color w:val="auto"/>
              </w:rPr>
              <w:t>111,457</w:t>
            </w:r>
          </w:p>
        </w:tc>
        <w:tc>
          <w:tcPr>
            <w:tcW w:w="1700" w:type="dxa"/>
            <w:vAlign w:val="bottom"/>
          </w:tcPr>
          <w:p>
            <w:pPr>
              <w:jc w:val="right"/>
              <w:ind w:right="274"/>
              <w:spacing w:after="0"/>
              <w:rPr>
                <w:sz w:val="20"/>
                <w:szCs w:val="20"/>
                <w:color w:val="auto"/>
              </w:rPr>
            </w:pPr>
            <w:r>
              <w:rPr>
                <w:rFonts w:ascii="Arial" w:cs="Arial" w:eastAsia="Arial" w:hAnsi="Arial"/>
                <w:sz w:val="18"/>
                <w:szCs w:val="18"/>
                <w:color w:val="auto"/>
              </w:rPr>
              <w:t>112,112</w:t>
            </w:r>
          </w:p>
        </w:tc>
        <w:tc>
          <w:tcPr>
            <w:tcW w:w="1720" w:type="dxa"/>
            <w:vAlign w:val="bottom"/>
          </w:tcPr>
          <w:p>
            <w:pPr>
              <w:jc w:val="right"/>
              <w:ind w:right="296"/>
              <w:spacing w:after="0"/>
              <w:rPr>
                <w:sz w:val="20"/>
                <w:szCs w:val="20"/>
                <w:color w:val="auto"/>
              </w:rPr>
            </w:pPr>
            <w:r>
              <w:rPr>
                <w:rFonts w:ascii="Arial" w:cs="Arial" w:eastAsia="Arial" w:hAnsi="Arial"/>
                <w:sz w:val="18"/>
                <w:szCs w:val="18"/>
                <w:color w:val="auto"/>
              </w:rPr>
              <w:t>111,460</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112,154</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Incremental shares from options and restricted stock units are computed by the treasury stock method. For the third quarter of fiscal 2017, there were no options to purchase shares of common stock that were excluded from diluted earnings per share because they were anti-dilutive. Options to purchase 33,536 shares of common stock during the third quarter of fiscal 2016 were excluded from diluted net earnings per share because they were anti-dilutive. Options to purchase 443,003 and 487,742 shares of common stock during the first nine months of fiscal 2017 and 2016, respectively, were excluded from diluted net earnings per share because they were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the company-owned domestic distributorship, has been combined with the company’s corporate activities and elimination of intersegment revenues and expenses that is shown as “Other” in the following tables due to the insignificance of the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6"/>
        </w:trPr>
        <w:tc>
          <w:tcPr>
            <w:tcW w:w="3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August 4, 2017</w:t>
            </w: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Professional</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Residential</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468,564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152,127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627,943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6,577</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(6,655)</w:t>
            </w:r>
          </w:p>
        </w:tc>
        <w:tc>
          <w:tcPr>
            <w:tcW w:w="4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97,368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52"/>
        </w:trPr>
        <w:tc>
          <w:tcPr>
            <w:tcW w:w="39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3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July 29, 2016</w:t>
            </w: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Professional</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Residential</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427,784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167,815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600,980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6,134</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(6,226)</w:t>
            </w:r>
          </w:p>
        </w:tc>
        <w:tc>
          <w:tcPr>
            <w:tcW w:w="4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89,096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35"/>
        </w:trPr>
        <w:tc>
          <w:tcPr>
            <w:tcW w:w="40" w:type="dxa"/>
            <w:vAlign w:val="bottom"/>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52"/>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Nine months ended August 4, 2017</w:t>
            </w:r>
          </w:p>
        </w:tc>
        <w:tc>
          <w:tcPr>
            <w:tcW w:w="1480" w:type="dxa"/>
            <w:vAlign w:val="bottom"/>
          </w:tcPr>
          <w:p>
            <w:pPr>
              <w:spacing w:after="0"/>
              <w:rPr>
                <w:sz w:val="24"/>
                <w:szCs w:val="24"/>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Professional</w:t>
            </w:r>
          </w:p>
        </w:tc>
        <w:tc>
          <w:tcPr>
            <w:tcW w:w="360" w:type="dxa"/>
            <w:vAlign w:val="bottom"/>
          </w:tcPr>
          <w:p>
            <w:pPr>
              <w:spacing w:after="0"/>
              <w:rPr>
                <w:sz w:val="24"/>
                <w:szCs w:val="24"/>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Residential</w:t>
            </w:r>
          </w:p>
        </w:tc>
        <w:tc>
          <w:tcPr>
            <w:tcW w:w="420" w:type="dxa"/>
            <w:vAlign w:val="bottom"/>
          </w:tcPr>
          <w:p>
            <w:pPr>
              <w:spacing w:after="0"/>
              <w:rPr>
                <w:sz w:val="24"/>
                <w:szCs w:val="24"/>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1,451,269</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550,651</w:t>
            </w:r>
          </w:p>
        </w:tc>
        <w:tc>
          <w:tcPr>
            <w:tcW w:w="4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14,629</w:t>
            </w:r>
          </w:p>
        </w:tc>
        <w:tc>
          <w:tcPr>
            <w:tcW w:w="4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2,016,549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23,767</w:t>
            </w:r>
          </w:p>
        </w:tc>
        <w:tc>
          <w:tcPr>
            <w:tcW w:w="3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(24,037)</w:t>
            </w: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314,545</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62,965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(71,253)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306,257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852,919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207,452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509,173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1,569,544</w:t>
            </w:r>
          </w:p>
        </w:tc>
        <w:tc>
          <w:tcPr>
            <w:tcW w:w="20" w:type="dxa"/>
            <w:vAlign w:val="bottom"/>
          </w:tcPr>
          <w:p>
            <w:pPr>
              <w:spacing w:after="0"/>
              <w:rPr>
                <w:sz w:val="21"/>
                <w:szCs w:val="21"/>
                <w:color w:val="auto"/>
              </w:rPr>
            </w:pPr>
          </w:p>
        </w:tc>
      </w:tr>
      <w:tr>
        <w:trPr>
          <w:trHeight w:val="162"/>
        </w:trPr>
        <w:tc>
          <w:tcPr>
            <w:tcW w:w="4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52"/>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Nine months ended July 29, 2016</w:t>
            </w:r>
          </w:p>
        </w:tc>
        <w:tc>
          <w:tcPr>
            <w:tcW w:w="1480" w:type="dxa"/>
            <w:vAlign w:val="bottom"/>
          </w:tcPr>
          <w:p>
            <w:pPr>
              <w:spacing w:after="0"/>
              <w:rPr>
                <w:sz w:val="24"/>
                <w:szCs w:val="24"/>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Professional</w:t>
            </w:r>
          </w:p>
        </w:tc>
        <w:tc>
          <w:tcPr>
            <w:tcW w:w="360" w:type="dxa"/>
            <w:vAlign w:val="bottom"/>
          </w:tcPr>
          <w:p>
            <w:pPr>
              <w:spacing w:after="0"/>
              <w:rPr>
                <w:sz w:val="24"/>
                <w:szCs w:val="24"/>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Residential</w:t>
            </w:r>
          </w:p>
        </w:tc>
        <w:tc>
          <w:tcPr>
            <w:tcW w:w="420" w:type="dxa"/>
            <w:vAlign w:val="bottom"/>
          </w:tcPr>
          <w:p>
            <w:pPr>
              <w:spacing w:after="0"/>
              <w:rPr>
                <w:sz w:val="24"/>
                <w:szCs w:val="24"/>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1,361,829</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550,330</w:t>
            </w:r>
          </w:p>
        </w:tc>
        <w:tc>
          <w:tcPr>
            <w:tcW w:w="4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11,660</w:t>
            </w:r>
          </w:p>
        </w:tc>
        <w:tc>
          <w:tcPr>
            <w:tcW w:w="4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1,923,819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24,100</w:t>
            </w:r>
          </w:p>
        </w:tc>
        <w:tc>
          <w:tcPr>
            <w:tcW w:w="3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(24,389)</w:t>
            </w: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292,311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64,494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(68,079)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288,726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803,414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215,509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445,522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1,464,445</w:t>
            </w:r>
          </w:p>
        </w:tc>
        <w:tc>
          <w:tcPr>
            <w:tcW w:w="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4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24"/>
                <w:szCs w:val="24"/>
                <w:color w:val="auto"/>
              </w:rPr>
            </w:pPr>
          </w:p>
        </w:tc>
        <w:tc>
          <w:tcPr>
            <w:tcW w:w="1240" w:type="dxa"/>
            <w:vAlign w:val="bottom"/>
          </w:tcPr>
          <w:p>
            <w:pPr>
              <w:jc w:val="right"/>
              <w:ind w:right="417"/>
              <w:spacing w:after="0"/>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24"/>
                <w:szCs w:val="24"/>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July 29,</w:t>
            </w:r>
          </w:p>
        </w:tc>
        <w:tc>
          <w:tcPr>
            <w:tcW w:w="340" w:type="dxa"/>
            <w:vAlign w:val="bottom"/>
          </w:tcPr>
          <w:p>
            <w:pPr>
              <w:spacing w:after="0"/>
              <w:rPr>
                <w:sz w:val="24"/>
                <w:szCs w:val="24"/>
                <w:color w:val="auto"/>
              </w:rPr>
            </w:pPr>
          </w:p>
        </w:tc>
        <w:tc>
          <w:tcPr>
            <w:tcW w:w="1240" w:type="dxa"/>
            <w:vAlign w:val="bottom"/>
          </w:tcPr>
          <w:p>
            <w:pPr>
              <w:jc w:val="right"/>
              <w:ind w:right="418"/>
              <w:spacing w:after="0"/>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24"/>
                <w:szCs w:val="24"/>
                <w:color w:val="auto"/>
              </w:rPr>
            </w:pPr>
          </w:p>
        </w:tc>
        <w:tc>
          <w:tcPr>
            <w:tcW w:w="1160" w:type="dxa"/>
            <w:vAlign w:val="bottom"/>
          </w:tcPr>
          <w:p>
            <w:pPr>
              <w:jc w:val="right"/>
              <w:ind w:right="416"/>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(4,750)</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(14,309)</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6,579</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3,473</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15,441</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14,212</w:t>
            </w:r>
          </w:p>
        </w:tc>
        <w:tc>
          <w:tcPr>
            <w:tcW w:w="0" w:type="dxa"/>
            <w:vAlign w:val="bottom"/>
          </w:tcPr>
          <w:p>
            <w:pPr>
              <w:spacing w:after="0"/>
              <w:rPr>
                <w:sz w:val="1"/>
                <w:szCs w:val="1"/>
                <w:color w:val="auto"/>
              </w:rPr>
            </w:pPr>
          </w:p>
        </w:tc>
      </w:tr>
      <w:tr>
        <w:trPr>
          <w:trHeight w:val="23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loss before income taxes</w:t>
            </w: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(20,345)</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(21,076)</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jc w:val="right"/>
              <w:ind w:right="777"/>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 — Litigation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Guarantees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41"/>
        </w:trPr>
        <w:tc>
          <w:tcPr>
            <w:tcW w:w="3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tcPr>
          <w:p>
            <w:pPr>
              <w:spacing w:after="0"/>
              <w:rPr>
                <w:sz w:val="24"/>
                <w:szCs w:val="24"/>
                <w:color w:val="auto"/>
              </w:rPr>
            </w:pPr>
          </w:p>
        </w:tc>
        <w:tc>
          <w:tcPr>
            <w:tcW w:w="1260" w:type="dxa"/>
            <w:vAlign w:val="bottom"/>
          </w:tcPr>
          <w:p>
            <w:pPr>
              <w:jc w:val="right"/>
              <w:ind w:right="436"/>
              <w:spacing w:after="0"/>
              <w:rPr>
                <w:sz w:val="20"/>
                <w:szCs w:val="20"/>
                <w:color w:val="auto"/>
              </w:rPr>
            </w:pPr>
            <w:r>
              <w:rPr>
                <w:rFonts w:ascii="Arial" w:cs="Arial" w:eastAsia="Arial" w:hAnsi="Arial"/>
                <w:sz w:val="14"/>
                <w:szCs w:val="14"/>
                <w:b w:val="1"/>
                <w:bCs w:val="1"/>
                <w:color w:val="auto"/>
              </w:rPr>
              <w:t>August 4,</w:t>
            </w:r>
          </w:p>
        </w:tc>
        <w:tc>
          <w:tcPr>
            <w:tcW w:w="380" w:type="dxa"/>
            <w:vAlign w:val="bottom"/>
          </w:tcPr>
          <w:p>
            <w:pPr>
              <w:spacing w:after="0"/>
              <w:rPr>
                <w:sz w:val="24"/>
                <w:szCs w:val="24"/>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July 29,</w:t>
            </w:r>
          </w:p>
        </w:tc>
        <w:tc>
          <w:tcPr>
            <w:tcW w:w="340" w:type="dxa"/>
            <w:vAlign w:val="bottom"/>
          </w:tcPr>
          <w:p>
            <w:pPr>
              <w:spacing w:after="0"/>
              <w:rPr>
                <w:sz w:val="24"/>
                <w:szCs w:val="24"/>
                <w:color w:val="auto"/>
              </w:rPr>
            </w:pPr>
          </w:p>
        </w:tc>
        <w:tc>
          <w:tcPr>
            <w:tcW w:w="1240" w:type="dxa"/>
            <w:vAlign w:val="bottom"/>
          </w:tcPr>
          <w:p>
            <w:pPr>
              <w:jc w:val="right"/>
              <w:ind w:right="417"/>
              <w:spacing w:after="0"/>
              <w:rPr>
                <w:sz w:val="20"/>
                <w:szCs w:val="20"/>
                <w:color w:val="auto"/>
              </w:rPr>
            </w:pPr>
            <w:r>
              <w:rPr>
                <w:rFonts w:ascii="Arial" w:cs="Arial" w:eastAsia="Arial" w:hAnsi="Arial"/>
                <w:sz w:val="14"/>
                <w:szCs w:val="14"/>
                <w:b w:val="1"/>
                <w:bCs w:val="1"/>
                <w:color w:val="auto"/>
              </w:rPr>
              <w:t>August 4,</w:t>
            </w:r>
          </w:p>
        </w:tc>
        <w:tc>
          <w:tcPr>
            <w:tcW w:w="360" w:type="dxa"/>
            <w:vAlign w:val="bottom"/>
          </w:tcPr>
          <w:p>
            <w:pPr>
              <w:spacing w:after="0"/>
              <w:rPr>
                <w:sz w:val="24"/>
                <w:szCs w:val="24"/>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81,993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79,658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72,158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70,734</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Warranty provisions</w:t>
            </w:r>
          </w:p>
        </w:tc>
        <w:tc>
          <w:tcPr>
            <w:tcW w:w="208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11,208</w:t>
            </w:r>
          </w:p>
        </w:tc>
        <w:tc>
          <w:tcPr>
            <w:tcW w:w="3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10,869</w:t>
            </w:r>
          </w:p>
        </w:tc>
        <w:tc>
          <w:tcPr>
            <w:tcW w:w="34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38,003</w:t>
            </w:r>
          </w:p>
        </w:tc>
        <w:tc>
          <w:tcPr>
            <w:tcW w:w="3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claims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(11,381)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Changes in estimates</w:t>
            </w:r>
          </w:p>
        </w:tc>
        <w:tc>
          <w:tcPr>
            <w:tcW w:w="208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(662)</w:t>
            </w:r>
          </w:p>
        </w:tc>
        <w:tc>
          <w:tcPr>
            <w:tcW w:w="3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2,780</w:t>
            </w:r>
          </w:p>
        </w:tc>
        <w:tc>
          <w:tcPr>
            <w:tcW w:w="34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81,158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81,413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81,158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81,413</w:t>
            </w:r>
          </w:p>
        </w:tc>
        <w:tc>
          <w:tcPr>
            <w:tcW w:w="0" w:type="dxa"/>
            <w:vAlign w:val="bottom"/>
          </w:tcPr>
          <w:p>
            <w:pPr>
              <w:spacing w:after="0"/>
              <w:rPr>
                <w:sz w:val="1"/>
                <w:szCs w:val="1"/>
                <w:color w:val="auto"/>
              </w:rPr>
            </w:pP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jc w:val="right"/>
              <w:ind w:right="816"/>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Instruments and Hedging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reduce its exposure to foreign currency exchange rate risk, the company actively manages the exposure of its foreign currency exchange rate risk by entering into various derivative instruments, authorized under company policies that place controls on these hedging activities, with counterparties that are highly rated financial institutions. The company’s policy does not allow the use of derivative instruments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may also utilize forward currency contracts or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recognizes all derivative instruments as either assets or liabilities at fair value on the Condensed Consolidated Balance Sheets and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Changes in fair values of outstanding cash flow hedging instruments, except the ineffective portion, are recorded in other comprehensive income within accumulated other comprehensive loss ("AOCL") on the Condensed Consolidated Balance Sheets, until net earnings is affected by the variability of the cash flows of the hedged transaction. Gains and losses on the cash flow hedging instrument representing either hedge ineffectiveness or hedge components excluded from the assessment of effectiveness are recognized in net earnings. The Condensed Consolidated Statements of Earnings classification of effective cash flow hedge results is the same as that of the underlying exposure. Results of cash flow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formally assesses, at the cash flow hedge’s inception, and on an ongoing basis, whether the cash flow hedging instruments have been highly effective in offsetting changes in the cash flows of the hedged transactions and whether those cash flow hedging instruments may be expected to remain highly effective in future periods. When it is determined that a derivative is not, or has ceased to be, highly effective as a cash flow hedge, the company discontinues cash flow hedge accounting prospectively.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cash flow hedge accounting is discontinued and the derivative remains outstanding, the company carries the derivative at its fair value on the Condensed Consolidated Balance Sheets, recognizing future changes in the fair value in other income, net. For the third quarter of fiscal 2017, the company did not discontinue cash flow hedge accounting on any forward currency contracts designated as cash flow hedging instruments. For the nine months ended August 4, 2017, the company recognized immaterial gains on forward currency contracts reclassified into earnings as a result of the discontinuance of cash flow hedge accounting. As of August 4, 2017, the notional amount outstanding of forward contracts designated as cash flow hedging instruments was $125.8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the company’s derivative instruments and Condensed Consolidated Balance Sheets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6"/>
                <w:szCs w:val="16"/>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 at</w:t>
            </w:r>
          </w:p>
        </w:tc>
      </w:tr>
      <w:tr>
        <w:trPr>
          <w:trHeight w:val="230"/>
        </w:trPr>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9"/>
                <w:szCs w:val="19"/>
                <w:color w:val="auto"/>
              </w:rPr>
            </w:pPr>
          </w:p>
        </w:tc>
        <w:tc>
          <w:tcPr>
            <w:tcW w:w="13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August 4, 2017</w:t>
            </w:r>
          </w:p>
        </w:tc>
        <w:tc>
          <w:tcPr>
            <w:tcW w:w="320" w:type="dxa"/>
            <w:vAlign w:val="bottom"/>
          </w:tcPr>
          <w:p>
            <w:pPr>
              <w:spacing w:after="0"/>
              <w:rPr>
                <w:sz w:val="19"/>
                <w:szCs w:val="19"/>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July 29, 2016</w:t>
            </w:r>
          </w:p>
        </w:tc>
        <w:tc>
          <w:tcPr>
            <w:tcW w:w="2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31, 2016</w:t>
            </w:r>
          </w:p>
        </w:tc>
      </w:tr>
      <w:tr>
        <w:trPr>
          <w:trHeight w:val="53"/>
        </w:trPr>
        <w:tc>
          <w:tcPr>
            <w:tcW w:w="56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1,998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1,535</w:t>
            </w: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2,164</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1,967</w:t>
            </w:r>
          </w:p>
        </w:tc>
      </w:tr>
      <w:tr>
        <w:trPr>
          <w:trHeight w:val="67"/>
        </w:trPr>
        <w:tc>
          <w:tcPr>
            <w:tcW w:w="56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5,173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2,070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973</w:t>
            </w: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1,481</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6,654</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1,765</w:t>
            </w:r>
          </w:p>
        </w:tc>
      </w:tr>
      <w:tr>
        <w:trPr>
          <w:trHeight w:val="27"/>
        </w:trPr>
        <w:tc>
          <w:tcPr>
            <w:tcW w:w="5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impact of derivative instruments on the Condensed Consolidated Statements of Earnings for the company’s derivatives designated as cash flow hedging instruments for the three and nine months ended August 4, 2017 and July 29, 2016,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tcPr>
          <w:p>
            <w:pPr>
              <w:ind w:left="800"/>
              <w:spacing w:after="0"/>
              <w:rPr>
                <w:sz w:val="20"/>
                <w:szCs w:val="20"/>
                <w:color w:val="auto"/>
              </w:rPr>
            </w:pPr>
            <w:r>
              <w:rPr>
                <w:rFonts w:ascii="Arial" w:cs="Arial" w:eastAsia="Arial" w:hAnsi="Arial"/>
                <w:sz w:val="13"/>
                <w:szCs w:val="13"/>
                <w:b w:val="1"/>
                <w:bCs w:val="1"/>
                <w:color w:val="auto"/>
                <w:w w:val="91"/>
              </w:rPr>
              <w:t>Ineffective Portion and Excluded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7"/>
              </w:rPr>
              <w:t>Effective Portion</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Effectiveness Testing</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6"/>
              </w:rPr>
              <w:t>Gain (Loss)</w:t>
            </w:r>
          </w:p>
        </w:tc>
        <w:tc>
          <w:tcPr>
            <w:tcW w:w="1760" w:type="dxa"/>
            <w:vAlign w:val="bottom"/>
          </w:tcPr>
          <w:p>
            <w:pPr>
              <w:jc w:val="center"/>
              <w:ind w:left="57"/>
              <w:spacing w:after="0" w:line="144" w:lineRule="exact"/>
              <w:rPr>
                <w:sz w:val="20"/>
                <w:szCs w:val="20"/>
                <w:color w:val="auto"/>
              </w:rPr>
            </w:pPr>
            <w:r>
              <w:rPr>
                <w:rFonts w:ascii="Arial" w:cs="Arial" w:eastAsia="Arial" w:hAnsi="Arial"/>
                <w:sz w:val="13"/>
                <w:szCs w:val="13"/>
                <w:b w:val="1"/>
                <w:bCs w:val="1"/>
                <w:color w:val="auto"/>
                <w:w w:val="88"/>
              </w:rPr>
              <w:t>Location of Gain (Loss)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Location of Gain</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3"/>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176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00" w:type="dxa"/>
            <w:vAlign w:val="bottom"/>
          </w:tcPr>
          <w:p>
            <w:pPr>
              <w:spacing w:after="0"/>
              <w:rPr>
                <w:sz w:val="11"/>
                <w:szCs w:val="11"/>
                <w:color w:val="auto"/>
              </w:rPr>
            </w:pPr>
          </w:p>
        </w:tc>
        <w:tc>
          <w:tcPr>
            <w:tcW w:w="190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rPr>
              <w:t>Gain (Loss) Reclassified</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(Loss) Recognized in</w:t>
            </w:r>
          </w:p>
        </w:tc>
        <w:tc>
          <w:tcPr>
            <w:tcW w:w="300" w:type="dxa"/>
            <w:vAlign w:val="bottom"/>
          </w:tcPr>
          <w:p>
            <w:pPr>
              <w:spacing w:after="0"/>
              <w:rPr>
                <w:sz w:val="11"/>
                <w:szCs w:val="11"/>
                <w:color w:val="auto"/>
              </w:rPr>
            </w:pPr>
          </w:p>
        </w:tc>
        <w:tc>
          <w:tcPr>
            <w:tcW w:w="1760" w:type="dxa"/>
            <w:vAlign w:val="bottom"/>
            <w:gridSpan w:val="3"/>
          </w:tcPr>
          <w:p>
            <w:pPr>
              <w:jc w:val="right"/>
              <w:ind w:right="257"/>
              <w:spacing w:after="0" w:line="135" w:lineRule="exact"/>
              <w:rPr>
                <w:sz w:val="20"/>
                <w:szCs w:val="20"/>
                <w:color w:val="auto"/>
              </w:rPr>
            </w:pPr>
            <w:r>
              <w:rPr>
                <w:rFonts w:ascii="Arial" w:cs="Arial" w:eastAsia="Arial" w:hAnsi="Arial"/>
                <w:sz w:val="13"/>
                <w:szCs w:val="13"/>
                <w:b w:val="1"/>
                <w:bCs w:val="1"/>
                <w:color w:val="auto"/>
                <w:w w:val="95"/>
              </w:rPr>
              <w:t>Gain (Loss) Recognized</w:t>
            </w:r>
          </w:p>
        </w:tc>
        <w:tc>
          <w:tcPr>
            <w:tcW w:w="0" w:type="dxa"/>
            <w:vAlign w:val="bottom"/>
          </w:tcPr>
          <w:p>
            <w:pPr>
              <w:spacing w:after="0"/>
              <w:rPr>
                <w:sz w:val="1"/>
                <w:szCs w:val="1"/>
                <w:color w:val="auto"/>
              </w:rPr>
            </w:pPr>
          </w:p>
        </w:tc>
      </w:tr>
      <w:tr>
        <w:trPr>
          <w:trHeight w:val="174"/>
        </w:trPr>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3"/>
                <w:szCs w:val="13"/>
                <w:b w:val="1"/>
                <w:bCs w:val="1"/>
                <w:color w:val="auto"/>
                <w:w w:val="86"/>
              </w:rPr>
              <w:t>Derivatives</w:t>
            </w:r>
          </w:p>
        </w:tc>
        <w:tc>
          <w:tcPr>
            <w:tcW w:w="17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1"/>
              </w:rPr>
              <w:t>AOCL into Income</w:t>
            </w: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from AOCL into Income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Income on Derivatives</w:t>
            </w: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6"/>
              </w:rPr>
              <w:t>in Income on Derivatives</w:t>
            </w:r>
          </w:p>
        </w:tc>
        <w:tc>
          <w:tcPr>
            <w:tcW w:w="0" w:type="dxa"/>
            <w:vAlign w:val="bottom"/>
          </w:tcPr>
          <w:p>
            <w:pPr>
              <w:spacing w:after="0"/>
              <w:rPr>
                <w:sz w:val="1"/>
                <w:szCs w:val="1"/>
                <w:color w:val="auto"/>
              </w:rPr>
            </w:pPr>
          </w:p>
        </w:tc>
      </w:tr>
      <w:tr>
        <w:trPr>
          <w:trHeight w:val="173"/>
        </w:trPr>
        <w:tc>
          <w:tcPr>
            <w:tcW w:w="1740" w:type="dxa"/>
            <w:vAlign w:val="bottom"/>
          </w:tcPr>
          <w:p>
            <w:pPr>
              <w:ind w:left="4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6"/>
                <w:szCs w:val="16"/>
                <w:color w:val="auto"/>
              </w:rPr>
            </w:pPr>
          </w:p>
        </w:tc>
        <w:tc>
          <w:tcPr>
            <w:tcW w:w="820" w:type="dxa"/>
            <w:vAlign w:val="bottom"/>
          </w:tcPr>
          <w:p>
            <w:pPr>
              <w:jc w:val="right"/>
              <w:ind w:right="197"/>
              <w:spacing w:after="0"/>
              <w:rPr>
                <w:sz w:val="20"/>
                <w:szCs w:val="20"/>
                <w:color w:val="auto"/>
              </w:rPr>
            </w:pPr>
            <w:r>
              <w:rPr>
                <w:rFonts w:ascii="Arial" w:cs="Arial" w:eastAsia="Arial" w:hAnsi="Arial"/>
                <w:sz w:val="12"/>
                <w:szCs w:val="12"/>
                <w:b w:val="1"/>
                <w:bCs w:val="1"/>
                <w:color w:val="auto"/>
                <w:w w:val="98"/>
              </w:rPr>
              <w:t>August 4,</w:t>
            </w:r>
          </w:p>
        </w:tc>
        <w:tc>
          <w:tcPr>
            <w:tcW w:w="260" w:type="dxa"/>
            <w:vAlign w:val="bottom"/>
          </w:tcPr>
          <w:p>
            <w:pPr>
              <w:spacing w:after="0"/>
              <w:rPr>
                <w:sz w:val="16"/>
                <w:szCs w:val="16"/>
                <w:color w:val="auto"/>
              </w:rPr>
            </w:pPr>
          </w:p>
        </w:tc>
        <w:tc>
          <w:tcPr>
            <w:tcW w:w="800" w:type="dxa"/>
            <w:vAlign w:val="bottom"/>
          </w:tcPr>
          <w:p>
            <w:pPr>
              <w:jc w:val="right"/>
              <w:ind w:right="257"/>
              <w:spacing w:after="0"/>
              <w:rPr>
                <w:sz w:val="20"/>
                <w:szCs w:val="20"/>
                <w:color w:val="auto"/>
              </w:rPr>
            </w:pPr>
            <w:r>
              <w:rPr>
                <w:rFonts w:ascii="Arial" w:cs="Arial" w:eastAsia="Arial" w:hAnsi="Arial"/>
                <w:sz w:val="12"/>
                <w:szCs w:val="12"/>
                <w:b w:val="1"/>
                <w:bCs w:val="1"/>
                <w:color w:val="auto"/>
              </w:rPr>
              <w:t>July 29,</w:t>
            </w: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Arial" w:cs="Arial" w:eastAsia="Arial" w:hAnsi="Arial"/>
                <w:sz w:val="12"/>
                <w:szCs w:val="12"/>
                <w:b w:val="1"/>
                <w:bCs w:val="1"/>
                <w:color w:val="auto"/>
                <w:w w:val="98"/>
              </w:rPr>
              <w:t>August 4,</w:t>
            </w:r>
          </w:p>
        </w:tc>
        <w:tc>
          <w:tcPr>
            <w:tcW w:w="2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July 29,</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Arial" w:cs="Arial" w:eastAsia="Arial" w:hAnsi="Arial"/>
                <w:sz w:val="12"/>
                <w:szCs w:val="12"/>
                <w:b w:val="1"/>
                <w:bCs w:val="1"/>
                <w:color w:val="auto"/>
                <w:w w:val="98"/>
              </w:rPr>
              <w:t>August 4,</w:t>
            </w:r>
          </w:p>
        </w:tc>
        <w:tc>
          <w:tcPr>
            <w:tcW w:w="220" w:type="dxa"/>
            <w:vAlign w:val="bottom"/>
          </w:tcPr>
          <w:p>
            <w:pPr>
              <w:spacing w:after="0"/>
              <w:rPr>
                <w:sz w:val="16"/>
                <w:szCs w:val="16"/>
                <w:color w:val="auto"/>
              </w:rPr>
            </w:pPr>
          </w:p>
        </w:tc>
        <w:tc>
          <w:tcPr>
            <w:tcW w:w="740" w:type="dxa"/>
            <w:vAlign w:val="bottom"/>
          </w:tcPr>
          <w:p>
            <w:pPr>
              <w:jc w:val="right"/>
              <w:ind w:right="197"/>
              <w:spacing w:after="0"/>
              <w:rPr>
                <w:sz w:val="20"/>
                <w:szCs w:val="20"/>
                <w:color w:val="auto"/>
              </w:rPr>
            </w:pPr>
            <w:r>
              <w:rPr>
                <w:rFonts w:ascii="Arial" w:cs="Arial" w:eastAsia="Arial" w:hAnsi="Arial"/>
                <w:sz w:val="12"/>
                <w:szCs w:val="12"/>
                <w:b w:val="1"/>
                <w:bCs w:val="1"/>
                <w:color w:val="auto"/>
              </w:rPr>
              <w:t>July 29,</w:t>
            </w: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317"/>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7"/>
                <w:szCs w:val="7"/>
                <w:color w:val="auto"/>
              </w:rPr>
            </w:pPr>
          </w:p>
        </w:tc>
        <w:tc>
          <w:tcPr>
            <w:tcW w:w="800" w:type="dxa"/>
            <w:vAlign w:val="bottom"/>
            <w:vMerge w:val="restart"/>
          </w:tcPr>
          <w:p>
            <w:pPr>
              <w:jc w:val="right"/>
              <w:ind w:right="317"/>
              <w:spacing w:after="0"/>
              <w:rPr>
                <w:sz w:val="20"/>
                <w:szCs w:val="20"/>
                <w:color w:val="auto"/>
              </w:rPr>
            </w:pPr>
            <w:r>
              <w:rPr>
                <w:rFonts w:ascii="Arial" w:cs="Arial" w:eastAsia="Arial" w:hAnsi="Arial"/>
                <w:sz w:val="12"/>
                <w:szCs w:val="12"/>
                <w:b w:val="1"/>
                <w:bCs w:val="1"/>
                <w:color w:val="auto"/>
              </w:rPr>
              <w:t>2016</w:t>
            </w: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7"/>
                <w:szCs w:val="7"/>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7"/>
                <w:szCs w:val="7"/>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91"/>
        </w:trPr>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Forward currency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(3,531)</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983</w:t>
            </w:r>
          </w:p>
        </w:tc>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Forward currency contracts</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469</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(317)</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Cost of sales</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96</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(931)</w:t>
            </w: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Total derivatives designated as</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6"/>
              </w:rPr>
              <w:t>cash flow hedging instruments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(3,062)</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666</w:t>
            </w:r>
          </w:p>
        </w:tc>
        <w:tc>
          <w:tcPr>
            <w:tcW w:w="1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(1,123)</w:t>
            </w:r>
          </w:p>
        </w:tc>
        <w:tc>
          <w:tcPr>
            <w:tcW w:w="1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4"/>
          </w:tcPr>
          <w:p>
            <w:pPr>
              <w:ind w:left="800"/>
              <w:spacing w:after="0"/>
              <w:rPr>
                <w:sz w:val="20"/>
                <w:szCs w:val="20"/>
                <w:color w:val="auto"/>
              </w:rPr>
            </w:pPr>
            <w:r>
              <w:rPr>
                <w:rFonts w:ascii="Arial" w:cs="Arial" w:eastAsia="Arial" w:hAnsi="Arial"/>
                <w:sz w:val="13"/>
                <w:szCs w:val="13"/>
                <w:b w:val="1"/>
                <w:bCs w:val="1"/>
                <w:color w:val="auto"/>
                <w:w w:val="91"/>
              </w:rPr>
              <w:t>Ineffective Portion and Excluded from</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7"/>
              </w:rPr>
              <w:t>Effective Portion</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Effectiveness Testing</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6"/>
              </w:rPr>
              <w:t>Gain (Loss)</w:t>
            </w:r>
          </w:p>
        </w:tc>
        <w:tc>
          <w:tcPr>
            <w:tcW w:w="1760" w:type="dxa"/>
            <w:vAlign w:val="bottom"/>
          </w:tcPr>
          <w:p>
            <w:pPr>
              <w:jc w:val="center"/>
              <w:ind w:left="57"/>
              <w:spacing w:after="0" w:line="144" w:lineRule="exact"/>
              <w:rPr>
                <w:sz w:val="20"/>
                <w:szCs w:val="20"/>
                <w:color w:val="auto"/>
              </w:rPr>
            </w:pPr>
            <w:r>
              <w:rPr>
                <w:rFonts w:ascii="Arial" w:cs="Arial" w:eastAsia="Arial" w:hAnsi="Arial"/>
                <w:sz w:val="13"/>
                <w:szCs w:val="13"/>
                <w:b w:val="1"/>
                <w:bCs w:val="1"/>
                <w:color w:val="auto"/>
                <w:w w:val="88"/>
              </w:rPr>
              <w:t>Location of Gain (Loss)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Location of Gain</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3"/>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176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00" w:type="dxa"/>
            <w:vAlign w:val="bottom"/>
          </w:tcPr>
          <w:p>
            <w:pPr>
              <w:spacing w:after="0"/>
              <w:rPr>
                <w:sz w:val="11"/>
                <w:szCs w:val="11"/>
                <w:color w:val="auto"/>
              </w:rPr>
            </w:pPr>
          </w:p>
        </w:tc>
        <w:tc>
          <w:tcPr>
            <w:tcW w:w="190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rPr>
              <w:t>Gain (Loss) Reclassified</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(Loss) Recognized in</w:t>
            </w:r>
          </w:p>
        </w:tc>
        <w:tc>
          <w:tcPr>
            <w:tcW w:w="300" w:type="dxa"/>
            <w:vAlign w:val="bottom"/>
          </w:tcPr>
          <w:p>
            <w:pPr>
              <w:spacing w:after="0"/>
              <w:rPr>
                <w:sz w:val="11"/>
                <w:szCs w:val="11"/>
                <w:color w:val="auto"/>
              </w:rPr>
            </w:pPr>
          </w:p>
        </w:tc>
        <w:tc>
          <w:tcPr>
            <w:tcW w:w="1760" w:type="dxa"/>
            <w:vAlign w:val="bottom"/>
            <w:gridSpan w:val="3"/>
          </w:tcPr>
          <w:p>
            <w:pPr>
              <w:jc w:val="right"/>
              <w:ind w:right="257"/>
              <w:spacing w:after="0" w:line="135" w:lineRule="exact"/>
              <w:rPr>
                <w:sz w:val="20"/>
                <w:szCs w:val="20"/>
                <w:color w:val="auto"/>
              </w:rPr>
            </w:pPr>
            <w:r>
              <w:rPr>
                <w:rFonts w:ascii="Arial" w:cs="Arial" w:eastAsia="Arial" w:hAnsi="Arial"/>
                <w:sz w:val="13"/>
                <w:szCs w:val="13"/>
                <w:b w:val="1"/>
                <w:bCs w:val="1"/>
                <w:color w:val="auto"/>
                <w:w w:val="95"/>
              </w:rPr>
              <w:t>Gain (Loss) Recognized</w:t>
            </w:r>
          </w:p>
        </w:tc>
        <w:tc>
          <w:tcPr>
            <w:tcW w:w="0" w:type="dxa"/>
            <w:vAlign w:val="bottom"/>
          </w:tcPr>
          <w:p>
            <w:pPr>
              <w:spacing w:after="0"/>
              <w:rPr>
                <w:sz w:val="1"/>
                <w:szCs w:val="1"/>
                <w:color w:val="auto"/>
              </w:rPr>
            </w:pPr>
          </w:p>
        </w:tc>
      </w:tr>
      <w:tr>
        <w:trPr>
          <w:trHeight w:val="174"/>
        </w:trPr>
        <w:tc>
          <w:tcPr>
            <w:tcW w:w="1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3"/>
                <w:szCs w:val="13"/>
                <w:b w:val="1"/>
                <w:bCs w:val="1"/>
                <w:color w:val="auto"/>
                <w:w w:val="86"/>
              </w:rPr>
              <w:t>Derivatives</w:t>
            </w:r>
          </w:p>
        </w:tc>
        <w:tc>
          <w:tcPr>
            <w:tcW w:w="17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1"/>
              </w:rPr>
              <w:t>AOCL into Income</w:t>
            </w: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from AOCL into Income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Income on Derivatives</w:t>
            </w: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6"/>
              </w:rPr>
              <w:t>in Income on Derivatives</w:t>
            </w:r>
          </w:p>
        </w:tc>
        <w:tc>
          <w:tcPr>
            <w:tcW w:w="0" w:type="dxa"/>
            <w:vAlign w:val="bottom"/>
          </w:tcPr>
          <w:p>
            <w:pPr>
              <w:spacing w:after="0"/>
              <w:rPr>
                <w:sz w:val="1"/>
                <w:szCs w:val="1"/>
                <w:color w:val="auto"/>
              </w:rPr>
            </w:pPr>
          </w:p>
        </w:tc>
      </w:tr>
      <w:tr>
        <w:trPr>
          <w:trHeight w:val="173"/>
        </w:trPr>
        <w:tc>
          <w:tcPr>
            <w:tcW w:w="1740" w:type="dxa"/>
            <w:vAlign w:val="bottom"/>
          </w:tcPr>
          <w:p>
            <w:pPr>
              <w:ind w:left="4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6"/>
                <w:szCs w:val="16"/>
                <w:color w:val="auto"/>
              </w:rPr>
            </w:pPr>
          </w:p>
        </w:tc>
        <w:tc>
          <w:tcPr>
            <w:tcW w:w="820" w:type="dxa"/>
            <w:vAlign w:val="bottom"/>
          </w:tcPr>
          <w:p>
            <w:pPr>
              <w:jc w:val="right"/>
              <w:ind w:right="197"/>
              <w:spacing w:after="0"/>
              <w:rPr>
                <w:sz w:val="20"/>
                <w:szCs w:val="20"/>
                <w:color w:val="auto"/>
              </w:rPr>
            </w:pPr>
            <w:r>
              <w:rPr>
                <w:rFonts w:ascii="Arial" w:cs="Arial" w:eastAsia="Arial" w:hAnsi="Arial"/>
                <w:sz w:val="12"/>
                <w:szCs w:val="12"/>
                <w:b w:val="1"/>
                <w:bCs w:val="1"/>
                <w:color w:val="auto"/>
                <w:w w:val="98"/>
              </w:rPr>
              <w:t>August 4,</w:t>
            </w:r>
          </w:p>
        </w:tc>
        <w:tc>
          <w:tcPr>
            <w:tcW w:w="260" w:type="dxa"/>
            <w:vAlign w:val="bottom"/>
          </w:tcPr>
          <w:p>
            <w:pPr>
              <w:spacing w:after="0"/>
              <w:rPr>
                <w:sz w:val="16"/>
                <w:szCs w:val="16"/>
                <w:color w:val="auto"/>
              </w:rPr>
            </w:pPr>
          </w:p>
        </w:tc>
        <w:tc>
          <w:tcPr>
            <w:tcW w:w="800" w:type="dxa"/>
            <w:vAlign w:val="bottom"/>
          </w:tcPr>
          <w:p>
            <w:pPr>
              <w:jc w:val="right"/>
              <w:ind w:right="257"/>
              <w:spacing w:after="0"/>
              <w:rPr>
                <w:sz w:val="20"/>
                <w:szCs w:val="20"/>
                <w:color w:val="auto"/>
              </w:rPr>
            </w:pPr>
            <w:r>
              <w:rPr>
                <w:rFonts w:ascii="Arial" w:cs="Arial" w:eastAsia="Arial" w:hAnsi="Arial"/>
                <w:sz w:val="12"/>
                <w:szCs w:val="12"/>
                <w:b w:val="1"/>
                <w:bCs w:val="1"/>
                <w:color w:val="auto"/>
              </w:rPr>
              <w:t>July 29,</w:t>
            </w: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197"/>
              <w:spacing w:after="0"/>
              <w:rPr>
                <w:sz w:val="20"/>
                <w:szCs w:val="20"/>
                <w:color w:val="auto"/>
              </w:rPr>
            </w:pPr>
            <w:r>
              <w:rPr>
                <w:rFonts w:ascii="Arial" w:cs="Arial" w:eastAsia="Arial" w:hAnsi="Arial"/>
                <w:sz w:val="12"/>
                <w:szCs w:val="12"/>
                <w:b w:val="1"/>
                <w:bCs w:val="1"/>
                <w:color w:val="auto"/>
                <w:w w:val="98"/>
              </w:rPr>
              <w:t>August 4,</w:t>
            </w:r>
          </w:p>
        </w:tc>
        <w:tc>
          <w:tcPr>
            <w:tcW w:w="2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July 29,</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2"/>
                <w:szCs w:val="12"/>
                <w:b w:val="1"/>
                <w:bCs w:val="1"/>
                <w:color w:val="auto"/>
                <w:w w:val="98"/>
              </w:rPr>
              <w:t>August 4,</w:t>
            </w:r>
          </w:p>
        </w:tc>
        <w:tc>
          <w:tcPr>
            <w:tcW w:w="240" w:type="dxa"/>
            <w:vAlign w:val="bottom"/>
          </w:tcPr>
          <w:p>
            <w:pPr>
              <w:spacing w:after="0"/>
              <w:rPr>
                <w:sz w:val="16"/>
                <w:szCs w:val="16"/>
                <w:color w:val="auto"/>
              </w:rPr>
            </w:pPr>
          </w:p>
        </w:tc>
        <w:tc>
          <w:tcPr>
            <w:tcW w:w="740" w:type="dxa"/>
            <w:vAlign w:val="bottom"/>
          </w:tcPr>
          <w:p>
            <w:pPr>
              <w:jc w:val="right"/>
              <w:ind w:right="197"/>
              <w:spacing w:after="0"/>
              <w:rPr>
                <w:sz w:val="20"/>
                <w:szCs w:val="20"/>
                <w:color w:val="auto"/>
              </w:rPr>
            </w:pPr>
            <w:r>
              <w:rPr>
                <w:rFonts w:ascii="Arial" w:cs="Arial" w:eastAsia="Arial" w:hAnsi="Arial"/>
                <w:sz w:val="12"/>
                <w:szCs w:val="12"/>
                <w:b w:val="1"/>
                <w:bCs w:val="1"/>
                <w:color w:val="auto"/>
              </w:rPr>
              <w:t>July 29,</w:t>
            </w: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317"/>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7"/>
                <w:szCs w:val="7"/>
                <w:color w:val="auto"/>
              </w:rPr>
            </w:pPr>
          </w:p>
        </w:tc>
        <w:tc>
          <w:tcPr>
            <w:tcW w:w="800" w:type="dxa"/>
            <w:vAlign w:val="bottom"/>
            <w:vMerge w:val="restart"/>
          </w:tcPr>
          <w:p>
            <w:pPr>
              <w:jc w:val="right"/>
              <w:ind w:right="317"/>
              <w:spacing w:after="0"/>
              <w:rPr>
                <w:sz w:val="20"/>
                <w:szCs w:val="20"/>
                <w:color w:val="auto"/>
              </w:rPr>
            </w:pPr>
            <w:r>
              <w:rPr>
                <w:rFonts w:ascii="Arial" w:cs="Arial" w:eastAsia="Arial" w:hAnsi="Arial"/>
                <w:sz w:val="12"/>
                <w:szCs w:val="12"/>
                <w:b w:val="1"/>
                <w:bCs w:val="1"/>
                <w:color w:val="auto"/>
              </w:rPr>
              <w:t>2016</w:t>
            </w: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7"/>
                <w:szCs w:val="7"/>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7"/>
                <w:szCs w:val="7"/>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91"/>
        </w:trPr>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Forward currency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(3,685)</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(1,647)</w:t>
            </w:r>
          </w:p>
        </w:tc>
        <w:tc>
          <w:tcPr>
            <w:tcW w:w="1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2,219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262"/>
        </w:trPr>
        <w:tc>
          <w:tcPr>
            <w:tcW w:w="1740" w:type="dxa"/>
            <w:vAlign w:val="bottom"/>
          </w:tcPr>
          <w:p>
            <w:pPr>
              <w:ind w:left="40"/>
              <w:spacing w:after="0"/>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rPr>
                <w:sz w:val="22"/>
                <w:szCs w:val="2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2,585</w:t>
            </w: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(537)</w:t>
            </w:r>
          </w:p>
        </w:tc>
        <w:tc>
          <w:tcPr>
            <w:tcW w:w="1760" w:type="dxa"/>
            <w:vAlign w:val="bottom"/>
          </w:tcPr>
          <w:p>
            <w:pPr>
              <w:ind w:left="120"/>
              <w:spacing w:after="0"/>
              <w:rPr>
                <w:sz w:val="20"/>
                <w:szCs w:val="20"/>
                <w:color w:val="auto"/>
              </w:rPr>
            </w:pPr>
            <w:r>
              <w:rPr>
                <w:rFonts w:ascii="Arial" w:cs="Arial" w:eastAsia="Arial" w:hAnsi="Arial"/>
                <w:sz w:val="13"/>
                <w:szCs w:val="13"/>
                <w:color w:val="auto"/>
              </w:rPr>
              <w:t>Cost of sales</w:t>
            </w:r>
          </w:p>
        </w:tc>
        <w:tc>
          <w:tcPr>
            <w:tcW w:w="30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(1,227)</w:t>
            </w:r>
          </w:p>
        </w:tc>
        <w:tc>
          <w:tcPr>
            <w:tcW w:w="24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(1,930)</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Cross currency contracts</w:t>
            </w: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255</w:t>
            </w:r>
          </w:p>
        </w:tc>
        <w:tc>
          <w:tcPr>
            <w:tcW w:w="1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Other income, net</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1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40"/>
              <w:spacing w:after="0" w:line="148" w:lineRule="exact"/>
              <w:rPr>
                <w:sz w:val="20"/>
                <w:szCs w:val="20"/>
                <w:color w:val="auto"/>
              </w:rPr>
            </w:pPr>
            <w:r>
              <w:rPr>
                <w:rFonts w:ascii="Arial" w:cs="Arial" w:eastAsia="Arial" w:hAnsi="Arial"/>
                <w:sz w:val="13"/>
                <w:szCs w:val="13"/>
                <w:color w:val="auto"/>
                <w:w w:val="93"/>
              </w:rPr>
              <w:t>Total derivatives designated as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Arial" w:cs="Arial" w:eastAsia="Arial" w:hAnsi="Arial"/>
                <w:sz w:val="13"/>
                <w:szCs w:val="13"/>
                <w:color w:val="auto"/>
                <w:w w:val="96"/>
              </w:rPr>
              <w:t>cash flow hedging instruments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(1,100)</w:t>
            </w:r>
          </w:p>
        </w:tc>
        <w:tc>
          <w:tcPr>
            <w:tcW w:w="2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(1,929)</w:t>
            </w:r>
          </w:p>
        </w:tc>
        <w:tc>
          <w:tcPr>
            <w:tcW w:w="1760" w:type="dxa"/>
            <w:vAlign w:val="bottom"/>
            <w:vMerge w:val="restart"/>
          </w:tcPr>
          <w:p>
            <w:pPr>
              <w:ind w:left="120"/>
              <w:spacing w:after="0"/>
              <w:rPr>
                <w:sz w:val="20"/>
                <w:szCs w:val="20"/>
                <w:color w:val="auto"/>
              </w:rPr>
            </w:pPr>
            <w:r>
              <w:rPr>
                <w:rFonts w:ascii="Arial" w:cs="Arial" w:eastAsia="Arial" w:hAnsi="Arial"/>
                <w:sz w:val="13"/>
                <w:szCs w:val="13"/>
                <w:color w:val="auto"/>
              </w:rPr>
              <w:t>Total</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992</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1640" w:type="dxa"/>
            <w:vAlign w:val="bottom"/>
            <w:vMerge w:val="restart"/>
          </w:tcPr>
          <w:p>
            <w:pPr>
              <w:ind w:left="20"/>
              <w:spacing w:after="0"/>
              <w:rPr>
                <w:sz w:val="20"/>
                <w:szCs w:val="20"/>
                <w:color w:val="auto"/>
              </w:rPr>
            </w:pPr>
            <w:r>
              <w:rPr>
                <w:rFonts w:ascii="Arial" w:cs="Arial" w:eastAsia="Arial" w:hAnsi="Arial"/>
                <w:sz w:val="13"/>
                <w:szCs w:val="13"/>
                <w:color w:val="auto"/>
              </w:rPr>
              <w:t>Total</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190</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45"/>
        </w:trPr>
        <w:tc>
          <w:tcPr>
            <w:tcW w:w="1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August 4, 2017, the company expects to reclassify approximately $2.4 million of losses from AOCL to earnings during the next twelve months.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gain/(loss) of derivative instruments on the Condensed Consolidated Statements of Earnings for the company’s derivatives not designated as cash flow hedging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341"/>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Location of Gain (Loss)</w:t>
            </w:r>
          </w:p>
        </w:tc>
        <w:tc>
          <w:tcPr>
            <w:tcW w:w="380" w:type="dxa"/>
            <w:vAlign w:val="bottom"/>
          </w:tcPr>
          <w:p>
            <w:pPr>
              <w:spacing w:after="0"/>
              <w:rPr>
                <w:sz w:val="24"/>
                <w:szCs w:val="24"/>
                <w:color w:val="auto"/>
              </w:rPr>
            </w:pPr>
          </w:p>
        </w:tc>
        <w:tc>
          <w:tcPr>
            <w:tcW w:w="1100" w:type="dxa"/>
            <w:vAlign w:val="bottom"/>
          </w:tcPr>
          <w:p>
            <w:pPr>
              <w:jc w:val="right"/>
              <w:ind w:right="319"/>
              <w:spacing w:after="0"/>
              <w:rPr>
                <w:sz w:val="20"/>
                <w:szCs w:val="20"/>
                <w:color w:val="auto"/>
              </w:rPr>
            </w:pPr>
            <w:r>
              <w:rPr>
                <w:rFonts w:ascii="Arial" w:cs="Arial" w:eastAsia="Arial" w:hAnsi="Arial"/>
                <w:sz w:val="14"/>
                <w:szCs w:val="14"/>
                <w:b w:val="1"/>
                <w:bCs w:val="1"/>
                <w:color w:val="auto"/>
              </w:rPr>
              <w:t>August 4,</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July 29,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Arial" w:cs="Arial" w:eastAsia="Arial" w:hAnsi="Arial"/>
                <w:sz w:val="14"/>
                <w:szCs w:val="14"/>
                <w:b w:val="1"/>
                <w:bCs w:val="1"/>
                <w:color w:val="auto"/>
              </w:rPr>
              <w:t>August 4,</w:t>
            </w:r>
          </w:p>
        </w:tc>
        <w:tc>
          <w:tcPr>
            <w:tcW w:w="300" w:type="dxa"/>
            <w:vAlign w:val="bottom"/>
          </w:tcPr>
          <w:p>
            <w:pPr>
              <w:spacing w:after="0"/>
              <w:rPr>
                <w:sz w:val="24"/>
                <w:szCs w:val="24"/>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Forward currency contracts</w:t>
            </w:r>
          </w:p>
        </w:tc>
        <w:tc>
          <w:tcPr>
            <w:tcW w:w="22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(4,513)</w:t>
            </w:r>
          </w:p>
        </w:tc>
        <w:tc>
          <w:tcPr>
            <w:tcW w:w="9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788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(3,959)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 currency contracts</w:t>
            </w:r>
          </w:p>
        </w:tc>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2"/>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derivatives not designated as cash flow</w:t>
            </w:r>
          </w:p>
        </w:tc>
        <w:tc>
          <w:tcPr>
            <w:tcW w:w="2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hedging instruments</w:t>
            </w:r>
          </w:p>
        </w:tc>
        <w:tc>
          <w:tcPr>
            <w:tcW w:w="224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(4,513)</w:t>
            </w:r>
          </w:p>
        </w:tc>
        <w:tc>
          <w:tcPr>
            <w:tcW w:w="9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w w:val="86"/>
              </w:rPr>
              <w:t>780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(3,959)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effects of the master netting arrangements on the fair value of the company’s derivative contracts that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August 4, 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July 29, 2016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October 31, 2016</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i w:val="1"/>
                <w:iCs w:val="1"/>
                <w:color w:val="auto"/>
              </w:rPr>
              <w:t>Forward currency contracts</w:t>
            </w:r>
          </w:p>
        </w:tc>
        <w:tc>
          <w:tcPr>
            <w:tcW w:w="1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amounts of recognized assets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Gross liabilities offset in the balance sheets</w:t>
            </w:r>
          </w:p>
        </w:tc>
        <w:tc>
          <w:tcPr>
            <w:tcW w:w="156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5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amounts of assets presented in the Consolidated Balance Sheets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1,967</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4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5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Forward currency contracts</w:t>
            </w: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Gross amounts of recognized liabilities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(6,654)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5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assets offset in the balance sheets</w:t>
            </w:r>
          </w:p>
        </w:tc>
        <w:tc>
          <w:tcPr>
            <w:tcW w:w="15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Net amounts of liabilities presented in the Consolidated Balance Sheets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5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5400" w:type="dxa"/>
            <w:vAlign w:val="bottom"/>
          </w:tcPr>
          <w:p>
            <w:pPr>
              <w:spacing w:after="0"/>
              <w:rPr>
                <w:sz w:val="24"/>
                <w:szCs w:val="24"/>
                <w:color w:val="auto"/>
              </w:rPr>
            </w:pPr>
          </w:p>
        </w:tc>
        <w:tc>
          <w:tcPr>
            <w:tcW w:w="1560" w:type="dxa"/>
            <w:vAlign w:val="bottom"/>
          </w:tcPr>
          <w:p>
            <w:pPr>
              <w:jc w:val="right"/>
              <w:ind w:right="1070"/>
              <w:spacing w:after="0"/>
              <w:rPr>
                <w:sz w:val="20"/>
                <w:szCs w:val="20"/>
                <w:color w:val="auto"/>
              </w:rPr>
            </w:pPr>
            <w:r>
              <w:rPr>
                <w:rFonts w:ascii="Arial" w:cs="Arial" w:eastAsia="Arial" w:hAnsi="Arial"/>
                <w:sz w:val="18"/>
                <w:szCs w:val="18"/>
                <w:color w:val="auto"/>
              </w:rPr>
              <w:t>15</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balances are valued at their carrying amounts in the Condensed Consolidated Balance Sheets, which are reasonable estimates of their fair value due to their short-term nature. Forward currency contracts are valued based on observable market transactions of forward currency prices and spot currency rates as of the reporting date. The unfunded deferred compensation liability is primarily subject to changes in fixed-income investment contracts based on current yields.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basis, as of August 4, 2017, July 29, 2016, and October 31, 2016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jc w:val="center"/>
              <w:ind w:right="193"/>
              <w:spacing w:after="0"/>
              <w:rPr>
                <w:sz w:val="20"/>
                <w:szCs w:val="20"/>
                <w:color w:val="auto"/>
              </w:rPr>
            </w:pPr>
            <w:r>
              <w:rPr>
                <w:rFonts w:ascii="Arial" w:cs="Arial" w:eastAsia="Arial" w:hAnsi="Arial"/>
                <w:sz w:val="14"/>
                <w:szCs w:val="14"/>
                <w:b w:val="1"/>
                <w:bCs w:val="1"/>
                <w:color w:val="auto"/>
                <w:w w:val="92"/>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4, 2017</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335,026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335,026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2,164</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2,164</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337,190</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335,026</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6,654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6,654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760</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7,414</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7,414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5"/>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gridSpan w:val="5"/>
          </w:tcPr>
          <w:p>
            <w:pPr>
              <w:spacing w:after="0" w:line="20" w:lineRule="exact"/>
              <w:rPr>
                <w:sz w:val="1"/>
                <w:szCs w:val="1"/>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5"/>
          </w:tcPr>
          <w:p>
            <w:pPr>
              <w:spacing w:after="0"/>
              <w:rPr>
                <w:sz w:val="10"/>
                <w:szCs w:val="10"/>
                <w:color w:val="auto"/>
              </w:rPr>
            </w:pPr>
          </w:p>
        </w:tc>
      </w:tr>
      <w:tr>
        <w:trPr>
          <w:trHeight w:val="258"/>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5"/>
          </w:tcPr>
          <w:p>
            <w:pPr>
              <w:jc w:val="center"/>
              <w:ind w:right="193"/>
              <w:spacing w:after="0"/>
              <w:rPr>
                <w:sz w:val="20"/>
                <w:szCs w:val="20"/>
                <w:color w:val="auto"/>
              </w:rPr>
            </w:pPr>
            <w:r>
              <w:rPr>
                <w:rFonts w:ascii="Arial" w:cs="Arial" w:eastAsia="Arial" w:hAnsi="Arial"/>
                <w:sz w:val="14"/>
                <w:szCs w:val="14"/>
                <w:b w:val="1"/>
                <w:bCs w:val="1"/>
                <w:color w:val="auto"/>
                <w:w w:val="92"/>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July 29,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277,243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277,243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646</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277,889</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277,243</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646</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2,472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2,472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1,275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3,747</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3,747</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jc w:val="right"/>
              <w:ind w:right="89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273,555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273,555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1,967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275,522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273,555</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1,967</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1,765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1,765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1,149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1,149</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2,914</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acquired and liabilities assumed as part of acquisitions are measured at fair value. There were no transfers between Level 1 and Level 2 during the three and nine months ended August 4, 2017 and July 29, 2016, or the twelve months ended October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in six sections:</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MD&amp;A should be read in conjunction with the MD&amp;A included in Part II, Item 7 of our Annual Report on Form 10-K for the fiscal year ended October 31, 2016. This discussion contains various “Forward-Looking Statements” within the meaning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as well as online (direct to end-users).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September 16,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third quarter of fiscal 2017, our net sales increased 4.5 percent with a net earnings increase of 22.5 percent, as compared to the third quarter of fiscal 2016. Year-to-date fiscal 2017 net earnings increased 16.5 percent compared to the same period in the prior fiscal year on a net sales increase of 4.8 percent. Professional segment net sales increased 9.5 percent for the third quarter comparison, primarily due to strong demand for our landscape contractor zero-turn radius riding mowers, continued growth in our golf and grounds business, and increased irrigation sales due to our Perrot acquisition that closed in the first quarter of fiscal 2017. Professional segment net sales increased 6.6 percent for the year-to-date comparison, primarily due to increased demand for golf and grounds products, new product releases in our landscape contractor business, increased shipments of our professional snow and ice management products, and growth in our rental and specialty construction business. Residential segment net sales were down 9.3 percent for the third quarter comparison, mainly due to a transition in the timing of our Toro Days sales promotion to the second quarter of fiscal 2017, increased sales of our professional grade zero-turn radius riding mowers to homeowners with acreage, and weakened demand for our steering wheel zero-turn radius riding mowers. Residential segment net sales increased 0.1 percent for the year-to-date comparison, primarily due to higher sales of our residential snow products due to favorable snowfalls in the first quarter of fiscal 2017 and strong demand for our walk-power mowers, primarily offset by decreased sales of our zero-turn radius riding mowers due to weakened demand for our steering wheel zero-turn radius riding mowers and increased sales of our professional grade zero-turn radius riding mowers to homeowners with acreage.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foreign currency exchange rates resulted in a reduction of our net sales of approximately $0.5 million and $6.5 million for the third quarter and year-to-date periods of fiscal 2017,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net earnings growth in the third quarter and year-to-date periods of fiscal 2017 was primarily attributable to increased sales while leveraging selling, general &amp; administrative expenses ("SG&amp;A"), as well as a lower effective tax rate, mainly driven by the adoption of ASU No. 2016-09, </w:t>
      </w:r>
      <w:r>
        <w:rPr>
          <w:rFonts w:ascii="Arial" w:cs="Arial" w:eastAsia="Arial" w:hAnsi="Arial"/>
          <w:sz w:val="18"/>
          <w:szCs w:val="18"/>
          <w:i w:val="1"/>
          <w:iCs w:val="1"/>
          <w:color w:val="auto"/>
        </w:rPr>
        <w:t>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("ASU 2016-09"), in the first quarter of fiscal 2017. We currently expect the adoption of ASU 2016-09 to continue to benefit our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the remainder of fiscal 2017 such that the effective tax rate is anticipated to be lower than the effective tax rate we experienced during fiscal 2016. The adoption of ASU 2016-09 can add variability to our provision for income taxes, mainly due to the timing of stock option exercises, vesting of restricted stock units, and the trading price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third quarter of fiscal 2017 by 16.7 percent to $0.175 per share compared to the $0.15 per share cash dividend paid in the third quarter of fiscal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levels increased $21.9 million, or 6.7 percent, as of the end of the third quarter of fiscal 2017 due primarily to inventory increases to support strong forecasted Professional segment sales, as well as increases due to the acquisition of Perrot that closed in the first quarter of fiscal 2017. Accounts receivable increased $19.2 million, or 9.5 percent, largely due to increased sales and the acquisition of Perrot that closed in the first quarter of fiscal 2017. As of the end of the third quarter of fiscal 2017, field inventory levels were lower for both the Professional and Residential segments when compared to the prior fiscal year period.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multi-year employee initiative, “Destination PRIME,” which began with our 2015 fiscal year, continues our journey into our second century. This is our final year of this three-year initiative, which is intended to help us drive revenue and earnings growth and further improve productivity, while also continuing our century-long commitment to innovation, relationships, and excellence. Through our Destination PRIME initiative, we strive to achieve our goals by pursuing a progression of annual milestones.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13 percent or less by the end of fiscal 2017. We define average net working capital as net accounts receivable plus net inventory less accounts payable as a percentage of net sales for a twelve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Worldwide consolidated net sales for the third quarter of fiscal 2017 were $627.9 million, up 4.5 percent compared to $601.0 million in the third quarter of fiscal 2016. The net sales increase for the quarter comparison was primarily due to strong demand for our Professional segment landscape contractor zero-turn radius riding mowers, strong sales of our golf and grounds mowers, and increased irrigation sales due to our acquisition of Perrot that closed in the first quarter of fiscal 2017, partially offset by lower sales of Residential segment walk-power and zero-turn radius riding mowers mainly due to a transition in the timing of our Toro Days sales promotion to the second quarter of fiscal 2017, increased sales of our professional grade zero-turn radius riding mowers to homeowners with acreage, and weakened demand for our steering wheel zero-turn radius riding mowers. For the year-to-date period of fiscal 2017, net sales were $2,016.5 million, up 4.8 percent from the same period in the prior fiscal year. The year-to-date increase was primarily due to strong demand for products in our golf and grounds business, well-received new product releases in our Professional segment landscape contractor businesses, increased shipments of professional and residential snow and ice management products, continued growth in our rental and specialty construction businesses, and high demand for our Residential segment walk-power mowers, partially offset by decreased sales of our zero-turn radius riding mowers due to weakened demand for our steering wheel zero-turn radius riding mowers and increased sales of our professional grade zero-turn radius riding mowers to homeowners with acreage.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International net sales were up 9.8 percent and 4.8 percent for the third quarter and year-to-date periods of fiscal 2017, respectively. The net sales increase for the third quarter comparison was primarily due to sales from our Perrot acquisition that closed in the first quarter of fiscal 2017, increased sales of our Professional segment landscape contractor and Residential segment zero-turn radius riding mowers, and growth of our golf and grounds business, partially offset by lower sales of Residential segment walk-power mowers. The net sales increase for the year-to-date period comparison was mainly due to increased irrigation sales from our Perrot acquisition, along with increased Pope-branded irrigation product sales due to favorable weather conditions in Australia, growth of our golf and grounds business, and increased shipments of Professional segment landscape contractor equipment, partially offset by lower sales of our Residential segment walk-power and zero-turn radius riding mowers. Both periods of fiscal 2017 were negatively impacted by changes in foreign currency exchange rates.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292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5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August 4, 2017</w:t>
            </w: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July 29, 2016</w:t>
            </w:r>
          </w:p>
        </w:tc>
        <w:tc>
          <w:tcPr>
            <w:tcW w:w="15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August 4, 2017</w:t>
            </w: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July 29, 2016</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5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100.0%</w:t>
            </w:r>
          </w:p>
        </w:tc>
        <w:tc>
          <w:tcPr>
            <w:tcW w:w="14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15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100.0%</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540" w:type="dxa"/>
            <w:vAlign w:val="bottom"/>
          </w:tcPr>
          <w:p>
            <w:pPr>
              <w:jc w:val="right"/>
              <w:ind w:right="353"/>
              <w:spacing w:after="0"/>
              <w:rPr>
                <w:sz w:val="20"/>
                <w:szCs w:val="20"/>
                <w:color w:val="auto"/>
              </w:rPr>
            </w:pPr>
            <w:r>
              <w:rPr>
                <w:rFonts w:ascii="Arial" w:cs="Arial" w:eastAsia="Arial" w:hAnsi="Arial"/>
                <w:sz w:val="18"/>
                <w:szCs w:val="18"/>
                <w:color w:val="auto"/>
              </w:rPr>
              <w:t>63.9</w:t>
            </w:r>
          </w:p>
        </w:tc>
        <w:tc>
          <w:tcPr>
            <w:tcW w:w="1460" w:type="dxa"/>
            <w:vAlign w:val="bottom"/>
          </w:tcPr>
          <w:p>
            <w:pPr>
              <w:jc w:val="right"/>
              <w:ind w:right="312"/>
              <w:spacing w:after="0"/>
              <w:rPr>
                <w:sz w:val="20"/>
                <w:szCs w:val="20"/>
                <w:color w:val="auto"/>
              </w:rPr>
            </w:pPr>
            <w:r>
              <w:rPr>
                <w:rFonts w:ascii="Arial" w:cs="Arial" w:eastAsia="Arial" w:hAnsi="Arial"/>
                <w:sz w:val="18"/>
                <w:szCs w:val="18"/>
                <w:color w:val="auto"/>
              </w:rPr>
              <w:t>64.0</w:t>
            </w:r>
          </w:p>
        </w:tc>
        <w:tc>
          <w:tcPr>
            <w:tcW w:w="1540" w:type="dxa"/>
            <w:vAlign w:val="bottom"/>
          </w:tcPr>
          <w:p>
            <w:pPr>
              <w:jc w:val="right"/>
              <w:ind w:right="353"/>
              <w:spacing w:after="0"/>
              <w:rPr>
                <w:sz w:val="20"/>
                <w:szCs w:val="20"/>
                <w:color w:val="auto"/>
              </w:rPr>
            </w:pPr>
            <w:r>
              <w:rPr>
                <w:rFonts w:ascii="Arial" w:cs="Arial" w:eastAsia="Arial" w:hAnsi="Arial"/>
                <w:sz w:val="18"/>
                <w:szCs w:val="18"/>
                <w:color w:val="auto"/>
              </w:rPr>
              <w:t>63.5</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63.5</w:t>
            </w:r>
          </w:p>
        </w:tc>
      </w:tr>
      <w:tr>
        <w:trPr>
          <w:trHeight w:val="27"/>
        </w:trPr>
        <w:tc>
          <w:tcPr>
            <w:tcW w:w="4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36.1</w:t>
            </w:r>
          </w:p>
        </w:tc>
        <w:tc>
          <w:tcPr>
            <w:tcW w:w="1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36.0</w:t>
            </w:r>
          </w:p>
        </w:tc>
        <w:tc>
          <w:tcPr>
            <w:tcW w:w="1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36.5</w:t>
            </w:r>
          </w:p>
        </w:tc>
        <w:tc>
          <w:tcPr>
            <w:tcW w:w="1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36.5</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540" w:type="dxa"/>
            <w:vAlign w:val="bottom"/>
          </w:tcPr>
          <w:p>
            <w:pPr>
              <w:jc w:val="right"/>
              <w:ind w:right="353"/>
              <w:spacing w:after="0"/>
              <w:rPr>
                <w:sz w:val="20"/>
                <w:szCs w:val="20"/>
                <w:color w:val="auto"/>
              </w:rPr>
            </w:pPr>
            <w:r>
              <w:rPr>
                <w:rFonts w:ascii="Arial" w:cs="Arial" w:eastAsia="Arial" w:hAnsi="Arial"/>
                <w:sz w:val="18"/>
                <w:szCs w:val="18"/>
                <w:color w:val="auto"/>
              </w:rPr>
              <w:t>22.1</w:t>
            </w:r>
          </w:p>
        </w:tc>
        <w:tc>
          <w:tcPr>
            <w:tcW w:w="1460" w:type="dxa"/>
            <w:vAlign w:val="bottom"/>
          </w:tcPr>
          <w:p>
            <w:pPr>
              <w:jc w:val="right"/>
              <w:ind w:right="312"/>
              <w:spacing w:after="0"/>
              <w:rPr>
                <w:sz w:val="20"/>
                <w:szCs w:val="20"/>
                <w:color w:val="auto"/>
              </w:rPr>
            </w:pPr>
            <w:r>
              <w:rPr>
                <w:rFonts w:ascii="Arial" w:cs="Arial" w:eastAsia="Arial" w:hAnsi="Arial"/>
                <w:sz w:val="18"/>
                <w:szCs w:val="18"/>
                <w:color w:val="auto"/>
              </w:rPr>
              <w:t>22.4</w:t>
            </w:r>
          </w:p>
        </w:tc>
        <w:tc>
          <w:tcPr>
            <w:tcW w:w="1540" w:type="dxa"/>
            <w:vAlign w:val="bottom"/>
          </w:tcPr>
          <w:p>
            <w:pPr>
              <w:jc w:val="right"/>
              <w:ind w:right="353"/>
              <w:spacing w:after="0"/>
              <w:rPr>
                <w:sz w:val="20"/>
                <w:szCs w:val="20"/>
                <w:color w:val="auto"/>
              </w:rPr>
            </w:pPr>
            <w:r>
              <w:rPr>
                <w:rFonts w:ascii="Arial" w:cs="Arial" w:eastAsia="Arial" w:hAnsi="Arial"/>
                <w:sz w:val="18"/>
                <w:szCs w:val="18"/>
                <w:color w:val="auto"/>
              </w:rPr>
              <w:t>21.2</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21.4</w:t>
            </w:r>
          </w:p>
        </w:tc>
      </w:tr>
      <w:tr>
        <w:trPr>
          <w:trHeight w:val="27"/>
        </w:trPr>
        <w:tc>
          <w:tcPr>
            <w:tcW w:w="4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14.0</w:t>
            </w:r>
          </w:p>
        </w:tc>
        <w:tc>
          <w:tcPr>
            <w:tcW w:w="1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13.6</w:t>
            </w:r>
          </w:p>
        </w:tc>
        <w:tc>
          <w:tcPr>
            <w:tcW w:w="1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15.3</w:t>
            </w:r>
          </w:p>
        </w:tc>
        <w:tc>
          <w:tcPr>
            <w:tcW w:w="1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15.1</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540" w:type="dxa"/>
            <w:vAlign w:val="bottom"/>
          </w:tcPr>
          <w:p>
            <w:pPr>
              <w:jc w:val="right"/>
              <w:ind w:right="293"/>
              <w:spacing w:after="0"/>
              <w:rPr>
                <w:sz w:val="20"/>
                <w:szCs w:val="20"/>
                <w:color w:val="auto"/>
              </w:rPr>
            </w:pPr>
            <w:r>
              <w:rPr>
                <w:rFonts w:ascii="Arial" w:cs="Arial" w:eastAsia="Arial" w:hAnsi="Arial"/>
                <w:sz w:val="18"/>
                <w:szCs w:val="18"/>
                <w:color w:val="auto"/>
              </w:rPr>
              <w:t>(0.8)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(0.8)</w:t>
            </w:r>
          </w:p>
        </w:tc>
        <w:tc>
          <w:tcPr>
            <w:tcW w:w="1540" w:type="dxa"/>
            <w:vAlign w:val="bottom"/>
          </w:tcPr>
          <w:p>
            <w:pPr>
              <w:jc w:val="right"/>
              <w:ind w:right="293"/>
              <w:spacing w:after="0"/>
              <w:rPr>
                <w:sz w:val="20"/>
                <w:szCs w:val="20"/>
                <w:color w:val="auto"/>
              </w:rPr>
            </w:pPr>
            <w:r>
              <w:rPr>
                <w:rFonts w:ascii="Arial" w:cs="Arial" w:eastAsia="Arial" w:hAnsi="Arial"/>
                <w:sz w:val="18"/>
                <w:szCs w:val="18"/>
                <w:color w:val="auto"/>
              </w:rPr>
              <w:t>(0.7)</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(0.7)</w:t>
            </w:r>
          </w:p>
        </w:tc>
      </w:tr>
      <w:tr>
        <w:trPr>
          <w:trHeight w:val="27"/>
        </w:trPr>
        <w:tc>
          <w:tcPr>
            <w:tcW w:w="45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0.9</w:t>
            </w:r>
          </w:p>
        </w:tc>
        <w:tc>
          <w:tcPr>
            <w:tcW w:w="1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0.6</w:t>
            </w:r>
          </w:p>
        </w:tc>
        <w:tc>
          <w:tcPr>
            <w:tcW w:w="15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0.6</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254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3.2</w:t>
            </w:r>
          </w:p>
        </w:tc>
        <w:tc>
          <w:tcPr>
            <w:tcW w:w="14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4.1</w:t>
            </w: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3.6</w:t>
            </w:r>
          </w:p>
        </w:tc>
        <w:tc>
          <w:tcPr>
            <w:tcW w:w="13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4.6</w:t>
            </w:r>
          </w:p>
        </w:tc>
      </w:tr>
      <w:tr>
        <w:trPr>
          <w:trHeight w:val="27"/>
        </w:trPr>
        <w:tc>
          <w:tcPr>
            <w:tcW w:w="4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5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9.3%</w:t>
            </w:r>
          </w:p>
        </w:tc>
        <w:tc>
          <w:tcPr>
            <w:tcW w:w="15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11.6%</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w:t>
            </w:r>
          </w:p>
        </w:tc>
      </w:tr>
      <w:tr>
        <w:trPr>
          <w:trHeight w:val="20"/>
        </w:trPr>
        <w:tc>
          <w:tcPr>
            <w:tcW w:w="450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percentage of net sales, gross profit for the third quarter of fiscal 2017 was 36.1 percent, up 10 basis points when compared to the third quarter of fiscal 2016. The third quarter comparison results were up primarily due to the impact of segment mix and productivity improvements, which were partially offset by higher commodity and freight costs. Gross profit as a percentage of net sales for the fiscal 2017 year-to-date period was 36.5 percent, consistent with the same period last fiscal year. The year-to-date comparison results were also primarily due to productivity improvements and the impact of segment mix, offset by higher commodity and freight costs, as well as unfavorable foreign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expense increased $4.3 million, or 3.2 percent, for the third quarter of fiscal 2017 and increased $17.4 million, or 4.2 percent, for the year-to-date period of fiscal 2017. As a percentage of net sales, SG&amp;A expense decreased 30 basis points and 20 basis points for the third quarter and year-to-date periods of fiscal 2017, respectively. The decrease as a percentage of net sales for the third quarter comparison was primarily due to lower warranty and direct marketing expenses, partially offset by higher incentive expense attributable to improved expected company performance in fiscal 2017. SG&amp;A expense as a percentage of net sales for the year-to-date comparison was down compared to the prior fiscal year, mainly due to lower administrative and direct marketing expenses, partially offset by higher incentive expense as mentioned in the quarter comparison.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third quarter and year-to-date periods of fiscal 2017 increased by 2.2 percent and by 2.1 percent, respectively, when compared to the prior fiscal year comparative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net for the third quarter and year-to-date periods of fiscal 2017 increased by $1.9 million and by $1.1 million, respectively, compared to the same periods last fiscal year. The increase in the third quarter comparison was driven by foreign currency exchange rate gains. The increase in the year-to-date period of fiscal 2017 was mainly due to foreign currency exchange rate gains, partially offset by a litigation recovery and the sale of our Northwestern U.S. distribution company, both of which occurred in the first quarter of fiscal 2016 and did not repeat in fiscal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tax rate for the third quarter of fiscal 2017 was 22.6 percent compared to 30.9 percent in the third quarter of 2016. The effective tax rate for the year-to-date period of fiscal 2017 was 23.6 percent compared to 30.5 percent in the same period of fiscal 2016. The decrease in the third quarter of fiscal 2017 was primarily driven by discrete tax items, including favorable one-time adjustments related to prior years and a $2.9 million benefit related to share-based compensation due to the adoption of ASU 2016-09 in the first quarter of fiscal 2017. The decrease in the year-to-date period of fiscal 2017 was primarily driven by a discrete tax benefit of $18.9 million, related to share-based compensation. The adoption of ASU 2016-09 can add variability to our provision for income taxes, mainly due to the timing of stock option exercises, vesting of restricted stock units, and the trading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earnings for the third quarter of fiscal 2017 were $68.4 million, or $0.61 per diluted share, compared to $55.8 million, or $0.50 per diluted share, for the third quarter of fiscal 2016, resulting in a net earnings per diluted share increase of 22.0 percent. Year-to-date net earnings in fiscal 2017 were $233.9 million, or $2.10 per diluted share, compared to $200.8 million, or $1.79 per diluted share, in the prior fiscal year comparative period, resulting in a net earnings per diluted share increase of 17.3 percent. The primary factors contributing to the net earnings increase for the third quarter and year-to-date comparative periods included leveraging SG&amp;A expense over higher sales volumes and a lower effective tax rate, mainly driven by the adoption of ASU 2016-09 in the first quarter of fiscal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company-owned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August 4, 2017</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July 29, 2016</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468,564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427,784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40,780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42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152,127</w:t>
            </w:r>
          </w:p>
        </w:tc>
        <w:tc>
          <w:tcPr>
            <w:tcW w:w="32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167,815</w:t>
            </w:r>
          </w:p>
        </w:tc>
        <w:tc>
          <w:tcPr>
            <w:tcW w:w="380" w:type="dxa"/>
            <w:vAlign w:val="bottom"/>
          </w:tcPr>
          <w:p>
            <w:pPr>
              <w:spacing w:after="0"/>
              <w:rPr>
                <w:sz w:val="21"/>
                <w:szCs w:val="21"/>
                <w:color w:val="auto"/>
              </w:rPr>
            </w:pPr>
          </w:p>
        </w:tc>
        <w:tc>
          <w:tcPr>
            <w:tcW w:w="1440" w:type="dxa"/>
            <w:vAlign w:val="bottom"/>
          </w:tcPr>
          <w:p>
            <w:pPr>
              <w:jc w:val="right"/>
              <w:ind w:right="233"/>
              <w:spacing w:after="0"/>
              <w:rPr>
                <w:sz w:val="20"/>
                <w:szCs w:val="20"/>
                <w:color w:val="auto"/>
              </w:rPr>
            </w:pPr>
            <w:r>
              <w:rPr>
                <w:rFonts w:ascii="Arial" w:cs="Arial" w:eastAsia="Arial" w:hAnsi="Arial"/>
                <w:sz w:val="18"/>
                <w:szCs w:val="18"/>
                <w:color w:val="auto"/>
              </w:rPr>
              <w:t>(15,688)</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7,252</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5,381</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1,871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Total net sales*</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627,943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600,980</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rPr>
              <w:t>26,963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20" w:type="dxa"/>
            <w:vAlign w:val="bottom"/>
            <w:tcBorders>
              <w:top w:val="single" w:sz="8" w:color="auto"/>
            </w:tcBorders>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 Includes international net sales of:</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139,434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126,975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3"/>
              <w:spacing w:after="0"/>
              <w:rPr>
                <w:sz w:val="20"/>
                <w:szCs w:val="20"/>
                <w:color w:val="auto"/>
              </w:rPr>
            </w:pPr>
            <w:r>
              <w:rPr>
                <w:rFonts w:ascii="Arial" w:cs="Arial" w:eastAsia="Arial" w:hAnsi="Arial"/>
                <w:sz w:val="18"/>
                <w:szCs w:val="18"/>
                <w:color w:val="auto"/>
              </w:rPr>
              <w:t>12,459</w:t>
            </w:r>
          </w:p>
        </w:tc>
        <w:tc>
          <w:tcPr>
            <w:tcW w:w="1420" w:type="dxa"/>
            <w:vAlign w:val="bottom"/>
          </w:tcPr>
          <w:p>
            <w:pPr>
              <w:jc w:val="right"/>
              <w:spacing w:after="0"/>
              <w:rPr>
                <w:sz w:val="20"/>
                <w:szCs w:val="20"/>
                <w:color w:val="auto"/>
              </w:rPr>
            </w:pPr>
            <w:r>
              <w:rPr>
                <w:rFonts w:ascii="Arial" w:cs="Arial" w:eastAsia="Arial" w:hAnsi="Arial"/>
                <w:sz w:val="18"/>
                <w:szCs w:val="18"/>
                <w:color w:val="auto"/>
              </w:rPr>
              <w:t>9.8 %</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93"/>
        </w:trPr>
        <w:tc>
          <w:tcPr>
            <w:tcW w:w="4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tcPr>
          <w:p>
            <w:pPr>
              <w:spacing w:after="0"/>
              <w:rPr>
                <w:sz w:val="22"/>
                <w:szCs w:val="22"/>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August 4, 2017</w:t>
            </w:r>
          </w:p>
        </w:tc>
        <w:tc>
          <w:tcPr>
            <w:tcW w:w="320" w:type="dxa"/>
            <w:vAlign w:val="bottom"/>
          </w:tcPr>
          <w:p>
            <w:pPr>
              <w:spacing w:after="0"/>
              <w:rPr>
                <w:sz w:val="22"/>
                <w:szCs w:val="22"/>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July 29, 2016</w:t>
            </w:r>
          </w:p>
        </w:tc>
        <w:tc>
          <w:tcPr>
            <w:tcW w:w="380" w:type="dxa"/>
            <w:vAlign w:val="bottom"/>
          </w:tcPr>
          <w:p>
            <w:pPr>
              <w:spacing w:after="0"/>
              <w:rPr>
                <w:sz w:val="22"/>
                <w:szCs w:val="22"/>
                <w:color w:val="auto"/>
              </w:rPr>
            </w:pPr>
          </w:p>
        </w:tc>
        <w:tc>
          <w:tcPr>
            <w:tcW w:w="1440" w:type="dxa"/>
            <w:vAlign w:val="bottom"/>
          </w:tcPr>
          <w:p>
            <w:pPr>
              <w:jc w:val="right"/>
              <w:ind w:right="593"/>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 w:type="dxa"/>
            <w:vAlign w:val="bottom"/>
          </w:tcPr>
          <w:p>
            <w:pPr>
              <w:spacing w:after="0"/>
              <w:rPr>
                <w:sz w:val="21"/>
                <w:szCs w:val="21"/>
                <w:color w:val="auto"/>
              </w:rPr>
            </w:pPr>
          </w:p>
        </w:tc>
        <w:tc>
          <w:tcPr>
            <w:tcW w:w="3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1,451,269</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1,361,829</w:t>
            </w:r>
          </w:p>
        </w:tc>
        <w:tc>
          <w:tcPr>
            <w:tcW w:w="3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89,440</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550,651</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550,330</w:t>
            </w:r>
          </w:p>
        </w:tc>
        <w:tc>
          <w:tcPr>
            <w:tcW w:w="380" w:type="dxa"/>
            <w:vAlign w:val="bottom"/>
          </w:tcPr>
          <w:p>
            <w:pPr>
              <w:spacing w:after="0"/>
              <w:rPr>
                <w:sz w:val="21"/>
                <w:szCs w:val="21"/>
                <w:color w:val="auto"/>
              </w:rPr>
            </w:pPr>
          </w:p>
        </w:tc>
        <w:tc>
          <w:tcPr>
            <w:tcW w:w="1440" w:type="dxa"/>
            <w:vAlign w:val="bottom"/>
          </w:tcPr>
          <w:p>
            <w:pPr>
              <w:jc w:val="right"/>
              <w:ind w:right="253"/>
              <w:spacing w:after="0"/>
              <w:rPr>
                <w:sz w:val="20"/>
                <w:szCs w:val="20"/>
                <w:color w:val="auto"/>
              </w:rPr>
            </w:pPr>
            <w:r>
              <w:rPr>
                <w:rFonts w:ascii="Arial" w:cs="Arial" w:eastAsia="Arial" w:hAnsi="Arial"/>
                <w:sz w:val="18"/>
                <w:szCs w:val="18"/>
                <w:color w:val="auto"/>
              </w:rPr>
              <w:t>321</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14,629</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11,660</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2,969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net sales*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2,016,549</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1,923,819</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rPr>
              <w:t>92,730</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67"/>
        </w:trPr>
        <w:tc>
          <w:tcPr>
            <w:tcW w:w="4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8"/>
        </w:trPr>
        <w:tc>
          <w:tcPr>
            <w:tcW w:w="40" w:type="dxa"/>
            <w:vAlign w:val="bottom"/>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 Includes international net sales of:</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472,317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450,577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3"/>
              <w:spacing w:after="0"/>
              <w:rPr>
                <w:sz w:val="20"/>
                <w:szCs w:val="20"/>
                <w:color w:val="auto"/>
              </w:rPr>
            </w:pPr>
            <w:r>
              <w:rPr>
                <w:rFonts w:ascii="Arial" w:cs="Arial" w:eastAsia="Arial" w:hAnsi="Arial"/>
                <w:sz w:val="18"/>
                <w:szCs w:val="18"/>
                <w:color w:val="auto"/>
              </w:rPr>
              <w:t>21,740</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August 4, 2017</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July 29, 2016</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97,368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89,096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8,272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21"/>
                <w:szCs w:val="21"/>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11,360</w:t>
            </w:r>
          </w:p>
        </w:tc>
        <w:tc>
          <w:tcPr>
            <w:tcW w:w="30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12,767</w:t>
            </w:r>
          </w:p>
        </w:tc>
        <w:tc>
          <w:tcPr>
            <w:tcW w:w="340" w:type="dxa"/>
            <w:vAlign w:val="bottom"/>
          </w:tcPr>
          <w:p>
            <w:pPr>
              <w:spacing w:after="0"/>
              <w:rPr>
                <w:sz w:val="21"/>
                <w:szCs w:val="21"/>
                <w:color w:val="auto"/>
              </w:rPr>
            </w:pPr>
          </w:p>
        </w:tc>
        <w:tc>
          <w:tcPr>
            <w:tcW w:w="1460" w:type="dxa"/>
            <w:vAlign w:val="bottom"/>
          </w:tcPr>
          <w:p>
            <w:pPr>
              <w:jc w:val="right"/>
              <w:ind w:right="214"/>
              <w:spacing w:after="0"/>
              <w:rPr>
                <w:sz w:val="20"/>
                <w:szCs w:val="20"/>
                <w:color w:val="auto"/>
              </w:rPr>
            </w:pPr>
            <w:r>
              <w:rPr>
                <w:rFonts w:ascii="Arial" w:cs="Arial" w:eastAsia="Arial" w:hAnsi="Arial"/>
                <w:sz w:val="18"/>
                <w:szCs w:val="18"/>
                <w:color w:val="auto"/>
              </w:rPr>
              <w:t>(1,407)</w:t>
            </w: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731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Total earnings before income taxes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88,383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80,787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rPr>
              <w:t>7,596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3"/>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80"/>
        </w:trPr>
        <w:tc>
          <w:tcPr>
            <w:tcW w:w="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22"/>
                <w:szCs w:val="22"/>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w w:val="97"/>
              </w:rPr>
              <w:t>August 4, 2017</w:t>
            </w:r>
          </w:p>
        </w:tc>
        <w:tc>
          <w:tcPr>
            <w:tcW w:w="300" w:type="dxa"/>
            <w:vAlign w:val="bottom"/>
          </w:tcPr>
          <w:p>
            <w:pPr>
              <w:spacing w:after="0"/>
              <w:rPr>
                <w:sz w:val="22"/>
                <w:szCs w:val="22"/>
                <w:color w:val="auto"/>
              </w:rPr>
            </w:pPr>
          </w:p>
        </w:tc>
        <w:tc>
          <w:tcPr>
            <w:tcW w:w="1280" w:type="dxa"/>
            <w:vAlign w:val="bottom"/>
          </w:tcPr>
          <w:p>
            <w:pPr>
              <w:jc w:val="right"/>
              <w:ind w:right="296"/>
              <w:spacing w:after="0"/>
              <w:rPr>
                <w:sz w:val="20"/>
                <w:szCs w:val="20"/>
                <w:color w:val="auto"/>
              </w:rPr>
            </w:pPr>
            <w:r>
              <w:rPr>
                <w:rFonts w:ascii="Arial" w:cs="Arial" w:eastAsia="Arial" w:hAnsi="Arial"/>
                <w:sz w:val="14"/>
                <w:szCs w:val="14"/>
                <w:b w:val="1"/>
                <w:bCs w:val="1"/>
                <w:color w:val="auto"/>
              </w:rPr>
              <w:t>July 29, 2016</w:t>
            </w:r>
          </w:p>
        </w:tc>
        <w:tc>
          <w:tcPr>
            <w:tcW w:w="340" w:type="dxa"/>
            <w:vAlign w:val="bottom"/>
          </w:tcPr>
          <w:p>
            <w:pPr>
              <w:spacing w:after="0"/>
              <w:rPr>
                <w:sz w:val="22"/>
                <w:szCs w:val="22"/>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 Change</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 w:type="dxa"/>
            <w:vAlign w:val="bottom"/>
          </w:tcPr>
          <w:p>
            <w:pPr>
              <w:spacing w:after="0"/>
              <w:rPr>
                <w:sz w:val="21"/>
                <w:szCs w:val="21"/>
                <w:color w:val="auto"/>
              </w:rPr>
            </w:pPr>
          </w:p>
        </w:tc>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314,545</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292,311</w:t>
            </w:r>
          </w:p>
        </w:tc>
        <w:tc>
          <w:tcPr>
            <w:tcW w:w="3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22,234</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36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62,965</w:t>
            </w:r>
          </w:p>
        </w:tc>
        <w:tc>
          <w:tcPr>
            <w:tcW w:w="30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64,494</w:t>
            </w:r>
          </w:p>
        </w:tc>
        <w:tc>
          <w:tcPr>
            <w:tcW w:w="340" w:type="dxa"/>
            <w:vAlign w:val="bottom"/>
          </w:tcPr>
          <w:p>
            <w:pPr>
              <w:spacing w:after="0"/>
              <w:rPr>
                <w:sz w:val="21"/>
                <w:szCs w:val="21"/>
                <w:color w:val="auto"/>
              </w:rPr>
            </w:pPr>
          </w:p>
        </w:tc>
        <w:tc>
          <w:tcPr>
            <w:tcW w:w="1460" w:type="dxa"/>
            <w:vAlign w:val="bottom"/>
          </w:tcPr>
          <w:p>
            <w:pPr>
              <w:jc w:val="right"/>
              <w:ind w:right="234"/>
              <w:spacing w:after="0"/>
              <w:rPr>
                <w:sz w:val="20"/>
                <w:szCs w:val="20"/>
                <w:color w:val="auto"/>
              </w:rPr>
            </w:pPr>
            <w:r>
              <w:rPr>
                <w:rFonts w:ascii="Arial" w:cs="Arial" w:eastAsia="Arial" w:hAnsi="Arial"/>
                <w:sz w:val="18"/>
                <w:szCs w:val="18"/>
                <w:color w:val="auto"/>
              </w:rPr>
              <w:t>(1,529)</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(71,253)</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(68,079)</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(3,174)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earnings before income taxes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306,257</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288,726</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rPr>
              <w:t>17,531</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Worldwide net sales for our Professional segment in the third quarter and year-to-date periods of fiscal 2017 increased 9.5 percent and 6.6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Professional segment net sales increase for the third quarter comparison of fiscal 2017 was primarily due to strong demand for zero-turn radius riding mowers in our landscape contractor businesses, continued growth in our golf and grounds business with increased shipments of our Groundsmaster® and Greensmaster® series mowers, and increased irrigation sales due to our acquisition of Perrot that closed in the first quarter of fiscal 2017. Professional segment net sales growth for the year-to-date comparison of fiscal 2017 was largely due to strong demand for our innovative golf and grounds products, including the Workman® GTX utility vehicle, the introduction of new products in our landscape contractor businesses, including the Exmark-branded Radius® and the Toro-branded TITAN® HD zero-turn radius riding mowers, increased shipments of our BOSS® snow and ice management products impacted by favorable snowfalls in the first quarter of fiscal 2017, and continued demand for our rental and specialty construction compact utility loaders and tracked Mud Buggy™.</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Operating Earnings</w:t>
      </w:r>
      <w:r>
        <w:rPr>
          <w:rFonts w:ascii="Arial" w:cs="Arial" w:eastAsia="Arial" w:hAnsi="Arial"/>
          <w:sz w:val="16"/>
          <w:szCs w:val="16"/>
          <w:color w:val="auto"/>
        </w:rPr>
        <w:t>. Operating earnings for the Professional segment in the third quarter of fiscal 2017 increased by 9.3 percent compared to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2016, and when expressed as a percentage of net sales, remained consistent at 20.8 percent in the third quarter of fiscal 2017, compared to the same period in the prior fiscal year. As a percentage of net sales, the third quarter comparison of Professional segment operating earnings was impacted by lower gross margins primarily due to higher commodity costs and the impact of segment product mix, partially offset by productivity improvements and lower freight costs, as well as leveraging SG&amp;A expense over higher sales volumes. For the year-to-date period of fiscal 2017, Professional segment operating earnings increased by 7.6 percent compared to the same period in the prior fiscal year and increased to 21.7 percent as a percentage of net sales for the year-to-date period of fiscal 2017, compared to 21.5 percent in the same period last fiscal year. As a percentage of net sales, the year-to-date comparison of the Professional segment operating earnings increase was driven primarily by leveraging SG&amp;A expense over higher sales volumes and consistent gross margins when compared to the prior fiscal year comparative period, primarily due to higher commodity costs offset by productivity improvements.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Worldwide net sales for our Residential segment in the third quarter of fiscal 2017 decreased 9.3 percent compared to the prior fiscal year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our Residential segment in the year-to-date period of fiscal 2017 increased 0.1 percent compared to the prior fiscal year period. The Residential segment net sales decrease in the third quarter comparison was primarily due to a transition in the timing of our Toro Days sales promotion to the second quarter of fiscal 2017, increased sales of our professional grade zero-turn radius riding mowers to homeowners with acreage, and weakened demand for our steering wheel zero-turn radius riding mower, partially offset by higher shipments of Residential segment snow products in anticipation of the upcoming selling season. The year-to-date net sales increase was primarily due to increased shipments of our Residential segment snow products due to favorable snowfalls in the first quarter of fiscal 2017 and increased demand of for walk-power mowers, primarily offset by decreased sales of our zero-turn radius riding mowers due to weakened demand for our steering wheel zero-turn radius riding mowers and increased sales of our professional grade zero-turn radius riding mowers to homeowners with acreage.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Operating Earnings</w:t>
      </w:r>
      <w:r>
        <w:rPr>
          <w:rFonts w:ascii="Arial" w:cs="Arial" w:eastAsia="Arial" w:hAnsi="Arial"/>
          <w:sz w:val="16"/>
          <w:szCs w:val="16"/>
          <w:color w:val="auto"/>
        </w:rPr>
        <w:t>. Operating earnings for the Residential segment in the third quarter of fiscal 2017 decreased 11.0 percent, or expressed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decreased to 7.5 percent from 7.6 percent when compared to the third quarter of fiscal 2016. As a percentage of net sales, the third quarter comparison of the Residential segment operating earnings decrease was driven by lower gross margins primarily due to higher commodity and freight costs, partially offset by productivity improvements, as well as decreased SG&amp;A expense mainly due to lower warranty expense. For the year-to-date period of fiscal 2017, Residential segment operating earnings decreased 2.4 percent, or expressed as a percentage of net sales, decreased to 11.4 percent from 11.7 percent when compared to the same period last fiscal year. As a percentage of net sales, the year-to-date comparison of the Residential segment operating earnings decrease was primarily driven by an increase in SG&amp;A expense mainly due to increased engineering and warranty expense, as well as gross margins that were consistent with the prior fiscal year comparative period, primarily due to higher commodity and freight costs, offset by productivity improvements.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Other segment include sales from our wholly owned domestic distribution company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the distribution company. The Other segment net sales in the third quarter and year-to-date periods of fiscal 2017 increased by $1.9 million and $3.0 million, respectively, compared to the same period last fiscal year, mainly due to strong demand for our golf and grounds equipment that was sold through our wholly owned domestic distribution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Operating Loss</w:t>
      </w:r>
      <w:r>
        <w:rPr>
          <w:rFonts w:ascii="Arial" w:cs="Arial" w:eastAsia="Arial" w:hAnsi="Arial"/>
          <w:sz w:val="17"/>
          <w:szCs w:val="17"/>
          <w:color w:val="auto"/>
        </w:rPr>
        <w:t>. Operating loss for the Other segment decreased $0.7 million for the third quarter comparison primarily due to foreign currency exchange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instrument gains. Operating loss for the Other segment increased $3.2 million for the year-to-date period of fiscal 2017, compared to the same period last fiscal year, primarily attributable to higher incentive expense due to improved expected company performance in fiscal 2017, as well as the sale of our Northwestern U.S. distribution company in the first quarter of fiscal 2016 that was not repeated in fiscal 2017. The year-to-date operating loss increase was partially offset by foreign currency exchange rate derivative instrument gains.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remainder of fiscal 2017, we plan to continue to place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August 4, 2017, was 14.0 percent compared to 16.4 percent for the twelve months ended July 29, 2016. We calculate our average net working capital as net receivables plus net inventories, less accounts payable for a twelve month period as percentage of rolling twelve month net sales.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Inventory levels were up $21.9 million, or 6.7 percent, as of the end of the third quarter of fiscal 2017 compared to the end of the third quarter of fiscal 2016 due primarily to inventory increases to support strong forecasted Professional segment sales, as well as increases due to the acquisition of Perrot that closed in the first quarter of fiscal 2017. Accounts receivable as of the end of the third quarter of fiscal 2017 increased $19.2 million, or 9.5 percent, compared to the end of the third quarter of fiscal 2016 primarily due to increased sales and the acquisition of Perrot that closed in the first quarter of fiscal 2017. Our average days sales outstanding for receivables decreased to 30.1 days, based on sales for the last twelve months ended August 4, 2017, compared to 31.9 days for the twelve months ended July 29, 2016. In addition, accounts payable increased $39.3 million, or 22.8 percent, as of the end of our third quarter of fiscal 2017 compared to the end of the third quarter of fiscal 2016, due mainly to continued working capital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August 4, 2017, cash and short-term investments held by our foreign subsidiaries were approximately $111.5 million.</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of Directors approved a cash dividend of $0.175 per share for the third quarter of fiscal 2017 that was paid on July 12, 2017. This was an increase of 16.7 percent over our cash dividend of $0.15 per share for the third quarter of fiscal 2016.</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Cash Flow</w:t>
      </w:r>
      <w:r>
        <w:rPr>
          <w:rFonts w:ascii="Arial" w:cs="Arial" w:eastAsia="Arial" w:hAnsi="Arial"/>
          <w:sz w:val="17"/>
          <w:szCs w:val="17"/>
          <w:color w:val="auto"/>
        </w:rPr>
        <w:t>. Cash provided by operating activities for the first nine months of fiscal 2017 decreased $32.0 million compared to the first nine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2016. This nine month comparison change was mainly due to changes in working capital, partially offset by strong net earnings and a Red Iron exclusivity incentive payment. Cash used for investing activities increased $26.8 million during the first nine months of fiscal 2017 compared to the first nine months of fiscal 2016, primarily due to cash utilized for the Perrot acquisition that closed in the first quarter of fiscal 2017. Cash used for financing activities for the first nine months of fiscal 2017 increased $41.5 million compared to the first nine months of fiscal 2016, mainly due to more cash used for common stock repurchases, fewer stock option exercises, and increased common stock dividends paid.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Credit Lines and Other Capital Resources</w:t>
      </w:r>
      <w:r>
        <w:rPr>
          <w:rFonts w:ascii="Arial" w:cs="Arial" w:eastAsia="Arial" w:hAnsi="Arial"/>
          <w:sz w:val="17"/>
          <w:szCs w:val="17"/>
          <w:color w:val="auto"/>
        </w:rPr>
        <w:t>. Our businesses are seasonal, with accounts receivable balances historically increasing between January and</w:t>
      </w:r>
      <w:r>
        <w:rPr>
          <w:rFonts w:ascii="Arial" w:cs="Arial" w:eastAsia="Arial" w:hAnsi="Arial"/>
          <w:sz w:val="17"/>
          <w:szCs w:val="17"/>
          <w:i w:val="1"/>
          <w:iCs w:val="1"/>
          <w:color w:val="auto"/>
        </w:rPr>
        <w:t xml:space="preserve"> </w:t>
      </w:r>
      <w:r>
        <w:rPr>
          <w:rFonts w:ascii="Arial" w:cs="Arial" w:eastAsia="Arial" w:hAnsi="Arial"/>
          <w:sz w:val="17"/>
          <w:szCs w:val="17"/>
          <w:color w:val="auto"/>
        </w:rPr>
        <w:t>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$9.6 million. These facilities bear interest at various rates depending on the rates in their respective countries of operation. As of August 4, 2017 and July 29, 2016, we had no outstanding short-term debt under these lines of credit. As of August 4, 2017, we had $7.5 million of outstanding letters of credit and $152.1 million of unutilized availability under our credit agreements.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August 4, 2017, we had $331.8 million outstanding in long-term debt that includes $100.0 million of 7.8% debentures due June 15, 2027, $123.8 million of 6.625% senior notes due May 1, 2037, a $100.7 million term loan, a $10.0 million note due to the former owners of the BOSS business, and partially offsetting debt issuance costs and deferred charges of $2.7 million related to our outstanding long-term debt.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before interest, taxes,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August 4, 2017, we were not limited in the amount for payments of cash dividends and stock repurchases. We were in compliance with all covenants related to our credit agreement for our revolving credit facility as of August 4, 2017, and we expect to be in compliance with all covenants during the remainder of fiscal 2017.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third quarter of fiscal 2017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Red Iron joint venture with TCFIF provides inventory financing to certain distributors and dealers of our products in the U.S. that enables them to carry representative inventories of our products. Some independent international dealers continue to finance their products with a third party finance company. This third party financing company purchased $23.2 million of receivables from us during the first nine months of fiscal 2017. As of August 4, 2017, $10.8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nine months of fiscal 2017, average prices paid for commodities and components we purchase were slightly higher compared to the average prices paid for commodities and components in the first nine months of fiscal 2016. We intend to continue to closely follow prices of commodities and components that affect our product lines, and we anticipate average prices paid for some commodities and components to be slightly higher for the remainder of fiscal 2017, as compared to fiscal 2016.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2016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Updates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that updates the principles for recognizing revenue. The core principle of the guidance is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deferred the effective date of this standard by one year. We expect to adopt this guidance on November 1, 2018, as required, based on the new effective date. The guidance permits the use of either a retrospective or cumulative effect transition method. We have not yet selected a transition method but plan to select a transition method in the fourth quarter of fiscal 2017. We are currently assessing our contracts with customers and developing related financial disclosures to evaluate the impact of the amended guidance on our existing revenue recognition policies and procedures. The majority of our revenue arrangements generally consist of a single performance obligation to transfer promised goods or services. While we have not identified any material differences in the amount and timing of revenue recognition related to ASU 2014-09, our evaluation is not complete and, accordingly, we have not yet reached a conclusion on the overall impacts of adopting ASU 2014-09.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among other things, requires lessees to recognize most leases on-balance sheet. The standard requires the recognition of lease assets and lease liabilities by lessees for those leases classified as operating leases under previous GAAP. The amended guidance will become effective for us commencing in the first quarter of fiscal 2020. Entities are required to use a modified retrospective approach, with early adoption permitted. We are currently reviewing the revised guidance, assessing our leases, and related impact on our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amends guidance on the classification of certain cash receipts and payments in the statement of cash flows. The amended guidance will become effective for us commencing in the first quarter of fiscal 2019. Early adoption is permitted. We are currently evaluating the impact of this new standard on our Consolidated Financial Statements.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clarifies the definition of a business in Accounting Standards Codification 805. The amended guidance will become effective for us commencing in the first quarter of fiscal 2019. Early adoption is permitted. We are currently evaluating the impact of this new standard on our Consolidated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simplifies the accounting for goodwill impairments by eliminating step 2 from the goodwill impairment test. The amended guidance will become effective for us commencing in the first quarter of fiscal 2021. We are currently evaluating the impact of this new standard on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will become effective for us commencing in the first quarter of fiscal 2019. Early adoption is permitted. We are currently evaluating the impact of this new standard on our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4"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affected our operating results and could continue to result in declines in our reported net sales and net earnings.</w:t>
      </w:r>
    </w:p>
    <w:p>
      <w:pPr>
        <w:jc w:val="both"/>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international trade agreements may adversely affect our profit margins and business.</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level of property owners who outsource their lawn care and snow and ice removal activities; the level of residential and commercial construction; continued acceptance of and demand for micro-irrigation solutions for agricultural markets; the timing and occurrence of winter weather conditions;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timing of sales incentive programs.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product mix impact our financial performance, including profit margins and net earnings, as our Professional segment products generally have higher profit margins than our Residential segment products.</w:t>
      </w: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net sales and business could suffer.</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production labor needs fluctuate throughout the year, with a sharp increase in the number of production staff, some of which may be new to our manufacturing processes and safety protocols, during periods of peak manufacturing activity and any failure by our production labor force to adequately and safely perform their jobs could adversely affect our business, operating results, and reputation.</w:t>
      </w: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phishing, power loss or other disruptive events, our business, reputation, financial condition, and operating results could be adversely affected.</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in the U.S. or other countries in which we conduct business also may adversely affect our operating results, including, (i) taxation and tax policy changes, tax rate changes, new tax laws, revised tax law interpretations, which individually or in combination may cause our effective tax rate to increase,</w:t>
      </w:r>
    </w:p>
    <w:p>
      <w:pPr>
        <w:spacing w:after="0" w:line="3" w:lineRule="exact"/>
        <w:rPr>
          <w:rFonts w:ascii="Arial" w:cs="Arial" w:eastAsia="Arial" w:hAnsi="Arial"/>
          <w:sz w:val="16"/>
          <w:szCs w:val="16"/>
          <w:color w:val="auto"/>
        </w:rPr>
      </w:pPr>
    </w:p>
    <w:p>
      <w:pPr>
        <w:ind w:left="660" w:hanging="4"/>
        <w:spacing w:after="0" w:line="265" w:lineRule="auto"/>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healthcare laws or regulations, which may cause us to incur higher employee healthcare and other costs, or (iii) changes to international trade agreements that could result in additional duties or other charges on raw materials, whole goods or components we import.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comply with “conflict minerals” rules promulgated by the SEC, which has imposed costs on us and could raise reputational and other risks. We have, and we expect that we will continue to, incur additional costs and expenses, which may be significant in order to comply with these rules. Since our supply chain is complex, ultimately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1"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expanding and renovating our corporate facilities and could experience disruptions to our operations in connection with such efforts.</w:t>
      </w:r>
    </w:p>
    <w:p>
      <w:pPr>
        <w:spacing w:after="0" w:line="20"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or any quarterly financial guidance; man-made or natural disasters, such as Hurricane Harvey or Hurricane Irma,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new or revised accounting standards, including standards related to stock-based compensation and revenue recognition; and the threat of terrorist acts and war that may result in heightened security and higher costs for import and export shipments of components or finished goods, reduced leisure travel, and contraction of the U.S. and world economies.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 and refer to our most recent Annual Report on Form 10-K for discussion on equity market risk.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Foreign Currency Exchange Rate Risk</w:t>
      </w:r>
      <w:r>
        <w:rPr>
          <w:rFonts w:ascii="Arial" w:cs="Arial" w:eastAsia="Arial" w:hAnsi="Arial"/>
          <w:sz w:val="17"/>
          <w:szCs w:val="17"/>
          <w:color w:val="auto"/>
        </w:rPr>
        <w:t>. We are exposed to foreign currency exchange rate risk arising from transactions in the normal course of business,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reduce our exposure to foreign currency exchange rate risk, we actively manage the exposure of our foreign currency exchange rate risk by entering into various derivative instruments, authorized under company policies that place controls on these hedging activities, with counterparties that are highly rated financial institutions. Our policy does not allow the use of derivative instruments for trading or speculative purposes. We use derivative instruments only in an attempt to limit underlying exposure from foreign currency exchange rate fluctuations and to minimize earnings and cash flow volatility associated with foreign currency exchange rate fluctuations.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hedging activities primarily involve the use of forward currency contracts to hedge most foreign currency transactions, including existing foreign currency assets, liabilities and probable commitments and forecasted sales and purchases denominated in foreign currencies. We may also utilize forward currency contracts or cross currency swaps to offset intercompany loan exposures.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 For additional information regarding gains and losses on our derivative instruments, see Note 12 in our Notes to Condensed Consolidated Financial Statements under the heading "Derivative Instruments and Hedging Activities" included in Item 1 of this Quarterly Report on Form 10-Q.</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foreign currency exchange contracts have maturity dates in fiscal 2017 through fiscal 2019. All items are non-trading and stated in U.S. dollars. Certain derivative instruments we hold do not meet the cash flow hedge accounting criteria; therefore, changes in their fair value are recorded in other income, net.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and fair value impact of derivative instruments in other income, net, as of, and for the fiscal period ended, August 4,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 except average</w:t>
            </w:r>
          </w:p>
        </w:tc>
        <w:tc>
          <w:tcPr>
            <w:tcW w:w="2560" w:type="dxa"/>
            <w:vAlign w:val="bottom"/>
          </w:tcPr>
          <w:p>
            <w:pPr>
              <w:jc w:val="center"/>
              <w:ind w:left="137"/>
              <w:spacing w:after="0"/>
              <w:rPr>
                <w:sz w:val="20"/>
                <w:szCs w:val="20"/>
                <w:color w:val="auto"/>
              </w:rPr>
            </w:pPr>
            <w:r>
              <w:rPr>
                <w:rFonts w:ascii="Arial" w:cs="Arial" w:eastAsia="Arial" w:hAnsi="Arial"/>
                <w:sz w:val="14"/>
                <w:szCs w:val="14"/>
                <w:b w:val="1"/>
                <w:bCs w:val="1"/>
                <w:color w:val="auto"/>
                <w:w w:val="90"/>
              </w:rPr>
              <w:t>Average</w:t>
            </w:r>
          </w:p>
        </w:tc>
        <w:tc>
          <w:tcPr>
            <w:tcW w:w="162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Notional</w:t>
            </w:r>
          </w:p>
        </w:tc>
        <w:tc>
          <w:tcPr>
            <w:tcW w:w="196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Pre-tax Value in</w:t>
            </w: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2560" w:type="dxa"/>
            <w:vAlign w:val="bottom"/>
          </w:tcPr>
          <w:p>
            <w:pPr>
              <w:jc w:val="center"/>
              <w:ind w:left="137"/>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20" w:type="dxa"/>
            <w:vAlign w:val="bottom"/>
            <w:vMerge w:val="continue"/>
          </w:tcPr>
          <w:p>
            <w:pPr>
              <w:spacing w:after="0"/>
              <w:rPr>
                <w:sz w:val="12"/>
                <w:szCs w:val="12"/>
                <w:color w:val="auto"/>
              </w:rPr>
            </w:pPr>
          </w:p>
        </w:tc>
        <w:tc>
          <w:tcPr>
            <w:tcW w:w="19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Impact (Loss)</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contracted rate)</w:t>
            </w:r>
          </w:p>
        </w:tc>
        <w:tc>
          <w:tcPr>
            <w:tcW w:w="2560" w:type="dxa"/>
            <w:vAlign w:val="bottom"/>
            <w:tcBorders>
              <w:bottom w:val="single" w:sz="8" w:color="auto"/>
            </w:tcBorders>
          </w:tcPr>
          <w:p>
            <w:pPr>
              <w:jc w:val="center"/>
              <w:ind w:left="137"/>
              <w:spacing w:after="0"/>
              <w:rPr>
                <w:sz w:val="20"/>
                <w:szCs w:val="20"/>
                <w:color w:val="auto"/>
              </w:rPr>
            </w:pPr>
            <w:r>
              <w:rPr>
                <w:rFonts w:ascii="Arial" w:cs="Arial" w:eastAsia="Arial" w:hAnsi="Arial"/>
                <w:sz w:val="14"/>
                <w:szCs w:val="14"/>
                <w:b w:val="1"/>
                <w:bCs w:val="1"/>
                <w:color w:val="auto"/>
                <w:w w:val="98"/>
              </w:rPr>
              <w:t>Rate</w:t>
            </w:r>
          </w:p>
        </w:tc>
        <w:tc>
          <w:tcPr>
            <w:tcW w:w="16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Amount</w:t>
            </w:r>
          </w:p>
        </w:tc>
        <w:tc>
          <w:tcPr>
            <w:tcW w:w="19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Comprehensive Loss</w:t>
            </w: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Australian dollar</w:t>
            </w:r>
          </w:p>
        </w:tc>
        <w:tc>
          <w:tcPr>
            <w:tcW w:w="25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rPr>
              <w:t>0.7644</w:t>
            </w:r>
          </w:p>
        </w:tc>
        <w:tc>
          <w:tcPr>
            <w:tcW w:w="16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60,830.9</w:t>
            </w:r>
          </w:p>
        </w:tc>
        <w:tc>
          <w:tcPr>
            <w:tcW w:w="19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(1,646.1)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Buy US dollar/Sell Canadian dollar</w:t>
            </w:r>
          </w:p>
        </w:tc>
        <w:tc>
          <w:tcPr>
            <w:tcW w:w="2560" w:type="dxa"/>
            <w:vAlign w:val="bottom"/>
          </w:tcPr>
          <w:p>
            <w:pPr>
              <w:jc w:val="right"/>
              <w:ind w:right="337"/>
              <w:spacing w:after="0"/>
              <w:rPr>
                <w:sz w:val="20"/>
                <w:szCs w:val="20"/>
                <w:color w:val="auto"/>
              </w:rPr>
            </w:pPr>
            <w:r>
              <w:rPr>
                <w:rFonts w:ascii="Arial" w:cs="Arial" w:eastAsia="Arial" w:hAnsi="Arial"/>
                <w:sz w:val="18"/>
                <w:szCs w:val="18"/>
                <w:color w:val="auto"/>
              </w:rPr>
              <w:t>1.3118</w:t>
            </w:r>
          </w:p>
        </w:tc>
        <w:tc>
          <w:tcPr>
            <w:tcW w:w="1620" w:type="dxa"/>
            <w:vAlign w:val="bottom"/>
          </w:tcPr>
          <w:p>
            <w:pPr>
              <w:jc w:val="right"/>
              <w:ind w:right="115"/>
              <w:spacing w:after="0"/>
              <w:rPr>
                <w:sz w:val="20"/>
                <w:szCs w:val="20"/>
                <w:color w:val="auto"/>
              </w:rPr>
            </w:pPr>
            <w:r>
              <w:rPr>
                <w:rFonts w:ascii="Arial" w:cs="Arial" w:eastAsia="Arial" w:hAnsi="Arial"/>
                <w:sz w:val="18"/>
                <w:szCs w:val="18"/>
                <w:color w:val="auto"/>
              </w:rPr>
              <w:t>9,468.2</w:t>
            </w:r>
          </w:p>
        </w:tc>
        <w:tc>
          <w:tcPr>
            <w:tcW w:w="1960" w:type="dxa"/>
            <w:vAlign w:val="bottom"/>
          </w:tcPr>
          <w:p>
            <w:pPr>
              <w:jc w:val="right"/>
              <w:ind w:right="217"/>
              <w:spacing w:after="0"/>
              <w:rPr>
                <w:sz w:val="20"/>
                <w:szCs w:val="20"/>
                <w:color w:val="auto"/>
              </w:rPr>
            </w:pPr>
            <w:r>
              <w:rPr>
                <w:rFonts w:ascii="Arial" w:cs="Arial" w:eastAsia="Arial" w:hAnsi="Arial"/>
                <w:sz w:val="18"/>
                <w:szCs w:val="18"/>
                <w:color w:val="auto"/>
              </w:rPr>
              <w:t>(443.2)</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Euro</w:t>
            </w:r>
          </w:p>
        </w:tc>
        <w:tc>
          <w:tcPr>
            <w:tcW w:w="25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rPr>
              <w:t>1.1461</w:t>
            </w:r>
          </w:p>
        </w:tc>
        <w:tc>
          <w:tcPr>
            <w:tcW w:w="16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70,634.0</w:t>
            </w:r>
          </w:p>
        </w:tc>
        <w:tc>
          <w:tcPr>
            <w:tcW w:w="19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(2,752.3)</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1,211.2</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Buy US dollar/Sell British pound</w:t>
            </w:r>
          </w:p>
        </w:tc>
        <w:tc>
          <w:tcPr>
            <w:tcW w:w="2560" w:type="dxa"/>
            <w:vAlign w:val="bottom"/>
          </w:tcPr>
          <w:p>
            <w:pPr>
              <w:jc w:val="right"/>
              <w:ind w:right="337"/>
              <w:spacing w:after="0"/>
              <w:rPr>
                <w:sz w:val="20"/>
                <w:szCs w:val="20"/>
                <w:color w:val="auto"/>
              </w:rPr>
            </w:pPr>
            <w:r>
              <w:rPr>
                <w:rFonts w:ascii="Arial" w:cs="Arial" w:eastAsia="Arial" w:hAnsi="Arial"/>
                <w:sz w:val="18"/>
                <w:szCs w:val="18"/>
                <w:color w:val="auto"/>
              </w:rPr>
              <w:t>1.3109</w:t>
            </w:r>
          </w:p>
        </w:tc>
        <w:tc>
          <w:tcPr>
            <w:tcW w:w="1620" w:type="dxa"/>
            <w:vAlign w:val="bottom"/>
          </w:tcPr>
          <w:p>
            <w:pPr>
              <w:jc w:val="right"/>
              <w:ind w:right="115"/>
              <w:spacing w:after="0"/>
              <w:rPr>
                <w:sz w:val="20"/>
                <w:szCs w:val="20"/>
                <w:color w:val="auto"/>
              </w:rPr>
            </w:pPr>
            <w:r>
              <w:rPr>
                <w:rFonts w:ascii="Arial" w:cs="Arial" w:eastAsia="Arial" w:hAnsi="Arial"/>
                <w:sz w:val="18"/>
                <w:szCs w:val="18"/>
                <w:color w:val="auto"/>
              </w:rPr>
              <w:t>24,960.1</w:t>
            </w:r>
          </w:p>
        </w:tc>
        <w:tc>
          <w:tcPr>
            <w:tcW w:w="1960" w:type="dxa"/>
            <w:vAlign w:val="bottom"/>
          </w:tcPr>
          <w:p>
            <w:pPr>
              <w:jc w:val="right"/>
              <w:ind w:right="217"/>
              <w:spacing w:after="0"/>
              <w:rPr>
                <w:sz w:val="20"/>
                <w:szCs w:val="20"/>
                <w:color w:val="auto"/>
              </w:rPr>
            </w:pPr>
            <w:r>
              <w:rPr>
                <w:rFonts w:ascii="Arial" w:cs="Arial" w:eastAsia="Arial" w:hAnsi="Arial"/>
                <w:sz w:val="18"/>
                <w:szCs w:val="18"/>
                <w:color w:val="auto"/>
              </w:rPr>
              <w:t>(388.3)</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Buy Mexican peso/Sell US dollar</w:t>
            </w:r>
          </w:p>
        </w:tc>
        <w:tc>
          <w:tcPr>
            <w:tcW w:w="25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20.9055</w:t>
            </w:r>
          </w:p>
        </w:tc>
        <w:tc>
          <w:tcPr>
            <w:tcW w:w="1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15,522.7</w:t>
            </w:r>
          </w:p>
        </w:tc>
        <w:tc>
          <w:tcPr>
            <w:tcW w:w="19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1,700.0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Our market risk on interest rates relates primarily to LIBOR-based short-term debt and a term loan from commercial banks,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potential increase in fair value of our fixed-rate long-term debt resulting from a potential decrease in interest rates. We have no earnings or cash flow exposure due to market risks on our fixed-rate long-term debt obligations. We generally do not use interest rate swaps to mitigate the impact of fluctuations in interest rates. See our most recently filed Annual Report on Form 10-K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There has been no material change in this information.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Some raw materials used in our products are exposed to commodity price changes. The primary commodity price exposures 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steel, aluminum, petroleum and natural gas-based resins, and linerboard. In addition, we are a purchaser of components and parts containing various commodities, including steel, aluminum, copper, lead, rubber, and others that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integrated into our end products. Further information regarding changing prices for commodities is presented in Item 2 of this Quarterly Report on Form 10-Q, in the section titled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enter into fixed-price contracts for future purchases of natural gas in the normal course of operations as a means to manage natural gas price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quarter ended August 4, 2017 that has materially affected, or is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2017 stock repurchase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200" w:type="dxa"/>
            <w:vAlign w:val="bottom"/>
            <w:vMerge w:val="restart"/>
          </w:tcPr>
          <w:p>
            <w:pPr>
              <w:jc w:val="center"/>
              <w:ind w:left="799"/>
              <w:spacing w:after="0"/>
              <w:rPr>
                <w:sz w:val="20"/>
                <w:szCs w:val="20"/>
                <w:color w:val="auto"/>
              </w:rPr>
            </w:pPr>
            <w:r>
              <w:rPr>
                <w:rFonts w:ascii="Arial" w:cs="Arial" w:eastAsia="Arial" w:hAnsi="Arial"/>
                <w:sz w:val="14"/>
                <w:szCs w:val="14"/>
                <w:b w:val="1"/>
                <w:bCs w:val="1"/>
                <w:color w:val="auto"/>
                <w:w w:val="93"/>
              </w:rPr>
              <w:t>Total Number of</w:t>
            </w:r>
          </w:p>
        </w:tc>
        <w:tc>
          <w:tcPr>
            <w:tcW w:w="320" w:type="dxa"/>
            <w:vAlign w:val="bottom"/>
          </w:tcPr>
          <w:p>
            <w:pPr>
              <w:spacing w:after="0"/>
              <w:rPr>
                <w:sz w:val="14"/>
                <w:szCs w:val="14"/>
                <w:color w:val="auto"/>
              </w:rPr>
            </w:pPr>
          </w:p>
        </w:tc>
        <w:tc>
          <w:tcPr>
            <w:tcW w:w="120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w w:val="90"/>
              </w:rPr>
              <w:t>Average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0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20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2"/>
              </w:rPr>
              <w:t>Shares (or Units) that</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200" w:type="dxa"/>
            <w:vAlign w:val="bottom"/>
          </w:tcPr>
          <w:p>
            <w:pPr>
              <w:jc w:val="center"/>
              <w:ind w:left="799"/>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12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4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200" w:type="dxa"/>
            <w:vAlign w:val="bottom"/>
          </w:tcPr>
          <w:p>
            <w:pPr>
              <w:jc w:val="center"/>
              <w:ind w:left="799"/>
              <w:spacing w:after="0" w:line="149"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2"/>
                <w:szCs w:val="12"/>
                <w:color w:val="auto"/>
              </w:rPr>
            </w:pPr>
          </w:p>
        </w:tc>
        <w:tc>
          <w:tcPr>
            <w:tcW w:w="1200" w:type="dxa"/>
            <w:vAlign w:val="bottom"/>
          </w:tcPr>
          <w:p>
            <w:pPr>
              <w:jc w:val="center"/>
              <w:ind w:right="319"/>
              <w:spacing w:after="0" w:line="149" w:lineRule="exact"/>
              <w:rPr>
                <w:sz w:val="20"/>
                <w:szCs w:val="20"/>
                <w:color w:val="auto"/>
              </w:rPr>
            </w:pPr>
            <w:r>
              <w:rPr>
                <w:rFonts w:ascii="Arial" w:cs="Arial" w:eastAsia="Arial" w:hAnsi="Arial"/>
                <w:sz w:val="14"/>
                <w:szCs w:val="14"/>
                <w:b w:val="1"/>
                <w:bCs w:val="1"/>
                <w:color w:val="auto"/>
                <w:w w:val="92"/>
              </w:rPr>
              <w:t>per Share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center"/>
              <w:ind w:left="799"/>
              <w:spacing w:after="0"/>
              <w:rPr>
                <w:sz w:val="20"/>
                <w:szCs w:val="20"/>
                <w:color w:val="auto"/>
              </w:rPr>
            </w:pPr>
            <w:r>
              <w:rPr>
                <w:rFonts w:ascii="Arial" w:cs="Arial" w:eastAsia="Arial" w:hAnsi="Arial"/>
                <w:sz w:val="14"/>
                <w:szCs w:val="14"/>
                <w:b w:val="1"/>
                <w:bCs w:val="1"/>
                <w:color w:val="auto"/>
                <w:w w:val="94"/>
              </w:rPr>
              <w:t>(1) (2)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99"/>
              </w:rPr>
              <w:t>(or Unit)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204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6, 2017 through June 2, 2017</w:t>
            </w:r>
          </w:p>
        </w:tc>
        <w:tc>
          <w:tcPr>
            <w:tcW w:w="2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6,169,162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June 3, 2017 through June 30, 2017</w:t>
            </w:r>
          </w:p>
        </w:tc>
        <w:tc>
          <w:tcPr>
            <w:tcW w:w="22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1"/>
              <w:spacing w:after="0"/>
              <w:rPr>
                <w:sz w:val="20"/>
                <w:szCs w:val="20"/>
                <w:color w:val="auto"/>
              </w:rPr>
            </w:pPr>
            <w:r>
              <w:rPr>
                <w:rFonts w:ascii="Arial" w:cs="Arial" w:eastAsia="Arial" w:hAnsi="Arial"/>
                <w:sz w:val="18"/>
                <w:szCs w:val="18"/>
                <w:color w:val="auto"/>
              </w:rPr>
              <w:t>6,169,162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2017 through August 4, 2017</w:t>
            </w:r>
          </w:p>
        </w:tc>
        <w:tc>
          <w:tcPr>
            <w:tcW w:w="2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144,201</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70.44</w:t>
            </w:r>
          </w:p>
        </w:tc>
        <w:tc>
          <w:tcPr>
            <w:tcW w:w="1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143,010</w:t>
            </w:r>
          </w:p>
        </w:tc>
        <w:tc>
          <w:tcPr>
            <w:tcW w:w="2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6,026,152</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144,201</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70.44</w:t>
            </w:r>
          </w:p>
        </w:tc>
        <w:tc>
          <w:tcPr>
            <w:tcW w:w="19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143,010</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421"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in privately negotiated transactions. This program has no expiration date but may be terminated by the company’s Board of Directors at any time. The company repurchased 143,010 shares during the period indicated above under this program and 6,026,152 shares remain available to repurchase under this program.</w:t>
      </w:r>
    </w:p>
    <w:p>
      <w:pPr>
        <w:spacing w:after="0" w:line="71" w:lineRule="exact"/>
        <w:rPr>
          <w:rFonts w:ascii="Arial" w:cs="Arial" w:eastAsia="Arial" w:hAnsi="Arial"/>
          <w:sz w:val="20"/>
          <w:szCs w:val="20"/>
          <w:color w:val="auto"/>
          <w:vertAlign w:val="superscript"/>
        </w:rPr>
      </w:pPr>
    </w:p>
    <w:p>
      <w:pPr>
        <w:jc w:val="both"/>
        <w:ind w:firstLine="8"/>
        <w:spacing w:after="0" w:line="292"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Includes 1,191 units (shares) of the company’s common stock purchased in open-market transactions at an average price of $71.16 per share on behalf of a rabbi trust formed to pay benefit obligations of the company to participants in deferred compensation plans. These 1,191 shares were not repurchased under the company’s repurchase program described in footnote 1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in our Current Report on Form 8-K dated August 29, 2017, effective as of November 3, 2017 (i) our current Chairman of the Board, Michael J. Hoffman, will retire as Chairman of the Board and as a director, (ii) our current President and Chief Executive Officer, Richard M. Olson, will become Chairman of the Board, and (iii) our Board size will decrease from 11 to 10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55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on Form 8-K dated June 17, 2008, Commission File No. 1-8649).</w:t>
              </w:r>
            </w:hyperlink>
          </w:p>
        </w:tc>
        <w:tc>
          <w:tcPr>
            <w:tcW w:w="4920" w:type="dxa"/>
            <w:vAlign w:val="bottom"/>
            <w:gridSpan w:val="6"/>
          </w:tcPr>
          <w:p>
            <w:pPr>
              <w:spacing w:after="0"/>
              <w:rPr>
                <w:sz w:val="17"/>
                <w:szCs w:val="17"/>
                <w:color w:val="auto"/>
              </w:rPr>
            </w:pPr>
          </w:p>
        </w:tc>
      </w:tr>
      <w:tr>
        <w:trPr>
          <w:trHeight w:val="57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gridSpan w:val="9"/>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Form 8-K dated July 19, 2016, Commission File No. 1-8649).</w:t>
              </w:r>
            </w:hyperlink>
          </w:p>
        </w:tc>
        <w:tc>
          <w:tcPr>
            <w:tcW w:w="5180" w:type="dxa"/>
            <w:vAlign w:val="bottom"/>
            <w:gridSpan w:val="7"/>
          </w:tcPr>
          <w:p>
            <w:pPr>
              <w:spacing w:after="0"/>
              <w:rPr>
                <w:sz w:val="17"/>
                <w:szCs w:val="17"/>
                <w:color w:val="auto"/>
              </w:rPr>
            </w:pPr>
          </w:p>
        </w:tc>
      </w:tr>
      <w:tr>
        <w:trPr>
          <w:trHeight w:val="546"/>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Regulation S-T)</w:t>
            </w:r>
          </w:p>
        </w:tc>
      </w:tr>
      <w:tr>
        <w:trPr>
          <w:trHeight w:val="500"/>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34">
              <w:r>
                <w:rPr>
                  <w:rFonts w:ascii="Arial" w:cs="Arial" w:eastAsia="Arial" w:hAnsi="Arial"/>
                  <w:sz w:val="18"/>
                  <w:szCs w:val="18"/>
                  <w:color w:val="0000FF"/>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ind w:left="1760" w:right="20" w:hanging="1266"/>
        <w:spacing w:after="0" w:line="277" w:lineRule="auto"/>
        <w:tabs>
          <w:tab w:leader="none" w:pos="1760" w:val="left"/>
        </w:tabs>
        <w:numPr>
          <w:ilvl w:val="0"/>
          <w:numId w:val="7"/>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Section 906 of the Sarbanes-Oxley Act of 2002 (furnished herewith).</w:t>
        </w:r>
      </w:hyperlink>
    </w:p>
    <w:p>
      <w:pPr>
        <w:spacing w:after="0" w:line="279" w:lineRule="exact"/>
        <w:rPr>
          <w:rFonts w:ascii="Arial" w:cs="Arial" w:eastAsia="Arial" w:hAnsi="Arial"/>
          <w:sz w:val="18"/>
          <w:szCs w:val="18"/>
          <w:color w:val="auto"/>
        </w:rPr>
      </w:pPr>
    </w:p>
    <w:p>
      <w:pPr>
        <w:jc w:val="both"/>
        <w:ind w:left="1760" w:hanging="1266"/>
        <w:spacing w:after="0" w:line="274" w:lineRule="auto"/>
        <w:tabs>
          <w:tab w:leader="none" w:pos="1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August 4, 2017, filed with the SEC on September 7, 2017, formatted in eXtensible Business Reporting Language (XBRL):</w:t>
      </w:r>
    </w:p>
    <w:p>
      <w:pPr>
        <w:ind w:left="1980" w:hanging="230"/>
        <w:spacing w:after="0"/>
        <w:tabs>
          <w:tab w:leader="none" w:pos="1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August 4, 2017 and July 29, 2016,</w:t>
      </w:r>
    </w:p>
    <w:p>
      <w:pPr>
        <w:spacing w:after="0" w:line="32" w:lineRule="exact"/>
        <w:rPr>
          <w:rFonts w:ascii="Arial" w:cs="Arial" w:eastAsia="Arial" w:hAnsi="Arial"/>
          <w:sz w:val="16"/>
          <w:szCs w:val="16"/>
          <w:color w:val="auto"/>
        </w:rPr>
      </w:pPr>
    </w:p>
    <w:p>
      <w:pPr>
        <w:jc w:val="both"/>
        <w:ind w:left="1760" w:hanging="10"/>
        <w:spacing w:after="0" w:line="265" w:lineRule="auto"/>
        <w:tabs>
          <w:tab w:leader="none" w:pos="2035" w:val="left"/>
        </w:tabs>
        <w:numPr>
          <w:ilvl w:val="1"/>
          <w:numId w:val="8"/>
        </w:numPr>
        <w:rPr>
          <w:rFonts w:ascii="Arial" w:cs="Arial" w:eastAsia="Arial" w:hAnsi="Arial"/>
          <w:sz w:val="17"/>
          <w:szCs w:val="17"/>
          <w:color w:val="auto"/>
        </w:rPr>
      </w:pPr>
      <w:r>
        <w:rPr>
          <w:rFonts w:ascii="Arial" w:cs="Arial" w:eastAsia="Arial" w:hAnsi="Arial"/>
          <w:sz w:val="17"/>
          <w:szCs w:val="17"/>
          <w:color w:val="auto"/>
        </w:rPr>
        <w:t>Condensed Consolidated Statements of Comprehensive Income for the three and nine-month periods ended August 4, 2017 and July 29, 2016, (iii) Condensed Consolidated Balance Sheets as of August 4, 2017, July 29, 2016, and October 31, 2016,</w:t>
      </w:r>
    </w:p>
    <w:p>
      <w:pPr>
        <w:ind w:left="2080" w:hanging="330"/>
        <w:spacing w:after="0"/>
        <w:tabs>
          <w:tab w:leader="none" w:pos="2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Condensed Consolidated Statement of Cash Flows for the nine-month periods ended August 4, 2017 and July 29, 2016, and</w:t>
      </w:r>
    </w:p>
    <w:p>
      <w:pPr>
        <w:spacing w:after="0" w:line="32" w:lineRule="exact"/>
        <w:rPr>
          <w:rFonts w:ascii="Arial" w:cs="Arial" w:eastAsia="Arial" w:hAnsi="Arial"/>
          <w:sz w:val="16"/>
          <w:szCs w:val="16"/>
          <w:color w:val="auto"/>
        </w:rPr>
      </w:pPr>
    </w:p>
    <w:p>
      <w:pPr>
        <w:ind w:left="2000" w:hanging="250"/>
        <w:spacing w:after="0"/>
        <w:tabs>
          <w:tab w:leader="none" w:pos="2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08"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September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59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5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August 4, 2017 as filed with the Securities and Exchange Commission on the date hereof (the “Report”), we, Richard M. Olson,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5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7,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5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7, 2017</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lowerRoman"/>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2"/>
    </w:lvl>
  </w:abstractNum>
  <w:abstractNum w:abstractNumId="7">
    <w:nsid w:val="4DB127F8"/>
    <w:multiLevelType w:val="hybridMultilevel"/>
    <w:lvl w:ilvl="0">
      <w:lvlJc w:val="left"/>
      <w:lvlText w:val="%1"/>
      <w:numFmt w:val="decimal"/>
      <w:start w:val="101"/>
    </w:lvl>
    <w:lvl w:ilvl="1">
      <w:lvlJc w:val="left"/>
      <w:lvlText w:val="(%2)"/>
      <w:numFmt w:val="lowerRoman"/>
      <w:start w:val="1"/>
    </w:lvl>
  </w:abstractNum>
  <w:abstractNum w:abstractNumId="8">
    <w:nsid w:val="216231B"/>
    <w:multiLevelType w:val="hybridMultilevel"/>
    <w:lvl w:ilvl="0">
      <w:lvlJc w:val="left"/>
      <w:lvlText w:val="%1"/>
      <w:numFmt w:val="decimal"/>
      <w:start w:val="1"/>
    </w:lvl>
    <w:lvl w:ilvl="1">
      <w:lvlJc w:val="left"/>
      <w:lvlText w:val="(%2)"/>
      <w:numFmt w:val="lowerRoman"/>
      <w:start w:val="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28" Type="http://schemas.openxmlformats.org/officeDocument/2006/relationships/hyperlink" Target="http://www.sec.gov/Archives/edgar/data/737758/000073775808000033/form8-k06172008exhibitcert.htm" TargetMode="External"/><Relationship Id="rId29" Type="http://schemas.openxmlformats.org/officeDocument/2006/relationships/hyperlink" Target="http://www.sec.gov/Archives/edgar/data/737758/000119312513105223/d501846dex31.htm" TargetMode="External"/><Relationship Id="rId30" Type="http://schemas.openxmlformats.org/officeDocument/2006/relationships/hyperlink" Target="http://www.sec.gov/Archives/edgar/data/737758/000110465916133324/a16-15127_1ex3d1.htm" TargetMode="External"/><Relationship Id="rId31" Type="http://schemas.openxmlformats.org/officeDocument/2006/relationships/hyperlink" Target="http://www.sec.gov/Archives/edgar/data/737758/000110465907030051/a07-10570_1ex4d3.htm" TargetMode="External"/><Relationship Id="rId32" Type="http://schemas.openxmlformats.org/officeDocument/2006/relationships/hyperlink" Target="http://www.sec.gov/Archives/edgar/data/737758/000110465907031757/a07-10570_5ex4d1.htm" TargetMode="External"/><Relationship Id="rId33"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2019-12-29T04:43:08Z</dcterms:created>
  <dcterms:modified xsi:type="dcterms:W3CDTF">2019-12-29T04:43:08Z</dcterms:modified>
</cp:coreProperties>
</file>