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689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8941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08/27/2012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7"/>
        <w:spacing w:after="0"/>
        <w:rPr>
          <w:sz w:val="20"/>
          <w:szCs w:val="20"/>
          <w:color w:val="auto"/>
        </w:rPr>
      </w:pPr>
      <w:r>
        <w:rPr>
          <w:rFonts w:ascii="Arial" w:cs="Arial" w:eastAsia="Arial" w:hAnsi="Arial"/>
          <w:sz w:val="17"/>
          <w:szCs w:val="17"/>
          <w:color w:val="0000FF"/>
        </w:rPr>
        <w:t>VP, Corporate Controller</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jc w:val="center"/>
              <w:ind w:left="4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93"/>
              </w:rPr>
              <w:t>08/27/2012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8,400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22.45</w:t>
            </w:r>
          </w:p>
        </w:tc>
        <w:tc>
          <w:tcPr>
            <w:tcW w:w="156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7"/>
              </w:rPr>
              <w:t>12,467.072</w:t>
            </w:r>
            <w:r>
              <w:rPr>
                <w:rFonts w:ascii="Arial" w:cs="Arial" w:eastAsia="Arial" w:hAnsi="Arial"/>
                <w:sz w:val="22"/>
                <w:szCs w:val="22"/>
                <w:color w:val="008000"/>
                <w:w w:val="87"/>
                <w:vertAlign w:val="superscript"/>
              </w:rPr>
              <w:t>(1)</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93"/>
              </w:rPr>
              <w:t>08/27/2012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8,400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37.463</w:t>
            </w:r>
            <w:r>
              <w:rPr>
                <w:rFonts w:ascii="Arial" w:cs="Arial" w:eastAsia="Arial" w:hAnsi="Arial"/>
                <w:sz w:val="22"/>
                <w:szCs w:val="22"/>
                <w:color w:val="008000"/>
                <w:w w:val="88"/>
                <w:vertAlign w:val="superscript"/>
              </w:rPr>
              <w:t>(2)</w:t>
            </w:r>
          </w:p>
        </w:tc>
        <w:tc>
          <w:tcPr>
            <w:tcW w:w="156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92"/>
              </w:rPr>
              <w:t>4,067.072</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00" w:type="dxa"/>
            <w:vAlign w:val="bottom"/>
            <w:gridSpan w:val="2"/>
          </w:tcPr>
          <w:p>
            <w:pPr>
              <w:jc w:val="center"/>
              <w:ind w:left="488"/>
              <w:spacing w:after="0"/>
              <w:rPr>
                <w:sz w:val="20"/>
                <w:szCs w:val="20"/>
                <w:color w:val="auto"/>
              </w:rPr>
            </w:pPr>
            <w:r>
              <w:rPr>
                <w:rFonts w:ascii="Arial" w:cs="Arial" w:eastAsia="Arial" w:hAnsi="Arial"/>
                <w:sz w:val="17"/>
                <w:szCs w:val="17"/>
                <w:color w:val="0000FF"/>
                <w:w w:val="93"/>
              </w:rPr>
              <w:t>08/27/2012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Pr>
          <w:p>
            <w:pPr>
              <w:ind w:left="160"/>
              <w:spacing w:after="0"/>
              <w:rPr>
                <w:sz w:val="20"/>
                <w:szCs w:val="20"/>
                <w:color w:val="auto"/>
              </w:rPr>
            </w:pPr>
            <w:r>
              <w:rPr>
                <w:rFonts w:ascii="Arial" w:cs="Arial" w:eastAsia="Arial" w:hAnsi="Arial"/>
                <w:sz w:val="17"/>
                <w:szCs w:val="17"/>
                <w:color w:val="0000FF"/>
              </w:rPr>
              <w:t>8,200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3"/>
                <w:szCs w:val="23"/>
                <w:color w:val="auto"/>
              </w:rPr>
            </w:pPr>
          </w:p>
        </w:tc>
        <w:tc>
          <w:tcPr>
            <w:tcW w:w="720" w:type="dxa"/>
            <w:vAlign w:val="bottom"/>
          </w:tcPr>
          <w:p>
            <w:pPr>
              <w:jc w:val="center"/>
              <w:ind w:right="6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27.465</w:t>
            </w:r>
          </w:p>
        </w:tc>
        <w:tc>
          <w:tcPr>
            <w:tcW w:w="1560" w:type="dxa"/>
            <w:vAlign w:val="bottom"/>
            <w:gridSpan w:val="3"/>
          </w:tcPr>
          <w:p>
            <w:pPr>
              <w:jc w:val="center"/>
              <w:ind w:right="319"/>
              <w:spacing w:after="0"/>
              <w:rPr>
                <w:sz w:val="20"/>
                <w:szCs w:val="20"/>
                <w:color w:val="auto"/>
              </w:rPr>
            </w:pPr>
            <w:r>
              <w:rPr>
                <w:rFonts w:ascii="Arial" w:cs="Arial" w:eastAsia="Arial" w:hAnsi="Arial"/>
                <w:sz w:val="17"/>
                <w:szCs w:val="17"/>
                <w:color w:val="0000FF"/>
                <w:w w:val="91"/>
              </w:rPr>
              <w:t>12,267.072</w:t>
            </w: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93"/>
              </w:rPr>
              <w:t>08/27/2012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8,200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37.397</w:t>
            </w:r>
            <w:r>
              <w:rPr>
                <w:rFonts w:ascii="Arial" w:cs="Arial" w:eastAsia="Arial" w:hAnsi="Arial"/>
                <w:sz w:val="22"/>
                <w:szCs w:val="22"/>
                <w:color w:val="008000"/>
                <w:w w:val="88"/>
                <w:vertAlign w:val="superscript"/>
              </w:rPr>
              <w:t>(3)</w:t>
            </w:r>
          </w:p>
        </w:tc>
        <w:tc>
          <w:tcPr>
            <w:tcW w:w="156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92"/>
              </w:rPr>
              <w:t>4,067.072</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gridSpan w:val="3"/>
          </w:tcPr>
          <w:p>
            <w:pPr>
              <w:jc w:val="center"/>
              <w:ind w:right="319"/>
              <w:spacing w:after="0" w:line="212" w:lineRule="exact"/>
              <w:rPr>
                <w:sz w:val="20"/>
                <w:szCs w:val="20"/>
                <w:color w:val="auto"/>
              </w:rPr>
            </w:pPr>
            <w:r>
              <w:rPr>
                <w:rFonts w:ascii="Arial" w:cs="Arial" w:eastAsia="Arial" w:hAnsi="Arial"/>
                <w:sz w:val="17"/>
                <w:szCs w:val="17"/>
                <w:color w:val="0000FF"/>
                <w:w w:val="87"/>
              </w:rPr>
              <w:t>12,383.122</w:t>
            </w:r>
            <w:r>
              <w:rPr>
                <w:rFonts w:ascii="Arial" w:cs="Arial" w:eastAsia="Arial" w:hAnsi="Arial"/>
                <w:sz w:val="22"/>
                <w:szCs w:val="22"/>
                <w:color w:val="008000"/>
                <w:w w:val="87"/>
                <w:vertAlign w:val="superscript"/>
              </w:rPr>
              <w:t>(4)</w:t>
            </w: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7"/>
              </w:rPr>
              <w:t>4,211.954</w:t>
            </w:r>
            <w:r>
              <w:rPr>
                <w:rFonts w:ascii="Arial" w:cs="Arial" w:eastAsia="Arial" w:hAnsi="Arial"/>
                <w:sz w:val="22"/>
                <w:szCs w:val="22"/>
                <w:color w:val="008000"/>
                <w:w w:val="87"/>
                <w:vertAlign w:val="superscript"/>
              </w:rPr>
              <w:t>(5)</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jc w:val="center"/>
              <w:ind w:right="80"/>
              <w:spacing w:after="0" w:line="20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r>
              <w:rPr>
                <w:rFonts w:ascii="Arial" w:cs="Arial" w:eastAsia="Arial" w:hAnsi="Arial"/>
                <w:sz w:val="22"/>
                <w:szCs w:val="22"/>
                <w:color w:val="008000"/>
                <w:vertAlign w:val="superscript"/>
              </w:rPr>
              <w:t>(6)</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08/27/2012</w:t>
            </w:r>
          </w:p>
        </w:tc>
        <w:tc>
          <w:tcPr>
            <w:tcW w:w="114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8"/>
                <w:szCs w:val="18"/>
                <w:color w:val="auto"/>
              </w:rPr>
            </w:pPr>
          </w:p>
        </w:tc>
        <w:tc>
          <w:tcPr>
            <w:tcW w:w="760" w:type="dxa"/>
            <w:vAlign w:val="bottom"/>
            <w:gridSpan w:val="2"/>
          </w:tcPr>
          <w:p>
            <w:pPr>
              <w:ind w:left="320"/>
              <w:spacing w:after="0" w:line="208" w:lineRule="exact"/>
              <w:rPr>
                <w:sz w:val="20"/>
                <w:szCs w:val="20"/>
                <w:color w:val="auto"/>
              </w:rPr>
            </w:pPr>
            <w:r>
              <w:rPr>
                <w:rFonts w:ascii="Arial" w:cs="Arial" w:eastAsia="Arial" w:hAnsi="Arial"/>
                <w:sz w:val="13"/>
                <w:szCs w:val="13"/>
                <w:color w:val="0000FF"/>
                <w:w w:val="83"/>
              </w:rPr>
              <w:t>8,400</w:t>
            </w:r>
            <w:r>
              <w:rPr>
                <w:rFonts w:ascii="Arial" w:cs="Arial" w:eastAsia="Arial" w:hAnsi="Arial"/>
                <w:sz w:val="22"/>
                <w:szCs w:val="22"/>
                <w:color w:val="008000"/>
                <w:w w:val="83"/>
                <w:vertAlign w:val="superscript"/>
              </w:rPr>
              <w:t>(6)</w:t>
            </w:r>
          </w:p>
        </w:tc>
        <w:tc>
          <w:tcPr>
            <w:tcW w:w="800" w:type="dxa"/>
            <w:vAlign w:val="bottom"/>
          </w:tcPr>
          <w:p>
            <w:pPr>
              <w:ind w:left="160"/>
              <w:spacing w:after="0"/>
              <w:rPr>
                <w:sz w:val="20"/>
                <w:szCs w:val="20"/>
                <w:color w:val="auto"/>
              </w:rPr>
            </w:pPr>
            <w:r>
              <w:rPr>
                <w:rFonts w:ascii="Arial" w:cs="Arial" w:eastAsia="Arial" w:hAnsi="Arial"/>
                <w:sz w:val="13"/>
                <w:szCs w:val="13"/>
                <w:color w:val="0000FF"/>
                <w:w w:val="95"/>
              </w:rPr>
              <w:t>11/30/2007</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11/30/2016</w:t>
            </w:r>
          </w:p>
        </w:tc>
        <w:tc>
          <w:tcPr>
            <w:tcW w:w="600" w:type="dxa"/>
            <w:vAlign w:val="bottom"/>
            <w:gridSpan w:val="2"/>
          </w:tcPr>
          <w:p>
            <w:pPr>
              <w:ind w:left="100"/>
              <w:spacing w:after="0"/>
              <w:rPr>
                <w:sz w:val="20"/>
                <w:szCs w:val="20"/>
                <w:color w:val="auto"/>
              </w:rPr>
            </w:pPr>
            <w:r>
              <w:rPr>
                <w:rFonts w:ascii="Arial" w:cs="Arial" w:eastAsia="Arial" w:hAnsi="Arial"/>
                <w:sz w:val="13"/>
                <w:szCs w:val="13"/>
                <w:color w:val="0000FF"/>
                <w:w w:val="90"/>
              </w:rPr>
              <w:t>Common</w:t>
            </w:r>
          </w:p>
        </w:tc>
        <w:tc>
          <w:tcPr>
            <w:tcW w:w="720" w:type="dxa"/>
            <w:vAlign w:val="bottom"/>
          </w:tcPr>
          <w:p>
            <w:pPr>
              <w:ind w:left="140"/>
              <w:spacing w:after="0" w:line="208" w:lineRule="exact"/>
              <w:rPr>
                <w:sz w:val="20"/>
                <w:szCs w:val="20"/>
                <w:color w:val="auto"/>
              </w:rPr>
            </w:pPr>
            <w:r>
              <w:rPr>
                <w:rFonts w:ascii="Arial" w:cs="Arial" w:eastAsia="Arial" w:hAnsi="Arial"/>
                <w:sz w:val="17"/>
                <w:szCs w:val="17"/>
                <w:color w:val="0000FF"/>
                <w:w w:val="92"/>
              </w:rPr>
              <w:t>8,400</w:t>
            </w:r>
            <w:r>
              <w:rPr>
                <w:rFonts w:ascii="Arial" w:cs="Arial" w:eastAsia="Arial" w:hAnsi="Arial"/>
                <w:sz w:val="22"/>
                <w:szCs w:val="22"/>
                <w:color w:val="008000"/>
                <w:w w:val="92"/>
                <w:vertAlign w:val="superscript"/>
              </w:rPr>
              <w:t>(6)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rPr>
                <w:sz w:val="20"/>
                <w:szCs w:val="20"/>
                <w:color w:val="auto"/>
              </w:rPr>
            </w:pPr>
            <w:r>
              <w:rPr>
                <w:rFonts w:ascii="Arial" w:cs="Arial" w:eastAsia="Arial" w:hAnsi="Arial"/>
                <w:sz w:val="13"/>
                <w:szCs w:val="13"/>
                <w:color w:val="0000FF"/>
              </w:rPr>
              <w:t>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ind w:left="60"/>
              <w:spacing w:after="0" w:line="85" w:lineRule="exact"/>
              <w:rPr>
                <w:sz w:val="20"/>
                <w:szCs w:val="20"/>
                <w:color w:val="auto"/>
              </w:rPr>
            </w:pPr>
            <w:r>
              <w:rPr>
                <w:rFonts w:ascii="Arial" w:cs="Arial" w:eastAsia="Arial" w:hAnsi="Arial"/>
                <w:sz w:val="9"/>
                <w:szCs w:val="9"/>
                <w:color w:val="0000FF"/>
              </w:rPr>
              <w:t>Stock</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ind w:left="200"/>
              <w:spacing w:after="0" w:line="85" w:lineRule="exact"/>
              <w:rPr>
                <w:sz w:val="20"/>
                <w:szCs w:val="20"/>
                <w:color w:val="auto"/>
              </w:rPr>
            </w:pPr>
            <w:r>
              <w:rPr>
                <w:rFonts w:ascii="Arial" w:cs="Arial" w:eastAsia="Arial" w:hAnsi="Arial"/>
                <w:sz w:val="9"/>
                <w:szCs w:val="9"/>
                <w:color w:val="0000FF"/>
              </w:rPr>
              <w:t>Stock</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jc w:val="center"/>
              <w:ind w:right="40"/>
              <w:spacing w:after="0" w:line="20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27.465</w:t>
            </w:r>
            <w:r>
              <w:rPr>
                <w:rFonts w:ascii="Arial" w:cs="Arial" w:eastAsia="Arial" w:hAnsi="Arial"/>
                <w:sz w:val="22"/>
                <w:szCs w:val="22"/>
                <w:color w:val="008000"/>
                <w:vertAlign w:val="superscript"/>
              </w:rPr>
              <w:t>(7)</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08/27/2012</w:t>
            </w:r>
          </w:p>
        </w:tc>
        <w:tc>
          <w:tcPr>
            <w:tcW w:w="114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8"/>
                <w:szCs w:val="18"/>
                <w:color w:val="auto"/>
              </w:rPr>
            </w:pPr>
          </w:p>
        </w:tc>
        <w:tc>
          <w:tcPr>
            <w:tcW w:w="760" w:type="dxa"/>
            <w:vAlign w:val="bottom"/>
            <w:gridSpan w:val="2"/>
          </w:tcPr>
          <w:p>
            <w:pPr>
              <w:ind w:left="320"/>
              <w:spacing w:after="0" w:line="208" w:lineRule="exact"/>
              <w:rPr>
                <w:sz w:val="20"/>
                <w:szCs w:val="20"/>
                <w:color w:val="auto"/>
              </w:rPr>
            </w:pPr>
            <w:r>
              <w:rPr>
                <w:rFonts w:ascii="Arial" w:cs="Arial" w:eastAsia="Arial" w:hAnsi="Arial"/>
                <w:sz w:val="13"/>
                <w:szCs w:val="13"/>
                <w:color w:val="0000FF"/>
                <w:w w:val="83"/>
              </w:rPr>
              <w:t>8,200</w:t>
            </w:r>
            <w:r>
              <w:rPr>
                <w:rFonts w:ascii="Arial" w:cs="Arial" w:eastAsia="Arial" w:hAnsi="Arial"/>
                <w:sz w:val="22"/>
                <w:szCs w:val="22"/>
                <w:color w:val="008000"/>
                <w:w w:val="83"/>
                <w:vertAlign w:val="superscript"/>
              </w:rPr>
              <w:t>(7)</w:t>
            </w:r>
          </w:p>
        </w:tc>
        <w:tc>
          <w:tcPr>
            <w:tcW w:w="800" w:type="dxa"/>
            <w:vAlign w:val="bottom"/>
          </w:tcPr>
          <w:p>
            <w:pPr>
              <w:ind w:left="160"/>
              <w:spacing w:after="0"/>
              <w:rPr>
                <w:sz w:val="20"/>
                <w:szCs w:val="20"/>
                <w:color w:val="auto"/>
              </w:rPr>
            </w:pPr>
            <w:r>
              <w:rPr>
                <w:rFonts w:ascii="Arial" w:cs="Arial" w:eastAsia="Arial" w:hAnsi="Arial"/>
                <w:sz w:val="13"/>
                <w:szCs w:val="13"/>
                <w:color w:val="0000FF"/>
                <w:w w:val="95"/>
              </w:rPr>
              <w:t>11/28/2008</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11/28/2017</w:t>
            </w:r>
          </w:p>
        </w:tc>
        <w:tc>
          <w:tcPr>
            <w:tcW w:w="600" w:type="dxa"/>
            <w:vAlign w:val="bottom"/>
            <w:gridSpan w:val="2"/>
          </w:tcPr>
          <w:p>
            <w:pPr>
              <w:ind w:left="100"/>
              <w:spacing w:after="0"/>
              <w:rPr>
                <w:sz w:val="20"/>
                <w:szCs w:val="20"/>
                <w:color w:val="auto"/>
              </w:rPr>
            </w:pPr>
            <w:r>
              <w:rPr>
                <w:rFonts w:ascii="Arial" w:cs="Arial" w:eastAsia="Arial" w:hAnsi="Arial"/>
                <w:sz w:val="13"/>
                <w:szCs w:val="13"/>
                <w:color w:val="0000FF"/>
                <w:w w:val="90"/>
              </w:rPr>
              <w:t>Common</w:t>
            </w:r>
          </w:p>
        </w:tc>
        <w:tc>
          <w:tcPr>
            <w:tcW w:w="720" w:type="dxa"/>
            <w:vAlign w:val="bottom"/>
          </w:tcPr>
          <w:p>
            <w:pPr>
              <w:ind w:left="140"/>
              <w:spacing w:after="0" w:line="208" w:lineRule="exact"/>
              <w:rPr>
                <w:sz w:val="20"/>
                <w:szCs w:val="20"/>
                <w:color w:val="auto"/>
              </w:rPr>
            </w:pPr>
            <w:r>
              <w:rPr>
                <w:rFonts w:ascii="Arial" w:cs="Arial" w:eastAsia="Arial" w:hAnsi="Arial"/>
                <w:sz w:val="17"/>
                <w:szCs w:val="17"/>
                <w:color w:val="0000FF"/>
                <w:w w:val="92"/>
              </w:rPr>
              <w:t>8,200</w:t>
            </w:r>
            <w:r>
              <w:rPr>
                <w:rFonts w:ascii="Arial" w:cs="Arial" w:eastAsia="Arial" w:hAnsi="Arial"/>
                <w:sz w:val="22"/>
                <w:szCs w:val="22"/>
                <w:color w:val="008000"/>
                <w:w w:val="92"/>
                <w:vertAlign w:val="superscript"/>
              </w:rPr>
              <w:t>(7)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rPr>
                <w:sz w:val="20"/>
                <w:szCs w:val="20"/>
                <w:color w:val="auto"/>
              </w:rPr>
            </w:pPr>
            <w:r>
              <w:rPr>
                <w:rFonts w:ascii="Arial" w:cs="Arial" w:eastAsia="Arial" w:hAnsi="Arial"/>
                <w:sz w:val="13"/>
                <w:szCs w:val="13"/>
                <w:color w:val="0000FF"/>
              </w:rPr>
              <w:t>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200"/>
              <w:spacing w:after="0" w:line="94" w:lineRule="exact"/>
              <w:rPr>
                <w:sz w:val="20"/>
                <w:szCs w:val="20"/>
                <w:color w:val="auto"/>
              </w:rPr>
            </w:pPr>
            <w:r>
              <w:rPr>
                <w:rFonts w:ascii="Arial" w:cs="Arial" w:eastAsia="Arial" w:hAnsi="Arial"/>
                <w:sz w:val="10"/>
                <w:szCs w:val="10"/>
                <w:color w:val="0000FF"/>
              </w:rPr>
              <w:t>Stock</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29, 2012, the common stock of the issuer split two-for-one (the "Stock Split"), resulting in the reporting person's ownership of 2,000 additional shares of restricted stock and 21.307 additional related dividend reinvestment shares, and includes 24.458 post-split related dividend reinvestment shares acquired by the reporting person under The Toro Company Dividend Reinvestment Plan ("DRIP") from dividends paid on the restricted stock since the date of his last report.? The restricted stock and all related DRIP shares vest in full on the third anniversary of the date of grant, which was March 30, 2011. All future Form 4 and 5 filings made by the reporting person will include adjustments, as necessary, to reflect the Stock Split.</w:t>
      </w:r>
    </w:p>
    <w:p>
      <w:pPr>
        <w:spacing w:after="0" w:line="29"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$37.43 to $37.54,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$37.36 to $37.45,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74.444 post-split shares of common stock acquired by the reporting person under the dividend reinvestment feature of The Toro Company Investment, Savings &amp; ESOP since the date of his last report and 6,154.339 additional shares of common stock as a result of the Stock Split.</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25.382 post-split performance share units acquired by the reporting person under the dividend reinvestment feature of the The Toro Company Deferred Compensation Plan for Officers since the date of his last report and 2,093.286 additional performance share units as a result of the Stock Split.</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4,200 shares of common stock at an exercise price of $44.90 per share, and has been adjusted to reflect the Stock Split.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4,100 shares of common stock at an exercise price of $54.93 per share, and has been adjusted to reflect the Stock Split.</w:t>
      </w:r>
    </w:p>
    <w:p>
      <w:pPr>
        <w:spacing w:after="0" w:line="6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08/29/2012</w:t>
            </w:r>
          </w:p>
        </w:tc>
        <w:tc>
          <w:tcPr>
            <w:tcW w:w="0" w:type="dxa"/>
            <w:vAlign w:val="bottom"/>
          </w:tcPr>
          <w:p>
            <w:pPr>
              <w:spacing w:after="0"/>
              <w:rPr>
                <w:sz w:val="1"/>
                <w:szCs w:val="1"/>
                <w:color w:val="auto"/>
              </w:rPr>
            </w:pPr>
          </w:p>
        </w:tc>
      </w:tr>
      <w:tr>
        <w:trPr>
          <w:trHeight w:val="86"/>
        </w:trPr>
        <w:tc>
          <w:tcPr>
            <w:tcW w:w="158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49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2019-12-17T01:23:22Z</dcterms:created>
  <dcterms:modified xsi:type="dcterms:W3CDTF">2019-12-17T01:23:22Z</dcterms:modified>
</cp:coreProperties>
</file>