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July 22, 2009</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44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c>
          <w:tcPr>
            <w:tcW w:w="0" w:type="dxa"/>
            <w:vAlign w:val="bottom"/>
          </w:tcPr>
          <w:p>
            <w:pPr>
              <w:spacing w:after="0"/>
              <w:rPr>
                <w:sz w:val="1"/>
                <w:szCs w:val="1"/>
                <w:color w:val="auto"/>
              </w:rPr>
            </w:pPr>
          </w:p>
        </w:tc>
      </w:tr>
      <w:tr>
        <w:trPr>
          <w:trHeight w:val="230"/>
        </w:trPr>
        <w:tc>
          <w:tcPr>
            <w:tcW w:w="344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c>
          <w:tcPr>
            <w:tcW w:w="0" w:type="dxa"/>
            <w:vAlign w:val="bottom"/>
          </w:tcPr>
          <w:p>
            <w:pPr>
              <w:spacing w:after="0"/>
              <w:rPr>
                <w:sz w:val="1"/>
                <w:szCs w:val="1"/>
                <w:color w:val="auto"/>
              </w:rPr>
            </w:pPr>
          </w:p>
        </w:tc>
      </w:tr>
      <w:tr>
        <w:trPr>
          <w:trHeight w:val="684"/>
        </w:trPr>
        <w:tc>
          <w:tcPr>
            <w:tcW w:w="620" w:type="dxa"/>
            <w:vAlign w:val="bottom"/>
          </w:tcPr>
          <w:p>
            <w:pPr>
              <w:spacing w:after="0"/>
              <w:rPr>
                <w:sz w:val="24"/>
                <w:szCs w:val="24"/>
                <w:color w:val="auto"/>
              </w:rPr>
            </w:pPr>
          </w:p>
        </w:tc>
        <w:tc>
          <w:tcPr>
            <w:tcW w:w="2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234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89"/>
              </w:rPr>
              <w:t>Bloomington, Minnesota</w:t>
            </w:r>
          </w:p>
        </w:tc>
        <w:tc>
          <w:tcPr>
            <w:tcW w:w="4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40" w:type="dxa"/>
            <w:vAlign w:val="bottom"/>
            <w:gridSpan w:val="2"/>
          </w:tcPr>
          <w:p>
            <w:pPr>
              <w:jc w:val="right"/>
              <w:ind w:right="140"/>
              <w:spacing w:after="0" w:line="188" w:lineRule="exact"/>
              <w:rPr>
                <w:sz w:val="20"/>
                <w:szCs w:val="20"/>
                <w:color w:val="auto"/>
              </w:rPr>
            </w:pPr>
            <w:r>
              <w:rPr>
                <w:rFonts w:ascii="Arial" w:cs="Arial" w:eastAsia="Arial" w:hAnsi="Arial"/>
                <w:sz w:val="18"/>
                <w:szCs w:val="18"/>
                <w:b w:val="1"/>
                <w:bCs w:val="1"/>
                <w:color w:val="auto"/>
              </w:rPr>
              <w:t>55420</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40" w:type="dxa"/>
            <w:vAlign w:val="bottom"/>
            <w:gridSpan w:val="3"/>
            <w:vMerge w:val="continue"/>
          </w:tcPr>
          <w:p>
            <w:pPr>
              <w:spacing w:after="0"/>
              <w:rPr>
                <w:sz w:val="19"/>
                <w:szCs w:val="19"/>
                <w:color w:val="auto"/>
              </w:rPr>
            </w:pPr>
          </w:p>
        </w:tc>
        <w:tc>
          <w:tcPr>
            <w:tcW w:w="2880" w:type="dxa"/>
            <w:vAlign w:val="bottom"/>
          </w:tcPr>
          <w:p>
            <w:pPr>
              <w:spacing w:after="0"/>
              <w:rPr>
                <w:sz w:val="19"/>
                <w:szCs w:val="19"/>
                <w:color w:val="auto"/>
              </w:rPr>
            </w:pPr>
          </w:p>
        </w:tc>
        <w:tc>
          <w:tcPr>
            <w:tcW w:w="360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-10160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7—Regulation FD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July 22, 2009, The Toro Company (the “Company”) announced that its Board of Directors (the “Board”) has authorized the repurchase of an additional five million (5,000,000) shares of the Company’s common stock, par value $1.00 per share (“Common Stock”), in the open market or in privately negotiated transactions. This program has no expiration date but may be terminated by the Board at any time. As of July 21, 2009, approximately 850,000 shares of Common Stock also remain available for repurchase by the Company under the repurchase authority previously approved by the Board on May 22, 2008.</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Company’s press release in connection with the announcement, which is incorporated herein by reference. The information in this Item 7.01, including Exhibit 99.1 attached hereto, is furnished pursuant to Item 7.01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such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80"/>
        <w:spacing w:after="0"/>
        <w:tabs>
          <w:tab w:leader="none" w:pos="10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July 22, 2009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500" w:type="dxa"/>
            <w:vAlign w:val="bottom"/>
          </w:tcPr>
          <w:p>
            <w:pPr>
              <w:spacing w:after="0"/>
              <w:rPr>
                <w:sz w:val="20"/>
                <w:szCs w:val="20"/>
                <w:color w:val="auto"/>
              </w:rPr>
            </w:pPr>
            <w:r>
              <w:rPr>
                <w:rFonts w:ascii="Arial" w:cs="Arial" w:eastAsia="Arial" w:hAnsi="Arial"/>
                <w:sz w:val="18"/>
                <w:szCs w:val="18"/>
                <w:color w:val="auto"/>
              </w:rPr>
              <w:t>Date: July 22, 2009</w:t>
            </w:r>
          </w:p>
        </w:tc>
        <w:tc>
          <w:tcPr>
            <w:tcW w:w="8920" w:type="dxa"/>
            <w:vAlign w:val="bottom"/>
            <w:gridSpan w:val="3"/>
          </w:tcPr>
          <w:p>
            <w:pPr>
              <w:ind w:left="1040"/>
              <w:spacing w:after="0"/>
              <w:rPr>
                <w:sz w:val="20"/>
                <w:szCs w:val="20"/>
                <w:color w:val="auto"/>
              </w:rPr>
            </w:pPr>
            <w:r>
              <w:rPr>
                <w:rFonts w:ascii="Arial" w:cs="Arial" w:eastAsia="Arial" w:hAnsi="Arial"/>
                <w:sz w:val="18"/>
                <w:szCs w:val="18"/>
                <w:color w:val="auto"/>
              </w:rPr>
              <w:t>By /s/ Stephen P. Wolfe</w:t>
            </w:r>
          </w:p>
        </w:tc>
      </w:tr>
      <w:tr>
        <w:trPr>
          <w:trHeight w:val="20"/>
        </w:trPr>
        <w:tc>
          <w:tcPr>
            <w:tcW w:w="2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22"/>
        </w:trPr>
        <w:tc>
          <w:tcPr>
            <w:tcW w:w="2500" w:type="dxa"/>
            <w:vAlign w:val="bottom"/>
          </w:tcPr>
          <w:p>
            <w:pPr>
              <w:spacing w:after="0"/>
              <w:rPr>
                <w:sz w:val="19"/>
                <w:szCs w:val="19"/>
                <w:color w:val="auto"/>
              </w:rPr>
            </w:pPr>
          </w:p>
        </w:tc>
        <w:tc>
          <w:tcPr>
            <w:tcW w:w="8920" w:type="dxa"/>
            <w:vAlign w:val="bottom"/>
            <w:gridSpan w:val="3"/>
          </w:tcPr>
          <w:p>
            <w:pPr>
              <w:ind w:left="1040"/>
              <w:spacing w:after="0"/>
              <w:rPr>
                <w:sz w:val="20"/>
                <w:szCs w:val="20"/>
                <w:color w:val="auto"/>
              </w:rPr>
            </w:pPr>
            <w:r>
              <w:rPr>
                <w:rFonts w:ascii="Arial" w:cs="Arial" w:eastAsia="Arial" w:hAnsi="Arial"/>
                <w:sz w:val="18"/>
                <w:szCs w:val="18"/>
                <w:color w:val="auto"/>
              </w:rPr>
              <w:t>Stephen P. Wolfe</w:t>
            </w:r>
          </w:p>
        </w:tc>
      </w:tr>
      <w:tr>
        <w:trPr>
          <w:trHeight w:val="230"/>
        </w:trPr>
        <w:tc>
          <w:tcPr>
            <w:tcW w:w="2500" w:type="dxa"/>
            <w:vAlign w:val="bottom"/>
          </w:tcPr>
          <w:p>
            <w:pPr>
              <w:spacing w:after="0"/>
              <w:rPr>
                <w:sz w:val="20"/>
                <w:szCs w:val="20"/>
                <w:color w:val="auto"/>
              </w:rPr>
            </w:pPr>
          </w:p>
        </w:tc>
        <w:tc>
          <w:tcPr>
            <w:tcW w:w="8920" w:type="dxa"/>
            <w:vAlign w:val="bottom"/>
            <w:gridSpan w:val="3"/>
          </w:tcPr>
          <w:p>
            <w:pPr>
              <w:ind w:left="1040"/>
              <w:spacing w:after="0"/>
              <w:rPr>
                <w:sz w:val="20"/>
                <w:szCs w:val="20"/>
                <w:color w:val="auto"/>
              </w:rPr>
            </w:pPr>
            <w:r>
              <w:rPr>
                <w:rFonts w:ascii="Arial" w:cs="Arial" w:eastAsia="Arial" w:hAnsi="Arial"/>
                <w:sz w:val="18"/>
                <w:szCs w:val="18"/>
                <w:color w:val="auto"/>
              </w:rPr>
              <w:t>Vice President, Finance &amp; Chief Financial Officer</w:t>
            </w:r>
          </w:p>
        </w:tc>
      </w:tr>
      <w:tr>
        <w:trPr>
          <w:trHeight w:val="902"/>
        </w:trPr>
        <w:tc>
          <w:tcPr>
            <w:tcW w:w="25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1"/>
        </w:trPr>
        <w:tc>
          <w:tcPr>
            <w:tcW w:w="2520" w:type="dxa"/>
            <w:vAlign w:val="bottom"/>
          </w:tcPr>
          <w:p>
            <w:pPr>
              <w:spacing w:after="0"/>
              <w:rPr>
                <w:sz w:val="24"/>
                <w:szCs w:val="24"/>
                <w:color w:val="auto"/>
              </w:rPr>
            </w:pPr>
          </w:p>
        </w:tc>
        <w:tc>
          <w:tcPr>
            <w:tcW w:w="8360" w:type="dxa"/>
            <w:vAlign w:val="bottom"/>
          </w:tcPr>
          <w:p>
            <w:pPr>
              <w:ind w:left="2360"/>
              <w:spacing w:after="0"/>
              <w:rPr>
                <w:sz w:val="20"/>
                <w:szCs w:val="20"/>
                <w:color w:val="auto"/>
              </w:rPr>
            </w:pPr>
            <w:r>
              <w:rPr>
                <w:rFonts w:ascii="Arial" w:cs="Arial" w:eastAsia="Arial" w:hAnsi="Arial"/>
                <w:sz w:val="22"/>
                <w:szCs w:val="22"/>
                <w:b w:val="1"/>
                <w:bCs w:val="1"/>
                <w:color w:val="auto"/>
              </w:rPr>
              <w:t>EXHIBIT INDEX</w:t>
            </w:r>
          </w:p>
        </w:tc>
      </w:tr>
      <w:tr>
        <w:trPr>
          <w:trHeight w:val="476"/>
        </w:trPr>
        <w:tc>
          <w:tcPr>
            <w:tcW w:w="252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spacing w:after="0"/>
              <w:rPr>
                <w:sz w:val="24"/>
                <w:szCs w:val="24"/>
                <w:color w:val="auto"/>
              </w:rPr>
            </w:pPr>
          </w:p>
        </w:tc>
      </w:tr>
      <w:tr>
        <w:trPr>
          <w:trHeight w:val="237"/>
        </w:trPr>
        <w:tc>
          <w:tcPr>
            <w:tcW w:w="2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b w:val="1"/>
                <w:bCs w:val="1"/>
                <w:color w:val="auto"/>
              </w:rPr>
              <w:t>EXHIBIT NUMBER</w:t>
            </w:r>
          </w:p>
        </w:tc>
        <w:tc>
          <w:tcPr>
            <w:tcW w:w="836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b w:val="1"/>
                <w:bCs w:val="1"/>
                <w:color w:val="auto"/>
              </w:rPr>
              <w:t>DESCRIPTION</w:t>
            </w:r>
          </w:p>
        </w:tc>
      </w:tr>
      <w:tr>
        <w:trPr>
          <w:trHeight w:val="237"/>
        </w:trPr>
        <w:tc>
          <w:tcPr>
            <w:tcW w:w="252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Arial" w:cs="Arial" w:eastAsia="Arial" w:hAnsi="Arial"/>
                <w:sz w:val="22"/>
                <w:szCs w:val="22"/>
                <w:color w:val="auto"/>
              </w:rPr>
              <w:t>99.1</w:t>
            </w:r>
          </w:p>
        </w:tc>
        <w:tc>
          <w:tcPr>
            <w:tcW w:w="836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Press release dated July 22, 2009 (furnished herewith).</w:t>
            </w:r>
          </w:p>
        </w:tc>
      </w:tr>
    </w:tbl>
    <w:p>
      <w:pPr>
        <w:sectPr>
          <w:pgSz w:w="11900" w:h="16838" w:orient="portrait"/>
          <w:cols w:equalWidth="0" w:num="1">
            <w:col w:w="10880"/>
          </w:cols>
          <w:pgMar w:left="240" w:top="504" w:right="779" w:bottom="1440" w:gutter="0" w:footer="0" w:header="0"/>
        </w:sectPr>
      </w:pPr>
    </w:p>
    <w:bookmarkStart w:id="4" w:name="page5"/>
    <w:bookmarkEnd w:id="4"/>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929765" cy="1269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right="92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887-8930,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TORO COMPANY AUTHORIZES REPURCHASE OF ADDITIONAL 5 MILLION SHARES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BLOOMINGTON, Minn. (July 22, 2009) – The Toro Company (NYSE: TTC) today announced that its board of directors has authorized the repurchase of an additional 5 million shares of common stock in the open market or in privately negotiated transactions. As of July 21, 2009, approximately 850,000 common shares remained available under a previous authorization.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continued strong cash flow enables it to return value to shareholders through dividends and share repurchases.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The Toro Company (NYSE: TTC) is a leading worldwide provider of turf and landscape maintenance equipment, and precision irrigation systems. With sales of nearly $1.9 billion in fiscal 2008, Toro’s global presence extends to more than 140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6"/>
          <w:szCs w:val="16"/>
          <w:u w:val="single" w:color="auto"/>
          <w:color w:val="auto"/>
        </w:rPr>
        <w:t>www.toro.com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52"/>
    </w:lvl>
  </w:abstractNum>
  <w:abstractNum w:abstractNumId="2">
    <w:nsid w:val="19495CFF"/>
    <w:multiLevelType w:val="hybridMultilevel"/>
    <w:lvl w:ilvl="0">
      <w:lvlJc w:val="left"/>
      <w:lvlText w:val="(%1)"/>
      <w:numFmt w:val="decimal"/>
      <w:start w:val="95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2019-12-10T05:59:04Z</dcterms:created>
  <dcterms:modified xsi:type="dcterms:W3CDTF">2019-12-10T05:59:04Z</dcterms:modified>
</cp:coreProperties>
</file>