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09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960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09/17/2009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3"/>
        <w:spacing w:after="0"/>
        <w:rPr>
          <w:sz w:val="20"/>
          <w:szCs w:val="20"/>
          <w:color w:val="auto"/>
        </w:rPr>
      </w:pPr>
      <w:r>
        <w:rPr>
          <w:rFonts w:ascii="Arial" w:cs="Arial" w:eastAsia="Arial" w:hAnsi="Arial"/>
          <w:sz w:val="17"/>
          <w:szCs w:val="17"/>
          <w:color w:val="0000FF"/>
        </w:rPr>
        <w:t>VP, International Business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Arial" w:cs="Arial" w:eastAsia="Arial" w:hAnsi="Arial"/>
                <w:sz w:val="17"/>
                <w:szCs w:val="17"/>
                <w:color w:val="0000FF"/>
              </w:rPr>
              <w:t>09/17/2009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57"/>
              <w:spacing w:after="0"/>
              <w:rPr>
                <w:sz w:val="20"/>
                <w:szCs w:val="20"/>
                <w:color w:val="auto"/>
              </w:rPr>
            </w:pPr>
            <w:r>
              <w:rPr>
                <w:rFonts w:ascii="Arial" w:cs="Arial" w:eastAsia="Arial" w:hAnsi="Arial"/>
                <w:sz w:val="13"/>
                <w:szCs w:val="13"/>
                <w:color w:val="0000FF"/>
              </w:rPr>
              <w:t>M</w:t>
            </w:r>
          </w:p>
        </w:tc>
        <w:tc>
          <w:tcPr>
            <w:tcW w:w="680" w:type="dxa"/>
            <w:vAlign w:val="bottom"/>
          </w:tcPr>
          <w:p>
            <w:pPr>
              <w:ind w:left="160"/>
              <w:spacing w:after="0"/>
              <w:rPr>
                <w:sz w:val="20"/>
                <w:szCs w:val="20"/>
                <w:color w:val="auto"/>
              </w:rPr>
            </w:pPr>
            <w:r>
              <w:rPr>
                <w:rFonts w:ascii="Arial" w:cs="Arial" w:eastAsia="Arial" w:hAnsi="Arial"/>
                <w:sz w:val="17"/>
                <w:szCs w:val="17"/>
                <w:color w:val="0000FF"/>
              </w:rPr>
              <w:t>2,430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11"/>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37.02</w:t>
            </w:r>
          </w:p>
        </w:tc>
        <w:tc>
          <w:tcPr>
            <w:tcW w:w="780" w:type="dxa"/>
            <w:vAlign w:val="bottom"/>
          </w:tcPr>
          <w:p>
            <w:pPr>
              <w:jc w:val="center"/>
              <w:ind w:left="314"/>
              <w:spacing w:after="0"/>
              <w:rPr>
                <w:sz w:val="20"/>
                <w:szCs w:val="20"/>
                <w:color w:val="auto"/>
              </w:rPr>
            </w:pPr>
            <w:r>
              <w:rPr>
                <w:rFonts w:ascii="Arial" w:cs="Arial" w:eastAsia="Arial" w:hAnsi="Arial"/>
                <w:sz w:val="17"/>
                <w:szCs w:val="17"/>
                <w:color w:val="0000FF"/>
                <w:w w:val="93"/>
              </w:rPr>
              <w:t>2,681</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Arial" w:cs="Arial" w:eastAsia="Arial" w:hAnsi="Arial"/>
                <w:sz w:val="17"/>
                <w:szCs w:val="17"/>
                <w:color w:val="0000FF"/>
              </w:rPr>
              <w:t>09/17/2009</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center"/>
              <w:ind w:right="337"/>
              <w:spacing w:after="0"/>
              <w:rPr>
                <w:sz w:val="20"/>
                <w:szCs w:val="20"/>
                <w:color w:val="auto"/>
              </w:rPr>
            </w:pPr>
            <w:r>
              <w:rPr>
                <w:rFonts w:ascii="Arial" w:cs="Arial" w:eastAsia="Arial" w:hAnsi="Arial"/>
                <w:sz w:val="13"/>
                <w:szCs w:val="13"/>
                <w:color w:val="0000FF"/>
                <w:w w:val="74"/>
              </w:rPr>
              <w:t>F</w:t>
            </w:r>
          </w:p>
        </w:tc>
        <w:tc>
          <w:tcPr>
            <w:tcW w:w="680" w:type="dxa"/>
            <w:vAlign w:val="bottom"/>
          </w:tcPr>
          <w:p>
            <w:pPr>
              <w:ind w:left="160"/>
              <w:spacing w:after="0"/>
              <w:rPr>
                <w:sz w:val="20"/>
                <w:szCs w:val="20"/>
                <w:color w:val="auto"/>
              </w:rPr>
            </w:pPr>
            <w:r>
              <w:rPr>
                <w:rFonts w:ascii="Arial" w:cs="Arial" w:eastAsia="Arial" w:hAnsi="Arial"/>
                <w:sz w:val="17"/>
                <w:szCs w:val="17"/>
                <w:color w:val="0000FF"/>
              </w:rPr>
              <w:t>2,297</w:t>
            </w:r>
          </w:p>
        </w:tc>
        <w:tc>
          <w:tcPr>
            <w:tcW w:w="640" w:type="dxa"/>
            <w:vAlign w:val="bottom"/>
          </w:tcPr>
          <w:p>
            <w:pPr>
              <w:jc w:val="center"/>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right="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41.7</w:t>
            </w:r>
          </w:p>
        </w:tc>
        <w:tc>
          <w:tcPr>
            <w:tcW w:w="780" w:type="dxa"/>
            <w:vAlign w:val="bottom"/>
          </w:tcPr>
          <w:p>
            <w:pPr>
              <w:jc w:val="center"/>
              <w:ind w:left="334"/>
              <w:spacing w:after="0"/>
              <w:rPr>
                <w:sz w:val="20"/>
                <w:szCs w:val="20"/>
                <w:color w:val="auto"/>
              </w:rPr>
            </w:pPr>
            <w:r>
              <w:rPr>
                <w:rFonts w:ascii="Arial" w:cs="Arial" w:eastAsia="Arial" w:hAnsi="Arial"/>
                <w:sz w:val="17"/>
                <w:szCs w:val="17"/>
                <w:color w:val="0000FF"/>
                <w:w w:val="91"/>
              </w:rPr>
              <w:t>384</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gridSpan w:val="2"/>
          </w:tcPr>
          <w:p>
            <w:pPr>
              <w:jc w:val="center"/>
              <w:ind w:right="19"/>
              <w:spacing w:after="0" w:line="214" w:lineRule="exact"/>
              <w:rPr>
                <w:sz w:val="20"/>
                <w:szCs w:val="20"/>
                <w:color w:val="auto"/>
              </w:rPr>
            </w:pPr>
            <w:r>
              <w:rPr>
                <w:rFonts w:ascii="Arial" w:cs="Arial" w:eastAsia="Arial" w:hAnsi="Arial"/>
                <w:sz w:val="17"/>
                <w:szCs w:val="17"/>
                <w:color w:val="0000FF"/>
                <w:w w:val="89"/>
              </w:rPr>
              <w:t>7,008.085</w:t>
            </w:r>
            <w:r>
              <w:rPr>
                <w:rFonts w:ascii="Arial" w:cs="Arial" w:eastAsia="Arial" w:hAnsi="Arial"/>
                <w:sz w:val="22"/>
                <w:szCs w:val="22"/>
                <w:color w:val="008000"/>
                <w:w w:val="89"/>
                <w:vertAlign w:val="superscript"/>
              </w:rPr>
              <w:t>(1)</w:t>
            </w:r>
          </w:p>
        </w:tc>
        <w:tc>
          <w:tcPr>
            <w:tcW w:w="32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tcPr>
          <w:p>
            <w:pPr>
              <w:spacing w:after="0"/>
              <w:rPr>
                <w:sz w:val="11"/>
                <w:szCs w:val="11"/>
                <w:color w:val="auto"/>
              </w:rPr>
            </w:pPr>
          </w:p>
        </w:tc>
        <w:tc>
          <w:tcPr>
            <w:tcW w:w="46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37.02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09/17/2009</w:t>
            </w:r>
          </w:p>
        </w:tc>
        <w:tc>
          <w:tcPr>
            <w:tcW w:w="11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8"/>
                <w:szCs w:val="18"/>
                <w:color w:val="auto"/>
              </w:rPr>
            </w:pPr>
          </w:p>
        </w:tc>
        <w:tc>
          <w:tcPr>
            <w:tcW w:w="800" w:type="dxa"/>
            <w:vAlign w:val="bottom"/>
          </w:tcPr>
          <w:p>
            <w:pPr>
              <w:ind w:left="400"/>
              <w:spacing w:after="0"/>
              <w:rPr>
                <w:sz w:val="20"/>
                <w:szCs w:val="20"/>
                <w:color w:val="auto"/>
              </w:rPr>
            </w:pPr>
            <w:r>
              <w:rPr>
                <w:rFonts w:ascii="Arial" w:cs="Arial" w:eastAsia="Arial" w:hAnsi="Arial"/>
                <w:sz w:val="13"/>
                <w:szCs w:val="13"/>
                <w:color w:val="0000FF"/>
              </w:rPr>
              <w:t>2,430</w:t>
            </w:r>
          </w:p>
        </w:tc>
        <w:tc>
          <w:tcPr>
            <w:tcW w:w="920" w:type="dxa"/>
            <w:vAlign w:val="bottom"/>
            <w:gridSpan w:val="2"/>
          </w:tcPr>
          <w:p>
            <w:pPr>
              <w:ind w:left="40"/>
              <w:spacing w:after="0" w:line="212" w:lineRule="exact"/>
              <w:rPr>
                <w:sz w:val="20"/>
                <w:szCs w:val="20"/>
                <w:color w:val="auto"/>
              </w:rPr>
            </w:pPr>
            <w:r>
              <w:rPr>
                <w:rFonts w:ascii="Arial" w:cs="Arial" w:eastAsia="Arial" w:hAnsi="Arial"/>
                <w:sz w:val="13"/>
                <w:szCs w:val="13"/>
                <w:color w:val="0000FF"/>
              </w:rPr>
              <w:t>12/02/2006</w:t>
            </w:r>
            <w:r>
              <w:rPr>
                <w:rFonts w:ascii="Arial" w:cs="Arial" w:eastAsia="Arial" w:hAnsi="Arial"/>
                <w:sz w:val="22"/>
                <w:szCs w:val="22"/>
                <w:color w:val="008000"/>
                <w:vertAlign w:val="superscript"/>
              </w:rPr>
              <w:t>(2)</w:t>
            </w:r>
          </w:p>
        </w:tc>
        <w:tc>
          <w:tcPr>
            <w:tcW w:w="680" w:type="dxa"/>
            <w:vAlign w:val="bottom"/>
          </w:tcPr>
          <w:p>
            <w:pPr>
              <w:spacing w:after="0"/>
              <w:rPr>
                <w:sz w:val="20"/>
                <w:szCs w:val="20"/>
                <w:color w:val="auto"/>
              </w:rPr>
            </w:pPr>
            <w:r>
              <w:rPr>
                <w:rFonts w:ascii="Arial" w:cs="Arial" w:eastAsia="Arial" w:hAnsi="Arial"/>
                <w:sz w:val="13"/>
                <w:szCs w:val="13"/>
                <w:color w:val="0000FF"/>
              </w:rPr>
              <w:t>12/02/2009</w:t>
            </w:r>
          </w:p>
        </w:tc>
        <w:tc>
          <w:tcPr>
            <w:tcW w:w="64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ind w:left="120"/>
              <w:spacing w:after="0"/>
              <w:rPr>
                <w:sz w:val="20"/>
                <w:szCs w:val="20"/>
                <w:color w:val="auto"/>
              </w:rPr>
            </w:pPr>
            <w:r>
              <w:rPr>
                <w:rFonts w:ascii="Arial" w:cs="Arial" w:eastAsia="Arial" w:hAnsi="Arial"/>
                <w:sz w:val="17"/>
                <w:szCs w:val="17"/>
                <w:color w:val="0000FF"/>
              </w:rPr>
              <w:t>2,430</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tcPr>
          <w:p>
            <w:pPr>
              <w:ind w:left="380"/>
              <w:spacing w:after="0"/>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8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under the dividend reinvestment feature of The Toro Company Investment, Savings &amp; ESOP (IS&amp;ESOP) since the date of his last report: 28.417 shares acquired on January 12, 2009, 40.118 shares acquired on April 13, 2009 and 35.268 shares acquired on July 10, 2009. Also includes 163.857 shares of common stock acquired by the reporting person through issuer matching contributions to the IS&amp;ESOP since the date of his last report and an account adjustment (rounding) of 0.392 shares of common stock since the date of his last report.</w:t>
      </w:r>
    </w:p>
    <w:p>
      <w:pPr>
        <w:spacing w:after="0" w:line="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full on the second anniversary of the date of grant.</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Amy E. Dahl,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09/18/2009</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19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197" w:lineRule="exact"/>
        <w:rPr>
          <w:sz w:val="20"/>
          <w:szCs w:val="20"/>
          <w:color w:val="auto"/>
        </w:rPr>
      </w:pPr>
    </w:p>
    <w:p>
      <w:pPr>
        <w:ind w:right="3399" w:firstLine="7"/>
        <w:spacing w:after="0" w:line="254"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in accordance with Section 16(a) of the Securities Exchange Act of 1934, as amended, and the rules thereunder;</w:t>
      </w:r>
    </w:p>
    <w:p>
      <w:pPr>
        <w:spacing w:after="0" w:line="194" w:lineRule="exact"/>
        <w:rPr>
          <w:rFonts w:ascii="Courier New" w:cs="Courier New" w:eastAsia="Courier New" w:hAnsi="Courier New"/>
          <w:sz w:val="17"/>
          <w:szCs w:val="17"/>
          <w:color w:val="auto"/>
        </w:rPr>
      </w:pPr>
    </w:p>
    <w:p>
      <w:pPr>
        <w:ind w:right="3499" w:firstLine="7"/>
        <w:spacing w:after="0" w:line="252"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299" w:firstLine="7"/>
        <w:spacing w:after="0" w:line="251" w:lineRule="auto"/>
        <w:tabs>
          <w:tab w:leader="none" w:pos="83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and authority to do and perform all and every act and thing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whatsoever requisite, necessary, or proper to be done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of any of the rights and powers herein granted, as 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all intents and purposes as such attorney-in-fact might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could do if personally present, with full power of substitution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revocation, hereby ratifying and confirming all that each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or any substitute or substitutes, shall lawfully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 or cause to be done by virtue of this power of attorney and</w:t>
      </w:r>
    </w:p>
    <w:p>
      <w:pPr>
        <w:spacing w:after="0" w:line="9"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7"/>
          <w:szCs w:val="17"/>
          <w:color w:val="auto"/>
        </w:rPr>
        <w:t>the rights and powers herein granted.</w:t>
        <w:tab/>
        <w:t>The undersigned acknowledges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that the foregoing attorneys-in-fact,in serving in such capacity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request of the undersigned, are not assuming, nor is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assuming, any of the undersigned's responsibilities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comply with Section 16 of the Securities Exchange Act of 1934,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amended, and the rules thereunder.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9" w:lineRule="exact"/>
        <w:rPr>
          <w:sz w:val="20"/>
          <w:szCs w:val="20"/>
          <w:color w:val="auto"/>
        </w:rPr>
      </w:pPr>
    </w:p>
    <w:p>
      <w:pPr>
        <w:jc w:val="both"/>
        <w:ind w:right="3719"/>
        <w:spacing w:after="0" w:line="252"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/s/ Darren L. Redetzke</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Darren L. Redetzke</w:t>
      </w:r>
    </w:p>
    <w:p>
      <w:pPr>
        <w:spacing w:after="0" w:line="21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02/09/2009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2019-12-17T00:12:58Z</dcterms:created>
  <dcterms:modified xsi:type="dcterms:W3CDTF">2019-12-17T00:12:58Z</dcterms:modified>
</cp:coreProperties>
</file>