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 w:hanging="155"/>
        <w:spacing w:after="0"/>
        <w:tabs>
          <w:tab w:leader="none" w:pos="16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6"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UNITED STATES SECURITIES AND EXCHANGE COMMISSION</w:t>
      </w:r>
    </w:p>
    <w:p>
      <w:pPr>
        <w:jc w:val="center"/>
        <w:ind w:right="353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58" w:lineRule="exact"/>
        <w:rPr>
          <w:sz w:val="24"/>
          <w:szCs w:val="24"/>
          <w:color w:val="auto"/>
        </w:rPr>
      </w:pPr>
    </w:p>
    <w:p>
      <w:pPr>
        <w:ind w:left="2980"/>
        <w:spacing w:after="0"/>
        <w:rPr>
          <w:sz w:val="20"/>
          <w:szCs w:val="20"/>
          <w:color w:val="auto"/>
        </w:rPr>
      </w:pPr>
      <w:r>
        <w:rPr>
          <w:rFonts w:ascii="Courier New" w:cs="Courier New" w:eastAsia="Courier New" w:hAnsi="Courier New"/>
          <w:sz w:val="14"/>
          <w:szCs w:val="14"/>
          <w:color w:val="auto"/>
        </w:rPr>
        <w:t>FORM 10-K</w:t>
      </w:r>
    </w:p>
    <w:p>
      <w:pPr>
        <w:spacing w:after="0" w:line="163" w:lineRule="exact"/>
        <w:rPr>
          <w:sz w:val="24"/>
          <w:szCs w:val="24"/>
          <w:color w:val="auto"/>
        </w:rPr>
      </w:pPr>
    </w:p>
    <w:p>
      <w:pPr>
        <w:ind w:left="420" w:right="3879" w:hanging="419"/>
        <w:spacing w:after="0" w:line="236" w:lineRule="auto"/>
        <w:tabs>
          <w:tab w:leader="none" w:pos="400" w:val="left"/>
        </w:tabs>
        <w:rPr>
          <w:sz w:val="20"/>
          <w:szCs w:val="20"/>
          <w:color w:val="auto"/>
        </w:rPr>
      </w:pPr>
      <w:r>
        <w:rPr>
          <w:rFonts w:ascii="Courier New" w:cs="Courier New" w:eastAsia="Courier New" w:hAnsi="Courier New"/>
          <w:sz w:val="14"/>
          <w:szCs w:val="14"/>
          <w:color w:val="auto"/>
        </w:rPr>
        <w:t>/X/</w:t>
        <w:tab/>
        <w:t>ANNUAL REPORT PURSUANT TO SECTION 13 OR 15(d) OF THE SECURITIES EXCHANGE ACT OF 1934 FOR FISCAL YEAR ENDED OCTOBER 31, 1996.</w:t>
      </w:r>
    </w:p>
    <w:p>
      <w:pPr>
        <w:spacing w:after="0" w:line="164" w:lineRule="exact"/>
        <w:rPr>
          <w:sz w:val="24"/>
          <w:szCs w:val="24"/>
          <w:color w:val="auto"/>
        </w:rPr>
      </w:pPr>
    </w:p>
    <w:p>
      <w:pPr>
        <w:ind w:left="420" w:right="4299" w:hanging="415"/>
        <w:spacing w:after="0" w:line="236" w:lineRule="auto"/>
        <w:tabs>
          <w:tab w:leader="none" w:pos="17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 w:lineRule="exact"/>
        <w:rPr>
          <w:rFonts w:ascii="Courier New" w:cs="Courier New" w:eastAsia="Courier New" w:hAnsi="Courier New"/>
          <w:sz w:val="14"/>
          <w:szCs w:val="14"/>
          <w:color w:val="auto"/>
        </w:rPr>
      </w:pP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____________________ TO ____________________</w:t>
      </w:r>
    </w:p>
    <w:p>
      <w:pPr>
        <w:sectPr>
          <w:pgSz w:w="11900" w:h="16838" w:orient="portrait"/>
          <w:cols w:equalWidth="0" w:num="1">
            <w:col w:w="10239"/>
          </w:cols>
          <w:pgMar w:left="220" w:top="543" w:right="1440" w:bottom="1440" w:gutter="0" w:footer="0" w:header="0"/>
        </w:sectPr>
      </w:pPr>
    </w:p>
    <w:p>
      <w:pPr>
        <w:spacing w:after="0" w:line="163" w:lineRule="exact"/>
        <w:rPr>
          <w:sz w:val="24"/>
          <w:szCs w:val="24"/>
          <w:color w:val="auto"/>
        </w:rPr>
      </w:pPr>
    </w:p>
    <w:p>
      <w:pPr>
        <w:ind w:left="2060"/>
        <w:spacing w:after="0"/>
        <w:rPr>
          <w:sz w:val="20"/>
          <w:szCs w:val="20"/>
          <w:color w:val="auto"/>
        </w:rPr>
      </w:pPr>
      <w:r>
        <w:rPr>
          <w:rFonts w:ascii="Courier New" w:cs="Courier New" w:eastAsia="Courier New" w:hAnsi="Courier New"/>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5619"/>
        <w:spacing w:after="0"/>
        <w:rPr>
          <w:sz w:val="20"/>
          <w:szCs w:val="20"/>
          <w:color w:val="auto"/>
        </w:rPr>
      </w:pPr>
      <w:r>
        <w:rPr>
          <w:rFonts w:ascii="Courier New" w:cs="Courier New" w:eastAsia="Courier New" w:hAnsi="Courier New"/>
          <w:sz w:val="14"/>
          <w:szCs w:val="14"/>
          <w:color w:val="auto"/>
        </w:rPr>
        <w:t>1-8649</w:t>
      </w:r>
    </w:p>
    <w:p>
      <w:pPr>
        <w:spacing w:after="0" w:line="4" w:lineRule="exact"/>
        <w:rPr>
          <w:sz w:val="24"/>
          <w:szCs w:val="24"/>
          <w:color w:val="auto"/>
        </w:rPr>
      </w:pPr>
    </w:p>
    <w:p>
      <w:pPr>
        <w:jc w:val="center"/>
        <w:ind w:right="5619"/>
        <w:spacing w:after="0"/>
        <w:rPr>
          <w:sz w:val="20"/>
          <w:szCs w:val="20"/>
          <w:color w:val="auto"/>
        </w:rPr>
      </w:pPr>
      <w:r>
        <w:rPr>
          <w:rFonts w:ascii="Courier New" w:cs="Courier New" w:eastAsia="Courier New" w:hAnsi="Courier New"/>
          <w:sz w:val="13"/>
          <w:szCs w:val="13"/>
          <w:color w:val="auto"/>
        </w:rPr>
        <w:t>--------</w:t>
      </w:r>
    </w:p>
    <w:p>
      <w:pPr>
        <w:spacing w:after="0" w:line="166" w:lineRule="exact"/>
        <w:rPr>
          <w:sz w:val="24"/>
          <w:szCs w:val="24"/>
          <w:color w:val="auto"/>
        </w:rPr>
      </w:pPr>
    </w:p>
    <w:p>
      <w:pPr>
        <w:sectPr>
          <w:pgSz w:w="11900" w:h="16838" w:orient="portrait"/>
          <w:cols w:equalWidth="0" w:num="2">
            <w:col w:w="3880" w:space="80"/>
            <w:col w:w="6279"/>
          </w:cols>
          <w:pgMar w:left="220" w:top="543" w:right="1440" w:bottom="1440" w:gutter="0" w:footer="0" w:header="0"/>
          <w:type w:val="continuous"/>
        </w:sectPr>
      </w:pPr>
    </w:p>
    <w:p>
      <w:pPr>
        <w:jc w:val="center"/>
        <w:ind w:right="3639"/>
        <w:spacing w:after="0"/>
        <w:rPr>
          <w:sz w:val="20"/>
          <w:szCs w:val="20"/>
          <w:color w:val="auto"/>
        </w:rPr>
      </w:pPr>
      <w:r>
        <w:rPr>
          <w:rFonts w:ascii="Courier New" w:cs="Courier New" w:eastAsia="Courier New" w:hAnsi="Courier New"/>
          <w:sz w:val="14"/>
          <w:szCs w:val="14"/>
          <w:color w:val="auto"/>
        </w:rPr>
        <w:t>THE TORO COMPANY</w:t>
      </w:r>
    </w:p>
    <w:p>
      <w:pPr>
        <w:spacing w:after="0" w:line="4"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3"/>
          <w:szCs w:val="13"/>
          <w:color w:val="auto"/>
        </w:rPr>
        <w:t>(Exact name of registrant as specified in its charter)</w:t>
      </w:r>
    </w:p>
    <w:p>
      <w:pPr>
        <w:sectPr>
          <w:pgSz w:w="11900" w:h="16838" w:orient="portrait"/>
          <w:cols w:equalWidth="0" w:num="1">
            <w:col w:w="10239"/>
          </w:cols>
          <w:pgMar w:left="220" w:top="543" w:right="1440" w:bottom="1440" w:gutter="0" w:footer="0" w:header="0"/>
          <w:type w:val="continuous"/>
        </w:sectPr>
      </w:pPr>
    </w:p>
    <w:p>
      <w:pPr>
        <w:spacing w:after="0" w:line="166" w:lineRule="exact"/>
        <w:rPr>
          <w:sz w:val="24"/>
          <w:szCs w:val="24"/>
          <w:color w:val="auto"/>
        </w:rPr>
      </w:pPr>
    </w:p>
    <w:p>
      <w:pPr>
        <w:jc w:val="center"/>
        <w:ind w:right="600"/>
        <w:spacing w:after="0"/>
        <w:rPr>
          <w:sz w:val="20"/>
          <w:szCs w:val="20"/>
          <w:color w:val="auto"/>
        </w:rPr>
      </w:pPr>
      <w:r>
        <w:rPr>
          <w:rFonts w:ascii="Courier New" w:cs="Courier New" w:eastAsia="Courier New" w:hAnsi="Courier New"/>
          <w:sz w:val="14"/>
          <w:szCs w:val="14"/>
          <w:color w:val="auto"/>
        </w:rPr>
        <w:t>DELAWARE</w:t>
      </w:r>
    </w:p>
    <w:p>
      <w:pPr>
        <w:spacing w:after="0" w:line="4" w:lineRule="exact"/>
        <w:rPr>
          <w:sz w:val="24"/>
          <w:szCs w:val="24"/>
          <w:color w:val="auto"/>
        </w:rPr>
      </w:pPr>
    </w:p>
    <w:p>
      <w:pPr>
        <w:jc w:val="center"/>
        <w:ind w:right="600"/>
        <w:spacing w:after="0"/>
        <w:rPr>
          <w:sz w:val="20"/>
          <w:szCs w:val="20"/>
          <w:color w:val="auto"/>
        </w:rPr>
      </w:pPr>
      <w:r>
        <w:rPr>
          <w:rFonts w:ascii="Courier New" w:cs="Courier New" w:eastAsia="Courier New" w:hAnsi="Courier New"/>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41-0580470</w:t>
      </w:r>
    </w:p>
    <w:p>
      <w:pPr>
        <w:spacing w:after="0" w:line="4" w:lineRule="exact"/>
        <w:rPr>
          <w:sz w:val="24"/>
          <w:szCs w:val="24"/>
          <w:color w:val="auto"/>
        </w:rPr>
      </w:pPr>
    </w:p>
    <w:p>
      <w:pPr>
        <w:jc w:val="center"/>
        <w:ind w:right="3719"/>
        <w:spacing w:after="0"/>
        <w:rPr>
          <w:sz w:val="20"/>
          <w:szCs w:val="20"/>
          <w:color w:val="auto"/>
        </w:rPr>
      </w:pPr>
      <w:r>
        <w:rPr>
          <w:rFonts w:ascii="Courier New" w:cs="Courier New" w:eastAsia="Courier New" w:hAnsi="Courier New"/>
          <w:sz w:val="13"/>
          <w:szCs w:val="13"/>
          <w:color w:val="auto"/>
        </w:rPr>
        <w:t>(I.R.S. Employer Identification Number)</w:t>
      </w:r>
    </w:p>
    <w:p>
      <w:pPr>
        <w:spacing w:after="0" w:line="166" w:lineRule="exact"/>
        <w:rPr>
          <w:sz w:val="24"/>
          <w:szCs w:val="24"/>
          <w:color w:val="auto"/>
        </w:rPr>
      </w:pPr>
    </w:p>
    <w:p>
      <w:pPr>
        <w:sectPr>
          <w:pgSz w:w="11900" w:h="16838" w:orient="portrait"/>
          <w:cols w:equalWidth="0" w:num="2">
            <w:col w:w="2580" w:space="720"/>
            <w:col w:w="6939"/>
          </w:cols>
          <w:pgMar w:left="220" w:top="543"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4"/>
          <w:szCs w:val="14"/>
          <w:color w:val="auto"/>
        </w:rPr>
        <w:t>8111 LYNDALE AVENUE SOUTH</w:t>
      </w:r>
    </w:p>
    <w:p>
      <w:pPr>
        <w:jc w:val="center"/>
        <w:ind w:right="3639"/>
        <w:spacing w:after="0"/>
        <w:tabs>
          <w:tab w:leader="none" w:pos="140" w:val="left"/>
        </w:tabs>
        <w:rPr>
          <w:sz w:val="20"/>
          <w:szCs w:val="20"/>
          <w:color w:val="auto"/>
        </w:rPr>
      </w:pPr>
      <w:r>
        <w:rPr>
          <w:rFonts w:ascii="Courier New" w:cs="Courier New" w:eastAsia="Courier New" w:hAnsi="Courier New"/>
          <w:sz w:val="14"/>
          <w:szCs w:val="14"/>
          <w:color w:val="auto"/>
        </w:rPr>
        <w:t>BLOOMINGTON, MINNESOTA</w:t>
      </w:r>
      <w:r>
        <w:rPr>
          <w:sz w:val="20"/>
          <w:szCs w:val="20"/>
          <w:color w:val="auto"/>
        </w:rPr>
        <w:tab/>
      </w:r>
      <w:r>
        <w:rPr>
          <w:rFonts w:ascii="Courier New" w:cs="Courier New" w:eastAsia="Courier New" w:hAnsi="Courier New"/>
          <w:sz w:val="13"/>
          <w:szCs w:val="13"/>
          <w:color w:val="auto"/>
        </w:rPr>
        <w:t>55420-1196</w:t>
      </w:r>
    </w:p>
    <w:p>
      <w:pPr>
        <w:jc w:val="center"/>
        <w:ind w:right="3639"/>
        <w:spacing w:after="0"/>
        <w:rPr>
          <w:sz w:val="20"/>
          <w:szCs w:val="20"/>
          <w:color w:val="auto"/>
        </w:rPr>
      </w:pPr>
      <w:r>
        <w:rPr>
          <w:rFonts w:ascii="Courier New" w:cs="Courier New" w:eastAsia="Courier New" w:hAnsi="Courier New"/>
          <w:sz w:val="14"/>
          <w:szCs w:val="14"/>
          <w:color w:val="auto"/>
        </w:rPr>
        <w:t>TELEPHONE NUMBER: (612) 888-8801</w:t>
      </w:r>
    </w:p>
    <w:p>
      <w:pPr>
        <w:spacing w:after="0" w:line="163" w:lineRule="exact"/>
        <w:rPr>
          <w:sz w:val="24"/>
          <w:szCs w:val="24"/>
          <w:color w:val="auto"/>
        </w:rPr>
      </w:pPr>
    </w:p>
    <w:p>
      <w:pPr>
        <w:ind w:right="4059"/>
        <w:spacing w:after="0" w:line="236"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60"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w:t>
      </w:r>
    </w:p>
    <w:p>
      <w:pPr>
        <w:jc w:val="center"/>
        <w:ind w:right="355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43" w:right="1440" w:bottom="1440" w:gutter="0" w:footer="0" w:header="0"/>
          <w:type w:val="continuous"/>
        </w:sectPr>
      </w:pPr>
    </w:p>
    <w:p>
      <w:pPr>
        <w:spacing w:after="0" w:line="321" w:lineRule="exact"/>
        <w:rPr>
          <w:sz w:val="24"/>
          <w:szCs w:val="24"/>
          <w:color w:val="auto"/>
        </w:rPr>
      </w:pPr>
    </w:p>
    <w:p>
      <w:pPr>
        <w:spacing w:after="0" w:line="236" w:lineRule="auto"/>
        <w:rPr>
          <w:sz w:val="20"/>
          <w:szCs w:val="20"/>
          <w:color w:val="auto"/>
        </w:rPr>
      </w:pPr>
      <w:r>
        <w:rPr>
          <w:rFonts w:ascii="Courier New" w:cs="Courier New" w:eastAsia="Courier New" w:hAnsi="Courier New"/>
          <w:sz w:val="14"/>
          <w:szCs w:val="14"/>
          <w:color w:val="auto"/>
        </w:rPr>
        <w:t>TITLE OF EACH CLASS - - - - -------------------</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4" w:lineRule="exact"/>
        <w:rPr>
          <w:sz w:val="24"/>
          <w:szCs w:val="24"/>
          <w:color w:val="auto"/>
        </w:rPr>
      </w:pPr>
    </w:p>
    <w:p>
      <w:pPr>
        <w:ind w:left="660"/>
        <w:spacing w:after="0"/>
        <w:rPr>
          <w:sz w:val="20"/>
          <w:szCs w:val="20"/>
          <w:color w:val="auto"/>
        </w:rPr>
      </w:pPr>
      <w:r>
        <w:rPr>
          <w:rFonts w:ascii="Courier New" w:cs="Courier New" w:eastAsia="Courier New" w:hAnsi="Courier New"/>
          <w:sz w:val="13"/>
          <w:szCs w:val="13"/>
          <w:color w:val="auto"/>
        </w:rPr>
        <w:t>-----------------------------------------</w:t>
      </w:r>
    </w:p>
    <w:p>
      <w:pPr>
        <w:spacing w:after="0" w:line="11" w:lineRule="exact"/>
        <w:rPr>
          <w:sz w:val="24"/>
          <w:szCs w:val="24"/>
          <w:color w:val="auto"/>
        </w:rPr>
      </w:pPr>
    </w:p>
    <w:p>
      <w:pPr>
        <w:sectPr>
          <w:pgSz w:w="11900" w:h="16838" w:orient="portrait"/>
          <w:cols w:equalWidth="0" w:num="2">
            <w:col w:w="2240" w:space="660"/>
            <w:col w:w="7339"/>
          </w:cols>
          <w:pgMar w:left="220" w:top="543" w:right="1440" w:bottom="1440" w:gutter="0" w:footer="0" w:header="0"/>
          <w:type w:val="continuous"/>
        </w:sectPr>
      </w:pPr>
    </w:p>
    <w:p>
      <w:pPr>
        <w:spacing w:after="0"/>
        <w:rPr>
          <w:sz w:val="20"/>
          <w:szCs w:val="20"/>
          <w:color w:val="auto"/>
        </w:rPr>
      </w:pPr>
      <w:r>
        <w:rPr>
          <w:rFonts w:ascii="Courier New" w:cs="Courier New" w:eastAsia="Courier New" w:hAnsi="Courier New"/>
          <w:sz w:val="13"/>
          <w:szCs w:val="13"/>
          <w:color w:val="auto"/>
        </w:rPr>
        <w:t>Common Stock, par value</w:t>
      </w:r>
    </w:p>
    <w:p>
      <w:pPr>
        <w:sectPr>
          <w:pgSz w:w="11900" w:h="16838" w:orient="portrait"/>
          <w:cols w:equalWidth="0" w:num="1">
            <w:col w:w="10239"/>
          </w:cols>
          <w:pgMar w:left="220" w:top="543" w:right="1440" w:bottom="1440" w:gutter="0" w:footer="0" w:header="0"/>
          <w:type w:val="continuous"/>
        </w:sectPr>
      </w:pP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$1.00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3"/>
          <w:szCs w:val="13"/>
          <w:color w:val="auto"/>
        </w:rPr>
        <w:t>New York Stock Exchange</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New York Stock Exchange</w:t>
      </w:r>
    </w:p>
    <w:p>
      <w:pPr>
        <w:spacing w:after="0" w:line="166" w:lineRule="exact"/>
        <w:rPr>
          <w:sz w:val="24"/>
          <w:szCs w:val="24"/>
          <w:color w:val="auto"/>
        </w:rPr>
      </w:pPr>
    </w:p>
    <w:p>
      <w:pPr>
        <w:sectPr>
          <w:pgSz w:w="11900" w:h="16838" w:orient="portrait"/>
          <w:cols w:equalWidth="0" w:num="2">
            <w:col w:w="2560" w:space="340"/>
            <w:col w:w="7339"/>
          </w:cols>
          <w:pgMar w:left="220" w:top="543" w:right="1440" w:bottom="1440" w:gutter="0" w:footer="0" w:header="0"/>
          <w:type w:val="continuous"/>
        </w:sectPr>
      </w:pPr>
    </w:p>
    <w:p>
      <w:pPr>
        <w:jc w:val="center"/>
        <w:ind w:right="355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jc w:val="center"/>
        <w:ind w:right="3639"/>
        <w:spacing w:after="0"/>
        <w:rPr>
          <w:sz w:val="20"/>
          <w:szCs w:val="20"/>
          <w:color w:val="auto"/>
        </w:rPr>
      </w:pPr>
      <w:r>
        <w:rPr>
          <w:rFonts w:ascii="Courier New" w:cs="Courier New" w:eastAsia="Courier New" w:hAnsi="Courier New"/>
          <w:sz w:val="14"/>
          <w:szCs w:val="14"/>
          <w:color w:val="auto"/>
        </w:rPr>
        <w:t>None</w:t>
      </w:r>
    </w:p>
    <w:p>
      <w:pPr>
        <w:spacing w:after="0" w:line="163" w:lineRule="exact"/>
        <w:rPr>
          <w:sz w:val="24"/>
          <w:szCs w:val="24"/>
          <w:color w:val="auto"/>
        </w:rPr>
      </w:pPr>
    </w:p>
    <w:p>
      <w:pPr>
        <w:jc w:val="both"/>
        <w:ind w:right="3639"/>
        <w:spacing w:after="0" w:line="238"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 w:lineRule="exact"/>
        <w:rPr>
          <w:sz w:val="24"/>
          <w:szCs w:val="24"/>
          <w:color w:val="auto"/>
        </w:rPr>
      </w:pPr>
    </w:p>
    <w:p>
      <w:pPr>
        <w:ind w:left="420"/>
        <w:spacing w:after="0"/>
        <w:tabs>
          <w:tab w:leader="none" w:pos="800" w:val="left"/>
          <w:tab w:leader="none" w:pos="1220"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3"/>
          <w:szCs w:val="13"/>
          <w:color w:val="auto"/>
        </w:rPr>
        <w:t>No / /</w:t>
      </w:r>
    </w:p>
    <w:p>
      <w:pPr>
        <w:spacing w:after="0" w:line="163" w:lineRule="exact"/>
        <w:rPr>
          <w:sz w:val="24"/>
          <w:szCs w:val="24"/>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65" w:lineRule="exact"/>
        <w:rPr>
          <w:sz w:val="24"/>
          <w:szCs w:val="24"/>
          <w:color w:val="auto"/>
        </w:rPr>
      </w:pPr>
    </w:p>
    <w:p>
      <w:pPr>
        <w:ind w:right="3959"/>
        <w:spacing w:after="0" w:line="258" w:lineRule="auto"/>
        <w:rPr>
          <w:sz w:val="20"/>
          <w:szCs w:val="20"/>
          <w:color w:val="auto"/>
        </w:rPr>
      </w:pPr>
      <w:r>
        <w:rPr>
          <w:rFonts w:ascii="Courier New" w:cs="Courier New" w:eastAsia="Courier New" w:hAnsi="Courier New"/>
          <w:sz w:val="13"/>
          <w:szCs w:val="13"/>
          <w:color w:val="auto"/>
        </w:rPr>
        <w:t>The aggregate market value of the voting stock held by nonaffiliates of the Registrant, based upon the closing price of the Common Stock on December 27,</w:t>
      </w:r>
    </w:p>
    <w:p>
      <w:pPr>
        <w:spacing w:after="0" w:line="234" w:lineRule="auto"/>
        <w:rPr>
          <w:sz w:val="20"/>
          <w:szCs w:val="20"/>
          <w:color w:val="auto"/>
        </w:rPr>
      </w:pPr>
      <w:r>
        <w:rPr>
          <w:rFonts w:ascii="Courier New" w:cs="Courier New" w:eastAsia="Courier New" w:hAnsi="Courier New"/>
          <w:sz w:val="14"/>
          <w:szCs w:val="14"/>
          <w:color w:val="auto"/>
        </w:rPr>
        <w:t>1996 as reported by the New York Stock Exchange, was approximately $423,922,000.</w:t>
      </w:r>
    </w:p>
    <w:p>
      <w:pPr>
        <w:spacing w:after="0" w:line="163" w:lineRule="exact"/>
        <w:rPr>
          <w:sz w:val="24"/>
          <w:szCs w:val="24"/>
          <w:color w:val="auto"/>
        </w:rPr>
      </w:pPr>
    </w:p>
    <w:p>
      <w:pPr>
        <w:ind w:right="3959"/>
        <w:spacing w:after="0" w:line="236" w:lineRule="auto"/>
        <w:rPr>
          <w:sz w:val="20"/>
          <w:szCs w:val="20"/>
          <w:color w:val="auto"/>
        </w:rPr>
      </w:pPr>
      <w:r>
        <w:rPr>
          <w:rFonts w:ascii="Courier New" w:cs="Courier New" w:eastAsia="Courier New" w:hAnsi="Courier New"/>
          <w:sz w:val="14"/>
          <w:szCs w:val="14"/>
          <w:color w:val="auto"/>
        </w:rPr>
        <w:t>The number of shares of Common Stock outstanding as of December 27, 1996 was 12,116,732.</w:t>
      </w:r>
    </w:p>
    <w:p>
      <w:pPr>
        <w:spacing w:after="0" w:line="160" w:lineRule="exact"/>
        <w:rPr>
          <w:sz w:val="24"/>
          <w:szCs w:val="24"/>
          <w:color w:val="auto"/>
        </w:rPr>
      </w:pPr>
    </w:p>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63" w:lineRule="exact"/>
        <w:rPr>
          <w:sz w:val="24"/>
          <w:szCs w:val="24"/>
          <w:color w:val="auto"/>
        </w:rPr>
      </w:pPr>
    </w:p>
    <w:p>
      <w:pPr>
        <w:jc w:val="both"/>
        <w:ind w:right="3799"/>
        <w:spacing w:after="0" w:line="270" w:lineRule="auto"/>
        <w:rPr>
          <w:sz w:val="20"/>
          <w:szCs w:val="20"/>
          <w:color w:val="auto"/>
        </w:rPr>
      </w:pPr>
      <w:r>
        <w:rPr>
          <w:rFonts w:ascii="Courier New" w:cs="Courier New" w:eastAsia="Courier New" w:hAnsi="Courier New"/>
          <w:sz w:val="13"/>
          <w:szCs w:val="13"/>
          <w:color w:val="auto"/>
        </w:rPr>
        <w:t>Portions of the Registrant's Annual Report to Stockholders for the fiscal year ended October 31, 1996, are incorporated by reference into Parts I, II and IV.</w:t>
      </w:r>
    </w:p>
    <w:p>
      <w:pPr>
        <w:spacing w:after="0" w:line="144" w:lineRule="exact"/>
        <w:rPr>
          <w:sz w:val="24"/>
          <w:szCs w:val="24"/>
          <w:color w:val="auto"/>
        </w:rPr>
      </w:pPr>
    </w:p>
    <w:p>
      <w:pPr>
        <w:ind w:right="3799"/>
        <w:spacing w:after="0" w:line="237"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13, 1997 are incorporated by reference into Part III.</w:t>
      </w:r>
    </w:p>
    <w:p>
      <w:pPr>
        <w:spacing w:after="0" w:line="164" w:lineRule="exact"/>
        <w:rPr>
          <w:sz w:val="24"/>
          <w:szCs w:val="24"/>
          <w:color w:val="auto"/>
        </w:rPr>
      </w:pPr>
    </w:p>
    <w:p>
      <w:pPr>
        <w:ind w:left="160" w:hanging="155"/>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ectPr>
          <w:pgSz w:w="11900" w:h="16838" w:orient="portrait"/>
          <w:cols w:equalWidth="0" w:num="1">
            <w:col w:w="10239"/>
          </w:cols>
          <w:pgMar w:left="220" w:top="543" w:right="1440" w:bottom="1440" w:gutter="0" w:footer="0" w:header="0"/>
          <w:type w:val="continuous"/>
        </w:sectPr>
      </w:pPr>
    </w:p>
    <w:bookmarkStart w:id="1" w:name="page2"/>
    <w:bookmarkEnd w:id="1"/>
    <w:p>
      <w:pPr>
        <w:ind w:left="3060"/>
        <w:spacing w:after="0"/>
        <w:rPr>
          <w:sz w:val="20"/>
          <w:szCs w:val="20"/>
          <w:color w:val="auto"/>
        </w:rPr>
      </w:pPr>
      <w:r>
        <w:rPr>
          <w:rFonts w:ascii="Courier New" w:cs="Courier New" w:eastAsia="Courier New" w:hAnsi="Courier New"/>
          <w:sz w:val="14"/>
          <w:szCs w:val="14"/>
          <w:color w:val="auto"/>
        </w:rPr>
        <w:t>Part 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24"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ITEM 1. BUSINESS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63"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4"/>
          <w:szCs w:val="14"/>
          <w:color w:val="auto"/>
        </w:rPr>
        <w:t>The company designs, manufactures and markets consumer and professional turf maintenance equipment, snow removal products and irrigation systems. The company produced its first lawn mower for golf course fairways in 1922 and its first lawn mower for home use in 1939 and has continued to enhance its product lines ever since.</w:t>
      </w:r>
    </w:p>
    <w:p>
      <w:pPr>
        <w:spacing w:after="0" w:line="165"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The company emphasizes quality and innovation in its products, manufacturing and marketing. The company strives to provide well built, dependable products supported by an extensive service network. Innovation is emphasized through the introduction of new and enhanced products. The company's substantial funding of research and development, as well as its acquisition strategy and its licensing and related agreements, all contribute to its new product development efforts. Through these efforts the company also attempts to be responsive to trends which may affect its target markets, now and in the future. The company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168"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MAINTENANCE EQUIPMENT</w:t>
      </w:r>
    </w:p>
    <w:p>
      <w:pPr>
        <w:spacing w:after="0" w:line="163"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The company continues to be a leader in transforming advanced technologies into products and services that provide solutions for landscape and turf care maintenance and beautification demands. Following is a summary of Toro's product lines: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PRODUCTS</w:t>
      </w:r>
    </w:p>
    <w:p>
      <w:pPr>
        <w:spacing w:after="0" w:line="163" w:lineRule="exact"/>
        <w:rPr>
          <w:sz w:val="20"/>
          <w:szCs w:val="20"/>
          <w:color w:val="auto"/>
        </w:rPr>
      </w:pPr>
    </w:p>
    <w:p>
      <w:pPr>
        <w:ind w:left="420" w:right="3719"/>
        <w:spacing w:after="0" w:line="259" w:lineRule="auto"/>
        <w:rPr>
          <w:sz w:val="20"/>
          <w:szCs w:val="20"/>
          <w:color w:val="auto"/>
        </w:rPr>
      </w:pPr>
      <w:r>
        <w:rPr>
          <w:rFonts w:ascii="Courier New" w:cs="Courier New" w:eastAsia="Courier New" w:hAnsi="Courier New"/>
          <w:sz w:val="13"/>
          <w:szCs w:val="13"/>
          <w:color w:val="auto"/>
        </w:rPr>
        <w:t>WALK-BEHIND MOWERS. The company has manufactured walk-behind mowers for residential use since 1939. Its walk-behind lawn mowers are gasoline and electric powered. The company manufactures numerous models of walk-behind mowers under its brand names Toro-Registered Trademark- and Lawn-Boy-Registered Trademark-, including both four-cycle and two-cycle engine models, and new battery and electric models. Models differ as to cutting width, type of starter mechanism, type of bagging, controls and power sources, and are either self-propelled or push mowers. Certain of the company's lawn mowers are backed by the company's "Guaranteed To Start" program and some Lawn-Boy-Registered Trademark- models are equipped with a two-cycle, oil injected engine manufactured by the company.</w:t>
      </w:r>
    </w:p>
    <w:p>
      <w:pPr>
        <w:spacing w:after="0" w:line="155" w:lineRule="exact"/>
        <w:rPr>
          <w:sz w:val="20"/>
          <w:szCs w:val="20"/>
          <w:color w:val="auto"/>
        </w:rPr>
      </w:pPr>
    </w:p>
    <w:p>
      <w:pPr>
        <w:ind w:left="420" w:right="3639"/>
        <w:spacing w:after="0" w:line="239"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Toro-Registered Trademark-Wheel Horse-Registered Trademark- which range from an eight horsepower, 25 inch deck, rear engine model to a 20 horsepower, front engine model. The front engine model is available with a variety of decks and accessories (Recycler technology is available in select models). Some recently introduced models are equipped with hydrostatic transmissions and/or low emission engines.</w:t>
      </w: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592" w:right="1440" w:bottom="1440" w:gutter="0" w:footer="0" w:header="0"/>
        </w:sectPr>
      </w:pPr>
    </w:p>
    <w:bookmarkStart w:id="2" w:name="page3"/>
    <w:bookmarkEnd w:id="2"/>
    <w:p>
      <w:pPr>
        <w:ind w:left="420" w:right="3719"/>
        <w:spacing w:after="0" w:line="239" w:lineRule="auto"/>
        <w:rPr>
          <w:sz w:val="20"/>
          <w:szCs w:val="20"/>
          <w:color w:val="auto"/>
        </w:rPr>
      </w:pPr>
      <w:r>
        <w:rPr>
          <w:rFonts w:ascii="Courier New" w:cs="Courier New" w:eastAsia="Courier New" w:hAnsi="Courier New"/>
          <w:sz w:val="14"/>
          <w:szCs w:val="14"/>
          <w:color w:val="auto"/>
        </w:rPr>
        <w:t>HOME SOLUTIONS PRODUCTS. The company designs and markets electrical and gas products under the Toro-Registered Trademark- brand name for mass merchandisers and "do-it-yourself" home improvement markets. These products, which include homeowner-installed low voltage lighting, flexible line trimmers and electric blowers, are intended to require little or no after sales service. Among recently introduced products are a complete line of handheld products which include a cordless trimmer, hedge trimmers, gas edgers, gas trimmers, and a gas blower.</w:t>
      </w:r>
    </w:p>
    <w:p>
      <w:pPr>
        <w:spacing w:after="0" w:line="164" w:lineRule="exact"/>
        <w:rPr>
          <w:sz w:val="20"/>
          <w:szCs w:val="20"/>
          <w:color w:val="auto"/>
        </w:rPr>
      </w:pPr>
    </w:p>
    <w:p>
      <w:pPr>
        <w:ind w:left="420" w:right="3639"/>
        <w:spacing w:after="0" w:line="239" w:lineRule="auto"/>
        <w:rPr>
          <w:sz w:val="20"/>
          <w:szCs w:val="20"/>
          <w:color w:val="auto"/>
        </w:rPr>
      </w:pPr>
      <w:r>
        <w:rPr>
          <w:rFonts w:ascii="Courier New" w:cs="Courier New" w:eastAsia="Courier New" w:hAnsi="Courier New"/>
          <w:sz w:val="14"/>
          <w:szCs w:val="14"/>
          <w:color w:val="auto"/>
        </w:rPr>
        <w:t>SNOW REMOVAL PRODUCTS. The company manufactures and markets lightweight and larger self-propelled walk-behind snowthrowers and electric Power Shovel snowthrowers under the Toro-Registered Trademark- and Lawn-Boy-Registered Trademark- brand names. Single-stage snowthrowers, developed by the company and first introduced in 1965, are walk-behind units with a lightweight gasoline engine or electric motor and the Power Curve-Registered Trademark- snowthrower technology for general residential use. Two-stage snowthrowers are designed for relatively large areas with engines ranging from 5 to 12 horsepower. Units with 8 horsepower and above are equipped with the Power Shift-Registered Trademark- snowthrower technology.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TURF PRODUCTS</w:t>
      </w:r>
    </w:p>
    <w:p>
      <w:pPr>
        <w:spacing w:after="0" w:line="163" w:lineRule="exact"/>
        <w:rPr>
          <w:sz w:val="20"/>
          <w:szCs w:val="20"/>
          <w:color w:val="auto"/>
        </w:rPr>
      </w:pPr>
    </w:p>
    <w:p>
      <w:pPr>
        <w:ind w:left="420" w:right="3639"/>
        <w:spacing w:after="0" w:line="259" w:lineRule="auto"/>
        <w:rPr>
          <w:sz w:val="20"/>
          <w:szCs w:val="20"/>
          <w:color w:val="auto"/>
        </w:rPr>
      </w:pPr>
      <w:r>
        <w:rPr>
          <w:rFonts w:ascii="Courier New" w:cs="Courier New" w:eastAsia="Courier New" w:hAnsi="Courier New"/>
          <w:sz w:val="13"/>
          <w:szCs w:val="13"/>
          <w:color w:val="auto"/>
        </w:rPr>
        <w:t>COMMERCIAL PRODUCTS. Professional turf maintenance equipment marketed under the Toro-Registered Trademark- brand name is the company's oldest product line, which began in 1922 with the sale of tractor-pulled reel mowers to golf courses. Today the company's expanded product line includes products designed for the large turf areas of schools, parks, cemeteries, sports fields, plant sites, apartment buildings and townhouse complexes, as well as golf courses. Management believes that golf courses will continue to be a significant market for turf maintenance equipment as new golf course construction continues throughout the world. Increasing emphasis is being placed on the sports field and landscape contractor markets.</w:t>
      </w:r>
    </w:p>
    <w:p>
      <w:pPr>
        <w:spacing w:after="0" w:line="155" w:lineRule="exact"/>
        <w:rPr>
          <w:sz w:val="20"/>
          <w:szCs w:val="20"/>
          <w:color w:val="auto"/>
        </w:rPr>
      </w:pPr>
    </w:p>
    <w:p>
      <w:pPr>
        <w:ind w:left="420" w:right="3639"/>
        <w:spacing w:after="0" w:line="238" w:lineRule="auto"/>
        <w:rPr>
          <w:sz w:val="20"/>
          <w:szCs w:val="20"/>
          <w:color w:val="auto"/>
        </w:rPr>
      </w:pPr>
      <w:r>
        <w:rPr>
          <w:rFonts w:ascii="Courier New" w:cs="Courier New" w:eastAsia="Courier New" w:hAnsi="Courier New"/>
          <w:sz w:val="14"/>
          <w:szCs w:val="14"/>
          <w:color w:val="auto"/>
        </w:rPr>
        <w:t>Products for the golf course include turf sprayer equipment, riding and walk-behind reel mowers for the putting green, and riding and pull-behind large reel products for the fairway, rough and trim cutting, turf aeration, and sandtrap/bunker maintenance.</w:t>
      </w:r>
    </w:p>
    <w:p>
      <w:pPr>
        <w:spacing w:after="0" w:line="164" w:lineRule="exact"/>
        <w:rPr>
          <w:sz w:val="20"/>
          <w:szCs w:val="20"/>
          <w:color w:val="auto"/>
        </w:rPr>
      </w:pPr>
    </w:p>
    <w:p>
      <w:pPr>
        <w:ind w:left="420" w:right="3639"/>
        <w:spacing w:after="0" w:line="238" w:lineRule="auto"/>
        <w:rPr>
          <w:sz w:val="20"/>
          <w:szCs w:val="20"/>
          <w:color w:val="auto"/>
        </w:rPr>
      </w:pPr>
      <w:r>
        <w:rPr>
          <w:rFonts w:ascii="Courier New" w:cs="Courier New" w:eastAsia="Courier New" w:hAnsi="Courier New"/>
          <w:sz w:val="14"/>
          <w:szCs w:val="14"/>
          <w:color w:val="auto"/>
        </w:rPr>
        <w:t>Other products which service all commercial markets include riding rotary units with out-front cutting decks ranging from 52 inches to 16 feet widths of cut, turf sweepers, and multipurpose vehicles and attachments designed for flexibility.</w:t>
      </w:r>
    </w:p>
    <w:p>
      <w:pPr>
        <w:spacing w:after="0" w:line="164" w:lineRule="exact"/>
        <w:rPr>
          <w:sz w:val="20"/>
          <w:szCs w:val="20"/>
          <w:color w:val="auto"/>
        </w:rPr>
      </w:pPr>
    </w:p>
    <w:p>
      <w:pPr>
        <w:ind w:left="420" w:right="3639"/>
        <w:spacing w:after="0" w:line="239" w:lineRule="auto"/>
        <w:rPr>
          <w:sz w:val="20"/>
          <w:szCs w:val="20"/>
          <w:color w:val="auto"/>
        </w:rPr>
      </w:pPr>
      <w:r>
        <w:rPr>
          <w:rFonts w:ascii="Courier New" w:cs="Courier New" w:eastAsia="Courier New" w:hAnsi="Courier New"/>
          <w:sz w:val="14"/>
          <w:szCs w:val="14"/>
          <w:color w:val="auto"/>
        </w:rPr>
        <w:t>IRRIGATION PRODUCTS. Turf irrigation products marketed under the Toro-Registered Trademark- brand name include sprinkler heads and electric and hydraulic control devices designed to be used in turf irrigation systems for residential, commercial and golf course use. These products are installed in new systems and can also be used to replace or retrofit existing systems. Most of the product line is designed for underground irrigation systems. Sprinkler heads are buried underground and pop up when in operation. Control valves activate the sprinkler heads and controllers typically activate electric or hydraulic lines to control the valves and sprinkler heads. Recently introduced products include more efficient sprinkler heads and automatic electronic controllers for residential, commercial and golf course irrigation systems. The acquisition of the James Hardie Irrigation Group enhances Toro's product line for residential and commercial irrigation systems and also provides products for the agricultural micro-irrigation segment, including drip tape, hose, emitters and other micro-irrigation products. See "Recent Developments" included within Part I. The company's irrigation products are used in 75 of the golf courses rated among the top 100 courses in the United States by GOLF DIGEST.</w:t>
      </w:r>
    </w:p>
    <w:p>
      <w:pPr>
        <w:spacing w:after="0" w:line="170"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See the tables entitled "Sales By Product Line" under the captions "Results of Operations" in the sections entitled "Management's Discussion and Analysis of Financial Condition and Results of Operations" on pages 16 and 25 of the company's Annual Report to Stockholders for the fiscal year ended October 31, 1996 for information regarding revenues in the consumer, commercial and irrigation product lines, which information is incorporated herein by reference.</w:t>
      </w:r>
    </w:p>
    <w:p>
      <w:pPr>
        <w:spacing w:after="0" w:line="30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63"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Canada,Belgium, United Kingdom, Australia, Singapore, Japan, Italy and Greece.</w:t>
      </w:r>
    </w:p>
    <w:p>
      <w:pPr>
        <w:spacing w:after="0" w:line="164"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New product development is primarily pursued in the United States using a global product platform strategy. Products marketed outside of North America are sold in compliance with local safety standards. All products shipped to Europe conform to the European Community Certification standards.</w:t>
      </w:r>
    </w:p>
    <w:p>
      <w:pPr>
        <w:spacing w:after="0" w:line="164"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 addition to developing new market-specific products, the International division is adding customers in new regions. Emerging markets in Eastern Europe (such as the Czech Republic, Slovakia and Hungary) have been added to the distribution base in the last year.</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On December 3, 1996, the company announced the completion of the acquisition of James Hardie Irrigation Group (JHI) from James Hardie Limited of Australia. JHI is a worldwide leader in the production of irrigation systems to the commercial landscape market. JHI manufactures products for all major segments of the irrigation market, except for the golf market, and sells to distributors and retailers worldwide. JHI offers a broad range of irrigation products and has leading positions in valves and controllers worldwide. In Australia, JHI has a leading position in hose, hose-end and micro-irrigation products. Unless otherwise indicated, the historical financial and statistical data included herein does not reflect the completion of such acquisition.</w:t>
      </w:r>
    </w:p>
    <w:p>
      <w:pPr>
        <w:spacing w:after="0" w:line="165" w:lineRule="exact"/>
        <w:rPr>
          <w:sz w:val="20"/>
          <w:szCs w:val="20"/>
          <w:color w:val="auto"/>
        </w:rPr>
      </w:pPr>
    </w:p>
    <w:p>
      <w:pPr>
        <w:ind w:right="3719"/>
        <w:spacing w:after="0" w:line="259" w:lineRule="auto"/>
        <w:rPr>
          <w:sz w:val="20"/>
          <w:szCs w:val="20"/>
          <w:color w:val="auto"/>
        </w:rPr>
      </w:pPr>
      <w:r>
        <w:rPr>
          <w:rFonts w:ascii="Courier New" w:cs="Courier New" w:eastAsia="Courier New" w:hAnsi="Courier New"/>
          <w:sz w:val="13"/>
          <w:szCs w:val="13"/>
          <w:color w:val="auto"/>
        </w:rPr>
        <w:t>The company also completed in fiscal 1996 the acquisition of Liquid Ag Systems of Florida, a leader in fertigation systems, whereby an eco-product feeds turf through existing irrigation systems resulting in less harmful runoff into ponds and streams. Also acquired was National Service Network of Abilene, TX., which provides technology and integrated services support to the company's customers. The company teamed with Walt Disney World Sports to provide the turf expertise to maintain the grounds for the new Wide World of Sports complex in Florida, scheduled to open in the spring of 1997. A partnership with GeoFlow provided the company with an important irrigation product for rootzone irrigation on media strips, recreation areas and residential properties that can reduce water consumption by up to 50%. The company also partnered with Ryobi Outdoor Products, and Maruyama Manufacturing, Inc., in alliances that provide enhanced visibility and expanded product lines in emerging markets such as the landscape contractor business. This line includes cultivators, battery trimmers, hedge trimmers and blower vacuums.</w:t>
      </w:r>
    </w:p>
    <w:p>
      <w:pPr>
        <w:spacing w:after="0" w:line="312" w:lineRule="exact"/>
        <w:rPr>
          <w:sz w:val="20"/>
          <w:szCs w:val="20"/>
          <w:color w:val="auto"/>
        </w:rPr>
      </w:pPr>
    </w:p>
    <w:p>
      <w:pPr>
        <w:ind w:right="3799"/>
        <w:spacing w:after="0" w:line="260" w:lineRule="auto"/>
        <w:rPr>
          <w:sz w:val="20"/>
          <w:szCs w:val="20"/>
          <w:color w:val="auto"/>
        </w:rPr>
      </w:pPr>
      <w:r>
        <w:rPr>
          <w:rFonts w:ascii="Courier New" w:cs="Courier New" w:eastAsia="Courier New" w:hAnsi="Courier New"/>
          <w:sz w:val="13"/>
          <w:szCs w:val="13"/>
          <w:color w:val="auto"/>
        </w:rPr>
        <w:t>In 1996, the company continued to develop world class manufacturing processes leading to more efficient plant operations through robotics, cellular manufacturing, and just in time sourcing of products. Both the company's Shakopee component manufacturing plant and the Bloomington headquarters' commercial operations received ISO 9000 designations. Prior to 1996, both the Riverside and Tomah manufacturing facilities achieved such designations.</w:t>
      </w:r>
    </w:p>
    <w:p>
      <w:pPr>
        <w:spacing w:after="0" w:line="153" w:lineRule="exact"/>
        <w:rPr>
          <w:sz w:val="20"/>
          <w:szCs w:val="20"/>
          <w:color w:val="auto"/>
        </w:rPr>
      </w:pPr>
    </w:p>
    <w:p>
      <w:pPr>
        <w:ind w:right="3639"/>
        <w:spacing w:after="0" w:line="259" w:lineRule="auto"/>
        <w:rPr>
          <w:sz w:val="20"/>
          <w:szCs w:val="20"/>
          <w:color w:val="auto"/>
        </w:rPr>
      </w:pPr>
      <w:r>
        <w:rPr>
          <w:rFonts w:ascii="Courier New" w:cs="Courier New" w:eastAsia="Courier New" w:hAnsi="Courier New"/>
          <w:sz w:val="13"/>
          <w:szCs w:val="13"/>
          <w:color w:val="auto"/>
        </w:rPr>
        <w:t>The company continues to provide 2-cycle and 4-cycle gasoline walk-behind power mowers that produce lower emissions. The company introduced electric mowers for both the Toro-Registered Trademark- and Lawn-Boy-Registered Trademark- brands in 1996, including the Toro Carefree-TM- line which integrates Toro-Registered Trademark- mulching technology in an electric mower. In addition, Lawn-Boy-Registered Trademark- introduced a new line of snowthrowers and the E-engine, a new low-emission 2-cycle engine for lawn mowers. Lawn-Boy-Registered Trademark- also offers emission-free battery powered mowers. Consistent with its long-term goal of expanding the professional turf maintenance market, the company introduced an extensive line of new handheld, walk-behind and riding products for the landscape contractor and has increased sales to this market.</w:t>
      </w:r>
    </w:p>
    <w:p>
      <w:pPr>
        <w:spacing w:after="0" w:line="155"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The company improved truck fleet efficiency during the year using the QualComm satellite tracking system to monitor and guide shipping and weather patterns. The company also developed Consumer Gateway, an integrated hardware and software computer system for outdoor power equipment dealers.</w:t>
      </w: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MANUFACTURING</w:t>
      </w:r>
    </w:p>
    <w:p>
      <w:pPr>
        <w:spacing w:after="0" w:line="163"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164"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 commercial products from several suppliers. In addition, the company manufactures three types of two-cycle engines for its consumer products.</w:t>
      </w:r>
    </w:p>
    <w:p>
      <w:pPr>
        <w:spacing w:after="0" w:line="164" w:lineRule="exact"/>
        <w:rPr>
          <w:sz w:val="20"/>
          <w:szCs w:val="20"/>
          <w:color w:val="auto"/>
        </w:rPr>
      </w:pPr>
    </w:p>
    <w:p>
      <w:pPr>
        <w:ind w:right="3719"/>
        <w:spacing w:after="0" w:line="264" w:lineRule="auto"/>
        <w:rPr>
          <w:sz w:val="20"/>
          <w:szCs w:val="20"/>
          <w:color w:val="auto"/>
        </w:rPr>
      </w:pPr>
      <w:r>
        <w:rPr>
          <w:rFonts w:ascii="Courier New" w:cs="Courier New" w:eastAsia="Courier New" w:hAnsi="Courier New"/>
          <w:sz w:val="13"/>
          <w:szCs w:val="13"/>
          <w:color w:val="auto"/>
        </w:rPr>
        <w:t>Management continues to seek greater efficiencies and improve work processes throughout the company. Toro's total quality process is focused upon improving product quality, customer response time and reducing overall product cost.</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Toro-Registered Trademark-, Wheel Horse-Registered Trademark- and Lawn-Boy-Registered Trademark-, all of which are registered in the United States and in the principal foreign countries in which the company markets its products. 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dependent on any one or more of its patents.</w:t>
      </w:r>
    </w:p>
    <w:p>
      <w:pPr>
        <w:spacing w:after="0" w:line="165"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In connection with the recent acquisition of James Hardie Irrigation Group, the following brand names were acquired: Lawn Genie-Registered Trademark-, Irritrol-Registered Trademark-, Richdel-Registered Trademark-, Hardie Pope, Hardie, Blue Stripe, Hardie Tape and Aqua-Traxx. The company has agreed to discontinue use of the term "Hardie" or any similar name within one year of the acquisition. However, inventory manufactured prior to that one year may continue to carry the term "Hardie" or similar name.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Sales of the company's consumer products, which accounted for approximately 50% of total sales in fiscal 1996, are seasonal with greater sales of consumer products, excluding snow removal equipment, occurring between February and April and snow removal equipment between August and January.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March as a result of extended payment terms made available to the company's customers. Accounts receivable balances decrease between April and June when payments are made. The seasonal requirements of the business are financed from operations and with short-term bank lines of credit and off-balance sheet financing.</w:t>
      </w:r>
    </w:p>
    <w:p>
      <w:pPr>
        <w:spacing w:after="0" w:line="32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163" w:lineRule="exact"/>
        <w:rPr>
          <w:sz w:val="20"/>
          <w:szCs w:val="20"/>
          <w:color w:val="auto"/>
        </w:rPr>
      </w:pPr>
    </w:p>
    <w:p>
      <w:pPr>
        <w:ind w:right="3639"/>
        <w:spacing w:after="0" w:line="259" w:lineRule="auto"/>
        <w:rPr>
          <w:sz w:val="20"/>
          <w:szCs w:val="20"/>
          <w:color w:val="auto"/>
        </w:rPr>
      </w:pPr>
      <w:r>
        <w:rPr>
          <w:rFonts w:ascii="Courier New" w:cs="Courier New" w:eastAsia="Courier New" w:hAnsi="Courier New"/>
          <w:sz w:val="13"/>
          <w:szCs w:val="13"/>
          <w:color w:val="auto"/>
        </w:rPr>
        <w:t>The company markets the majority of its products principally through approximately 40 domestic and 96 foreign distributors and a number of mass merchandisers worldwide. Toro-Registered Trademark- and Lawn-Boy-Registered Trademark- consumer products such as walk-behind power mowers, riding mowers and snowthrowers are sold to distributors for resale to retail dealers throughout the United States. Home solutions products and most Lawn-Boy-Registered Trademark- products are sold directly to mass merchandisers and "do-it-yourself" home improvement retailers. Commercial and irrigation products are sold to distributors for resale to irrigation contractors and golf courses. Irrigation products are also sold through distributors to irrigation dealers and direct to irrigation dealers, mass merchandisers and "do-it-yourself" home improvement retailers for resale to contractors, golf courses and end-users.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312"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The company's current marketing strategy is to maintain distinct and separate brands and brand identification for Toro-Registered Trademark-, Toro-Registered Trademark-Wheel Horse-Registered Trademark- and Lawn-Boy-Registered Trademark-products. The company is currently evaluating its marketing strategies with respect to the brand names acquired in connection with the acquisition of the James Hardie Irrigation Group.</w:t>
      </w:r>
    </w:p>
    <w:p>
      <w:pPr>
        <w:spacing w:after="0" w:line="166"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Toro-Registered Trademark-, Toro-Registered Trademark-Wheel Horse-Registered Trademark- and Lawn-Boy-Registered Trademark-products.</w:t>
      </w:r>
    </w:p>
    <w:p>
      <w:pPr>
        <w:spacing w:after="0" w:line="166" w:lineRule="exact"/>
        <w:rPr>
          <w:sz w:val="20"/>
          <w:szCs w:val="20"/>
          <w:color w:val="auto"/>
        </w:rPr>
      </w:pPr>
    </w:p>
    <w:p>
      <w:pPr>
        <w:ind w:right="3639"/>
        <w:spacing w:after="0" w:line="262" w:lineRule="auto"/>
        <w:rPr>
          <w:sz w:val="20"/>
          <w:szCs w:val="20"/>
          <w:color w:val="auto"/>
        </w:rPr>
      </w:pPr>
      <w:r>
        <w:rPr>
          <w:rFonts w:ascii="Courier New" w:cs="Courier New" w:eastAsia="Courier New" w:hAnsi="Courier New"/>
          <w:sz w:val="13"/>
          <w:szCs w:val="13"/>
          <w:color w:val="auto"/>
        </w:rPr>
        <w:t>The company advertises its products during appropriate seasons throughout the year on television, radio and in print. Most of the company's advertising emphasizes its brand names. Advertising is directly paid by the company as well as through cooperative programs with distributors, dealers and mass merchants.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order backlog at October 31, 1996 and 1995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40" w:type="dxa"/>
            <w:vAlign w:val="bottom"/>
          </w:tcPr>
          <w:p>
            <w:pPr>
              <w:spacing w:after="0"/>
              <w:rPr>
                <w:sz w:val="13"/>
                <w:szCs w:val="13"/>
                <w:color w:val="auto"/>
              </w:rPr>
            </w:pPr>
          </w:p>
        </w:tc>
        <w:tc>
          <w:tcPr>
            <w:tcW w:w="2100" w:type="dxa"/>
            <w:vAlign w:val="bottom"/>
          </w:tcPr>
          <w:p>
            <w:pPr>
              <w:jc w:val="right"/>
              <w:ind w:right="951"/>
              <w:spacing w:after="0"/>
              <w:rPr>
                <w:sz w:val="20"/>
                <w:szCs w:val="20"/>
                <w:color w:val="auto"/>
              </w:rPr>
            </w:pPr>
            <w:r>
              <w:rPr>
                <w:rFonts w:ascii="Courier New" w:cs="Courier New" w:eastAsia="Courier New" w:hAnsi="Courier New"/>
                <w:sz w:val="14"/>
                <w:szCs w:val="14"/>
                <w:color w:val="auto"/>
              </w:rPr>
              <w:t>1996</w:t>
            </w:r>
          </w:p>
        </w:tc>
        <w:tc>
          <w:tcPr>
            <w:tcW w:w="17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1995</w:t>
            </w:r>
          </w:p>
        </w:tc>
      </w:tr>
      <w:tr>
        <w:trPr>
          <w:trHeight w:val="159"/>
        </w:trPr>
        <w:tc>
          <w:tcPr>
            <w:tcW w:w="1240" w:type="dxa"/>
            <w:vAlign w:val="bottom"/>
          </w:tcPr>
          <w:p>
            <w:pPr>
              <w:spacing w:after="0"/>
              <w:rPr>
                <w:sz w:val="13"/>
                <w:szCs w:val="13"/>
                <w:color w:val="auto"/>
              </w:rPr>
            </w:pPr>
          </w:p>
        </w:tc>
        <w:tc>
          <w:tcPr>
            <w:tcW w:w="210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124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10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$ 51,373,000</w:t>
            </w:r>
          </w:p>
        </w:tc>
        <w:tc>
          <w:tcPr>
            <w:tcW w:w="1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$ 46,087,000</w:t>
            </w:r>
          </w:p>
        </w:tc>
      </w:tr>
      <w:tr>
        <w:trPr>
          <w:trHeight w:val="317"/>
        </w:trPr>
        <w:tc>
          <w:tcPr>
            <w:tcW w:w="12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10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55,138,000</w:t>
            </w:r>
          </w:p>
        </w:tc>
        <w:tc>
          <w:tcPr>
            <w:tcW w:w="1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49,624,000</w:t>
            </w:r>
          </w:p>
        </w:tc>
      </w:tr>
      <w:tr>
        <w:trPr>
          <w:trHeight w:val="317"/>
        </w:trPr>
        <w:tc>
          <w:tcPr>
            <w:tcW w:w="124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10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4,333,000</w:t>
            </w:r>
          </w:p>
        </w:tc>
        <w:tc>
          <w:tcPr>
            <w:tcW w:w="1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4,417,000</w:t>
            </w:r>
          </w:p>
        </w:tc>
      </w:tr>
    </w:tbl>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The increase in consumer product backlog reflects the sell-out of gas snow products in fiscal 1996. This resulted in increased orders of gas snow products at the end of fiscal 1996 in anticipation of another hard winter season. The increase for commercial products reflects continued sales growth in most product lines. The existing backlog is expected to be filled in the succeeding fiscal year.</w:t>
      </w:r>
    </w:p>
    <w:p>
      <w:pPr>
        <w:spacing w:after="0" w:line="32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COMPETITION</w:t>
      </w:r>
    </w:p>
    <w:p>
      <w:pPr>
        <w:spacing w:after="0" w:line="163"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The principal competitive factors in the company's markets are product innovation, quality, service and pricing. Management believes the company offers high quality products with the latest technology and design innovations. Also, by selling Toro-Registered Trademark-, Toro-Registered Trademark-Wheel Horse-Registered Trademark- and Lawn-Boy-Registered Trademark- brand products through a network of distributors, dealers and mass merchants who provide service, the company offers competitive service during and after the relevant warranty period.</w:t>
      </w:r>
    </w:p>
    <w:p>
      <w:pPr>
        <w:spacing w:after="0" w:line="164"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16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CONSUMER</w:t>
      </w:r>
    </w:p>
    <w:p>
      <w:pPr>
        <w:spacing w:after="0" w:line="163" w:lineRule="exact"/>
        <w:rPr>
          <w:sz w:val="20"/>
          <w:szCs w:val="20"/>
          <w:color w:val="auto"/>
        </w:rPr>
      </w:pPr>
    </w:p>
    <w:p>
      <w:pPr>
        <w:ind w:left="420" w:right="3639"/>
        <w:spacing w:after="0" w:line="239" w:lineRule="auto"/>
        <w:rPr>
          <w:sz w:val="20"/>
          <w:szCs w:val="20"/>
          <w:color w:val="auto"/>
        </w:rPr>
      </w:pPr>
      <w:r>
        <w:rPr>
          <w:rFonts w:ascii="Courier New" w:cs="Courier New" w:eastAsia="Courier New" w:hAnsi="Courier New"/>
          <w:sz w:val="14"/>
          <w:szCs w:val="14"/>
          <w:color w:val="auto"/>
        </w:rPr>
        <w:t>The company's principal competitors for mowing and snow equipment are American Yard Products, Inc. (a subsidiary of Electrolux AB), Deere &amp; Company, Honda Motor Co., Ltd., MTD Products, Inc., Murray Ohio Manufacturing Co., Inc. (a subsidiary of Tompkins Corp.), Sears, Roebuck and Co., Snapper Power Equipment (a division of ACT), Ariens Company, Bolens Corporation (a division of Garden Way, Incorporated), Noma Outdoor Products, Simplicity Manufacturing Company and Yamaha Motor Corporation, USA. The principal competitors in home solutions products are The Black and Decker Corporation, K &amp; S Industries, Inc., Malibu Lighting (a registered trademark of Intermatic, Inc.) and Poulan/Weed Eater (a division of Electrolux AB).</w:t>
      </w:r>
    </w:p>
    <w:p>
      <w:pPr>
        <w:spacing w:after="0" w:line="161"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COMMERCIAL</w:t>
      </w:r>
    </w:p>
    <w:p>
      <w:pPr>
        <w:spacing w:after="0" w:line="163" w:lineRule="exact"/>
        <w:rPr>
          <w:sz w:val="20"/>
          <w:szCs w:val="20"/>
          <w:color w:val="auto"/>
        </w:rPr>
      </w:pPr>
    </w:p>
    <w:p>
      <w:pPr>
        <w:ind w:left="420" w:right="3719"/>
        <w:spacing w:after="0" w:line="239"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American Honda Motor Co., Inc., Echo Inc., Stihl Inc., Scag Power Equipment, Shindaiwa Inc., Snapper Inc., Gravely International, Exmark Manufacturing Co., Inc., Lesco Inc., Walker Manufacturing Co., Cub Cadet Power Equipment, American Yard Products, Husqvarna Forest and Garden Co., The Ariens Co., MTD Products Inc., Textron Jacobsen and Ransomes Sims &amp; Jefferies PLC, (based in the United Kingdom).</w:t>
      </w:r>
    </w:p>
    <w:p>
      <w:pPr>
        <w:spacing w:after="0" w:line="16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IRRIGATION</w:t>
      </w:r>
    </w:p>
    <w:p>
      <w:pPr>
        <w:spacing w:after="0" w:line="163" w:lineRule="exact"/>
        <w:rPr>
          <w:sz w:val="20"/>
          <w:szCs w:val="20"/>
          <w:color w:val="auto"/>
        </w:rPr>
      </w:pPr>
    </w:p>
    <w:p>
      <w:pPr>
        <w:ind w:left="420" w:right="4139"/>
        <w:spacing w:after="0" w:line="270" w:lineRule="auto"/>
        <w:rPr>
          <w:sz w:val="20"/>
          <w:szCs w:val="20"/>
          <w:color w:val="auto"/>
        </w:rPr>
      </w:pPr>
      <w:r>
        <w:rPr>
          <w:rFonts w:ascii="Courier New" w:cs="Courier New" w:eastAsia="Courier New" w:hAnsi="Courier New"/>
          <w:sz w:val="13"/>
          <w:szCs w:val="13"/>
          <w:color w:val="auto"/>
        </w:rPr>
        <w:t>The company's principal competitors in irrigation products are Hunter Industries and Rain Bird Sprinkler Manufacturing Corporation.</w:t>
      </w:r>
    </w:p>
    <w:p>
      <w:pPr>
        <w:spacing w:after="0" w:line="14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INTERNATIONAL</w:t>
      </w:r>
    </w:p>
    <w:p>
      <w:pPr>
        <w:spacing w:after="0" w:line="163" w:lineRule="exact"/>
        <w:rPr>
          <w:sz w:val="20"/>
          <w:szCs w:val="20"/>
          <w:color w:val="auto"/>
        </w:rPr>
      </w:pPr>
    </w:p>
    <w:p>
      <w:pPr>
        <w:ind w:left="420" w:right="3639"/>
        <w:spacing w:after="0" w:line="239"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63" w:lineRule="exact"/>
        <w:rPr>
          <w:sz w:val="20"/>
          <w:szCs w:val="20"/>
          <w:color w:val="auto"/>
        </w:rPr>
      </w:pPr>
    </w:p>
    <w:p>
      <w:pPr>
        <w:ind w:right="3639"/>
        <w:spacing w:after="0" w:line="259" w:lineRule="auto"/>
        <w:rPr>
          <w:sz w:val="20"/>
          <w:szCs w:val="20"/>
          <w:color w:val="auto"/>
        </w:rPr>
      </w:pPr>
      <w:r>
        <w:rPr>
          <w:rFonts w:ascii="Courier New" w:cs="Courier New" w:eastAsia="Courier New" w:hAnsi="Courier New"/>
          <w:sz w:val="13"/>
          <w:szCs w:val="13"/>
          <w:color w:val="auto"/>
        </w:rPr>
        <w:t>The company conducts research and development activities in an effort to improve existing products and develop new products. Amounts expended on such activities, including engineering costs, aggregated approximately $31.3 million, or 3.4% of net sales for the year ended October 31, 1996, $6.9 million, or 3.6% of net sales for the 3 months ended October 31, 1995, $26.5 million, or 2.8% of net sales for the year ended July 31, 1995, and $24.6 million, or 3.1% of net sales for the year ended July 31, 1994. Management believes that the company's research and development efforts are important to the quality, mix and growth of its businesses and plans to continue its strong commitment to such activities.</w:t>
      </w:r>
    </w:p>
    <w:p>
      <w:pPr>
        <w:spacing w:after="0" w:line="31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GOVERNMENTAL REGULATION</w:t>
      </w:r>
    </w:p>
    <w:p>
      <w:pPr>
        <w:spacing w:after="0" w:line="163"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federal Consumer Product Safety Commission. The company is also subject to certain federal and state environmental, occupational safety and other regulations, none of which has had a material adverse affect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required to comply with the EPA regulations on or before September 1997. The company expects its own two-cycle walk-behind power mower engines to be able to comply with Phase I regulations beginning in September of 1997. This will allow the company to continue producing its two-cycle walk-behind power mower engines at its Oxford, Mississippi plant through the year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63" w:lineRule="exact"/>
        <w:rPr>
          <w:sz w:val="20"/>
          <w:szCs w:val="20"/>
          <w:color w:val="auto"/>
        </w:rPr>
      </w:pPr>
    </w:p>
    <w:p>
      <w:pPr>
        <w:ind w:right="4059"/>
        <w:spacing w:after="0" w:line="238" w:lineRule="auto"/>
        <w:rPr>
          <w:sz w:val="20"/>
          <w:szCs w:val="20"/>
          <w:color w:val="auto"/>
        </w:rPr>
      </w:pPr>
      <w:r>
        <w:rPr>
          <w:rFonts w:ascii="Courier New" w:cs="Courier New" w:eastAsia="Courier New" w:hAnsi="Courier New"/>
          <w:sz w:val="14"/>
          <w:szCs w:val="14"/>
          <w:color w:val="auto"/>
        </w:rPr>
        <w:t>During fiscal 1996 the company employed an average of 3,509 employees. The total number of employees at October 31, 1996 was 3,280, reflecting the company's normal seasonal fluctuation in employment. Approximately 20 % of these employees are covered by four collective bargaining agreements, one expiring in May 1997, two expiring in September 1997, and one expiring in November 1999.</w:t>
      </w:r>
    </w:p>
    <w:p>
      <w:pPr>
        <w:spacing w:after="0" w:line="166" w:lineRule="exact"/>
        <w:rPr>
          <w:sz w:val="20"/>
          <w:szCs w:val="20"/>
          <w:color w:val="auto"/>
        </w:rPr>
      </w:pPr>
    </w:p>
    <w:p>
      <w:pPr>
        <w:ind w:right="3639"/>
        <w:spacing w:after="0" w:line="261" w:lineRule="auto"/>
        <w:rPr>
          <w:sz w:val="20"/>
          <w:szCs w:val="20"/>
          <w:color w:val="auto"/>
        </w:rPr>
      </w:pPr>
      <w:r>
        <w:rPr>
          <w:rFonts w:ascii="Courier New" w:cs="Courier New" w:eastAsia="Courier New" w:hAnsi="Courier New"/>
          <w:sz w:val="13"/>
          <w:szCs w:val="13"/>
          <w:color w:val="auto"/>
        </w:rPr>
        <w:t>As a result of the acquisition of the James Hardie Irrigation Group, the company added approximately 1,070 employees. JHI's Australian employees have three local agreements with the National Union of Workers and the Australian Workers Union which cover approximately 15% of all JHI employees. These agreements will expire in June 1997. None of the JHI U.S. employees are represented by unions.</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With the exception of the newly added JHI production facilities in Australia, all of the company's production facilities are located within the United States. Except for the sales of the company's foreign subsidiaries, which are not significant when compared to total company sales, substantially all financial transactions have been made in U.S. dollars. Consequently, the company did not realize any significant impact to earnings due to fluctuations in foreign currencies during the fiscal year ended October 31, 1996.</w:t>
      </w:r>
    </w:p>
    <w:p>
      <w:pPr>
        <w:spacing w:after="0" w:line="163" w:lineRule="exact"/>
        <w:rPr>
          <w:sz w:val="20"/>
          <w:szCs w:val="20"/>
          <w:color w:val="auto"/>
        </w:rPr>
      </w:pPr>
    </w:p>
    <w:p>
      <w:pPr>
        <w:ind w:right="3719"/>
        <w:spacing w:after="0" w:line="260" w:lineRule="auto"/>
        <w:rPr>
          <w:sz w:val="20"/>
          <w:szCs w:val="20"/>
          <w:color w:val="auto"/>
        </w:rPr>
      </w:pPr>
      <w:r>
        <w:rPr>
          <w:rFonts w:ascii="Courier New" w:cs="Courier New" w:eastAsia="Courier New" w:hAnsi="Courier New"/>
          <w:sz w:val="13"/>
          <w:szCs w:val="13"/>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and anticipated foreign currency transactions. With the acquisition of the James Hardie Irrigation Group, the company expects an increase in transactions denominated in Australian dollars.</w:t>
      </w:r>
    </w:p>
    <w:p>
      <w:pPr>
        <w:spacing w:after="0" w:line="152" w:lineRule="exact"/>
        <w:rPr>
          <w:sz w:val="20"/>
          <w:szCs w:val="20"/>
          <w:color w:val="auto"/>
        </w:rPr>
      </w:pPr>
    </w:p>
    <w:p>
      <w:pPr>
        <w:ind w:right="3719"/>
        <w:spacing w:after="0" w:line="262" w:lineRule="auto"/>
        <w:rPr>
          <w:sz w:val="20"/>
          <w:szCs w:val="20"/>
          <w:color w:val="auto"/>
        </w:rPr>
      </w:pPr>
      <w:r>
        <w:rPr>
          <w:rFonts w:ascii="Courier New" w:cs="Courier New" w:eastAsia="Courier New" w:hAnsi="Courier New"/>
          <w:sz w:val="13"/>
          <w:szCs w:val="13"/>
          <w:color w:val="auto"/>
        </w:rPr>
        <w:t>Export sales were $154,716,000 for the year ended October 31, 1996, $18,557,000 for the 3 months ended October 31, 1995, and $126,560,000 and $109,344,000 for the years ended July 31 1995 and 1994, respectively. The identifiable assets attributable to foreign operations were not significant as of October 31, 1996.</w:t>
      </w:r>
    </w:p>
    <w:p>
      <w:pPr>
        <w:spacing w:after="0" w:line="150"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See Note 8 to the Consolidated Financial Statements of the company contained in the company's Annual Report to Stockholders for the fiscal year ended October 31, 1996 for additional information relating to international and export sales, which information is incorporated herein by reference.</w:t>
      </w: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2" w:right="1440" w:bottom="1440" w:gutter="0" w:footer="0" w:header="0"/>
        </w:sectPr>
      </w:pPr>
    </w:p>
    <w:bookmarkStart w:id="8" w:name="page9"/>
    <w:bookmarkEnd w:id="8"/>
    <w:p>
      <w:pPr>
        <w:ind w:left="2560"/>
        <w:spacing w:after="0"/>
        <w:rPr>
          <w:sz w:val="20"/>
          <w:szCs w:val="20"/>
          <w:color w:val="auto"/>
        </w:rPr>
      </w:pPr>
      <w:r>
        <w:rPr>
          <w:rFonts w:ascii="Courier New" w:cs="Courier New" w:eastAsia="Courier New" w:hAnsi="Courier New"/>
          <w:sz w:val="14"/>
          <w:szCs w:val="14"/>
          <w:color w:val="auto"/>
        </w:rPr>
        <w:t>ITEM 2. PROPERTIES</w:t>
      </w:r>
    </w:p>
    <w:p>
      <w:pPr>
        <w:spacing w:after="0" w:line="163" w:lineRule="exact"/>
        <w:rPr>
          <w:sz w:val="20"/>
          <w:szCs w:val="20"/>
          <w:color w:val="auto"/>
        </w:rPr>
      </w:pPr>
    </w:p>
    <w:p>
      <w:pPr>
        <w:ind w:right="4620"/>
        <w:spacing w:after="0" w:line="239"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4,437,000 square feet of space. The manufacturing facilities, excluding JHI, operated at about 62% of total plant capacity in fiscal 1996. Actual plant utilization varies during the year depending upon the production cycle. Management believes that the current facilities are sufficient for current production needs. The following schedule outlines the company's facilities by location, plant size, ownership and function:</w:t>
      </w:r>
    </w:p>
    <w:p>
      <w:pPr>
        <w:spacing w:after="0" w:line="200" w:lineRule="exact"/>
        <w:rPr>
          <w:sz w:val="20"/>
          <w:szCs w:val="20"/>
          <w:color w:val="auto"/>
        </w:rPr>
      </w:pPr>
    </w:p>
    <w:p>
      <w:pPr>
        <w:spacing w:after="0" w:line="280" w:lineRule="exact"/>
        <w:rPr>
          <w:sz w:val="20"/>
          <w:szCs w:val="20"/>
          <w:color w:val="auto"/>
        </w:rPr>
      </w:pPr>
    </w:p>
    <w:p>
      <w:pPr>
        <w:ind w:left="160" w:hanging="155"/>
        <w:spacing w:after="0"/>
        <w:tabs>
          <w:tab w:leader="none" w:pos="1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ind w:left="1000"/>
        <w:spacing w:after="0"/>
        <w:tabs>
          <w:tab w:leader="none" w:pos="2880" w:val="left"/>
          <w:tab w:leader="none" w:pos="4360" w:val="left"/>
          <w:tab w:leader="none" w:pos="708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Square Feet</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3"/>
          <w:szCs w:val="13"/>
          <w:color w:val="auto"/>
        </w:rPr>
        <w:t>Products Manufactured / Use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Plymouth, WI</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420,000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540" w:type="dxa"/>
            <w:vAlign w:val="bottom"/>
            <w:gridSpan w:val="3"/>
          </w:tcPr>
          <w:p>
            <w:pPr>
              <w:ind w:left="240"/>
              <w:spacing w:after="0"/>
              <w:rPr>
                <w:sz w:val="20"/>
                <w:szCs w:val="20"/>
                <w:color w:val="auto"/>
              </w:rPr>
            </w:pPr>
            <w:r>
              <w:rPr>
                <w:rFonts w:ascii="Courier New" w:cs="Courier New" w:eastAsia="Courier New" w:hAnsi="Courier New"/>
                <w:sz w:val="14"/>
                <w:szCs w:val="14"/>
                <w:color w:val="auto"/>
              </w:rPr>
              <w:t>Parts distribution center, office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Windom, MN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305,000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540" w:type="dxa"/>
            <w:vAlign w:val="bottom"/>
            <w:gridSpan w:val="3"/>
          </w:tcPr>
          <w:p>
            <w:pPr>
              <w:ind w:left="240"/>
              <w:spacing w:after="0"/>
              <w:rPr>
                <w:sz w:val="20"/>
                <w:szCs w:val="20"/>
                <w:color w:val="auto"/>
              </w:rPr>
            </w:pPr>
            <w:r>
              <w:rPr>
                <w:rFonts w:ascii="Courier New" w:cs="Courier New" w:eastAsia="Courier New" w:hAnsi="Courier New"/>
                <w:sz w:val="14"/>
                <w:szCs w:val="14"/>
                <w:color w:val="auto"/>
              </w:rPr>
              <w:t>Consumer components and products</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Lakeville, MN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304,000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Finished Goods</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distribution center, office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Bloomington, MN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300,000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1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Corporate headquarters</w:t>
            </w:r>
          </w:p>
        </w:tc>
        <w:tc>
          <w:tcPr>
            <w:tcW w:w="2360" w:type="dxa"/>
            <w:vAlign w:val="bottom"/>
          </w:tcPr>
          <w:p>
            <w:pPr>
              <w:spacing w:after="0"/>
              <w:rPr>
                <w:sz w:val="13"/>
                <w:szCs w:val="13"/>
                <w:color w:val="auto"/>
              </w:rPr>
            </w:pP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274,000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540" w:type="dxa"/>
            <w:vAlign w:val="bottom"/>
            <w:gridSpan w:val="3"/>
          </w:tcPr>
          <w:p>
            <w:pPr>
              <w:ind w:left="24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Sardis, MS</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245,000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1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Consumer products</w:t>
            </w:r>
          </w:p>
        </w:tc>
        <w:tc>
          <w:tcPr>
            <w:tcW w:w="2360" w:type="dxa"/>
            <w:vAlign w:val="bottom"/>
          </w:tcPr>
          <w:p>
            <w:pPr>
              <w:spacing w:after="0"/>
              <w:rPr>
                <w:sz w:val="13"/>
                <w:szCs w:val="13"/>
                <w:color w:val="auto"/>
              </w:rPr>
            </w:pP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Baraboo, WI</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228,000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Finished Goods</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distribution center, office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South Bend, IN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226,000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180" w:type="dxa"/>
            <w:vAlign w:val="bottom"/>
            <w:gridSpan w:val="2"/>
          </w:tcPr>
          <w:p>
            <w:pPr>
              <w:ind w:left="240"/>
              <w:spacing w:after="0"/>
              <w:rPr>
                <w:sz w:val="20"/>
                <w:szCs w:val="20"/>
                <w:color w:val="auto"/>
              </w:rPr>
            </w:pPr>
            <w:r>
              <w:rPr>
                <w:rFonts w:ascii="Courier New" w:cs="Courier New" w:eastAsia="Courier New" w:hAnsi="Courier New"/>
                <w:sz w:val="14"/>
                <w:szCs w:val="14"/>
                <w:color w:val="auto"/>
                <w:w w:val="99"/>
              </w:rPr>
              <w:t>Facility closed in 1993</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w w:val="97"/>
              </w:rPr>
              <w:t>and is being held for resale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Riverside, CA</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217,000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1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Irrigation products</w:t>
            </w:r>
          </w:p>
        </w:tc>
        <w:tc>
          <w:tcPr>
            <w:tcW w:w="2360" w:type="dxa"/>
            <w:vAlign w:val="bottom"/>
          </w:tcPr>
          <w:p>
            <w:pPr>
              <w:spacing w:after="0"/>
              <w:rPr>
                <w:sz w:val="13"/>
                <w:szCs w:val="13"/>
                <w:color w:val="auto"/>
              </w:rPr>
            </w:pP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Evansville, IN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178,000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4540" w:type="dxa"/>
            <w:vAlign w:val="bottom"/>
            <w:gridSpan w:val="3"/>
          </w:tcPr>
          <w:p>
            <w:pPr>
              <w:ind w:left="24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Olathe, KS</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176,000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1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Commercial products</w:t>
            </w:r>
          </w:p>
        </w:tc>
        <w:tc>
          <w:tcPr>
            <w:tcW w:w="2360" w:type="dxa"/>
            <w:vAlign w:val="bottom"/>
          </w:tcPr>
          <w:p>
            <w:pPr>
              <w:spacing w:after="0"/>
              <w:rPr>
                <w:sz w:val="13"/>
                <w:szCs w:val="13"/>
                <w:color w:val="auto"/>
              </w:rPr>
            </w:pP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Mound, MN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162,000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180" w:type="dxa"/>
            <w:vAlign w:val="bottom"/>
            <w:gridSpan w:val="2"/>
          </w:tcPr>
          <w:p>
            <w:pPr>
              <w:ind w:left="240"/>
              <w:spacing w:after="0"/>
              <w:rPr>
                <w:sz w:val="20"/>
                <w:szCs w:val="20"/>
                <w:color w:val="auto"/>
              </w:rPr>
            </w:pPr>
            <w:r>
              <w:rPr>
                <w:rFonts w:ascii="Courier New" w:cs="Courier New" w:eastAsia="Courier New" w:hAnsi="Courier New"/>
                <w:sz w:val="14"/>
                <w:szCs w:val="14"/>
                <w:color w:val="auto"/>
              </w:rPr>
              <w:t>Consumer products</w:t>
            </w:r>
          </w:p>
        </w:tc>
        <w:tc>
          <w:tcPr>
            <w:tcW w:w="2360" w:type="dxa"/>
            <w:vAlign w:val="bottom"/>
          </w:tcPr>
          <w:p>
            <w:pPr>
              <w:spacing w:after="0"/>
              <w:rPr>
                <w:sz w:val="13"/>
                <w:szCs w:val="13"/>
                <w:color w:val="auto"/>
              </w:rPr>
            </w:pP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Shakopee, MN</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146,000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Components for</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El Paso, TX</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143,000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JHI irrigation</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Springvale, Australia</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109,000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JHI irrigation</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Beverley, Australia</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109,000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540" w:type="dxa"/>
            <w:vAlign w:val="bottom"/>
            <w:gridSpan w:val="3"/>
          </w:tcPr>
          <w:p>
            <w:pPr>
              <w:ind w:left="240"/>
              <w:spacing w:after="0"/>
              <w:rPr>
                <w:sz w:val="20"/>
                <w:szCs w:val="20"/>
                <w:color w:val="auto"/>
              </w:rPr>
            </w:pPr>
            <w:r>
              <w:rPr>
                <w:rFonts w:ascii="Courier New" w:cs="Courier New" w:eastAsia="Courier New" w:hAnsi="Courier New"/>
                <w:sz w:val="14"/>
                <w:szCs w:val="14"/>
                <w:color w:val="auto"/>
              </w:rPr>
              <w:t>JHI Corporate office and distribution center</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Murray Bridge, Australia</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101,000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JHI irrigation</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El Cajon, California</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92,000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JHI irrigation</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products and warehouse</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Oxford, MS</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67,000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Components for</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consumer products</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Oevel, Belgium</w:t>
            </w:r>
          </w:p>
        </w:tc>
        <w:tc>
          <w:tcPr>
            <w:tcW w:w="152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63,000</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1440" w:type="dxa"/>
            <w:vAlign w:val="bottom"/>
          </w:tcPr>
          <w:p>
            <w:pPr>
              <w:ind w:left="240"/>
              <w:spacing w:after="0"/>
              <w:rPr>
                <w:sz w:val="20"/>
                <w:szCs w:val="20"/>
                <w:color w:val="auto"/>
              </w:rPr>
            </w:pPr>
            <w:r>
              <w:rPr>
                <w:rFonts w:ascii="Courier New" w:cs="Courier New" w:eastAsia="Courier New" w:hAnsi="Courier New"/>
                <w:sz w:val="14"/>
                <w:szCs w:val="14"/>
                <w:color w:val="auto"/>
              </w:rPr>
              <w:t>Finished goods</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distribution center, office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2160" w:type="dxa"/>
            <w:vAlign w:val="bottom"/>
          </w:tcPr>
          <w:p>
            <w:pPr>
              <w:spacing w:after="0"/>
              <w:rPr>
                <w:sz w:val="20"/>
                <w:szCs w:val="20"/>
                <w:color w:val="auto"/>
              </w:rPr>
            </w:pPr>
            <w:r>
              <w:rPr>
                <w:rFonts w:ascii="Courier New" w:cs="Courier New" w:eastAsia="Courier New" w:hAnsi="Courier New"/>
                <w:sz w:val="14"/>
                <w:szCs w:val="14"/>
                <w:color w:val="auto"/>
              </w:rPr>
              <w:t>Total Square Feet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3,865,000</w:t>
            </w:r>
          </w:p>
        </w:tc>
      </w:tr>
    </w:tbl>
    <w:p>
      <w:pPr>
        <w:spacing w:after="0" w:line="200" w:lineRule="exact"/>
        <w:rPr>
          <w:sz w:val="20"/>
          <w:szCs w:val="20"/>
          <w:color w:val="auto"/>
        </w:rPr>
      </w:pPr>
    </w:p>
    <w:p>
      <w:pPr>
        <w:spacing w:after="0" w:line="280" w:lineRule="exact"/>
        <w:rPr>
          <w:sz w:val="20"/>
          <w:szCs w:val="20"/>
          <w:color w:val="auto"/>
        </w:rPr>
      </w:pPr>
    </w:p>
    <w:p>
      <w:pPr>
        <w:ind w:right="4460"/>
        <w:spacing w:after="0" w:line="237" w:lineRule="auto"/>
        <w:rPr>
          <w:sz w:val="20"/>
          <w:szCs w:val="20"/>
          <w:color w:val="auto"/>
        </w:rPr>
      </w:pPr>
      <w:r>
        <w:rPr>
          <w:rFonts w:ascii="Courier New" w:cs="Courier New" w:eastAsia="Courier New" w:hAnsi="Courier New"/>
          <w:sz w:val="14"/>
          <w:szCs w:val="14"/>
          <w:color w:val="auto"/>
        </w:rPr>
        <w:t>Other leased office and warehouse space located in various cities in the United States, Australia, Canada, France, Singapore, Japan and the United Kingdom totaled approximately 572,000 square feet.</w:t>
      </w:r>
    </w:p>
    <w:p>
      <w:pPr>
        <w:spacing w:after="0" w:line="319"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ITEM 3. LEGAL PROCEEDINGS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a party to litigation in the ordinary course of its business.</w:t>
      </w:r>
    </w:p>
    <w:p>
      <w:pPr>
        <w:spacing w:after="0"/>
        <w:rPr>
          <w:sz w:val="20"/>
          <w:szCs w:val="20"/>
          <w:color w:val="auto"/>
        </w:rPr>
      </w:pPr>
      <w:r>
        <w:rPr>
          <w:rFonts w:ascii="Courier New" w:cs="Courier New" w:eastAsia="Courier New" w:hAnsi="Courier New"/>
          <w:sz w:val="14"/>
          <w:szCs w:val="14"/>
          <w:color w:val="auto"/>
        </w:rPr>
        <w:t>Ongoing litigation primarily involves claims for damages arising out of the use</w:t>
      </w:r>
    </w:p>
    <w:p>
      <w:pPr>
        <w:spacing w:after="0"/>
        <w:rPr>
          <w:sz w:val="20"/>
          <w:szCs w:val="20"/>
          <w:color w:val="auto"/>
        </w:rPr>
      </w:pPr>
      <w:r>
        <w:rPr>
          <w:rFonts w:ascii="Courier New" w:cs="Courier New" w:eastAsia="Courier New" w:hAnsi="Courier New"/>
          <w:sz w:val="14"/>
          <w:szCs w:val="14"/>
          <w:color w:val="auto"/>
        </w:rPr>
        <w:t>of the company's products, some of which include claims for punitive as well as</w:t>
      </w:r>
    </w:p>
    <w:p>
      <w:pPr>
        <w:spacing w:after="0"/>
        <w:tabs>
          <w:tab w:leader="none" w:pos="1880" w:val="left"/>
        </w:tabs>
        <w:rPr>
          <w:sz w:val="20"/>
          <w:szCs w:val="20"/>
          <w:color w:val="auto"/>
        </w:rPr>
      </w:pPr>
      <w:r>
        <w:rPr>
          <w:rFonts w:ascii="Courier New" w:cs="Courier New" w:eastAsia="Courier New" w:hAnsi="Courier New"/>
          <w:sz w:val="14"/>
          <w:szCs w:val="14"/>
          <w:color w:val="auto"/>
        </w:rPr>
        <w:t>compensatory damages.</w:t>
      </w:r>
      <w:r>
        <w:rPr>
          <w:sz w:val="20"/>
          <w:szCs w:val="20"/>
          <w:color w:val="auto"/>
        </w:rPr>
        <w:tab/>
      </w:r>
      <w:r>
        <w:rPr>
          <w:rFonts w:ascii="Courier New" w:cs="Courier New" w:eastAsia="Courier New" w:hAnsi="Courier New"/>
          <w:sz w:val="13"/>
          <w:szCs w:val="13"/>
          <w:color w:val="auto"/>
        </w:rPr>
        <w:t>The company is also subject to administrative proceedings</w:t>
      </w:r>
    </w:p>
    <w:p>
      <w:pPr>
        <w:spacing w:after="0"/>
        <w:rPr>
          <w:sz w:val="20"/>
          <w:szCs w:val="20"/>
          <w:color w:val="auto"/>
        </w:rPr>
      </w:pPr>
      <w:r>
        <w:rPr>
          <w:rFonts w:ascii="Courier New" w:cs="Courier New" w:eastAsia="Courier New" w:hAnsi="Courier New"/>
          <w:sz w:val="14"/>
          <w:szCs w:val="14"/>
          <w:color w:val="auto"/>
        </w:rPr>
        <w:t>in respect to certain claims involving the discharge of hazardous substances</w:t>
      </w:r>
    </w:p>
    <w:p>
      <w:pPr>
        <w:spacing w:after="0"/>
        <w:tabs>
          <w:tab w:leader="none" w:pos="1880" w:val="left"/>
        </w:tabs>
        <w:rPr>
          <w:sz w:val="20"/>
          <w:szCs w:val="20"/>
          <w:color w:val="auto"/>
        </w:rPr>
      </w:pPr>
      <w:r>
        <w:rPr>
          <w:rFonts w:ascii="Courier New" w:cs="Courier New" w:eastAsia="Courier New" w:hAnsi="Courier New"/>
          <w:sz w:val="14"/>
          <w:szCs w:val="14"/>
          <w:color w:val="auto"/>
        </w:rPr>
        <w:t>into the environment.</w:t>
      </w:r>
      <w:r>
        <w:rPr>
          <w:sz w:val="20"/>
          <w:szCs w:val="20"/>
          <w:color w:val="auto"/>
        </w:rPr>
        <w:tab/>
      </w:r>
      <w:r>
        <w:rPr>
          <w:rFonts w:ascii="Courier New" w:cs="Courier New" w:eastAsia="Courier New" w:hAnsi="Courier New"/>
          <w:sz w:val="13"/>
          <w:szCs w:val="13"/>
          <w:color w:val="auto"/>
        </w:rPr>
        <w:t>Certain of these claims assert damages and liability for</w:t>
      </w:r>
    </w:p>
    <w:p>
      <w:pPr>
        <w:spacing w:after="0"/>
        <w:tabs>
          <w:tab w:leader="none" w:pos="3700" w:val="left"/>
        </w:tabs>
        <w:rPr>
          <w:sz w:val="20"/>
          <w:szCs w:val="20"/>
          <w:color w:val="auto"/>
        </w:rPr>
      </w:pPr>
      <w:r>
        <w:rPr>
          <w:rFonts w:ascii="Courier New" w:cs="Courier New" w:eastAsia="Courier New" w:hAnsi="Courier New"/>
          <w:sz w:val="14"/>
          <w:szCs w:val="14"/>
          <w:color w:val="auto"/>
        </w:rPr>
        <w:t>remedial investigations and clean up costs.</w:t>
      </w:r>
      <w:r>
        <w:rPr>
          <w:sz w:val="20"/>
          <w:szCs w:val="20"/>
          <w:color w:val="auto"/>
        </w:rPr>
        <w:tab/>
      </w:r>
      <w:r>
        <w:rPr>
          <w:rFonts w:ascii="Courier New" w:cs="Courier New" w:eastAsia="Courier New" w:hAnsi="Courier New"/>
          <w:sz w:val="13"/>
          <w:szCs w:val="13"/>
          <w:color w:val="auto"/>
        </w:rPr>
        <w:t>Management is of the opinion that</w:t>
      </w:r>
    </w:p>
    <w:p>
      <w:pPr>
        <w:spacing w:after="0"/>
        <w:rPr>
          <w:sz w:val="20"/>
          <w:szCs w:val="20"/>
          <w:color w:val="auto"/>
        </w:rPr>
      </w:pPr>
      <w:r>
        <w:rPr>
          <w:rFonts w:ascii="Courier New" w:cs="Courier New" w:eastAsia="Courier New" w:hAnsi="Courier New"/>
          <w:sz w:val="14"/>
          <w:szCs w:val="14"/>
          <w:color w:val="auto"/>
        </w:rPr>
        <w:t>the amounts which may be awarded or assessed in connection with these matters</w:t>
      </w:r>
    </w:p>
    <w:p>
      <w:pPr>
        <w:spacing w:after="0"/>
        <w:tabs>
          <w:tab w:leader="none" w:pos="5760" w:val="left"/>
        </w:tabs>
        <w:rPr>
          <w:sz w:val="20"/>
          <w:szCs w:val="20"/>
          <w:color w:val="auto"/>
        </w:rPr>
      </w:pPr>
      <w:r>
        <w:rPr>
          <w:rFonts w:ascii="Courier New" w:cs="Courier New" w:eastAsia="Courier New" w:hAnsi="Courier New"/>
          <w:sz w:val="14"/>
          <w:szCs w:val="14"/>
          <w:color w:val="auto"/>
        </w:rPr>
        <w:t>will not have a material effect on the company's financial position.</w:t>
      </w:r>
      <w:r>
        <w:rPr>
          <w:sz w:val="20"/>
          <w:szCs w:val="20"/>
          <w:color w:val="auto"/>
        </w:rPr>
        <w:tab/>
      </w:r>
      <w:r>
        <w:rPr>
          <w:rFonts w:ascii="Courier New" w:cs="Courier New" w:eastAsia="Courier New" w:hAnsi="Courier New"/>
          <w:sz w:val="13"/>
          <w:szCs w:val="13"/>
          <w:color w:val="auto"/>
        </w:rPr>
        <w:t>Further,</w:t>
      </w:r>
    </w:p>
    <w:p>
      <w:pPr>
        <w:spacing w:after="0"/>
        <w:tabs>
          <w:tab w:leader="none" w:pos="5500" w:val="left"/>
        </w:tabs>
        <w:rPr>
          <w:sz w:val="20"/>
          <w:szCs w:val="20"/>
          <w:color w:val="auto"/>
        </w:rPr>
      </w:pPr>
      <w:r>
        <w:rPr>
          <w:rFonts w:ascii="Courier New" w:cs="Courier New" w:eastAsia="Courier New" w:hAnsi="Courier New"/>
          <w:sz w:val="14"/>
          <w:szCs w:val="14"/>
          <w:color w:val="auto"/>
        </w:rPr>
        <w:t>the company maintains insurance against product liability losses.</w:t>
        <w:tab/>
        <w:t>Such</w:t>
      </w:r>
    </w:p>
    <w:p>
      <w:pPr>
        <w:spacing w:after="0"/>
        <w:rPr>
          <w:sz w:val="20"/>
          <w:szCs w:val="20"/>
          <w:color w:val="auto"/>
        </w:rPr>
      </w:pPr>
      <w:r>
        <w:rPr>
          <w:rFonts w:ascii="Courier New" w:cs="Courier New" w:eastAsia="Courier New" w:hAnsi="Courier New"/>
          <w:sz w:val="14"/>
          <w:szCs w:val="14"/>
          <w:color w:val="auto"/>
        </w:rPr>
        <w:t>insurance presently covers claims in excess of $1,000,000 per claim or</w:t>
      </w:r>
    </w:p>
    <w:p>
      <w:pPr>
        <w:spacing w:after="0"/>
        <w:tabs>
          <w:tab w:leader="none" w:pos="4360" w:val="left"/>
        </w:tabs>
        <w:rPr>
          <w:sz w:val="20"/>
          <w:szCs w:val="20"/>
          <w:color w:val="auto"/>
        </w:rPr>
      </w:pPr>
      <w:r>
        <w:rPr>
          <w:rFonts w:ascii="Courier New" w:cs="Courier New" w:eastAsia="Courier New" w:hAnsi="Courier New"/>
          <w:sz w:val="14"/>
          <w:szCs w:val="14"/>
          <w:color w:val="auto"/>
        </w:rPr>
        <w:t>$2,000,000 in the aggregate during any fiscal year.</w:t>
      </w:r>
      <w:r>
        <w:rPr>
          <w:sz w:val="20"/>
          <w:szCs w:val="20"/>
          <w:color w:val="auto"/>
        </w:rPr>
        <w:tab/>
      </w:r>
      <w:r>
        <w:rPr>
          <w:rFonts w:ascii="Courier New" w:cs="Courier New" w:eastAsia="Courier New" w:hAnsi="Courier New"/>
          <w:sz w:val="13"/>
          <w:szCs w:val="13"/>
          <w:color w:val="auto"/>
        </w:rPr>
        <w:t>The company regularly</w:t>
      </w:r>
    </w:p>
    <w:p>
      <w:pPr>
        <w:spacing w:after="0"/>
        <w:rPr>
          <w:sz w:val="20"/>
          <w:szCs w:val="20"/>
          <w:color w:val="auto"/>
        </w:rPr>
      </w:pPr>
      <w:r>
        <w:rPr>
          <w:rFonts w:ascii="Courier New" w:cs="Courier New" w:eastAsia="Courier New" w:hAnsi="Courier New"/>
          <w:sz w:val="14"/>
          <w:szCs w:val="14"/>
          <w:color w:val="auto"/>
        </w:rPr>
        <w:t>reviews these dollar limits.</w:t>
      </w:r>
    </w:p>
    <w:p>
      <w:pPr>
        <w:spacing w:after="0" w:line="158" w:lineRule="exact"/>
        <w:rPr>
          <w:sz w:val="20"/>
          <w:szCs w:val="20"/>
          <w:color w:val="auto"/>
        </w:rPr>
      </w:pPr>
    </w:p>
    <w:p>
      <w:pPr>
        <w:ind w:left="660"/>
        <w:spacing w:after="0"/>
        <w:rPr>
          <w:sz w:val="20"/>
          <w:szCs w:val="20"/>
          <w:color w:val="auto"/>
        </w:rPr>
      </w:pPr>
      <w:r>
        <w:rPr>
          <w:rFonts w:ascii="Courier New" w:cs="Courier New" w:eastAsia="Courier New" w:hAnsi="Courier New"/>
          <w:sz w:val="14"/>
          <w:szCs w:val="14"/>
          <w:color w:val="auto"/>
        </w:rPr>
        <w:t>ITEM 4. SUBMISSIONS OF MATTERS TO A VOTE OF THE SECURITY 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1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980"/>
          </w:cols>
          <w:pgMar w:left="220" w:top="592" w:right="69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63" w:lineRule="exact"/>
        <w:rPr>
          <w:sz w:val="20"/>
          <w:szCs w:val="20"/>
          <w:color w:val="auto"/>
        </w:rPr>
      </w:pPr>
    </w:p>
    <w:p>
      <w:pPr>
        <w:ind w:right="4860"/>
        <w:spacing w:after="0" w:line="238"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20, 1997, and positions held by them during the last five years. Officers are elected or appointed annually. A complete list of all officers of the company is found on the inside back cover of the Registrant's Annual Report for the year ended October 31, 1996.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hanging="155"/>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ind w:left="580"/>
        <w:spacing w:after="0"/>
        <w:tabs>
          <w:tab w:leader="none" w:pos="5680" w:val="left"/>
        </w:tabs>
        <w:rPr>
          <w:sz w:val="20"/>
          <w:szCs w:val="20"/>
          <w:color w:val="auto"/>
        </w:rPr>
      </w:pPr>
      <w:r>
        <w:rPr>
          <w:rFonts w:ascii="Courier New" w:cs="Courier New" w:eastAsia="Courier New" w:hAnsi="Courier New"/>
          <w:sz w:val="14"/>
          <w:szCs w:val="14"/>
          <w:color w:val="auto"/>
        </w:rPr>
        <w:t>Name, Age and Position with the Company</w:t>
      </w:r>
      <w:r>
        <w:rPr>
          <w:sz w:val="20"/>
          <w:szCs w:val="20"/>
          <w:color w:val="auto"/>
        </w:rPr>
        <w:tab/>
      </w:r>
      <w:r>
        <w:rPr>
          <w:rFonts w:ascii="Courier New" w:cs="Courier New" w:eastAsia="Courier New" w:hAnsi="Courier New"/>
          <w:sz w:val="13"/>
          <w:szCs w:val="13"/>
          <w:color w:val="auto"/>
        </w:rPr>
        <w:t>Business Experience During the Last Five Years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p>
      <w:pPr>
        <w:ind w:left="80"/>
        <w:spacing w:after="0"/>
        <w:tabs>
          <w:tab w:leader="none" w:pos="4440" w:val="left"/>
        </w:tabs>
        <w:rPr>
          <w:sz w:val="20"/>
          <w:szCs w:val="20"/>
          <w:color w:val="auto"/>
        </w:rPr>
      </w:pPr>
      <w:r>
        <w:rPr>
          <w:rFonts w:ascii="Courier New" w:cs="Courier New" w:eastAsia="Courier New" w:hAnsi="Courier New"/>
          <w:sz w:val="14"/>
          <w:szCs w:val="14"/>
          <w:color w:val="auto"/>
        </w:rPr>
        <w:t>Randy B. James</w:t>
      </w:r>
      <w:r>
        <w:rPr>
          <w:sz w:val="20"/>
          <w:szCs w:val="20"/>
          <w:color w:val="auto"/>
        </w:rPr>
        <w:tab/>
      </w:r>
      <w:r>
        <w:rPr>
          <w:rFonts w:ascii="Courier New" w:cs="Courier New" w:eastAsia="Courier New" w:hAnsi="Courier New"/>
          <w:sz w:val="13"/>
          <w:szCs w:val="13"/>
          <w:color w:val="auto"/>
        </w:rPr>
        <w:t>Appointed Vice President and Controller in December 1988.</w:t>
      </w:r>
    </w:p>
    <w:p>
      <w:pPr>
        <w:ind w:left="80"/>
        <w:spacing w:after="0"/>
        <w:rPr>
          <w:sz w:val="20"/>
          <w:szCs w:val="20"/>
          <w:color w:val="auto"/>
        </w:rPr>
      </w:pPr>
      <w:r>
        <w:rPr>
          <w:rFonts w:ascii="Courier New" w:cs="Courier New" w:eastAsia="Courier New" w:hAnsi="Courier New"/>
          <w:sz w:val="14"/>
          <w:szCs w:val="14"/>
          <w:color w:val="auto"/>
        </w:rPr>
        <w:t>53, Vice President and Controller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1" w:lineRule="exact"/>
        <w:rPr>
          <w:sz w:val="20"/>
          <w:szCs w:val="20"/>
          <w:color w:val="auto"/>
        </w:rPr>
      </w:pPr>
    </w:p>
    <w:p>
      <w:pPr>
        <w:ind w:left="80" w:right="980"/>
        <w:spacing w:after="0" w:line="237" w:lineRule="auto"/>
        <w:rPr>
          <w:sz w:val="20"/>
          <w:szCs w:val="20"/>
          <w:color w:val="auto"/>
        </w:rPr>
      </w:pPr>
      <w:r>
        <w:rPr>
          <w:rFonts w:ascii="Courier New" w:cs="Courier New" w:eastAsia="Courier New" w:hAnsi="Courier New"/>
          <w:sz w:val="14"/>
          <w:szCs w:val="14"/>
          <w:color w:val="auto"/>
        </w:rPr>
        <w:t>Gerald T. Knight Elected Vice President-Finance and Chief Financial Officer in April 1992. 49, Vice President-Finance and From December 1990 to April 1992, was Executive Director - Finance and Chief Financial Officer Corporate Controller of NeXT Computer,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754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Elected Group Vice President September 17, 1996.  From November 1993 to</w:t>
            </w:r>
          </w:p>
        </w:tc>
      </w:t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53, Group Vice President</w:t>
            </w:r>
          </w:p>
        </w:tc>
        <w:tc>
          <w:tcPr>
            <w:tcW w:w="2720" w:type="dxa"/>
            <w:vAlign w:val="bottom"/>
          </w:tcPr>
          <w:p>
            <w:pPr>
              <w:ind w:left="1200"/>
              <w:spacing w:after="0"/>
              <w:rPr>
                <w:sz w:val="20"/>
                <w:szCs w:val="20"/>
                <w:color w:val="auto"/>
              </w:rPr>
            </w:pPr>
            <w:r>
              <w:rPr>
                <w:rFonts w:ascii="Courier New" w:cs="Courier New" w:eastAsia="Courier New" w:hAnsi="Courier New"/>
                <w:sz w:val="14"/>
                <w:szCs w:val="14"/>
                <w:color w:val="auto"/>
                <w:w w:val="99"/>
              </w:rPr>
              <w:t>September 16, 1996</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was appointed Vice President, Distribution Parts and</w:t>
            </w:r>
          </w:p>
        </w:tc>
      </w:t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2720" w:type="dxa"/>
            <w:vAlign w:val="bottom"/>
          </w:tcPr>
          <w:p>
            <w:pPr>
              <w:ind w:left="1200"/>
              <w:spacing w:after="0"/>
              <w:rPr>
                <w:sz w:val="20"/>
                <w:szCs w:val="20"/>
                <w:color w:val="auto"/>
              </w:rPr>
            </w:pPr>
            <w:r>
              <w:rPr>
                <w:rFonts w:ascii="Courier New" w:cs="Courier New" w:eastAsia="Courier New" w:hAnsi="Courier New"/>
                <w:sz w:val="14"/>
                <w:szCs w:val="14"/>
                <w:color w:val="auto"/>
                <w:w w:val="99"/>
              </w:rPr>
              <w:t>Debris Management.</w:t>
            </w:r>
          </w:p>
        </w:tc>
        <w:tc>
          <w:tcPr>
            <w:tcW w:w="4820" w:type="dxa"/>
            <w:vAlign w:val="bottom"/>
          </w:tcPr>
          <w:p>
            <w:pPr>
              <w:ind w:left="120"/>
              <w:spacing w:after="0"/>
              <w:rPr>
                <w:sz w:val="20"/>
                <w:szCs w:val="20"/>
                <w:color w:val="auto"/>
              </w:rPr>
            </w:pPr>
            <w:r>
              <w:rPr>
                <w:rFonts w:ascii="Courier New" w:cs="Courier New" w:eastAsia="Courier New" w:hAnsi="Courier New"/>
                <w:sz w:val="14"/>
                <w:szCs w:val="14"/>
                <w:color w:val="auto"/>
              </w:rPr>
              <w:t>From May 1991 to November 1993 was President and Chief</w:t>
            </w:r>
          </w:p>
        </w:tc>
      </w:tr>
      <w:tr>
        <w:trPr>
          <w:trHeight w:val="159"/>
        </w:trPr>
        <w:tc>
          <w:tcPr>
            <w:tcW w:w="3180" w:type="dxa"/>
            <w:vAlign w:val="bottom"/>
          </w:tcPr>
          <w:p>
            <w:pPr>
              <w:spacing w:after="0"/>
              <w:rPr>
                <w:sz w:val="13"/>
                <w:szCs w:val="13"/>
                <w:color w:val="auto"/>
              </w:rPr>
            </w:pPr>
          </w:p>
        </w:tc>
        <w:tc>
          <w:tcPr>
            <w:tcW w:w="7540" w:type="dxa"/>
            <w:vAlign w:val="bottom"/>
            <w:gridSpan w:val="2"/>
          </w:tcPr>
          <w:p>
            <w:pPr>
              <w:ind w:left="1200"/>
              <w:spacing w:after="0"/>
              <w:rPr>
                <w:sz w:val="20"/>
                <w:szCs w:val="20"/>
                <w:color w:val="auto"/>
              </w:rPr>
            </w:pPr>
            <w:r>
              <w:rPr>
                <w:rFonts w:ascii="Courier New" w:cs="Courier New" w:eastAsia="Courier New" w:hAnsi="Courier New"/>
                <w:sz w:val="14"/>
                <w:szCs w:val="14"/>
                <w:color w:val="auto"/>
                <w:w w:val="97"/>
              </w:rPr>
              <w:t>Operating Officer of Leaseway Transportation Corporation. While Mr. Lounsbury</w:t>
            </w:r>
          </w:p>
        </w:tc>
      </w:tr>
      <w:tr>
        <w:trPr>
          <w:trHeight w:val="159"/>
        </w:trPr>
        <w:tc>
          <w:tcPr>
            <w:tcW w:w="3180" w:type="dxa"/>
            <w:vAlign w:val="bottom"/>
          </w:tcPr>
          <w:p>
            <w:pPr>
              <w:spacing w:after="0"/>
              <w:rPr>
                <w:sz w:val="13"/>
                <w:szCs w:val="13"/>
                <w:color w:val="auto"/>
              </w:rPr>
            </w:pPr>
          </w:p>
        </w:tc>
        <w:tc>
          <w:tcPr>
            <w:tcW w:w="7540" w:type="dxa"/>
            <w:vAlign w:val="bottom"/>
            <w:gridSpan w:val="2"/>
          </w:tcPr>
          <w:p>
            <w:pPr>
              <w:ind w:left="1200"/>
              <w:spacing w:after="0"/>
              <w:rPr>
                <w:sz w:val="20"/>
                <w:szCs w:val="20"/>
                <w:color w:val="auto"/>
              </w:rPr>
            </w:pPr>
            <w:r>
              <w:rPr>
                <w:rFonts w:ascii="Courier New" w:cs="Courier New" w:eastAsia="Courier New" w:hAnsi="Courier New"/>
                <w:sz w:val="14"/>
                <w:szCs w:val="14"/>
                <w:color w:val="auto"/>
                <w:w w:val="97"/>
              </w:rPr>
              <w:t>served as President and a director of Leaseway, it filed for protection under</w:t>
            </w:r>
          </w:p>
        </w:tc>
      </w:tr>
      <w:tr>
        <w:trPr>
          <w:trHeight w:val="159"/>
        </w:trPr>
        <w:tc>
          <w:tcPr>
            <w:tcW w:w="3180" w:type="dxa"/>
            <w:vAlign w:val="bottom"/>
          </w:tcPr>
          <w:p>
            <w:pPr>
              <w:spacing w:after="0"/>
              <w:rPr>
                <w:sz w:val="13"/>
                <w:szCs w:val="13"/>
                <w:color w:val="auto"/>
              </w:rPr>
            </w:pPr>
          </w:p>
        </w:tc>
        <w:tc>
          <w:tcPr>
            <w:tcW w:w="754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Chapter 11 and during that period it was discharged.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3180" w:type="dxa"/>
            <w:vAlign w:val="bottom"/>
            <w:gridSpan w:val="2"/>
          </w:tcPr>
          <w:p>
            <w:pPr>
              <w:spacing w:after="0"/>
              <w:rPr>
                <w:sz w:val="20"/>
                <w:szCs w:val="20"/>
                <w:color w:val="auto"/>
              </w:rPr>
            </w:pPr>
            <w:r>
              <w:rPr>
                <w:rFonts w:ascii="Courier New" w:cs="Courier New" w:eastAsia="Courier New" w:hAnsi="Courier New"/>
                <w:sz w:val="14"/>
                <w:szCs w:val="14"/>
                <w:color w:val="auto"/>
              </w:rPr>
              <w:t>J. David McIntosh</w:t>
            </w:r>
          </w:p>
        </w:tc>
        <w:tc>
          <w:tcPr>
            <w:tcW w:w="2320" w:type="dxa"/>
            <w:vAlign w:val="bottom"/>
          </w:tcPr>
          <w:p>
            <w:pPr>
              <w:ind w:left="1200"/>
              <w:spacing w:after="0"/>
              <w:rPr>
                <w:sz w:val="20"/>
                <w:szCs w:val="20"/>
                <w:color w:val="auto"/>
              </w:rPr>
            </w:pPr>
            <w:r>
              <w:rPr>
                <w:rFonts w:ascii="Courier New" w:cs="Courier New" w:eastAsia="Courier New" w:hAnsi="Courier New"/>
                <w:sz w:val="14"/>
                <w:szCs w:val="14"/>
                <w:color w:val="auto"/>
              </w:rPr>
              <w:t>Elected Group</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Vice</w:t>
            </w:r>
          </w:p>
        </w:tc>
        <w:tc>
          <w:tcPr>
            <w:tcW w:w="4580" w:type="dxa"/>
            <w:vAlign w:val="bottom"/>
          </w:tcPr>
          <w:p>
            <w:pPr>
              <w:ind w:left="40"/>
              <w:spacing w:after="0"/>
              <w:rPr>
                <w:sz w:val="20"/>
                <w:szCs w:val="20"/>
                <w:color w:val="auto"/>
              </w:rPr>
            </w:pPr>
            <w:r>
              <w:rPr>
                <w:rFonts w:ascii="Courier New" w:cs="Courier New" w:eastAsia="Courier New" w:hAnsi="Courier New"/>
                <w:sz w:val="14"/>
                <w:szCs w:val="14"/>
                <w:color w:val="auto"/>
              </w:rPr>
              <w:t>President September 17, 1996.  From February 1992 to</w:t>
            </w:r>
          </w:p>
        </w:tc>
      </w:tr>
      <w:tr>
        <w:trPr>
          <w:trHeight w:val="159"/>
        </w:trPr>
        <w:tc>
          <w:tcPr>
            <w:tcW w:w="800" w:type="dxa"/>
            <w:vAlign w:val="bottom"/>
          </w:tcPr>
          <w:p>
            <w:pPr>
              <w:spacing w:after="0"/>
              <w:rPr>
                <w:sz w:val="20"/>
                <w:szCs w:val="20"/>
                <w:color w:val="auto"/>
              </w:rPr>
            </w:pPr>
            <w:r>
              <w:rPr>
                <w:rFonts w:ascii="Courier New" w:cs="Courier New" w:eastAsia="Courier New" w:hAnsi="Courier New"/>
                <w:sz w:val="14"/>
                <w:szCs w:val="14"/>
                <w:color w:val="auto"/>
              </w:rPr>
              <w:t>53, Group</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320" w:type="dxa"/>
            <w:vAlign w:val="bottom"/>
          </w:tcPr>
          <w:p>
            <w:pPr>
              <w:ind w:left="1200"/>
              <w:spacing w:after="0"/>
              <w:rPr>
                <w:sz w:val="20"/>
                <w:szCs w:val="20"/>
                <w:color w:val="auto"/>
              </w:rPr>
            </w:pPr>
            <w:r>
              <w:rPr>
                <w:rFonts w:ascii="Courier New" w:cs="Courier New" w:eastAsia="Courier New" w:hAnsi="Courier New"/>
                <w:sz w:val="14"/>
                <w:szCs w:val="14"/>
                <w:color w:val="auto"/>
              </w:rPr>
              <w:t>September 16,</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4580" w:type="dxa"/>
            <w:vAlign w:val="bottom"/>
          </w:tcPr>
          <w:p>
            <w:pPr>
              <w:ind w:left="40"/>
              <w:spacing w:after="0"/>
              <w:rPr>
                <w:sz w:val="20"/>
                <w:szCs w:val="20"/>
                <w:color w:val="auto"/>
              </w:rPr>
            </w:pPr>
            <w:r>
              <w:rPr>
                <w:rFonts w:ascii="Courier New" w:cs="Courier New" w:eastAsia="Courier New" w:hAnsi="Courier New"/>
                <w:sz w:val="14"/>
                <w:szCs w:val="14"/>
                <w:color w:val="auto"/>
              </w:rPr>
              <w:t>was appointed Vice President, Consumer Division.</w:t>
            </w:r>
          </w:p>
        </w:tc>
      </w:tr>
      <w:tr>
        <w:trPr>
          <w:trHeight w:val="159"/>
        </w:trPr>
        <w:tc>
          <w:tcPr>
            <w:tcW w:w="800" w:type="dxa"/>
            <w:vAlign w:val="bottom"/>
          </w:tcPr>
          <w:p>
            <w:pPr>
              <w:spacing w:after="0"/>
              <w:rPr>
                <w:sz w:val="20"/>
                <w:szCs w:val="20"/>
                <w:color w:val="auto"/>
              </w:rPr>
            </w:pPr>
            <w:r>
              <w:rPr>
                <w:rFonts w:ascii="Courier New" w:cs="Courier New" w:eastAsia="Courier New" w:hAnsi="Courier New"/>
                <w:sz w:val="14"/>
                <w:szCs w:val="14"/>
                <w:color w:val="auto"/>
              </w:rPr>
              <w:t>Office of</w:t>
            </w:r>
          </w:p>
        </w:tc>
        <w:tc>
          <w:tcPr>
            <w:tcW w:w="2380" w:type="dxa"/>
            <w:vAlign w:val="bottom"/>
          </w:tcPr>
          <w:p>
            <w:pPr>
              <w:ind w:left="40"/>
              <w:spacing w:after="0"/>
              <w:rPr>
                <w:sz w:val="20"/>
                <w:szCs w:val="20"/>
                <w:color w:val="auto"/>
              </w:rPr>
            </w:pPr>
            <w:r>
              <w:rPr>
                <w:rFonts w:ascii="Courier New" w:cs="Courier New" w:eastAsia="Courier New" w:hAnsi="Courier New"/>
                <w:sz w:val="14"/>
                <w:szCs w:val="14"/>
                <w:color w:val="auto"/>
              </w:rPr>
              <w:t>the President</w:t>
            </w:r>
          </w:p>
        </w:tc>
        <w:tc>
          <w:tcPr>
            <w:tcW w:w="7300" w:type="dxa"/>
            <w:vAlign w:val="bottom"/>
            <w:gridSpan w:val="3"/>
          </w:tcPr>
          <w:p>
            <w:pPr>
              <w:ind w:left="1200"/>
              <w:spacing w:after="0"/>
              <w:rPr>
                <w:sz w:val="20"/>
                <w:szCs w:val="20"/>
                <w:color w:val="auto"/>
              </w:rPr>
            </w:pPr>
            <w:r>
              <w:rPr>
                <w:rFonts w:ascii="Courier New" w:cs="Courier New" w:eastAsia="Courier New" w:hAnsi="Courier New"/>
                <w:sz w:val="14"/>
                <w:szCs w:val="14"/>
                <w:color w:val="auto"/>
                <w:w w:val="97"/>
              </w:rPr>
              <w:t>Appointed Vice President and General Manager, Home Improvement Division in</w:t>
            </w:r>
          </w:p>
        </w:tc>
      </w:tr>
    </w:tbl>
    <w:p>
      <w:pPr>
        <w:ind w:left="4460"/>
        <w:spacing w:after="0"/>
        <w:rPr>
          <w:sz w:val="20"/>
          <w:szCs w:val="20"/>
          <w:color w:val="auto"/>
        </w:rPr>
      </w:pPr>
      <w:r>
        <w:rPr>
          <w:rFonts w:ascii="Courier New" w:cs="Courier New" w:eastAsia="Courier New" w:hAnsi="Courier New"/>
          <w:sz w:val="14"/>
          <w:szCs w:val="14"/>
          <w:color w:val="auto"/>
        </w:rPr>
        <w:t>May 1986.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06" w:lineRule="exact"/>
        <w:rPr>
          <w:sz w:val="20"/>
          <w:szCs w:val="20"/>
          <w:color w:val="auto"/>
        </w:rPr>
      </w:pPr>
    </w:p>
    <w:p>
      <w:pPr>
        <w:ind w:left="80" w:right="660"/>
        <w:spacing w:after="0" w:line="237" w:lineRule="auto"/>
        <w:rPr>
          <w:sz w:val="20"/>
          <w:szCs w:val="20"/>
          <w:color w:val="auto"/>
        </w:rPr>
      </w:pPr>
      <w:r>
        <w:rPr>
          <w:rFonts w:ascii="Courier New" w:cs="Courier New" w:eastAsia="Courier New" w:hAnsi="Courier New"/>
          <w:sz w:val="14"/>
          <w:szCs w:val="14"/>
          <w:color w:val="auto"/>
        </w:rPr>
        <w:t>J. Lawrence McIntyre Elected Vice President in July 1993. Elected Secretary and General Counsel 54, Vice President, Secretary and General Counsel in August 1993. Prior to July 1993, was a shareholder with Doherty, Rumble &amp; Butler Professional Association.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06" w:lineRule="exact"/>
        <w:rPr>
          <w:sz w:val="20"/>
          <w:szCs w:val="20"/>
          <w:color w:val="auto"/>
        </w:rPr>
      </w:pPr>
    </w:p>
    <w:p>
      <w:pPr>
        <w:ind w:left="80" w:right="1140"/>
        <w:spacing w:after="0"/>
        <w:rPr>
          <w:sz w:val="20"/>
          <w:szCs w:val="20"/>
          <w:color w:val="auto"/>
        </w:rPr>
      </w:pPr>
      <w:r>
        <w:rPr>
          <w:rFonts w:ascii="Courier New" w:cs="Courier New" w:eastAsia="Courier New" w:hAnsi="Courier New"/>
          <w:sz w:val="14"/>
          <w:szCs w:val="14"/>
          <w:color w:val="auto"/>
        </w:rPr>
        <w:t>Kendrick B. Melrose Elected Chairman of the Board in December 1987. Elected Chief Executive 56, Chairman and Chief Executive Officer Officer in December 1983. Office of the President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06" w:lineRule="exact"/>
        <w:rPr>
          <w:sz w:val="20"/>
          <w:szCs w:val="20"/>
          <w:color w:val="auto"/>
        </w:rPr>
      </w:pPr>
    </w:p>
    <w:p>
      <w:pPr>
        <w:ind w:left="80" w:right="820"/>
        <w:spacing w:after="0"/>
        <w:rPr>
          <w:sz w:val="20"/>
          <w:szCs w:val="20"/>
          <w:color w:val="auto"/>
        </w:rPr>
      </w:pPr>
      <w:r>
        <w:rPr>
          <w:rFonts w:ascii="Courier New" w:cs="Courier New" w:eastAsia="Courier New" w:hAnsi="Courier New"/>
          <w:sz w:val="14"/>
          <w:szCs w:val="14"/>
          <w:color w:val="auto"/>
        </w:rPr>
        <w:t>Karen M. Meyer Has served as Vice President, Human Resources/Administrative Services since 46, Vice President, December 1988. Human Resources/Administrative Services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ind w:left="80"/>
        <w:spacing w:after="0"/>
        <w:tabs>
          <w:tab w:leader="none" w:pos="4440" w:val="left"/>
        </w:tabs>
        <w:rPr>
          <w:sz w:val="20"/>
          <w:szCs w:val="20"/>
          <w:color w:val="auto"/>
        </w:rPr>
      </w:pPr>
      <w:r>
        <w:rPr>
          <w:rFonts w:ascii="Courier New" w:cs="Courier New" w:eastAsia="Courier New" w:hAnsi="Courier New"/>
          <w:sz w:val="14"/>
          <w:szCs w:val="14"/>
          <w:color w:val="auto"/>
        </w:rPr>
        <w:t>Richard R. Pollick</w:t>
      </w:r>
      <w:r>
        <w:rPr>
          <w:sz w:val="20"/>
          <w:szCs w:val="20"/>
          <w:color w:val="auto"/>
        </w:rPr>
        <w:tab/>
      </w:r>
      <w:r>
        <w:rPr>
          <w:rFonts w:ascii="Courier New" w:cs="Courier New" w:eastAsia="Courier New" w:hAnsi="Courier New"/>
          <w:sz w:val="13"/>
          <w:szCs w:val="13"/>
          <w:color w:val="auto"/>
        </w:rPr>
        <w:t>Appointed Vice President, International Division in March 1990.</w:t>
      </w:r>
    </w:p>
    <w:p>
      <w:pPr>
        <w:ind w:left="80"/>
        <w:spacing w:after="0"/>
        <w:rPr>
          <w:sz w:val="20"/>
          <w:szCs w:val="20"/>
          <w:color w:val="auto"/>
        </w:rPr>
      </w:pPr>
      <w:r>
        <w:rPr>
          <w:rFonts w:ascii="Courier New" w:cs="Courier New" w:eastAsia="Courier New" w:hAnsi="Courier New"/>
          <w:sz w:val="14"/>
          <w:szCs w:val="14"/>
          <w:color w:val="auto"/>
        </w:rPr>
        <w:t>57, Vice President and General Manager</w:t>
      </w:r>
    </w:p>
    <w:p>
      <w:pPr>
        <w:ind w:left="80"/>
        <w:spacing w:after="0"/>
        <w:rPr>
          <w:sz w:val="20"/>
          <w:szCs w:val="20"/>
          <w:color w:val="auto"/>
        </w:rPr>
      </w:pPr>
      <w:r>
        <w:rPr>
          <w:rFonts w:ascii="Courier New" w:cs="Courier New" w:eastAsia="Courier New" w:hAnsi="Courier New"/>
          <w:sz w:val="14"/>
          <w:szCs w:val="14"/>
          <w:color w:val="auto"/>
        </w:rPr>
        <w:t>International Division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06" w:lineRule="exact"/>
        <w:rPr>
          <w:sz w:val="20"/>
          <w:szCs w:val="20"/>
          <w:color w:val="auto"/>
        </w:rPr>
      </w:pPr>
    </w:p>
    <w:p>
      <w:pPr>
        <w:ind w:left="80" w:right="1060"/>
        <w:spacing w:after="0"/>
        <w:rPr>
          <w:sz w:val="20"/>
          <w:szCs w:val="20"/>
          <w:color w:val="auto"/>
        </w:rPr>
      </w:pPr>
      <w:r>
        <w:rPr>
          <w:rFonts w:ascii="Courier New" w:cs="Courier New" w:eastAsia="Courier New" w:hAnsi="Courier New"/>
          <w:sz w:val="14"/>
          <w:szCs w:val="14"/>
          <w:color w:val="auto"/>
        </w:rPr>
        <w:t>Stephen P. Wolfe Appointed Vice President in August 1994. Elected President, Toro Credit 48, Vice President, The Toro Company and President, Company in July 1990. Toro Credit Company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28" w:lineRule="exact"/>
        <w:rPr>
          <w:sz w:val="20"/>
          <w:szCs w:val="20"/>
          <w:color w:val="auto"/>
        </w:rPr>
      </w:pPr>
    </w:p>
    <w:p>
      <w:pPr>
        <w:ind w:right="5180"/>
        <w:spacing w:after="0" w:line="238"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460"/>
          </w:cols>
          <w:pgMar w:left="220" w:top="592" w:right="219" w:bottom="1440" w:gutter="0" w:footer="0" w:header="0"/>
        </w:sectPr>
      </w:pPr>
    </w:p>
    <w:bookmarkStart w:id="10" w:name="page11"/>
    <w:bookmarkEnd w:id="10"/>
    <w:p>
      <w:pPr>
        <w:ind w:left="3060"/>
        <w:spacing w:after="0"/>
        <w:rPr>
          <w:sz w:val="20"/>
          <w:szCs w:val="20"/>
          <w:color w:val="auto"/>
        </w:rPr>
      </w:pPr>
      <w:r>
        <w:rPr>
          <w:rFonts w:ascii="Courier New" w:cs="Courier New" w:eastAsia="Courier New" w:hAnsi="Courier New"/>
          <w:sz w:val="14"/>
          <w:szCs w:val="14"/>
          <w:color w:val="auto"/>
        </w:rPr>
        <w:t>Part II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639"/>
        <w:spacing w:after="0" w:line="237" w:lineRule="auto"/>
        <w:rPr>
          <w:sz w:val="20"/>
          <w:szCs w:val="20"/>
          <w:color w:val="auto"/>
        </w:rPr>
      </w:pPr>
      <w:r>
        <w:rPr>
          <w:rFonts w:ascii="Courier New" w:cs="Courier New" w:eastAsia="Courier New" w:hAnsi="Courier New"/>
          <w:sz w:val="14"/>
          <w:szCs w:val="14"/>
          <w:color w:val="auto"/>
        </w:rPr>
        <w:t>All information incorporated by reference in this Part II is from the Registrant's Annual Report to Stockholders for the fiscal year ended October 31, 1996 ("Annual Report").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63" w:lineRule="exact"/>
        <w:rPr>
          <w:sz w:val="20"/>
          <w:szCs w:val="20"/>
          <w:color w:val="auto"/>
        </w:rPr>
      </w:pPr>
    </w:p>
    <w:p>
      <w:pPr>
        <w:jc w:val="both"/>
        <w:ind w:right="3719"/>
        <w:spacing w:after="0" w:line="237" w:lineRule="auto"/>
        <w:rPr>
          <w:sz w:val="20"/>
          <w:szCs w:val="20"/>
          <w:color w:val="auto"/>
        </w:rPr>
      </w:pPr>
      <w:r>
        <w:rPr>
          <w:rFonts w:ascii="Courier New" w:cs="Courier New" w:eastAsia="Courier New" w:hAnsi="Courier New"/>
          <w:sz w:val="14"/>
          <w:szCs w:val="14"/>
          <w:color w:val="auto"/>
        </w:rPr>
        <w:t>Toro Common Stock (including related Preferred Share Purchase Rights) is listed for trading on the New York Stock Exchange. As of October 31, 1996 there were 6,841 holders of record of the company's common stock.</w:t>
      </w:r>
    </w:p>
    <w:p>
      <w:pPr>
        <w:spacing w:after="0" w:line="164" w:lineRule="exact"/>
        <w:rPr>
          <w:sz w:val="20"/>
          <w:szCs w:val="20"/>
          <w:color w:val="auto"/>
        </w:rPr>
      </w:pPr>
    </w:p>
    <w:p>
      <w:pPr>
        <w:ind w:right="3799"/>
        <w:spacing w:after="0" w:line="238" w:lineRule="auto"/>
        <w:rPr>
          <w:sz w:val="20"/>
          <w:szCs w:val="20"/>
          <w:color w:val="auto"/>
        </w:rPr>
      </w:pPr>
      <w:r>
        <w:rPr>
          <w:rFonts w:ascii="Courier New" w:cs="Courier New" w:eastAsia="Courier New" w:hAnsi="Courier New"/>
          <w:sz w:val="14"/>
          <w:szCs w:val="14"/>
          <w:color w:val="auto"/>
        </w:rPr>
        <w:t>See "Quarterly Financial Data" on page 44 of the Annual Report for dividends paid on and range of high and low quotations for the company's common stock on the New York Stock Exchange for the period from August 1, 1995 to October 31, 1996, which information is incorporated herein by reference.</w:t>
      </w:r>
    </w:p>
    <w:p>
      <w:pPr>
        <w:spacing w:after="0" w:line="16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ITEM 6. SELECTED FINANCIAL DATA</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See "Selected Financial Data" on page 24 of the Annual Report for financial data for the year ended October 31, 1996, for the 3 month period ended October 31, 1995 and for the years ended July 31, 1995, 1994, 1993 and 1992 which information for these periods is incorporated herein by reference.</w:t>
      </w: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2" w:right="1440" w:bottom="1440" w:gutter="0" w:footer="0" w:header="0"/>
        </w:sectPr>
      </w:pPr>
    </w:p>
    <w:bookmarkStart w:id="11" w:name="page12"/>
    <w:bookmarkEnd w:id="11"/>
    <w:p>
      <w:pPr>
        <w:ind w:right="3719"/>
        <w:spacing w:after="0" w:line="236"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4" w:lineRule="exact"/>
        <w:rPr>
          <w:sz w:val="20"/>
          <w:szCs w:val="20"/>
          <w:color w:val="auto"/>
        </w:rPr>
      </w:pPr>
    </w:p>
    <w:p>
      <w:pPr>
        <w:ind w:right="3639"/>
        <w:spacing w:after="0" w:line="264" w:lineRule="auto"/>
        <w:rPr>
          <w:sz w:val="20"/>
          <w:szCs w:val="20"/>
          <w:color w:val="auto"/>
        </w:rPr>
      </w:pPr>
      <w:r>
        <w:rPr>
          <w:rFonts w:ascii="Courier New" w:cs="Courier New" w:eastAsia="Courier New" w:hAnsi="Courier New"/>
          <w:sz w:val="13"/>
          <w:szCs w:val="13"/>
          <w:color w:val="auto"/>
        </w:rPr>
        <w:t>See the sections entitled "Management's Discussion and Analysis of Financial Condition and Results of Operations" of the Annual Report on pages 16 through 21 and pages 25 through 29 which sections are incorporated herein by reference.</w:t>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63" w:lineRule="exact"/>
        <w:rPr>
          <w:sz w:val="20"/>
          <w:szCs w:val="20"/>
          <w:color w:val="auto"/>
        </w:rPr>
      </w:pPr>
    </w:p>
    <w:p>
      <w:pPr>
        <w:ind w:right="3719"/>
        <w:spacing w:after="0" w:line="259" w:lineRule="auto"/>
        <w:rPr>
          <w:sz w:val="20"/>
          <w:szCs w:val="20"/>
          <w:color w:val="auto"/>
        </w:rPr>
      </w:pPr>
      <w:r>
        <w:rPr>
          <w:rFonts w:ascii="Courier New" w:cs="Courier New" w:eastAsia="Courier New" w:hAnsi="Courier New"/>
          <w:sz w:val="13"/>
          <w:szCs w:val="13"/>
          <w:color w:val="auto"/>
        </w:rPr>
        <w:t>SAFE HARBOR STATEMENT UNDER THE PRIVATE SECURITIES LITIGATION REFORM ACT OF 1995: This Annual Report on Form 10-K contains various forward-looking statements, included under the captions entitled "Management's Discussion and Analysis of Financial Condition and Results of Operations" of the Annual Report which sections are incorporated herein by reference, within the meaning of Section 27A of the Securities Act of 1933 and Section 21E of the Securities Exchange Act of 1934. Statements that are not historical are forward-looking. When used in this document, the words "expect", "anticipate", "estimate", and similar expressions are intended to identify forward-looking statements. In addition, forward-looking statements are contained in Part I of this report and may be made orally in the future by or on behalf of the company.</w:t>
      </w:r>
    </w:p>
    <w:p>
      <w:pPr>
        <w:spacing w:after="0" w:line="155" w:lineRule="exact"/>
        <w:rPr>
          <w:sz w:val="20"/>
          <w:szCs w:val="20"/>
          <w:color w:val="auto"/>
        </w:rPr>
      </w:pPr>
    </w:p>
    <w:p>
      <w:pPr>
        <w:ind w:right="3639"/>
        <w:spacing w:after="0" w:line="259" w:lineRule="auto"/>
        <w:rPr>
          <w:sz w:val="20"/>
          <w:szCs w:val="20"/>
          <w:color w:val="auto"/>
        </w:rPr>
      </w:pPr>
      <w:r>
        <w:rPr>
          <w:rFonts w:ascii="Courier New" w:cs="Courier New" w:eastAsia="Courier New" w:hAnsi="Courier New"/>
          <w:sz w:val="13"/>
          <w:szCs w:val="13"/>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The company undertakes no obligation to update any forward-looking statement to reflect events or circumstances after the date on which such statement is made, or to reflect the occurrence of unanticipated events.</w:t>
      </w:r>
    </w:p>
    <w:p>
      <w:pPr>
        <w:spacing w:after="0" w:line="307"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63"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4"/>
          <w:szCs w:val="14"/>
          <w:color w:val="auto"/>
        </w:rPr>
        <w:t>The financial statements described in Item 14(a)1 of this report are incorporated herein by reference.</w:t>
      </w:r>
    </w:p>
    <w:p>
      <w:pPr>
        <w:spacing w:after="0" w:line="164" w:lineRule="exact"/>
        <w:rPr>
          <w:sz w:val="20"/>
          <w:szCs w:val="20"/>
          <w:color w:val="auto"/>
        </w:rPr>
      </w:pPr>
    </w:p>
    <w:p>
      <w:pPr>
        <w:ind w:right="3799"/>
        <w:spacing w:after="0" w:line="236" w:lineRule="auto"/>
        <w:rPr>
          <w:sz w:val="20"/>
          <w:szCs w:val="20"/>
          <w:color w:val="auto"/>
        </w:rPr>
      </w:pPr>
      <w:r>
        <w:rPr>
          <w:rFonts w:ascii="Courier New" w:cs="Courier New" w:eastAsia="Courier New" w:hAnsi="Courier New"/>
          <w:sz w:val="14"/>
          <w:szCs w:val="14"/>
          <w:color w:val="auto"/>
        </w:rPr>
        <w:t>See "Quarterly Financial Data" appearing on page 44 of the Annual Report which is incorporated herein by reference.</w:t>
      </w:r>
    </w:p>
    <w:p>
      <w:pPr>
        <w:spacing w:after="0" w:line="160" w:lineRule="exact"/>
        <w:rPr>
          <w:sz w:val="20"/>
          <w:szCs w:val="20"/>
          <w:color w:val="auto"/>
        </w:rPr>
      </w:pPr>
    </w:p>
    <w:p>
      <w:pPr>
        <w:ind w:left="820"/>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6" w:right="1440" w:bottom="1440" w:gutter="0" w:footer="0" w:header="0"/>
        </w:sectPr>
      </w:pPr>
    </w:p>
    <w:bookmarkStart w:id="12" w:name="page13"/>
    <w:bookmarkEnd w:id="12"/>
    <w:p>
      <w:pPr>
        <w:ind w:left="2900"/>
        <w:spacing w:after="0"/>
        <w:rPr>
          <w:sz w:val="20"/>
          <w:szCs w:val="20"/>
          <w:color w:val="auto"/>
        </w:rPr>
      </w:pPr>
      <w:r>
        <w:rPr>
          <w:rFonts w:ascii="Courier New" w:cs="Courier New" w:eastAsia="Courier New" w:hAnsi="Courier New"/>
          <w:sz w:val="14"/>
          <w:szCs w:val="14"/>
          <w:color w:val="auto"/>
        </w:rPr>
        <w:t>Part III</w:t>
      </w:r>
    </w:p>
    <w:p>
      <w:pPr>
        <w:spacing w:after="0" w:line="4" w:lineRule="exact"/>
        <w:rPr>
          <w:sz w:val="20"/>
          <w:szCs w:val="20"/>
          <w:color w:val="auto"/>
        </w:rPr>
      </w:pPr>
    </w:p>
    <w:p>
      <w:pPr>
        <w:ind w:left="160" w:hanging="155"/>
        <w:spacing w:after="0"/>
        <w:tabs>
          <w:tab w:leader="none" w:pos="160" w:val="left"/>
        </w:tabs>
        <w:numPr>
          <w:ilvl w:val="0"/>
          <w:numId w:val="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9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ITEM 10. DIRECTORS AND EXECUTIVE OFFICERS OF THE REGISTRANT</w:t>
      </w:r>
    </w:p>
    <w:p>
      <w:pPr>
        <w:spacing w:after="0" w:line="163"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164"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Information regarding the directors of The Toro Company and additional information regarding certain executive officers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306"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ITEM 11. EXECUTIVE COMPENSATION</w:t>
      </w:r>
    </w:p>
    <w:p>
      <w:pPr>
        <w:spacing w:after="0" w:line="163"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59"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63"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Information regarding the security ownership of certain beneficial owners and management of The Toro Company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48" w:lineRule="exact"/>
        <w:rPr>
          <w:sz w:val="20"/>
          <w:szCs w:val="20"/>
          <w:color w:val="auto"/>
        </w:rPr>
      </w:pPr>
    </w:p>
    <w:p>
      <w:pPr>
        <w:ind w:left="1080"/>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5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592" w:right="1440" w:bottom="1440" w:gutter="0" w:footer="0" w:header="0"/>
        </w:sectPr>
      </w:pPr>
    </w:p>
    <w:bookmarkStart w:id="13" w:name="page14"/>
    <w:bookmarkEnd w:id="13"/>
    <w:p>
      <w:pPr>
        <w:ind w:left="3140"/>
        <w:spacing w:after="0"/>
        <w:rPr>
          <w:sz w:val="20"/>
          <w:szCs w:val="20"/>
          <w:color w:val="auto"/>
        </w:rPr>
      </w:pPr>
      <w:r>
        <w:rPr>
          <w:rFonts w:ascii="Courier New" w:cs="Courier New" w:eastAsia="Courier New" w:hAnsi="Courier New"/>
          <w:sz w:val="14"/>
          <w:szCs w:val="14"/>
          <w:color w:val="auto"/>
        </w:rPr>
        <w:t>Part IV</w:t>
      </w:r>
    </w:p>
    <w:p>
      <w:pPr>
        <w:spacing w:after="0" w:line="163" w:lineRule="exact"/>
        <w:rPr>
          <w:sz w:val="20"/>
          <w:szCs w:val="20"/>
          <w:color w:val="auto"/>
        </w:rPr>
      </w:pPr>
    </w:p>
    <w:p>
      <w:pPr>
        <w:ind w:left="160" w:hanging="155"/>
        <w:spacing w:after="0"/>
        <w:tabs>
          <w:tab w:leader="none" w:pos="160" w:val="left"/>
        </w:tabs>
        <w:numPr>
          <w:ilvl w:val="0"/>
          <w:numId w:val="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5" w:lineRule="exact"/>
        <w:rPr>
          <w:rFonts w:ascii="Courier New" w:cs="Courier New" w:eastAsia="Courier New" w:hAnsi="Courier New"/>
          <w:sz w:val="13"/>
          <w:szCs w:val="13"/>
          <w:color w:val="auto"/>
        </w:rPr>
      </w:pPr>
    </w:p>
    <w:p>
      <w:pPr>
        <w:ind w:left="34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ITEM 14. EXHIBITS, FINANCIAL STATEMENT SCHEDULES AND REPORTS ON FORM 8-K</w:t>
      </w:r>
    </w:p>
    <w:p>
      <w:pPr>
        <w:spacing w:after="0" w:line="159" w:lineRule="exact"/>
        <w:rPr>
          <w:sz w:val="20"/>
          <w:szCs w:val="20"/>
          <w:color w:val="auto"/>
        </w:rPr>
      </w:pPr>
    </w:p>
    <w:p>
      <w:pPr>
        <w:ind w:left="420" w:hanging="415"/>
        <w:spacing w:after="0"/>
        <w:tabs>
          <w:tab w:leader="none" w:pos="4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INDEX TO CONSOLIDATED FINANCIAL STATEMENTS</w:t>
      </w:r>
    </w:p>
    <w:p>
      <w:pPr>
        <w:spacing w:after="0" w:line="163" w:lineRule="exact"/>
        <w:rPr>
          <w:sz w:val="20"/>
          <w:szCs w:val="20"/>
          <w:color w:val="auto"/>
        </w:rPr>
      </w:pPr>
    </w:p>
    <w:p>
      <w:pPr>
        <w:ind w:left="5360" w:right="3639" w:hanging="5771"/>
        <w:spacing w:after="0" w:line="236" w:lineRule="auto"/>
        <w:tabs>
          <w:tab w:leader="none" w:pos="5340" w:val="left"/>
        </w:tabs>
        <w:rPr>
          <w:sz w:val="20"/>
          <w:szCs w:val="20"/>
          <w:color w:val="auto"/>
        </w:rPr>
      </w:pPr>
      <w:r>
        <w:rPr>
          <w:rFonts w:ascii="Courier New" w:cs="Courier New" w:eastAsia="Courier New" w:hAnsi="Courier New"/>
          <w:sz w:val="14"/>
          <w:szCs w:val="14"/>
          <w:color w:val="auto"/>
        </w:rPr>
        <w:t>Incorporated by reference into Part II, Item 8 of this report:</w:t>
        <w:tab/>
        <w:t>Pages in Fiscal 1996</w:t>
      </w:r>
    </w:p>
    <w:p>
      <w:pPr>
        <w:spacing w:after="0" w:line="1"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4"/>
          <w:szCs w:val="14"/>
          <w:color w:val="auto"/>
        </w:rPr>
        <w:t>Annual Report</w:t>
      </w:r>
    </w:p>
    <w:p>
      <w:pPr>
        <w:jc w:val="center"/>
        <w:ind w:left="500"/>
        <w:spacing w:after="0"/>
        <w:rPr>
          <w:sz w:val="20"/>
          <w:szCs w:val="20"/>
          <w:color w:val="auto"/>
        </w:rPr>
      </w:pPr>
      <w:r>
        <w:rPr>
          <w:rFonts w:ascii="Courier New" w:cs="Courier New" w:eastAsia="Courier New" w:hAnsi="Courier New"/>
          <w:sz w:val="14"/>
          <w:szCs w:val="14"/>
          <w:color w:val="auto"/>
        </w:rPr>
        <w:t>To Stockholders</w:t>
      </w:r>
    </w:p>
    <w:p>
      <w:pPr>
        <w:ind w:left="5360"/>
        <w:spacing w:after="0"/>
        <w:rPr>
          <w:sz w:val="20"/>
          <w:szCs w:val="20"/>
          <w:color w:val="auto"/>
        </w:rPr>
      </w:pPr>
      <w:r>
        <w:rPr>
          <w:rFonts w:ascii="Courier New" w:cs="Courier New" w:eastAsia="Courier New" w:hAnsi="Courier New"/>
          <w:sz w:val="14"/>
          <w:szCs w:val="14"/>
          <w:color w:val="auto"/>
        </w:rPr>
        <w: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 . . . . . . . . . . . . . . . . . . . . . 30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Earnings for the year ended</w:t>
      </w:r>
    </w:p>
    <w:p>
      <w:pPr>
        <w:ind w:left="260"/>
        <w:spacing w:after="0"/>
        <w:rPr>
          <w:sz w:val="20"/>
          <w:szCs w:val="20"/>
          <w:color w:val="auto"/>
        </w:rPr>
      </w:pPr>
      <w:r>
        <w:rPr>
          <w:rFonts w:ascii="Courier New" w:cs="Courier New" w:eastAsia="Courier New" w:hAnsi="Courier New"/>
          <w:sz w:val="14"/>
          <w:szCs w:val="14"/>
          <w:color w:val="auto"/>
        </w:rPr>
        <w:t>October 31, 1996, the 3 months ended October 31, 1995 and</w:t>
      </w: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ind w:left="260"/>
        <w:spacing w:after="0"/>
        <w:rPr>
          <w:sz w:val="20"/>
          <w:szCs w:val="20"/>
          <w:color w:val="auto"/>
        </w:rPr>
      </w:pPr>
      <w:r>
        <w:rPr>
          <w:rFonts w:ascii="Courier New" w:cs="Courier New" w:eastAsia="Courier New" w:hAnsi="Courier New"/>
          <w:sz w:val="14"/>
          <w:szCs w:val="14"/>
          <w:color w:val="auto"/>
        </w:rPr>
        <w:t>as of October 31, 1996 and 1995 . . . . . . . . . . . . . . . . . . 31</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 for the year ended</w:t>
      </w:r>
    </w:p>
    <w:p>
      <w:pPr>
        <w:ind w:left="260"/>
        <w:spacing w:after="0"/>
        <w:rPr>
          <w:sz w:val="20"/>
          <w:szCs w:val="20"/>
          <w:color w:val="auto"/>
        </w:rPr>
      </w:pPr>
      <w:r>
        <w:rPr>
          <w:rFonts w:ascii="Courier New" w:cs="Courier New" w:eastAsia="Courier New" w:hAnsi="Courier New"/>
          <w:sz w:val="14"/>
          <w:szCs w:val="14"/>
          <w:color w:val="auto"/>
        </w:rPr>
        <w:t>October 31, 1996, the 3 months ended October 31, 1995 and</w:t>
      </w: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32</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 . . . . . . . . . . . . .33-44</w:t>
      </w:r>
    </w:p>
    <w:p>
      <w:pPr>
        <w:spacing w:after="0" w:line="163" w:lineRule="exact"/>
        <w:rPr>
          <w:sz w:val="20"/>
          <w:szCs w:val="20"/>
          <w:color w:val="auto"/>
        </w:rPr>
      </w:pPr>
    </w:p>
    <w:p>
      <w:pPr>
        <w:ind w:right="5279" w:firstLine="5"/>
        <w:spacing w:after="0" w:line="473" w:lineRule="auto"/>
        <w:tabs>
          <w:tab w:leader="none" w:pos="41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INDEX TO CONSOLIDATED FINANCIAL STATEMENT SCHEDULES Included in Part IV of this report: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Independent Auditors' Report. . . . . . . . . . . . . . . . . . . . 18</w:t>
      </w:r>
    </w:p>
    <w:p>
      <w:pPr>
        <w:spacing w:after="0" w:line="15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Schedule II - Valuation and Qualifying Accounts . . . . . . . . . . 19</w:t>
      </w:r>
    </w:p>
    <w:p>
      <w:pPr>
        <w:spacing w:after="0" w:line="163" w:lineRule="exact"/>
        <w:rPr>
          <w:sz w:val="20"/>
          <w:szCs w:val="20"/>
          <w:color w:val="auto"/>
        </w:rPr>
      </w:pPr>
    </w:p>
    <w:p>
      <w:pPr>
        <w:ind w:right="3639"/>
        <w:spacing w:after="0" w:line="237" w:lineRule="auto"/>
        <w:rPr>
          <w:sz w:val="20"/>
          <w:szCs w:val="20"/>
          <w:color w:val="auto"/>
        </w:rPr>
      </w:pPr>
      <w:r>
        <w:rPr>
          <w:rFonts w:ascii="Courier New" w:cs="Courier New" w:eastAsia="Courier New" w:hAnsi="Courier New"/>
          <w:sz w:val="14"/>
          <w:szCs w:val="14"/>
          <w:color w:val="auto"/>
        </w:rPr>
        <w:t>All other schedules are omitted as the required information is inapplicable or the information is presented in the consolidated financial statements or related notes to the consolidated financial statements.</w:t>
      </w:r>
    </w:p>
    <w:p>
      <w:pPr>
        <w:spacing w:after="0" w:line="160" w:lineRule="exact"/>
        <w:rPr>
          <w:sz w:val="20"/>
          <w:szCs w:val="20"/>
          <w:color w:val="auto"/>
        </w:rPr>
      </w:pPr>
    </w:p>
    <w:p>
      <w:pPr>
        <w:spacing w:after="0"/>
        <w:tabs>
          <w:tab w:leader="none" w:pos="400" w:val="left"/>
          <w:tab w:leader="none" w:pos="720" w:val="left"/>
        </w:tabs>
        <w:rPr>
          <w:sz w:val="20"/>
          <w:szCs w:val="20"/>
          <w:color w:val="auto"/>
        </w:rPr>
      </w:pPr>
      <w:r>
        <w:rPr>
          <w:rFonts w:ascii="Courier New" w:cs="Courier New" w:eastAsia="Courier New" w:hAnsi="Courier New"/>
          <w:sz w:val="14"/>
          <w:szCs w:val="14"/>
          <w:color w:val="auto"/>
        </w:rPr>
        <w:t>(a)</w:t>
        <w:tab/>
        <w:t>3.</w:t>
      </w:r>
      <w:r>
        <w:rPr>
          <w:sz w:val="20"/>
          <w:szCs w:val="20"/>
          <w:color w:val="auto"/>
        </w:rPr>
        <w:tab/>
      </w:r>
      <w:r>
        <w:rPr>
          <w:rFonts w:ascii="Courier New" w:cs="Courier New" w:eastAsia="Courier New" w:hAnsi="Courier New"/>
          <w:sz w:val="13"/>
          <w:szCs w:val="13"/>
          <w:color w:val="auto"/>
        </w:rPr>
        <w:t>EXHIBITS</w:t>
      </w:r>
    </w:p>
    <w:p>
      <w:pPr>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239"/>
          </w:cols>
          <w:pgMar w:left="220" w:top="592" w:right="1440" w:bottom="1440" w:gutter="0" w:footer="0" w:header="0"/>
        </w:sectPr>
      </w:pPr>
    </w:p>
    <w:p>
      <w:pPr>
        <w:spacing w:after="0" w:line="163"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2 and 10(iii)(j)</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Stock Purchase Agreement among The Toro Company, James Hardie (USA) Inc., James Hardie Industries Limited and RCI Pty. Ltd. (incorporated by reference to the Exhibit to Registrant's Current Report on Form 8-K dated September 18, 1996).</w:t>
      </w:r>
    </w:p>
    <w:p>
      <w:pPr>
        <w:spacing w:after="0" w:line="165" w:lineRule="exact"/>
        <w:rPr>
          <w:sz w:val="20"/>
          <w:szCs w:val="20"/>
          <w:color w:val="auto"/>
        </w:rPr>
      </w:pPr>
    </w:p>
    <w:p>
      <w:pPr>
        <w:sectPr>
          <w:pgSz w:w="11900" w:h="16838" w:orient="portrait"/>
          <w:cols w:equalWidth="0" w:num="2">
            <w:col w:w="1740" w:space="500"/>
            <w:col w:w="7999"/>
          </w:cols>
          <w:pgMar w:left="220" w:top="59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3"/>
          <w:szCs w:val="13"/>
          <w:color w:val="auto"/>
        </w:rPr>
        <w:t>3(i)(a) and 4(a)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Certificate of Incorporation of the Registrant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corrected through May 18, 1987</w:t>
      </w:r>
    </w:p>
    <w:p>
      <w:pPr>
        <w:spacing w:after="0"/>
        <w:rPr>
          <w:sz w:val="20"/>
          <w:szCs w:val="20"/>
          <w:color w:val="auto"/>
        </w:rPr>
      </w:pPr>
      <w:r>
        <w:rPr>
          <w:rFonts w:ascii="Courier New" w:cs="Courier New" w:eastAsia="Courier New" w:hAnsi="Courier New"/>
          <w:sz w:val="14"/>
          <w:szCs w:val="14"/>
          <w:color w:val="auto"/>
        </w:rPr>
        <w:t>(incorporated by reference to Exhibit 4.2 to the</w:t>
      </w:r>
    </w:p>
    <w:p>
      <w:pPr>
        <w:spacing w:after="0"/>
        <w:rPr>
          <w:sz w:val="20"/>
          <w:szCs w:val="20"/>
          <w:color w:val="auto"/>
        </w:rPr>
      </w:pPr>
      <w:r>
        <w:rPr>
          <w:rFonts w:ascii="Courier New" w:cs="Courier New" w:eastAsia="Courier New" w:hAnsi="Courier New"/>
          <w:sz w:val="14"/>
          <w:szCs w:val="14"/>
          <w:color w:val="auto"/>
        </w:rPr>
        <w:t>Registrant's Registration Statement on Form S-3,</w:t>
      </w:r>
    </w:p>
    <w:p>
      <w:pPr>
        <w:spacing w:after="0"/>
        <w:rPr>
          <w:sz w:val="20"/>
          <w:szCs w:val="20"/>
          <w:color w:val="auto"/>
        </w:rPr>
      </w:pPr>
      <w:r>
        <w:rPr>
          <w:rFonts w:ascii="Courier New" w:cs="Courier New" w:eastAsia="Courier New" w:hAnsi="Courier New"/>
          <w:sz w:val="14"/>
          <w:szCs w:val="14"/>
          <w:color w:val="auto"/>
        </w:rPr>
        <w:t>Registration No. 33-16125).</w:t>
      </w:r>
    </w:p>
    <w:p>
      <w:pPr>
        <w:spacing w:after="0" w:line="158" w:lineRule="exact"/>
        <w:rPr>
          <w:sz w:val="20"/>
          <w:szCs w:val="20"/>
          <w:color w:val="auto"/>
        </w:rPr>
      </w:pPr>
    </w:p>
    <w:p>
      <w:pPr>
        <w:sectPr>
          <w:pgSz w:w="11900" w:h="16838" w:orient="portrait"/>
          <w:cols w:equalWidth="0" w:num="2">
            <w:col w:w="1740" w:space="500"/>
            <w:col w:w="7999"/>
          </w:cols>
          <w:pgMar w:left="220" w:top="592" w:right="1440" w:bottom="144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3"/>
          <w:szCs w:val="13"/>
          <w:color w:val="auto"/>
        </w:rPr>
        <w:t>3(i)(b) and 4(b)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Certificate of Amendment to Certificate of</w:t>
      </w:r>
    </w:p>
    <w:p>
      <w:pPr>
        <w:spacing w:after="0"/>
        <w:rPr>
          <w:sz w:val="20"/>
          <w:szCs w:val="20"/>
          <w:color w:val="auto"/>
        </w:rPr>
      </w:pPr>
      <w:r>
        <w:rPr>
          <w:rFonts w:ascii="Courier New" w:cs="Courier New" w:eastAsia="Courier New" w:hAnsi="Courier New"/>
          <w:sz w:val="14"/>
          <w:szCs w:val="14"/>
          <w:color w:val="auto"/>
        </w:rPr>
        <w:t>Incorporation of the Registrant dated December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1987 (incorporated by reference to Exhibit 3 to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Registrant's Quarterly Report on Form 10-Q for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quarter ended January 29, 1988, Commission File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1-8649).</w:t>
      </w:r>
    </w:p>
    <w:p>
      <w:pPr>
        <w:spacing w:after="0" w:line="163" w:lineRule="exact"/>
        <w:rPr>
          <w:sz w:val="20"/>
          <w:szCs w:val="20"/>
          <w:color w:val="auto"/>
        </w:rPr>
      </w:pPr>
    </w:p>
    <w:p>
      <w:pPr>
        <w:sectPr>
          <w:pgSz w:w="11900" w:h="16838" w:orient="portrait"/>
          <w:cols w:equalWidth="0" w:num="2">
            <w:col w:w="1740" w:space="500"/>
            <w:col w:w="7999"/>
          </w:cols>
          <w:pgMar w:left="220" w:top="59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3"/>
          <w:szCs w:val="13"/>
          <w:color w:val="auto"/>
        </w:rPr>
        <w:t>3(ii) and 4(c)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Bylaws of the Registrant (incorporated by reference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Exhibit 3.3 to the Registrant's Annual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for the year ended July 31, 1991,</w:t>
      </w:r>
    </w:p>
    <w:p>
      <w:pPr>
        <w:spacing w:after="0"/>
        <w:rPr>
          <w:sz w:val="20"/>
          <w:szCs w:val="20"/>
          <w:color w:val="auto"/>
        </w:rPr>
      </w:pPr>
      <w:r>
        <w:rPr>
          <w:rFonts w:ascii="Courier New" w:cs="Courier New" w:eastAsia="Courier New" w:hAnsi="Courier New"/>
          <w:sz w:val="14"/>
          <w:szCs w:val="14"/>
          <w:color w:val="auto"/>
        </w:rPr>
        <w:t>Commission File No. 1-8649)</w:t>
      </w:r>
    </w:p>
    <w:p>
      <w:pPr>
        <w:spacing w:after="0" w:line="200" w:lineRule="exact"/>
        <w:rPr>
          <w:sz w:val="20"/>
          <w:szCs w:val="20"/>
          <w:color w:val="auto"/>
        </w:rPr>
      </w:pPr>
    </w:p>
    <w:p>
      <w:pPr>
        <w:sectPr>
          <w:pgSz w:w="11900" w:h="16838" w:orient="portrait"/>
          <w:cols w:equalWidth="0" w:num="2">
            <w:col w:w="1580" w:space="660"/>
            <w:col w:w="7999"/>
          </w:cols>
          <w:pgMar w:left="220" w:top="592" w:right="1440" w:bottom="1440" w:gutter="0" w:footer="0" w:header="0"/>
          <w:type w:val="continuous"/>
        </w:sectPr>
      </w:pPr>
    </w:p>
    <w:p>
      <w:pPr>
        <w:spacing w:after="0" w:line="121" w:lineRule="exact"/>
        <w:rPr>
          <w:sz w:val="20"/>
          <w:szCs w:val="20"/>
          <w:color w:val="auto"/>
        </w:rPr>
      </w:pPr>
    </w:p>
    <w:p>
      <w:pPr>
        <w:ind w:left="322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39"/>
          </w:cols>
          <w:pgMar w:left="220" w:top="592" w:right="1440" w:bottom="1440" w:gutter="0" w:footer="0" w:header="0"/>
          <w:type w:val="continuous"/>
        </w:sectPr>
      </w:pPr>
    </w:p>
    <w:bookmarkStart w:id="14" w:name="page15"/>
    <w:bookmarkEnd w:id="14"/>
    <w:p>
      <w:pPr>
        <w:spacing w:after="0" w:line="4" w:lineRule="exact"/>
        <w:rPr>
          <w:sz w:val="20"/>
          <w:szCs w:val="20"/>
          <w:color w:val="auto"/>
        </w:rPr>
      </w:pPr>
    </w:p>
    <w:p>
      <w:pPr>
        <w:ind w:left="415"/>
        <w:spacing w:after="0"/>
        <w:rPr>
          <w:sz w:val="20"/>
          <w:szCs w:val="20"/>
          <w:color w:val="auto"/>
        </w:rPr>
      </w:pPr>
      <w:r>
        <w:rPr>
          <w:rFonts w:ascii="Courier New" w:cs="Courier New" w:eastAsia="Courier New" w:hAnsi="Courier New"/>
          <w:sz w:val="13"/>
          <w:szCs w:val="13"/>
          <w:color w:val="auto"/>
        </w:rPr>
        <w:t>4(d)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form of Common Stock certificate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(incorporated by reference to Exhibit 4(c)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S-8,</w:t>
      </w:r>
    </w:p>
    <w:p>
      <w:pPr>
        <w:spacing w:after="0"/>
        <w:rPr>
          <w:sz w:val="20"/>
          <w:szCs w:val="20"/>
          <w:color w:val="auto"/>
        </w:rPr>
      </w:pPr>
      <w:r>
        <w:rPr>
          <w:rFonts w:ascii="Courier New" w:cs="Courier New" w:eastAsia="Courier New" w:hAnsi="Courier New"/>
          <w:sz w:val="14"/>
          <w:szCs w:val="14"/>
          <w:color w:val="auto"/>
        </w:rPr>
        <w:t>Registration No. 2-94417).</w:t>
      </w:r>
    </w:p>
    <w:p>
      <w:pPr>
        <w:spacing w:after="0" w:line="158" w:lineRule="exact"/>
        <w:rPr>
          <w:sz w:val="20"/>
          <w:szCs w:val="20"/>
          <w:color w:val="auto"/>
        </w:rPr>
      </w:pPr>
    </w:p>
    <w:p>
      <w:pPr>
        <w:sectPr>
          <w:pgSz w:w="11900" w:h="16838" w:orient="portrait"/>
          <w:cols w:equalWidth="0" w:num="2">
            <w:col w:w="1515" w:space="720"/>
            <w:col w:w="7999"/>
          </w:cols>
          <w:pgMar w:left="225" w:top="592" w:right="1440" w:bottom="1440" w:gutter="0" w:footer="0" w:header="0"/>
        </w:sectPr>
      </w:pPr>
    </w:p>
    <w:p>
      <w:pPr>
        <w:spacing w:after="0" w:line="5" w:lineRule="exact"/>
        <w:rPr>
          <w:sz w:val="20"/>
          <w:szCs w:val="20"/>
          <w:color w:val="auto"/>
        </w:rPr>
      </w:pPr>
    </w:p>
    <w:p>
      <w:pPr>
        <w:ind w:left="415"/>
        <w:spacing w:after="0"/>
        <w:rPr>
          <w:sz w:val="20"/>
          <w:szCs w:val="20"/>
          <w:color w:val="auto"/>
        </w:rPr>
      </w:pPr>
      <w:r>
        <w:rPr>
          <w:rFonts w:ascii="Courier New" w:cs="Courier New" w:eastAsia="Courier New" w:hAnsi="Courier New"/>
          <w:sz w:val="13"/>
          <w:szCs w:val="13"/>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Rights Agreement dated as of June 14, 1988, between</w:t>
      </w:r>
    </w:p>
    <w:p>
      <w:pPr>
        <w:spacing w:after="0"/>
        <w:rPr>
          <w:sz w:val="20"/>
          <w:szCs w:val="20"/>
          <w:color w:val="auto"/>
        </w:rPr>
      </w:pPr>
      <w:r>
        <w:rPr>
          <w:rFonts w:ascii="Courier New" w:cs="Courier New" w:eastAsia="Courier New" w:hAnsi="Courier New"/>
          <w:sz w:val="14"/>
          <w:szCs w:val="14"/>
          <w:color w:val="auto"/>
        </w:rPr>
        <w:t>the Registrant and Norwest Bank Minnesota, National</w:t>
      </w:r>
    </w:p>
    <w:p>
      <w:pPr>
        <w:spacing w:after="0"/>
        <w:rPr>
          <w:sz w:val="20"/>
          <w:szCs w:val="20"/>
          <w:color w:val="auto"/>
        </w:rPr>
      </w:pPr>
      <w:r>
        <w:rPr>
          <w:rFonts w:ascii="Courier New" w:cs="Courier New" w:eastAsia="Courier New" w:hAnsi="Courier New"/>
          <w:sz w:val="14"/>
          <w:szCs w:val="14"/>
          <w:color w:val="auto"/>
        </w:rPr>
        <w:t>Association relating to rights to purchase Series B</w:t>
      </w:r>
    </w:p>
    <w:p>
      <w:pPr>
        <w:spacing w:after="0"/>
        <w:rPr>
          <w:sz w:val="20"/>
          <w:szCs w:val="20"/>
          <w:color w:val="auto"/>
        </w:rPr>
      </w:pPr>
      <w:r>
        <w:rPr>
          <w:rFonts w:ascii="Courier New" w:cs="Courier New" w:eastAsia="Courier New" w:hAnsi="Courier New"/>
          <w:sz w:val="14"/>
          <w:szCs w:val="14"/>
          <w:color w:val="auto"/>
        </w:rPr>
        <w:t>Junior Participating Voting Preferred Stock, as</w:t>
      </w:r>
    </w:p>
    <w:p>
      <w:pPr>
        <w:spacing w:after="0"/>
        <w:rPr>
          <w:sz w:val="20"/>
          <w:szCs w:val="20"/>
          <w:color w:val="auto"/>
        </w:rPr>
      </w:pPr>
      <w:r>
        <w:rPr>
          <w:rFonts w:ascii="Courier New" w:cs="Courier New" w:eastAsia="Courier New" w:hAnsi="Courier New"/>
          <w:sz w:val="14"/>
          <w:szCs w:val="14"/>
          <w:color w:val="auto"/>
        </w:rPr>
        <w:t>amended (incorporated by reference to Exhibit 1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Registrant's Registration Statement on Form 8-A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17, 1988, Commission File No. 1-8649, as</w:t>
      </w:r>
    </w:p>
    <w:p>
      <w:pPr>
        <w:spacing w:after="0"/>
        <w:rPr>
          <w:sz w:val="20"/>
          <w:szCs w:val="20"/>
          <w:color w:val="auto"/>
        </w:rPr>
      </w:pPr>
      <w:r>
        <w:rPr>
          <w:rFonts w:ascii="Courier New" w:cs="Courier New" w:eastAsia="Courier New" w:hAnsi="Courier New"/>
          <w:sz w:val="14"/>
          <w:szCs w:val="14"/>
          <w:color w:val="auto"/>
        </w:rPr>
        <w:t>amended).</w:t>
      </w:r>
    </w:p>
    <w:p>
      <w:pPr>
        <w:spacing w:after="0" w:line="158"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spacing w:after="0" w:line="5" w:lineRule="exact"/>
        <w:rPr>
          <w:sz w:val="20"/>
          <w:szCs w:val="20"/>
          <w:color w:val="auto"/>
        </w:rPr>
      </w:pPr>
    </w:p>
    <w:p>
      <w:pPr>
        <w:ind w:left="415"/>
        <w:spacing w:after="0"/>
        <w:rPr>
          <w:sz w:val="20"/>
          <w:szCs w:val="20"/>
          <w:color w:val="auto"/>
        </w:rPr>
      </w:pPr>
      <w:r>
        <w:rPr>
          <w:rFonts w:ascii="Courier New" w:cs="Courier New" w:eastAsia="Courier New" w:hAnsi="Courier New"/>
          <w:sz w:val="13"/>
          <w:szCs w:val="13"/>
          <w:color w:val="auto"/>
        </w:rPr>
        <w:t>4(f)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Indenture dated as of July 15, 1987, between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Registrant and Manufacturers Hanover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relating to the Registrant's 11% Sinking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Fund Debentures Due August 1, 2017 (incorporated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Exhibit 4 to the Registrant's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Registration Statement on Form S-3, Registration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33-15385).</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Form of Employment Agreement in effect for certain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officers of Registrant (incorporated by reference to</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Exhibit 10(b) to Registrant's Annual Report on Form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 for the year ended July 31, 1995).</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1992 Directors Stock Plan, as amended.</w:t>
      </w:r>
    </w:p>
    <w:p>
      <w:pPr>
        <w:spacing w:after="0" w:line="166"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spacing w:after="0" w:line="4" w:lineRule="exact"/>
        <w:rPr>
          <w:sz w:val="20"/>
          <w:szCs w:val="20"/>
          <w:color w:val="auto"/>
        </w:rPr>
      </w:pPr>
    </w:p>
    <w:p>
      <w:pPr>
        <w:ind w:left="415"/>
        <w:spacing w:after="0"/>
        <w:rPr>
          <w:sz w:val="20"/>
          <w:szCs w:val="20"/>
          <w:color w:val="auto"/>
        </w:rPr>
      </w:pPr>
      <w:r>
        <w:rPr>
          <w:rFonts w:ascii="Courier New" w:cs="Courier New" w:eastAsia="Courier New" w:hAnsi="Courier New"/>
          <w:sz w:val="13"/>
          <w:szCs w:val="13"/>
          <w:color w:val="auto"/>
        </w:rPr>
        <w:t>10(iii)(c)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Annual Management Incentive Plan for certain key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employees and officers of Registrant (incorporated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Exhibit A to Registrant's Proxy</w:t>
      </w:r>
    </w:p>
    <w:p>
      <w:pPr>
        <w:spacing w:after="0"/>
        <w:rPr>
          <w:sz w:val="20"/>
          <w:szCs w:val="20"/>
          <w:color w:val="auto"/>
        </w:rPr>
      </w:pPr>
      <w:r>
        <w:rPr>
          <w:rFonts w:ascii="Courier New" w:cs="Courier New" w:eastAsia="Courier New" w:hAnsi="Courier New"/>
          <w:sz w:val="14"/>
          <w:szCs w:val="14"/>
          <w:color w:val="auto"/>
        </w:rPr>
        <w:t>Statement dated February 5, 1996).</w:t>
      </w:r>
    </w:p>
    <w:p>
      <w:pPr>
        <w:spacing w:after="0" w:line="158"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spacing w:after="0" w:line="5" w:lineRule="exact"/>
        <w:rPr>
          <w:sz w:val="20"/>
          <w:szCs w:val="20"/>
          <w:color w:val="auto"/>
        </w:rPr>
      </w:pPr>
    </w:p>
    <w:p>
      <w:pPr>
        <w:ind w:left="415"/>
        <w:spacing w:after="0"/>
        <w:rPr>
          <w:sz w:val="20"/>
          <w:szCs w:val="20"/>
          <w:color w:val="auto"/>
        </w:rPr>
      </w:pPr>
      <w:r>
        <w:rPr>
          <w:rFonts w:ascii="Courier New" w:cs="Courier New" w:eastAsia="Courier New" w:hAnsi="Courier New"/>
          <w:sz w:val="13"/>
          <w:szCs w:val="13"/>
          <w:color w:val="auto"/>
        </w:rPr>
        <w:t>10(iii)(d)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1985 Incentive Stock Option Plan, as amended</w:t>
      </w:r>
    </w:p>
    <w:p>
      <w:pPr>
        <w:spacing w:after="0"/>
        <w:rPr>
          <w:sz w:val="20"/>
          <w:szCs w:val="20"/>
          <w:color w:val="auto"/>
        </w:rPr>
      </w:pPr>
      <w:r>
        <w:rPr>
          <w:rFonts w:ascii="Courier New" w:cs="Courier New" w:eastAsia="Courier New" w:hAnsi="Courier New"/>
          <w:sz w:val="14"/>
          <w:szCs w:val="14"/>
          <w:color w:val="auto"/>
        </w:rPr>
        <w:t>(incorporated by reference Exhibit 10(b)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Registrant's Annual Report on Form 10-K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1993).</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1989 Stock Option Plan, as amended.</w:t>
      </w:r>
    </w:p>
    <w:p>
      <w:pPr>
        <w:spacing w:after="0" w:line="170"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1993 Stock Option Plan, as amended.</w:t>
      </w:r>
    </w:p>
    <w:p>
      <w:pPr>
        <w:spacing w:after="0" w:line="170"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Continuous Performance Award Plan, as amended.</w:t>
      </w:r>
    </w:p>
    <w:p>
      <w:pPr>
        <w:spacing w:after="0" w:line="170"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The Toro Company Supplemental Management Retirement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10(iii)(i)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Chief Executive Officer Succession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July 31, 1995.</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Computation of Earnings per Share of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Equivalents (page 19 of this report).</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Registrant's Fiscal 1996 Annual Report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Subsidiaries of Registrant (page 20 of this report).</w:t>
      </w:r>
    </w:p>
    <w:p>
      <w:pPr>
        <w:spacing w:after="0" w:line="170"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Independent Auditors' Consent (page 21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163"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415"/>
        <w:spacing w:after="0"/>
        <w:rPr>
          <w:sz w:val="20"/>
          <w:szCs w:val="20"/>
          <w:color w:val="auto"/>
        </w:rPr>
      </w:pPr>
      <w:r>
        <w:rPr>
          <w:rFonts w:ascii="Courier New" w:cs="Courier New" w:eastAsia="Courier New" w:hAnsi="Courier New"/>
          <w:sz w:val="13"/>
          <w:szCs w:val="13"/>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Supplemental Data Schedule; electronic filing only.</w:t>
      </w:r>
    </w:p>
    <w:p>
      <w:pPr>
        <w:spacing w:after="0" w:line="170" w:lineRule="exact"/>
        <w:rPr>
          <w:sz w:val="20"/>
          <w:szCs w:val="20"/>
          <w:color w:val="auto"/>
        </w:rPr>
      </w:pPr>
    </w:p>
    <w:p>
      <w:pPr>
        <w:sectPr>
          <w:pgSz w:w="11900" w:h="16838" w:orient="portrait"/>
          <w:cols w:equalWidth="0" w:num="2">
            <w:col w:w="1515" w:space="720"/>
            <w:col w:w="7999"/>
          </w:cols>
          <w:pgMar w:left="225" w:top="592" w:right="1440" w:bottom="1440" w:gutter="0" w:footer="0" w:header="0"/>
          <w:type w:val="continuous"/>
        </w:sectPr>
      </w:pPr>
    </w:p>
    <w:p>
      <w:pPr>
        <w:ind w:left="-5" w:right="3719" w:firstLine="5"/>
        <w:spacing w:after="0" w:line="236" w:lineRule="auto"/>
        <w:tabs>
          <w:tab w:leader="none" w:pos="1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arrangements required to be filed as an exhibit to this form 10-K pursuant to Item 14(c).</w:t>
      </w:r>
    </w:p>
    <w:p>
      <w:pPr>
        <w:spacing w:after="0" w:line="318" w:lineRule="exact"/>
        <w:rPr>
          <w:sz w:val="20"/>
          <w:szCs w:val="20"/>
          <w:color w:val="auto"/>
        </w:rPr>
      </w:pPr>
    </w:p>
    <w:p>
      <w:pPr>
        <w:ind w:left="3215"/>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5"/>
          </w:cols>
          <w:pgMar w:left="225" w:top="592" w:right="1440" w:bottom="1440" w:gutter="0" w:footer="0" w:header="0"/>
          <w:type w:val="continuous"/>
        </w:sectPr>
      </w:pPr>
    </w:p>
    <w:bookmarkStart w:id="15" w:name="page16"/>
    <w:bookmarkEnd w:id="15"/>
    <w:p>
      <w:pPr>
        <w:ind w:left="420" w:hanging="415"/>
        <w:spacing w:after="0"/>
        <w:tabs>
          <w:tab w:leader="none" w:pos="4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63" w:lineRule="exact"/>
        <w:rPr>
          <w:sz w:val="20"/>
          <w:szCs w:val="20"/>
          <w:color w:val="auto"/>
        </w:rPr>
      </w:pPr>
    </w:p>
    <w:p>
      <w:pPr>
        <w:ind w:right="3959"/>
        <w:spacing w:after="0" w:line="238" w:lineRule="auto"/>
        <w:rPr>
          <w:sz w:val="20"/>
          <w:szCs w:val="20"/>
          <w:color w:val="auto"/>
        </w:rPr>
      </w:pPr>
      <w:r>
        <w:rPr>
          <w:rFonts w:ascii="Courier New" w:cs="Courier New" w:eastAsia="Courier New" w:hAnsi="Courier New"/>
          <w:sz w:val="14"/>
          <w:szCs w:val="14"/>
          <w:color w:val="auto"/>
        </w:rPr>
        <w:t>Registrant filed its Current Report on Form 8-K dated October 17, 1996, reporting the September 18, 1996 agreement entered into with James Hardie Industries Limited of Australia and related companies, pursuant to which Registrant agreed to purchase the stock of James Hardie Irrigation, Inc. and certain related companies, all known as the James Hardie Irrigation Group, subject to certain terms and conditions.</w:t>
      </w:r>
    </w:p>
    <w:p>
      <w:pPr>
        <w:spacing w:after="0" w:line="166" w:lineRule="exact"/>
        <w:rPr>
          <w:sz w:val="20"/>
          <w:szCs w:val="20"/>
          <w:color w:val="auto"/>
        </w:rPr>
      </w:pPr>
    </w:p>
    <w:p>
      <w:pPr>
        <w:ind w:right="3719"/>
        <w:spacing w:after="0" w:line="260" w:lineRule="auto"/>
        <w:rPr>
          <w:sz w:val="20"/>
          <w:szCs w:val="20"/>
          <w:color w:val="auto"/>
        </w:rPr>
      </w:pPr>
      <w:r>
        <w:rPr>
          <w:rFonts w:ascii="Courier New" w:cs="Courier New" w:eastAsia="Courier New" w:hAnsi="Courier New"/>
          <w:sz w:val="13"/>
          <w:szCs w:val="13"/>
          <w:color w:val="auto"/>
        </w:rPr>
        <w:t>Registrant filed its Current Report on Form 8-K dated December 16, 1996, reporting the completion of the acquisition of James Hardie Irrigation Group from James Hardie Industries Limited of Australia on December 2, 1996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1996, at the time of its filing with the Securities and Exchange Commission, 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2" w:right="1440" w:bottom="1440" w:gutter="0" w:footer="0" w:header="0"/>
        </w:sectPr>
      </w:pPr>
    </w:p>
    <w:bookmarkStart w:id="16" w:name="page17"/>
    <w:bookmarkEnd w:id="16"/>
    <w:p>
      <w:pPr>
        <w:jc w:val="center"/>
        <w:ind w:right="3639"/>
        <w:spacing w:after="0"/>
        <w:rPr>
          <w:sz w:val="20"/>
          <w:szCs w:val="20"/>
          <w:color w:val="auto"/>
        </w:rPr>
      </w:pPr>
      <w:r>
        <w:rPr>
          <w:rFonts w:ascii="Courier New" w:cs="Courier New" w:eastAsia="Courier New" w:hAnsi="Courier New"/>
          <w:sz w:val="14"/>
          <w:szCs w:val="14"/>
          <w:color w:val="auto"/>
        </w:rPr>
        <w:t>SIGNATURES</w:t>
      </w:r>
    </w:p>
    <w:p>
      <w:pPr>
        <w:spacing w:after="0" w:line="163" w:lineRule="exact"/>
        <w:rPr>
          <w:sz w:val="20"/>
          <w:szCs w:val="20"/>
          <w:color w:val="auto"/>
        </w:rPr>
      </w:pPr>
    </w:p>
    <w:p>
      <w:pPr>
        <w:ind w:right="3719" w:firstLine="412"/>
        <w:spacing w:after="0" w:line="237"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caused this report to be signed on its behalf by the undersigned, thereunto duly authorized.</w:t>
      </w:r>
    </w:p>
    <w:p>
      <w:pPr>
        <w:spacing w:after="0" w:line="160"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4"/>
          <w:szCs w:val="14"/>
          <w:color w:val="auto"/>
        </w:rPr>
        <w:t>THE TORO COMPANY</w:t>
      </w:r>
    </w:p>
    <w:p>
      <w:pPr>
        <w:ind w:left="420"/>
        <w:spacing w:after="0"/>
        <w:rPr>
          <w:sz w:val="20"/>
          <w:szCs w:val="20"/>
          <w:color w:val="auto"/>
        </w:rPr>
      </w:pPr>
      <w:r>
        <w:rPr>
          <w:rFonts w:ascii="Courier New" w:cs="Courier New" w:eastAsia="Courier New" w:hAnsi="Courier New"/>
          <w:sz w:val="14"/>
          <w:szCs w:val="14"/>
          <w:color w:val="auto"/>
        </w:rPr>
        <w:t>--------------------------</w:t>
      </w:r>
    </w:p>
    <w:p>
      <w:pPr>
        <w:ind w:left="1000"/>
        <w:spacing w:after="0"/>
        <w:rPr>
          <w:sz w:val="20"/>
          <w:szCs w:val="20"/>
          <w:color w:val="auto"/>
        </w:rPr>
      </w:pPr>
      <w:r>
        <w:rPr>
          <w:rFonts w:ascii="Courier New" w:cs="Courier New" w:eastAsia="Courier New" w:hAnsi="Courier New"/>
          <w:sz w:val="14"/>
          <w:szCs w:val="14"/>
          <w:color w:val="auto"/>
        </w:rPr>
        <w:t>(Registrant)</w:t>
      </w:r>
    </w:p>
    <w:p>
      <w:pPr>
        <w:ind w:left="4540"/>
        <w:spacing w:after="0"/>
        <w:rPr>
          <w:sz w:val="20"/>
          <w:szCs w:val="20"/>
          <w:color w:val="auto"/>
        </w:rPr>
      </w:pPr>
      <w:r>
        <w:rPr>
          <w:rFonts w:ascii="Courier New" w:cs="Courier New" w:eastAsia="Courier New" w:hAnsi="Courier New"/>
          <w:sz w:val="14"/>
          <w:szCs w:val="14"/>
          <w:color w:val="auto"/>
        </w:rPr>
        <w:t>Dated: January 20, 1997</w:t>
      </w:r>
    </w:p>
    <w:p>
      <w:pPr>
        <w:ind w:left="420"/>
        <w:spacing w:after="0"/>
        <w:tabs>
          <w:tab w:leader="none" w:pos="80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3"/>
          <w:szCs w:val="13"/>
          <w:color w:val="auto"/>
        </w:rPr>
        <w:t>Gerald T. Knight</w:t>
      </w:r>
    </w:p>
    <w:p>
      <w:pPr>
        <w:ind w:left="420"/>
        <w:spacing w:after="0"/>
        <w:rPr>
          <w:sz w:val="20"/>
          <w:szCs w:val="20"/>
          <w:color w:val="auto"/>
        </w:rPr>
      </w:pPr>
      <w:r>
        <w:rPr>
          <w:rFonts w:ascii="Courier New" w:cs="Courier New" w:eastAsia="Courier New" w:hAnsi="Courier New"/>
          <w:sz w:val="14"/>
          <w:szCs w:val="14"/>
          <w:color w:val="auto"/>
        </w:rPr>
        <w:t>---------------------</w:t>
      </w:r>
    </w:p>
    <w:p>
      <w:pPr>
        <w:ind w:left="820"/>
        <w:spacing w:after="0"/>
        <w:rPr>
          <w:sz w:val="20"/>
          <w:szCs w:val="20"/>
          <w:color w:val="auto"/>
        </w:rPr>
      </w:pPr>
      <w:r>
        <w:rPr>
          <w:rFonts w:ascii="Courier New" w:cs="Courier New" w:eastAsia="Courier New" w:hAnsi="Courier New"/>
          <w:sz w:val="14"/>
          <w:szCs w:val="14"/>
          <w:color w:val="auto"/>
        </w:rPr>
        <w:t>Gerald T. Knight</w:t>
      </w:r>
    </w:p>
    <w:p>
      <w:pPr>
        <w:ind w:left="820"/>
        <w:spacing w:after="0"/>
        <w:rPr>
          <w:sz w:val="20"/>
          <w:szCs w:val="20"/>
          <w:color w:val="auto"/>
        </w:rPr>
      </w:pPr>
      <w:r>
        <w:rPr>
          <w:rFonts w:ascii="Courier New" w:cs="Courier New" w:eastAsia="Courier New" w:hAnsi="Courier New"/>
          <w:sz w:val="14"/>
          <w:szCs w:val="14"/>
          <w:color w:val="auto"/>
        </w:rPr>
        <w:t>Vice President - Finance</w:t>
      </w:r>
    </w:p>
    <w:p>
      <w:pPr>
        <w:ind w:left="820"/>
        <w:spacing w:after="0"/>
        <w:rPr>
          <w:sz w:val="20"/>
          <w:szCs w:val="20"/>
          <w:color w:val="auto"/>
        </w:rPr>
      </w:pPr>
      <w:r>
        <w:rPr>
          <w:rFonts w:ascii="Courier New" w:cs="Courier New" w:eastAsia="Courier New" w:hAnsi="Courier New"/>
          <w:sz w:val="14"/>
          <w:szCs w:val="14"/>
          <w:color w:val="auto"/>
        </w:rPr>
        <w:t>Chief Financial Officer</w:t>
      </w:r>
    </w:p>
    <w:p>
      <w:pPr>
        <w:spacing w:after="0" w:line="162" w:lineRule="exact"/>
        <w:rPr>
          <w:sz w:val="20"/>
          <w:szCs w:val="20"/>
          <w:color w:val="auto"/>
        </w:rPr>
      </w:pPr>
    </w:p>
    <w:p>
      <w:pPr>
        <w:ind w:right="3799" w:firstLine="412"/>
        <w:spacing w:after="0" w:line="237"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ind w:left="820"/>
        <w:spacing w:after="0"/>
        <w:tabs>
          <w:tab w:leader="none" w:pos="3280" w:val="left"/>
          <w:tab w:leader="none" w:pos="550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Chairman, Chief Executive</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w w:val="96"/>
              </w:rPr>
              <w:t>January 20, 1997</w:t>
            </w:r>
          </w:p>
        </w:tc>
      </w:tr>
      <w:tr>
        <w:trPr>
          <w:trHeight w:val="159"/>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 - -</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w w:val="86"/>
              </w:rPr>
              <w:t>- -------------------------</w:t>
            </w:r>
          </w:p>
        </w:tc>
        <w:tc>
          <w:tcPr>
            <w:tcW w:w="2600" w:type="dxa"/>
            <w:vAlign w:val="bottom"/>
          </w:tcPr>
          <w:p>
            <w:pPr>
              <w:ind w:left="660"/>
              <w:spacing w:after="0"/>
              <w:rPr>
                <w:sz w:val="20"/>
                <w:szCs w:val="20"/>
                <w:color w:val="auto"/>
              </w:rPr>
            </w:pPr>
            <w:r>
              <w:rPr>
                <w:rFonts w:ascii="Courier New" w:cs="Courier New" w:eastAsia="Courier New" w:hAnsi="Courier New"/>
                <w:sz w:val="14"/>
                <w:szCs w:val="14"/>
                <w:color w:val="auto"/>
              </w:rPr>
              <w:t>Officer, and Director</w:t>
            </w:r>
          </w:p>
        </w:tc>
        <w:tc>
          <w:tcPr>
            <w:tcW w:w="1360" w:type="dxa"/>
            <w:vAlign w:val="bottom"/>
          </w:tcPr>
          <w:p>
            <w:pPr>
              <w:spacing w:after="0"/>
              <w:rPr>
                <w:sz w:val="13"/>
                <w:szCs w:val="13"/>
                <w:color w:val="auto"/>
              </w:rPr>
            </w:pPr>
          </w:p>
        </w:tc>
      </w:tr>
      <w:tr>
        <w:trPr>
          <w:trHeight w:val="159"/>
        </w:trPr>
        <w:tc>
          <w:tcPr>
            <w:tcW w:w="4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(principal executive officer)</w:t>
            </w:r>
          </w:p>
        </w:tc>
        <w:tc>
          <w:tcPr>
            <w:tcW w:w="1360" w:type="dxa"/>
            <w:vAlign w:val="bottom"/>
          </w:tcPr>
          <w:p>
            <w:pPr>
              <w:spacing w:after="0"/>
              <w:rPr>
                <w:sz w:val="13"/>
                <w:szCs w:val="13"/>
                <w:color w:val="auto"/>
              </w:rPr>
            </w:pPr>
          </w:p>
        </w:tc>
      </w:tr>
      <w:tr>
        <w:trPr>
          <w:trHeight w:val="317"/>
        </w:trPr>
        <w:tc>
          <w:tcPr>
            <w:tcW w:w="4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Vice President - Finance,</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w w:val="96"/>
              </w:rPr>
              <w:t>January 20, 1997</w:t>
            </w:r>
          </w:p>
        </w:tc>
      </w:tr>
      <w:tr>
        <w:trPr>
          <w:trHeight w:val="159"/>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 - -</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w w:val="86"/>
              </w:rPr>
              <w:t>- -------------------------</w:t>
            </w:r>
          </w:p>
        </w:tc>
        <w:tc>
          <w:tcPr>
            <w:tcW w:w="2600" w:type="dxa"/>
            <w:vAlign w:val="bottom"/>
          </w:tcPr>
          <w:p>
            <w:pPr>
              <w:ind w:left="660"/>
              <w:spacing w:after="0"/>
              <w:rPr>
                <w:sz w:val="20"/>
                <w:szCs w:val="20"/>
                <w:color w:val="auto"/>
              </w:rPr>
            </w:pPr>
            <w:r>
              <w:rPr>
                <w:rFonts w:ascii="Courier New" w:cs="Courier New" w:eastAsia="Courier New" w:hAnsi="Courier New"/>
                <w:sz w:val="14"/>
                <w:szCs w:val="14"/>
                <w:color w:val="auto"/>
                <w:w w:val="99"/>
              </w:rPr>
              <w:t>Chief Financial Officer</w:t>
            </w:r>
          </w:p>
        </w:tc>
        <w:tc>
          <w:tcPr>
            <w:tcW w:w="1360" w:type="dxa"/>
            <w:vAlign w:val="bottom"/>
          </w:tcPr>
          <w:p>
            <w:pPr>
              <w:spacing w:after="0"/>
              <w:rPr>
                <w:sz w:val="13"/>
                <w:szCs w:val="13"/>
                <w:color w:val="auto"/>
              </w:rPr>
            </w:pPr>
          </w:p>
        </w:tc>
      </w:tr>
      <w:tr>
        <w:trPr>
          <w:trHeight w:val="159"/>
        </w:trPr>
        <w:tc>
          <w:tcPr>
            <w:tcW w:w="4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(principal financial officer)</w:t>
            </w:r>
          </w:p>
        </w:tc>
        <w:tc>
          <w:tcPr>
            <w:tcW w:w="1360" w:type="dxa"/>
            <w:vAlign w:val="bottom"/>
          </w:tcPr>
          <w:p>
            <w:pPr>
              <w:spacing w:after="0"/>
              <w:rPr>
                <w:sz w:val="13"/>
                <w:szCs w:val="13"/>
                <w:color w:val="auto"/>
              </w:rPr>
            </w:pPr>
          </w:p>
        </w:tc>
      </w:tr>
      <w:tr>
        <w:trPr>
          <w:trHeight w:val="317"/>
        </w:trPr>
        <w:tc>
          <w:tcPr>
            <w:tcW w:w="4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Vice President, Controller</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w w:val="96"/>
              </w:rPr>
              <w:t>January 20, 1997</w:t>
            </w:r>
          </w:p>
        </w:tc>
      </w:tr>
      <w:tr>
        <w:trPr>
          <w:trHeight w:val="159"/>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 - -</w:t>
            </w:r>
          </w:p>
        </w:tc>
        <w:tc>
          <w:tcPr>
            <w:tcW w:w="2060" w:type="dxa"/>
            <w:vAlign w:val="bottom"/>
          </w:tcPr>
          <w:p>
            <w:pPr>
              <w:ind w:left="80"/>
              <w:spacing w:after="0"/>
              <w:rPr>
                <w:sz w:val="20"/>
                <w:szCs w:val="20"/>
                <w:color w:val="auto"/>
              </w:rPr>
            </w:pPr>
            <w:r>
              <w:rPr>
                <w:rFonts w:ascii="Courier New" w:cs="Courier New" w:eastAsia="Courier New" w:hAnsi="Courier New"/>
                <w:sz w:val="14"/>
                <w:szCs w:val="14"/>
                <w:color w:val="auto"/>
                <w:w w:val="86"/>
              </w:rPr>
              <w:t>- -------------------------</w:t>
            </w:r>
          </w:p>
        </w:tc>
        <w:tc>
          <w:tcPr>
            <w:tcW w:w="396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(principal accounting officer)</w:t>
            </w:r>
          </w:p>
        </w:tc>
      </w:tr>
      <w:tr>
        <w:trPr>
          <w:trHeight w:val="159"/>
        </w:trPr>
        <w:tc>
          <w:tcPr>
            <w:tcW w:w="420" w:type="dxa"/>
            <w:vAlign w:val="bottom"/>
          </w:tcPr>
          <w:p>
            <w:pPr>
              <w:spacing w:after="0"/>
              <w:rPr>
                <w:sz w:val="13"/>
                <w:szCs w:val="13"/>
                <w:color w:val="auto"/>
              </w:rPr>
            </w:pP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6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317"/>
        </w:trPr>
        <w:tc>
          <w:tcPr>
            <w:tcW w:w="42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60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w w:val="96"/>
              </w:rPr>
              <w:t>January 20, 1997</w:t>
            </w:r>
          </w:p>
        </w:tc>
      </w:tr>
    </w:tbl>
    <w:p>
      <w:pPr>
        <w:ind w:left="160" w:hanging="155"/>
        <w:spacing w:after="0"/>
        <w:tabs>
          <w:tab w:leader="none" w:pos="1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Ronald O. Baukol</w:t>
      </w:r>
    </w:p>
    <w:p>
      <w:pPr>
        <w:spacing w:after="0" w:line="158" w:lineRule="exact"/>
        <w:rPr>
          <w:sz w:val="20"/>
          <w:szCs w:val="20"/>
          <w:color w:val="auto"/>
        </w:rPr>
      </w:pPr>
    </w:p>
    <w:p>
      <w:pPr>
        <w:spacing w:after="0"/>
        <w:tabs>
          <w:tab w:leader="none" w:pos="400" w:val="left"/>
          <w:tab w:leader="none" w:pos="2460" w:val="left"/>
          <w:tab w:leader="none" w:pos="5100" w:val="left"/>
        </w:tabs>
        <w:rPr>
          <w:sz w:val="20"/>
          <w:szCs w:val="20"/>
          <w:color w:val="auto"/>
        </w:rPr>
      </w:pPr>
      <w:r>
        <w:rPr>
          <w:rFonts w:ascii="Courier New" w:cs="Courier New" w:eastAsia="Courier New" w:hAnsi="Courier New"/>
          <w:sz w:val="14"/>
          <w:szCs w:val="14"/>
          <w:color w:val="auto"/>
        </w:rPr>
        <w:t>/s/</w:t>
        <w:tab/>
        <w:t>Robert C. Buhrmaster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January 20, 1997</w:t>
      </w:r>
    </w:p>
    <w:p>
      <w:pPr>
        <w:ind w:left="160" w:hanging="155"/>
        <w:spacing w:after="0"/>
        <w:tabs>
          <w:tab w:leader="none" w:pos="1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C. Buhrmaster</w:t>
      </w:r>
    </w:p>
    <w:p>
      <w:pPr>
        <w:spacing w:after="0" w:line="158" w:lineRule="exact"/>
        <w:rPr>
          <w:sz w:val="20"/>
          <w:szCs w:val="20"/>
          <w:color w:val="auto"/>
        </w:rPr>
      </w:pPr>
    </w:p>
    <w:p>
      <w:pPr>
        <w:spacing w:after="0"/>
        <w:tabs>
          <w:tab w:leader="none" w:pos="400" w:val="left"/>
          <w:tab w:leader="none" w:pos="2460" w:val="left"/>
          <w:tab w:leader="none" w:pos="5100" w:val="left"/>
        </w:tabs>
        <w:rPr>
          <w:sz w:val="20"/>
          <w:szCs w:val="20"/>
          <w:color w:val="auto"/>
        </w:rPr>
      </w:pPr>
      <w:r>
        <w:rPr>
          <w:rFonts w:ascii="Courier New" w:cs="Courier New" w:eastAsia="Courier New" w:hAnsi="Courier New"/>
          <w:sz w:val="14"/>
          <w:szCs w:val="14"/>
          <w:color w:val="auto"/>
        </w:rPr>
        <w:t>/s/</w:t>
        <w:tab/>
        <w:t>Janet K. Cooper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January 20, 1997</w:t>
      </w:r>
    </w:p>
    <w:p>
      <w:pPr>
        <w:ind w:left="160" w:hanging="155"/>
        <w:spacing w:after="0"/>
        <w:tabs>
          <w:tab w:leader="none" w:pos="1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Janet K. Cooper</w:t>
      </w:r>
    </w:p>
    <w:p>
      <w:pPr>
        <w:spacing w:after="0" w:line="158" w:lineRule="exact"/>
        <w:rPr>
          <w:sz w:val="20"/>
          <w:szCs w:val="20"/>
          <w:color w:val="auto"/>
        </w:rPr>
      </w:pPr>
    </w:p>
    <w:p>
      <w:pPr>
        <w:spacing w:after="0"/>
        <w:tabs>
          <w:tab w:leader="none" w:pos="400" w:val="left"/>
          <w:tab w:leader="none" w:pos="2460" w:val="left"/>
          <w:tab w:leader="none" w:pos="5100" w:val="left"/>
        </w:tabs>
        <w:rPr>
          <w:sz w:val="20"/>
          <w:szCs w:val="20"/>
          <w:color w:val="auto"/>
        </w:rPr>
      </w:pPr>
      <w:r>
        <w:rPr>
          <w:rFonts w:ascii="Courier New" w:cs="Courier New" w:eastAsia="Courier New" w:hAnsi="Courier New"/>
          <w:sz w:val="14"/>
          <w:szCs w:val="14"/>
          <w:color w:val="auto"/>
        </w:rPr>
        <w:t>/s/</w:t>
        <w:tab/>
        <w:t>Alex A. Meyer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January 20, 1997</w:t>
      </w:r>
    </w:p>
    <w:p>
      <w:pPr>
        <w:ind w:left="160" w:hanging="155"/>
        <w:spacing w:after="0"/>
        <w:tabs>
          <w:tab w:leader="none" w:pos="1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Alex A. Meyer</w:t>
      </w:r>
    </w:p>
    <w:p>
      <w:pPr>
        <w:spacing w:after="0" w:line="158" w:lineRule="exact"/>
        <w:rPr>
          <w:sz w:val="20"/>
          <w:szCs w:val="20"/>
          <w:color w:val="auto"/>
        </w:rPr>
      </w:pPr>
    </w:p>
    <w:p>
      <w:pPr>
        <w:spacing w:after="0"/>
        <w:tabs>
          <w:tab w:leader="none" w:pos="400" w:val="left"/>
          <w:tab w:leader="none" w:pos="2460" w:val="left"/>
          <w:tab w:leader="none" w:pos="5100" w:val="left"/>
        </w:tabs>
        <w:rPr>
          <w:sz w:val="20"/>
          <w:szCs w:val="20"/>
          <w:color w:val="auto"/>
        </w:rPr>
      </w:pPr>
      <w:r>
        <w:rPr>
          <w:rFonts w:ascii="Courier New" w:cs="Courier New" w:eastAsia="Courier New" w:hAnsi="Courier New"/>
          <w:sz w:val="14"/>
          <w:szCs w:val="14"/>
          <w:color w:val="auto"/>
        </w:rPr>
        <w:t>/s/</w:t>
        <w:tab/>
        <w:t>Robert H. Nassau</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January 20, 1997</w:t>
      </w:r>
    </w:p>
    <w:p>
      <w:pPr>
        <w:ind w:left="160" w:hanging="155"/>
        <w:spacing w:after="0"/>
        <w:tabs>
          <w:tab w:leader="none" w:pos="1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H. Nassau</w:t>
      </w:r>
    </w:p>
    <w:p>
      <w:pPr>
        <w:spacing w:after="0" w:line="158" w:lineRule="exact"/>
        <w:rPr>
          <w:sz w:val="20"/>
          <w:szCs w:val="20"/>
          <w:color w:val="auto"/>
        </w:rPr>
      </w:pPr>
    </w:p>
    <w:p>
      <w:pPr>
        <w:spacing w:after="0"/>
        <w:tabs>
          <w:tab w:leader="none" w:pos="400" w:val="left"/>
          <w:tab w:leader="none" w:pos="2460" w:val="left"/>
          <w:tab w:leader="none" w:pos="5100" w:val="left"/>
        </w:tabs>
        <w:rPr>
          <w:sz w:val="20"/>
          <w:szCs w:val="20"/>
          <w:color w:val="auto"/>
        </w:rPr>
      </w:pPr>
      <w:r>
        <w:rPr>
          <w:rFonts w:ascii="Courier New" w:cs="Courier New" w:eastAsia="Courier New" w:hAnsi="Courier New"/>
          <w:sz w:val="14"/>
          <w:szCs w:val="14"/>
          <w:color w:val="auto"/>
        </w:rPr>
        <w:t>/s/</w:t>
        <w:tab/>
        <w:t>Dale R. Olseth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January 20, 1997</w:t>
      </w:r>
    </w:p>
    <w:p>
      <w:pPr>
        <w:ind w:left="160" w:hanging="155"/>
        <w:spacing w:after="0"/>
        <w:tabs>
          <w:tab w:leader="none" w:pos="1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Dale R. Olseth</w:t>
      </w:r>
    </w:p>
    <w:p>
      <w:pPr>
        <w:spacing w:after="0" w:line="158" w:lineRule="exact"/>
        <w:rPr>
          <w:sz w:val="20"/>
          <w:szCs w:val="20"/>
          <w:color w:val="auto"/>
        </w:rPr>
      </w:pPr>
    </w:p>
    <w:p>
      <w:pPr>
        <w:spacing w:after="0"/>
        <w:tabs>
          <w:tab w:leader="none" w:pos="400" w:val="left"/>
          <w:tab w:leader="none" w:pos="2460" w:val="left"/>
          <w:tab w:leader="none" w:pos="5100" w:val="left"/>
        </w:tabs>
        <w:rPr>
          <w:sz w:val="20"/>
          <w:szCs w:val="20"/>
          <w:color w:val="auto"/>
        </w:rPr>
      </w:pPr>
      <w:r>
        <w:rPr>
          <w:rFonts w:ascii="Courier New" w:cs="Courier New" w:eastAsia="Courier New" w:hAnsi="Courier New"/>
          <w:sz w:val="14"/>
          <w:szCs w:val="14"/>
          <w:color w:val="auto"/>
        </w:rPr>
        <w:t>/s/</w:t>
        <w:tab/>
        <w:t>Edwin H. Wingate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3"/>
          <w:szCs w:val="13"/>
          <w:color w:val="auto"/>
        </w:rPr>
        <w:t>January 20, 1997</w:t>
      </w:r>
    </w:p>
    <w:p>
      <w:pPr>
        <w:ind w:left="160" w:hanging="155"/>
        <w:spacing w:after="0"/>
        <w:tabs>
          <w:tab w:leader="none" w:pos="1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Edwin H. Wingate</w:t>
      </w: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rPr>
          <w:sz w:val="20"/>
          <w:szCs w:val="20"/>
          <w:color w:val="auto"/>
        </w:rPr>
      </w:pPr>
      <w:r>
        <w:rPr>
          <w:rFonts w:ascii="Courier New" w:cs="Courier New" w:eastAsia="Courier New" w:hAnsi="Courier New"/>
          <w:sz w:val="14"/>
          <w:szCs w:val="14"/>
          <w:color w:val="auto"/>
        </w:rPr>
        <w:t>The Toro Company:</w:t>
      </w:r>
    </w:p>
    <w:p>
      <w:pPr>
        <w:spacing w:after="0" w:line="163"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Under date of December 16, 1996, we reported on the consolidated balance sheets of The Toro Company and subsidiaries as of October 31, 1996 and 1995, and the related consolidated statements of earnings and cash flows for the year ended October 31, 1996, the three-month period ended October 31, 1995 and the years ended July 31, 1995 and 1994, as contained in the 1996 annual report to stockholders. These consolidated financial statements and our report thereon are incorporated by reference in the annual report on Form 10-K for the fiscal year 1996.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167" w:lineRule="exact"/>
        <w:rPr>
          <w:sz w:val="20"/>
          <w:szCs w:val="20"/>
          <w:color w:val="auto"/>
        </w:rPr>
      </w:pPr>
    </w:p>
    <w:p>
      <w:pPr>
        <w:ind w:right="3639"/>
        <w:spacing w:after="0" w:line="237"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77"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rPr>
          <w:sz w:val="20"/>
          <w:szCs w:val="20"/>
          <w:color w:val="auto"/>
        </w:rPr>
      </w:pPr>
      <w:r>
        <w:rPr>
          <w:rFonts w:ascii="Courier New" w:cs="Courier New" w:eastAsia="Courier New" w:hAnsi="Courier New"/>
          <w:sz w:val="14"/>
          <w:szCs w:val="14"/>
          <w:color w:val="auto"/>
        </w:rPr>
        <w:t>December 16, 1996</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50" w:right="1440" w:bottom="1440" w:gutter="0" w:footer="0" w:header="0"/>
        </w:sectPr>
      </w:pPr>
    </w:p>
    <w:bookmarkStart w:id="18" w:name="page19"/>
    <w:bookmarkEnd w:id="18"/>
    <w:p>
      <w:pPr>
        <w:ind w:left="2140"/>
        <w:spacing w:after="0"/>
        <w:rPr>
          <w:sz w:val="20"/>
          <w:szCs w:val="20"/>
          <w:color w:val="auto"/>
        </w:rPr>
      </w:pPr>
      <w:r>
        <w:rPr>
          <w:rFonts w:ascii="Courier New" w:cs="Courier New" w:eastAsia="Courier New" w:hAnsi="Courier New"/>
          <w:sz w:val="14"/>
          <w:szCs w:val="14"/>
          <w:color w:val="auto"/>
        </w:rPr>
        <w:t>THE TORO COMPANY AND SUBSIDIARIES</w:t>
      </w:r>
    </w:p>
    <w:p>
      <w:pPr>
        <w:ind w:left="214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ind w:left="4540"/>
        <w:spacing w:after="0"/>
        <w:tabs>
          <w:tab w:leader="none" w:pos="560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ind w:left="1160"/>
        <w:spacing w:after="0"/>
        <w:tabs>
          <w:tab w:leader="none" w:pos="4280" w:val="left"/>
          <w:tab w:leader="none" w:pos="5600" w:val="left"/>
          <w:tab w:leader="none" w:pos="6920" w:val="left"/>
          <w:tab w:leader="none" w:pos="8140" w:val="left"/>
          <w:tab w:leader="none" w:pos="930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 (a)</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3"/>
          <w:szCs w:val="13"/>
          <w:color w:val="auto"/>
        </w:rPr>
        <w:t>BALANCE AT</w:t>
      </w:r>
    </w:p>
    <w:p>
      <w:pPr>
        <w:ind w:left="4540"/>
        <w:spacing w:after="0"/>
        <w:tabs>
          <w:tab w:leader="none" w:pos="5680" w:val="left"/>
          <w:tab w:leader="none" w:pos="8400" w:val="left"/>
          <w:tab w:leader="none" w:pos="9300" w:val="left"/>
        </w:tabs>
        <w:rPr>
          <w:sz w:val="20"/>
          <w:szCs w:val="20"/>
          <w:color w:val="auto"/>
        </w:rPr>
      </w:pP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3"/>
          <w:szCs w:val="13"/>
          <w:color w:val="auto"/>
        </w:rPr>
        <w:t>END OF YEAR</w:t>
      </w:r>
    </w:p>
    <w:p>
      <w:pPr>
        <w:spacing w:after="0" w:line="4" w:lineRule="exact"/>
        <w:rPr>
          <w:sz w:val="20"/>
          <w:szCs w:val="20"/>
          <w:color w:val="auto"/>
        </w:rPr>
      </w:pPr>
    </w:p>
    <w:p>
      <w:pPr>
        <w:ind w:left="160" w:hanging="155"/>
        <w:spacing w:after="0"/>
        <w:tabs>
          <w:tab w:leader="none" w:pos="16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98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7,542,000</w:t>
            </w:r>
          </w:p>
        </w:tc>
        <w:tc>
          <w:tcPr>
            <w:tcW w:w="12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  3,358,000</w:t>
            </w:r>
          </w:p>
        </w:tc>
        <w:tc>
          <w:tcPr>
            <w:tcW w:w="120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330,000</w:t>
            </w:r>
          </w:p>
        </w:tc>
        <w:tc>
          <w:tcPr>
            <w:tcW w:w="12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1,225,000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$ 10,005,000</w:t>
            </w:r>
          </w:p>
        </w:tc>
      </w:tr>
    </w:tbl>
    <w:p>
      <w:pPr>
        <w:spacing w:after="0" w:line="4" w:lineRule="exact"/>
        <w:rPr>
          <w:sz w:val="20"/>
          <w:szCs w:val="20"/>
          <w:color w:val="auto"/>
        </w:rPr>
      </w:pPr>
    </w:p>
    <w:p>
      <w:pPr>
        <w:ind w:left="160" w:hanging="155"/>
        <w:spacing w:after="0"/>
        <w:tabs>
          <w:tab w:leader="none" w:pos="160" w:val="left"/>
        </w:tabs>
        <w:numPr>
          <w:ilvl w:val="0"/>
          <w:numId w:val="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5"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Three Months Ended October 31, 1995</w:t>
      </w:r>
    </w:p>
    <w:p>
      <w:pPr>
        <w:spacing w:after="0" w:line="159" w:lineRule="exact"/>
        <w:rPr>
          <w:sz w:val="20"/>
          <w:szCs w:val="20"/>
          <w:color w:val="auto"/>
        </w:rPr>
      </w:pPr>
    </w:p>
    <w:p>
      <w:pPr>
        <w:spacing w:after="0"/>
        <w:tabs>
          <w:tab w:leader="none" w:pos="4280" w:val="left"/>
          <w:tab w:leader="none" w:pos="4520" w:val="left"/>
          <w:tab w:leader="none" w:pos="5500" w:val="left"/>
          <w:tab w:leader="none" w:pos="5920" w:val="left"/>
          <w:tab w:leader="none" w:pos="6820" w:val="left"/>
          <w:tab w:leader="none" w:pos="7660" w:val="left"/>
          <w:tab w:leader="none" w:pos="7980" w:val="left"/>
          <w:tab w:leader="none" w:pos="8400" w:val="left"/>
          <w:tab w:leader="none" w:pos="9220" w:val="left"/>
          <w:tab w:leader="none" w:pos="946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7,343,000</w:t>
        <w:tab/>
        <w:t>$</w:t>
      </w:r>
      <w:r>
        <w:rPr>
          <w:sz w:val="20"/>
          <w:szCs w:val="20"/>
          <w:color w:val="auto"/>
        </w:rPr>
        <w:tab/>
      </w:r>
      <w:r>
        <w:rPr>
          <w:rFonts w:ascii="Courier New" w:cs="Courier New" w:eastAsia="Courier New" w:hAnsi="Courier New"/>
          <w:sz w:val="14"/>
          <w:szCs w:val="14"/>
          <w:color w:val="auto"/>
        </w:rPr>
        <w:t>720,000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tab/>
        <w:t>$</w:t>
      </w:r>
      <w:r>
        <w:rPr>
          <w:sz w:val="20"/>
          <w:szCs w:val="20"/>
          <w:color w:val="auto"/>
        </w:rPr>
        <w:tab/>
      </w:r>
      <w:r>
        <w:rPr>
          <w:rFonts w:ascii="Courier New" w:cs="Courier New" w:eastAsia="Courier New" w:hAnsi="Courier New"/>
          <w:sz w:val="14"/>
          <w:szCs w:val="14"/>
          <w:color w:val="auto"/>
        </w:rPr>
        <w:t>521,000</w:t>
        <w:tab/>
        <w:t>$</w:t>
      </w:r>
      <w:r>
        <w:rPr>
          <w:sz w:val="20"/>
          <w:szCs w:val="20"/>
          <w:color w:val="auto"/>
        </w:rPr>
        <w:tab/>
      </w:r>
      <w:r>
        <w:rPr>
          <w:rFonts w:ascii="Courier New" w:cs="Courier New" w:eastAsia="Courier New" w:hAnsi="Courier New"/>
          <w:sz w:val="13"/>
          <w:szCs w:val="13"/>
          <w:color w:val="auto"/>
        </w:rPr>
        <w:t>7,542,000</w:t>
      </w:r>
    </w:p>
    <w:p>
      <w:pPr>
        <w:spacing w:after="0" w:line="4" w:lineRule="exact"/>
        <w:rPr>
          <w:sz w:val="20"/>
          <w:szCs w:val="20"/>
          <w:color w:val="auto"/>
        </w:rPr>
      </w:pPr>
    </w:p>
    <w:p>
      <w:pPr>
        <w:ind w:left="160" w:hanging="155"/>
        <w:spacing w:after="0"/>
        <w:tabs>
          <w:tab w:leader="none" w:pos="160" w:val="left"/>
        </w:tabs>
        <w:numPr>
          <w:ilvl w:val="0"/>
          <w:numId w:val="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5"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Year Ended July 31, 1995</w:t>
      </w:r>
    </w:p>
    <w:p>
      <w:pPr>
        <w:spacing w:after="0" w:line="159" w:lineRule="exact"/>
        <w:rPr>
          <w:sz w:val="20"/>
          <w:szCs w:val="20"/>
          <w:color w:val="auto"/>
        </w:rPr>
      </w:pPr>
    </w:p>
    <w:p>
      <w:pPr>
        <w:spacing w:after="0"/>
        <w:tabs>
          <w:tab w:leader="none" w:pos="4280" w:val="left"/>
          <w:tab w:leader="none" w:pos="4520" w:val="left"/>
          <w:tab w:leader="none" w:pos="5500" w:val="left"/>
          <w:tab w:leader="none" w:pos="5760" w:val="left"/>
          <w:tab w:leader="none" w:pos="6820" w:val="left"/>
          <w:tab w:leader="none" w:pos="7240" w:val="left"/>
          <w:tab w:leader="none" w:pos="7980" w:val="left"/>
          <w:tab w:leader="none" w:pos="8220" w:val="left"/>
          <w:tab w:leader="none" w:pos="9220" w:val="left"/>
          <w:tab w:leader="none" w:pos="946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7,702,000</w:t>
        <w:tab/>
        <w:t>$</w:t>
        <w:tab/>
        <w:t>1,543,000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20,000</w:t>
        <w:tab/>
        <w:t>$</w:t>
        <w:tab/>
        <w:t>1,922,000</w:t>
        <w:tab/>
        <w:t>$</w:t>
      </w:r>
      <w:r>
        <w:rPr>
          <w:sz w:val="20"/>
          <w:szCs w:val="20"/>
          <w:color w:val="auto"/>
        </w:rPr>
        <w:tab/>
      </w:r>
      <w:r>
        <w:rPr>
          <w:rFonts w:ascii="Courier New" w:cs="Courier New" w:eastAsia="Courier New" w:hAnsi="Courier New"/>
          <w:sz w:val="13"/>
          <w:szCs w:val="13"/>
          <w:color w:val="auto"/>
        </w:rPr>
        <w:t>7,343,000</w:t>
      </w:r>
    </w:p>
    <w:p>
      <w:pPr>
        <w:spacing w:after="0" w:line="4" w:lineRule="exact"/>
        <w:rPr>
          <w:sz w:val="20"/>
          <w:szCs w:val="20"/>
          <w:color w:val="auto"/>
        </w:rPr>
      </w:pPr>
    </w:p>
    <w:p>
      <w:pPr>
        <w:ind w:left="160" w:hanging="155"/>
        <w:spacing w:after="0"/>
        <w:tabs>
          <w:tab w:leader="none" w:pos="160" w:val="left"/>
        </w:tabs>
        <w:numPr>
          <w:ilvl w:val="0"/>
          <w:numId w:val="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5"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Year Ended July 31, 1994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98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5,589,000</w:t>
            </w:r>
          </w:p>
        </w:tc>
        <w:tc>
          <w:tcPr>
            <w:tcW w:w="12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  3,032,000</w:t>
            </w:r>
          </w:p>
        </w:tc>
        <w:tc>
          <w:tcPr>
            <w:tcW w:w="120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765,000</w:t>
            </w:r>
          </w:p>
        </w:tc>
        <w:tc>
          <w:tcPr>
            <w:tcW w:w="124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1,684,000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  7,702,000</w:t>
            </w:r>
          </w:p>
        </w:tc>
      </w:tr>
    </w:tbl>
    <w:p>
      <w:pPr>
        <w:spacing w:after="0" w:line="4" w:lineRule="exact"/>
        <w:rPr>
          <w:sz w:val="20"/>
          <w:szCs w:val="20"/>
          <w:color w:val="auto"/>
        </w:rPr>
      </w:pPr>
    </w:p>
    <w:p>
      <w:pPr>
        <w:ind w:left="160" w:hanging="155"/>
        <w:spacing w:after="0"/>
        <w:tabs>
          <w:tab w:leader="none" w:pos="160" w:val="left"/>
        </w:tabs>
        <w:numPr>
          <w:ilvl w:val="0"/>
          <w:numId w:val="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rFonts w:ascii="Courier New" w:cs="Courier New" w:eastAsia="Courier New" w:hAnsi="Courier New"/>
          <w:sz w:val="13"/>
          <w:szCs w:val="13"/>
          <w:color w:val="auto"/>
        </w:rPr>
      </w:pPr>
    </w:p>
    <w:p>
      <w:pPr>
        <w:spacing w:after="0" w:line="286" w:lineRule="exact"/>
        <w:rPr>
          <w:rFonts w:ascii="Courier New" w:cs="Courier New" w:eastAsia="Courier New" w:hAnsi="Courier New"/>
          <w:sz w:val="13"/>
          <w:szCs w:val="13"/>
          <w:color w:val="auto"/>
        </w:rPr>
      </w:pPr>
    </w:p>
    <w:p>
      <w:pPr>
        <w:ind w:left="1160" w:right="5780" w:hanging="413"/>
        <w:spacing w:after="0" w:line="236" w:lineRule="auto"/>
        <w:tabs>
          <w:tab w:leader="none" w:pos="11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reclassification and acquisitions.</w:t>
      </w:r>
    </w:p>
    <w:p>
      <w:pPr>
        <w:spacing w:after="0" w:line="1" w:lineRule="exact"/>
        <w:rPr>
          <w:rFonts w:ascii="Courier New" w:cs="Courier New" w:eastAsia="Courier New" w:hAnsi="Courier New"/>
          <w:sz w:val="14"/>
          <w:szCs w:val="14"/>
          <w:color w:val="auto"/>
        </w:rPr>
      </w:pPr>
    </w:p>
    <w:p>
      <w:pPr>
        <w:ind w:left="1160" w:hanging="413"/>
        <w:spacing w:after="0"/>
        <w:tabs>
          <w:tab w:leader="none" w:pos="116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 net of recoveries.</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140"/>
          </w:cols>
          <w:pgMar w:left="220" w:top="592" w:right="539" w:bottom="1440" w:gutter="0" w:footer="0" w:header="0"/>
        </w:sectPr>
      </w:pPr>
    </w:p>
    <w:bookmarkStart w:id="19" w:name="page20"/>
    <w:bookmarkEnd w:id="19"/>
    <w:p>
      <w:pPr>
        <w:ind w:left="2635"/>
        <w:spacing w:after="0"/>
        <w:rPr>
          <w:sz w:val="20"/>
          <w:szCs w:val="20"/>
          <w:color w:val="auto"/>
        </w:rPr>
      </w:pPr>
      <w:r>
        <w:rPr>
          <w:rFonts w:ascii="Courier New" w:cs="Courier New" w:eastAsia="Courier New" w:hAnsi="Courier New"/>
          <w:sz w:val="14"/>
          <w:szCs w:val="14"/>
          <w:color w:val="auto"/>
        </w:rPr>
        <w:t>THE TORO COMPANY</w:t>
      </w:r>
    </w:p>
    <w:p>
      <w:pPr>
        <w:ind w:left="2315"/>
        <w:spacing w:after="0"/>
        <w:rPr>
          <w:sz w:val="20"/>
          <w:szCs w:val="20"/>
          <w:color w:val="auto"/>
        </w:rPr>
      </w:pPr>
      <w:r>
        <w:rPr>
          <w:rFonts w:ascii="Courier New" w:cs="Courier New" w:eastAsia="Courier New" w:hAnsi="Courier New"/>
          <w:sz w:val="14"/>
          <w:szCs w:val="14"/>
          <w:color w:val="auto"/>
        </w:rPr>
        <w:t>1992 DIRECTORS STOCK PLAN</w:t>
      </w:r>
    </w:p>
    <w:p>
      <w:pPr>
        <w:spacing w:after="0" w:line="163" w:lineRule="exact"/>
        <w:rPr>
          <w:sz w:val="20"/>
          <w:szCs w:val="20"/>
          <w:color w:val="auto"/>
        </w:rPr>
      </w:pPr>
    </w:p>
    <w:p>
      <w:pPr>
        <w:ind w:left="415" w:right="3639" w:hanging="415"/>
        <w:spacing w:after="0" w:line="239" w:lineRule="auto"/>
        <w:tabs>
          <w:tab w:leader="none" w:pos="4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1992 Directors Stock Plan ("Plan") is to enable The Toro Company (the "Company") to attract and retain experienced and knowledgeable independent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to comply with Rule 16b-3 under the Securities Exchange Act of 1934, as amended (the "Exchange Act"), to the extent applicable.</w:t>
      </w:r>
    </w:p>
    <w:p>
      <w:pPr>
        <w:spacing w:after="0" w:line="164" w:lineRule="exact"/>
        <w:rPr>
          <w:rFonts w:ascii="Courier New" w:cs="Courier New" w:eastAsia="Courier New" w:hAnsi="Courier New"/>
          <w:sz w:val="14"/>
          <w:szCs w:val="14"/>
          <w:color w:val="auto"/>
        </w:rPr>
      </w:pPr>
    </w:p>
    <w:p>
      <w:pPr>
        <w:ind w:left="415" w:right="3799" w:hanging="415"/>
        <w:spacing w:after="0" w:line="237" w:lineRule="auto"/>
        <w:tabs>
          <w:tab w:leader="none" w:pos="4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All members of the Company's Board of Directors who are not current employees of the Company or any of its subsidiaries ("Nonemployee Directors") are eligible to participate in the Plan.</w:t>
      </w:r>
    </w:p>
    <w:p>
      <w:pPr>
        <w:spacing w:after="0" w:line="160" w:lineRule="exact"/>
        <w:rPr>
          <w:rFonts w:ascii="Courier New" w:cs="Courier New" w:eastAsia="Courier New" w:hAnsi="Courier New"/>
          <w:sz w:val="14"/>
          <w:szCs w:val="14"/>
          <w:color w:val="auto"/>
        </w:rPr>
      </w:pPr>
    </w:p>
    <w:p>
      <w:pPr>
        <w:ind w:left="415" w:hanging="415"/>
        <w:spacing w:after="0"/>
        <w:tabs>
          <w:tab w:leader="none" w:pos="41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AWARDS.</w:t>
      </w:r>
    </w:p>
    <w:p>
      <w:pPr>
        <w:spacing w:after="0" w:line="162" w:lineRule="exact"/>
        <w:rPr>
          <w:rFonts w:ascii="Courier New" w:cs="Courier New" w:eastAsia="Courier New" w:hAnsi="Courier New"/>
          <w:sz w:val="14"/>
          <w:szCs w:val="14"/>
          <w:color w:val="auto"/>
        </w:rPr>
      </w:pPr>
    </w:p>
    <w:p>
      <w:pPr>
        <w:ind w:left="815" w:right="3639" w:hanging="403"/>
        <w:spacing w:after="0" w:line="259" w:lineRule="auto"/>
        <w:tabs>
          <w:tab w:leader="none" w:pos="815" w:val="left"/>
        </w:tabs>
        <w:numPr>
          <w:ilvl w:val="1"/>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provided, however, that the first award of Directors Shares made under the Plan shall be made on the date that the Plan is first approved by the Company's stockholders to Nonemployee Directors then serving.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49" w:lineRule="exact"/>
        <w:rPr>
          <w:rFonts w:ascii="Courier New" w:cs="Courier New" w:eastAsia="Courier New" w:hAnsi="Courier New"/>
          <w:sz w:val="13"/>
          <w:szCs w:val="13"/>
          <w:color w:val="auto"/>
        </w:rPr>
      </w:pPr>
    </w:p>
    <w:p>
      <w:pPr>
        <w:ind w:left="815" w:hanging="403"/>
        <w:spacing w:after="0"/>
        <w:tabs>
          <w:tab w:leader="none" w:pos="815"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w:t>
      </w:r>
    </w:p>
    <w:p>
      <w:pPr>
        <w:spacing w:after="0" w:line="162" w:lineRule="exact"/>
        <w:rPr>
          <w:rFonts w:ascii="Courier New" w:cs="Courier New" w:eastAsia="Courier New" w:hAnsi="Courier New"/>
          <w:sz w:val="14"/>
          <w:szCs w:val="14"/>
          <w:color w:val="auto"/>
        </w:rPr>
      </w:pPr>
    </w:p>
    <w:p>
      <w:pPr>
        <w:ind w:left="1235" w:right="3639" w:hanging="411"/>
        <w:spacing w:after="0" w:line="260" w:lineRule="auto"/>
        <w:tabs>
          <w:tab w:leader="none" w:pos="1235" w:val="left"/>
        </w:tabs>
        <w:numPr>
          <w:ilvl w:val="2"/>
          <w:numId w:val="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provided, however, that the first award of Directors Options made under the Plan shall be contingent on approval by the Company's</w:t>
      </w:r>
    </w:p>
    <w:p>
      <w:pPr>
        <w:sectPr>
          <w:pgSz w:w="11900" w:h="16838" w:orient="portrait"/>
          <w:cols w:equalWidth="0" w:num="1">
            <w:col w:w="10235"/>
          </w:cols>
          <w:pgMar w:left="225" w:top="454" w:right="1440" w:bottom="1440" w:gutter="0" w:footer="0" w:header="0"/>
        </w:sectPr>
      </w:pPr>
    </w:p>
    <w:bookmarkStart w:id="20" w:name="page21"/>
    <w:bookmarkEnd w:id="20"/>
    <w:p>
      <w:pPr>
        <w:ind w:left="411" w:right="3639"/>
        <w:spacing w:after="0" w:line="238" w:lineRule="auto"/>
        <w:rPr>
          <w:sz w:val="20"/>
          <w:szCs w:val="20"/>
          <w:color w:val="auto"/>
        </w:rPr>
      </w:pPr>
      <w:r>
        <w:rPr>
          <w:rFonts w:ascii="Courier New" w:cs="Courier New" w:eastAsia="Courier New" w:hAnsi="Courier New"/>
          <w:sz w:val="14"/>
          <w:szCs w:val="14"/>
          <w:color w:val="auto"/>
        </w:rPr>
        <w:t>stockholders of the grant of Directors Options. The "fair market value of one share of Common Stock" shall be the closing price of the Common Stock on the New York Stock Exchange on the first day of the Company's fiscal year with respect to which the grant is made, as reported in The Wall Street Journal.</w:t>
      </w:r>
    </w:p>
    <w:p>
      <w:pPr>
        <w:spacing w:after="0" w:line="161" w:lineRule="exact"/>
        <w:rPr>
          <w:sz w:val="20"/>
          <w:szCs w:val="20"/>
          <w:color w:val="auto"/>
        </w:rPr>
      </w:pPr>
    </w:p>
    <w:p>
      <w:pPr>
        <w:ind w:left="411" w:hanging="411"/>
        <w:spacing w:after="0"/>
        <w:tabs>
          <w:tab w:leader="none" w:pos="41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w:t>
      </w:r>
    </w:p>
    <w:p>
      <w:pPr>
        <w:spacing w:after="0" w:line="162" w:lineRule="exact"/>
        <w:rPr>
          <w:rFonts w:ascii="Courier New" w:cs="Courier New" w:eastAsia="Courier New" w:hAnsi="Courier New"/>
          <w:sz w:val="14"/>
          <w:szCs w:val="14"/>
          <w:color w:val="auto"/>
        </w:rPr>
      </w:pPr>
    </w:p>
    <w:p>
      <w:pPr>
        <w:ind w:left="831" w:right="3719" w:hanging="419"/>
        <w:spacing w:after="0" w:line="239" w:lineRule="auto"/>
        <w:tabs>
          <w:tab w:leader="none" w:pos="831"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 shall be exercisable in whole or in part commencing six months following the date of grant and shall remain exercisable for a term of five years after the date of grant, except that the first Directors Options awarded contingent upon approval by the Company's stockholders of the grant of Directors Options shall expire on October 31, 2000.</w:t>
      </w:r>
    </w:p>
    <w:p>
      <w:pPr>
        <w:spacing w:after="0" w:line="162" w:lineRule="exact"/>
        <w:rPr>
          <w:rFonts w:ascii="Courier New" w:cs="Courier New" w:eastAsia="Courier New" w:hAnsi="Courier New"/>
          <w:sz w:val="14"/>
          <w:szCs w:val="14"/>
          <w:color w:val="auto"/>
        </w:rPr>
      </w:pPr>
    </w:p>
    <w:p>
      <w:pPr>
        <w:ind w:left="831" w:right="3639" w:hanging="419"/>
        <w:spacing w:after="0" w:line="260" w:lineRule="auto"/>
        <w:tabs>
          <w:tab w:leader="none" w:pos="831" w:val="left"/>
        </w:tabs>
        <w:numPr>
          <w:ilvl w:val="1"/>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50" w:lineRule="exact"/>
        <w:rPr>
          <w:rFonts w:ascii="Courier New" w:cs="Courier New" w:eastAsia="Courier New" w:hAnsi="Courier New"/>
          <w:sz w:val="13"/>
          <w:szCs w:val="13"/>
          <w:color w:val="auto"/>
        </w:rPr>
      </w:pPr>
    </w:p>
    <w:p>
      <w:pPr>
        <w:ind w:left="831" w:right="3639" w:hanging="419"/>
        <w:spacing w:after="0" w:line="259" w:lineRule="auto"/>
        <w:tabs>
          <w:tab w:leader="none" w:pos="831" w:val="left"/>
        </w:tabs>
        <w:numPr>
          <w:ilvl w:val="1"/>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54" w:lineRule="exact"/>
        <w:rPr>
          <w:rFonts w:ascii="Courier New" w:cs="Courier New" w:eastAsia="Courier New" w:hAnsi="Courier New"/>
          <w:sz w:val="13"/>
          <w:szCs w:val="13"/>
          <w:color w:val="auto"/>
        </w:rPr>
      </w:pPr>
    </w:p>
    <w:p>
      <w:pPr>
        <w:ind w:left="831" w:right="3639" w:hanging="419"/>
        <w:spacing w:after="0" w:line="264" w:lineRule="auto"/>
        <w:tabs>
          <w:tab w:leader="none" w:pos="831" w:val="left"/>
        </w:tabs>
        <w:numPr>
          <w:ilvl w:val="1"/>
          <w:numId w:val="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of the exercise price may be made in cash, in shares of Common Stock valued at fair market value on the date of exercise or in a combination of cash and Common Stock.</w:t>
      </w:r>
    </w:p>
    <w:p>
      <w:pPr>
        <w:sectPr>
          <w:pgSz w:w="11900" w:h="16838" w:orient="portrait"/>
          <w:cols w:equalWidth="0" w:num="1">
            <w:col w:w="9410"/>
          </w:cols>
          <w:pgMar w:left="1049" w:top="596" w:right="1440" w:bottom="1440" w:gutter="0" w:footer="0" w:header="0"/>
        </w:sectPr>
      </w:pPr>
    </w:p>
    <w:bookmarkStart w:id="21" w:name="page22"/>
    <w:bookmarkEnd w:id="21"/>
    <w:p>
      <w:pPr>
        <w:ind w:left="815" w:right="3639" w:hanging="403"/>
        <w:spacing w:after="0" w:line="239" w:lineRule="auto"/>
        <w:tabs>
          <w:tab w:leader="none" w:pos="815"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67" w:lineRule="exact"/>
        <w:rPr>
          <w:rFonts w:ascii="Courier New" w:cs="Courier New" w:eastAsia="Courier New" w:hAnsi="Courier New"/>
          <w:sz w:val="14"/>
          <w:szCs w:val="14"/>
          <w:color w:val="auto"/>
        </w:rPr>
      </w:pPr>
    </w:p>
    <w:p>
      <w:pPr>
        <w:ind w:left="815" w:right="3879" w:hanging="403"/>
        <w:spacing w:after="0" w:line="260" w:lineRule="auto"/>
        <w:tabs>
          <w:tab w:leader="none" w:pos="815" w:val="left"/>
        </w:tabs>
        <w:numPr>
          <w:ilvl w:val="1"/>
          <w:numId w:val="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BENEFIT. Directors Shares and Directors Options are a supplemental benefit and are not a component of the annual retainer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151" w:lineRule="exact"/>
        <w:rPr>
          <w:rFonts w:ascii="Courier New" w:cs="Courier New" w:eastAsia="Courier New" w:hAnsi="Courier New"/>
          <w:sz w:val="13"/>
          <w:szCs w:val="13"/>
          <w:color w:val="auto"/>
        </w:rPr>
      </w:pPr>
    </w:p>
    <w:p>
      <w:pPr>
        <w:ind w:left="415" w:right="3639" w:hanging="415"/>
        <w:spacing w:after="0" w:line="239" w:lineRule="auto"/>
        <w:tabs>
          <w:tab w:leader="none" w:pos="415"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as Directors Shares or pursuant to Directors Options granted under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ectPr>
          <w:pgSz w:w="11900" w:h="16838" w:orient="portrait"/>
          <w:cols w:equalWidth="0" w:num="1">
            <w:col w:w="10235"/>
          </w:cols>
          <w:pgMar w:left="225" w:top="596" w:right="1440" w:bottom="1440" w:gutter="0" w:footer="0" w:header="0"/>
        </w:sectPr>
      </w:pPr>
    </w:p>
    <w:bookmarkStart w:id="22" w:name="page23"/>
    <w:bookmarkEnd w:id="22"/>
    <w:p>
      <w:pPr>
        <w:ind w:left="415" w:right="3639" w:hanging="415"/>
        <w:spacing w:after="0" w:line="239" w:lineRule="auto"/>
        <w:tabs>
          <w:tab w:leader="none" w:pos="41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 all Directors Options shall fully vest, unless otherwise limited by the Committee at the time of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1" w:lineRule="exact"/>
        <w:rPr>
          <w:rFonts w:ascii="Courier New" w:cs="Courier New" w:eastAsia="Courier New" w:hAnsi="Courier New"/>
          <w:sz w:val="14"/>
          <w:szCs w:val="14"/>
          <w:color w:val="auto"/>
        </w:rPr>
      </w:pPr>
    </w:p>
    <w:p>
      <w:pPr>
        <w:ind w:left="415" w:right="3719" w:hanging="415"/>
        <w:spacing w:after="0" w:line="260" w:lineRule="auto"/>
        <w:tabs>
          <w:tab w:leader="none" w:pos="415" w:val="left"/>
        </w:tabs>
        <w:numPr>
          <w:ilvl w:val="0"/>
          <w:numId w:val="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50" w:lineRule="exact"/>
        <w:rPr>
          <w:rFonts w:ascii="Courier New" w:cs="Courier New" w:eastAsia="Courier New" w:hAnsi="Courier New"/>
          <w:sz w:val="13"/>
          <w:szCs w:val="13"/>
          <w:color w:val="auto"/>
        </w:rPr>
      </w:pPr>
    </w:p>
    <w:p>
      <w:pPr>
        <w:ind w:left="415" w:right="3719" w:hanging="415"/>
        <w:spacing w:after="0" w:line="237" w:lineRule="auto"/>
        <w:tabs>
          <w:tab w:leader="none" w:pos="41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terminate ten (10) years thereafter, unless sooner terminated by action of the Board of Directors.</w:t>
      </w:r>
    </w:p>
    <w:p>
      <w:pPr>
        <w:spacing w:after="0" w:line="160" w:lineRule="exact"/>
        <w:rPr>
          <w:rFonts w:ascii="Courier New" w:cs="Courier New" w:eastAsia="Courier New" w:hAnsi="Courier New"/>
          <w:sz w:val="14"/>
          <w:szCs w:val="14"/>
          <w:color w:val="auto"/>
        </w:rPr>
      </w:pPr>
    </w:p>
    <w:p>
      <w:pPr>
        <w:ind w:left="415" w:hanging="415"/>
        <w:spacing w:after="0"/>
        <w:tabs>
          <w:tab w:leader="none" w:pos="41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62" w:lineRule="exact"/>
        <w:rPr>
          <w:rFonts w:ascii="Courier New" w:cs="Courier New" w:eastAsia="Courier New" w:hAnsi="Courier New"/>
          <w:sz w:val="14"/>
          <w:szCs w:val="14"/>
          <w:color w:val="auto"/>
        </w:rPr>
      </w:pPr>
    </w:p>
    <w:p>
      <w:pPr>
        <w:ind w:left="815" w:right="3639" w:hanging="403"/>
        <w:spacing w:after="0" w:line="239" w:lineRule="auto"/>
        <w:tabs>
          <w:tab w:leader="none" w:pos="815"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any amendment to the Plan shall be the date of its adoption by the Board of Directors; provided, however, that no amendment shall be effective unless and until the same is approved by the stockholders of the Company where the failure to obtain such approval would adversely affect the compliance of the Plan with any law or rule, including the Exchange Act and the Internal Revenue Code of 1986, as amended. In the event the stockholders do not approve such an amendment, the amendment shall be of no effect and the Plan shall continue in effect as if such amendment had not been adopted by the Board of Directors, unless the Board otherwise determines. No amendment of the Plan shall adversely affect in a material manner any right of any option</w:t>
      </w:r>
    </w:p>
    <w:p>
      <w:pPr>
        <w:sectPr>
          <w:pgSz w:w="11900" w:h="16838" w:orient="portrait"/>
          <w:cols w:equalWidth="0" w:num="1">
            <w:col w:w="10235"/>
          </w:cols>
          <w:pgMar w:left="225" w:top="596" w:right="1440" w:bottom="1440" w:gutter="0" w:footer="0" w:header="0"/>
        </w:sectPr>
      </w:pPr>
    </w:p>
    <w:bookmarkStart w:id="23" w:name="page24"/>
    <w:bookmarkEnd w:id="23"/>
    <w:p>
      <w:pPr>
        <w:ind w:left="403" w:right="3959"/>
        <w:spacing w:after="0" w:line="236" w:lineRule="auto"/>
        <w:rPr>
          <w:sz w:val="20"/>
          <w:szCs w:val="20"/>
          <w:color w:val="auto"/>
        </w:rPr>
      </w:pPr>
      <w:r>
        <w:rPr>
          <w:rFonts w:ascii="Courier New" w:cs="Courier New" w:eastAsia="Courier New" w:hAnsi="Courier New"/>
          <w:sz w:val="14"/>
          <w:szCs w:val="14"/>
          <w:color w:val="auto"/>
        </w:rPr>
        <w:t>holder with respect to any option theretofore granted without such option holder's written consent.</w:t>
      </w:r>
    </w:p>
    <w:p>
      <w:pPr>
        <w:spacing w:after="0" w:line="164" w:lineRule="exact"/>
        <w:rPr>
          <w:sz w:val="20"/>
          <w:szCs w:val="20"/>
          <w:color w:val="auto"/>
        </w:rPr>
      </w:pPr>
    </w:p>
    <w:p>
      <w:pPr>
        <w:ind w:left="403" w:right="3639" w:hanging="403"/>
        <w:spacing w:after="0" w:line="238" w:lineRule="auto"/>
        <w:tabs>
          <w:tab w:leader="none" w:pos="403"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3.a. and Section 3.b. shall not be amended more than once every six (6) months other than to comport with changes in the Code, the Employee Retirement Income Security Act, or the rules thereunder.</w:t>
      </w:r>
    </w:p>
    <w:p>
      <w:pPr>
        <w:sectPr>
          <w:pgSz w:w="11900" w:h="16838" w:orient="portrait"/>
          <w:cols w:equalWidth="0" w:num="1">
            <w:col w:w="9822"/>
          </w:cols>
          <w:pgMar w:left="637" w:top="596" w:right="1440" w:bottom="1440" w:gutter="0" w:footer="0" w:header="0"/>
        </w:sectPr>
      </w:pPr>
    </w:p>
    <w:bookmarkStart w:id="24" w:name="page25"/>
    <w:bookmarkEnd w:id="24"/>
    <w:p>
      <w:pPr>
        <w:jc w:val="center"/>
        <w:ind w:right="3144"/>
        <w:spacing w:after="0"/>
        <w:rPr>
          <w:sz w:val="20"/>
          <w:szCs w:val="20"/>
          <w:color w:val="auto"/>
        </w:rPr>
      </w:pPr>
      <w:r>
        <w:rPr>
          <w:rFonts w:ascii="Courier New" w:cs="Courier New" w:eastAsia="Courier New" w:hAnsi="Courier New"/>
          <w:sz w:val="14"/>
          <w:szCs w:val="14"/>
          <w:color w:val="auto"/>
        </w:rPr>
        <w:t>THE TORO COMPANY</w:t>
      </w:r>
    </w:p>
    <w:p>
      <w:pPr>
        <w:jc w:val="center"/>
        <w:ind w:right="3144"/>
        <w:spacing w:after="0"/>
        <w:rPr>
          <w:sz w:val="20"/>
          <w:szCs w:val="20"/>
          <w:color w:val="auto"/>
        </w:rPr>
      </w:pPr>
      <w:r>
        <w:rPr>
          <w:rFonts w:ascii="Courier New" w:cs="Courier New" w:eastAsia="Courier New" w:hAnsi="Courier New"/>
          <w:sz w:val="14"/>
          <w:szCs w:val="14"/>
          <w:color w:val="auto"/>
        </w:rPr>
        <w:t>1989 STOCK OPTION PLAN</w:t>
      </w:r>
    </w:p>
    <w:p>
      <w:pPr>
        <w:spacing w:after="0" w:line="163" w:lineRule="exact"/>
        <w:rPr>
          <w:sz w:val="20"/>
          <w:szCs w:val="20"/>
          <w:color w:val="auto"/>
        </w:rPr>
      </w:pPr>
    </w:p>
    <w:p>
      <w:pPr>
        <w:ind w:left="335" w:right="3799" w:hanging="335"/>
        <w:spacing w:after="0" w:line="259" w:lineRule="auto"/>
        <w:tabs>
          <w:tab w:leader="none" w:pos="335" w:val="left"/>
        </w:tabs>
        <w:numPr>
          <w:ilvl w:val="0"/>
          <w:numId w:val="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307" w:lineRule="exact"/>
        <w:rPr>
          <w:rFonts w:ascii="Courier New" w:cs="Courier New" w:eastAsia="Courier New" w:hAnsi="Courier New"/>
          <w:sz w:val="13"/>
          <w:szCs w:val="13"/>
          <w:color w:val="auto"/>
        </w:rPr>
      </w:pPr>
    </w:p>
    <w:p>
      <w:pPr>
        <w:ind w:left="335" w:hanging="335"/>
        <w:spacing w:after="0"/>
        <w:tabs>
          <w:tab w:leader="none" w:pos="3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62"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69" w:lineRule="exact"/>
        <w:rPr>
          <w:rFonts w:ascii="Courier New" w:cs="Courier New" w:eastAsia="Courier New" w:hAnsi="Courier New"/>
          <w:sz w:val="14"/>
          <w:szCs w:val="14"/>
          <w:color w:val="auto"/>
        </w:rPr>
      </w:pPr>
    </w:p>
    <w:p>
      <w:pPr>
        <w:ind w:left="335" w:right="371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w:t>
      </w:r>
    </w:p>
    <w:p>
      <w:pPr>
        <w:sectPr>
          <w:pgSz w:w="11900" w:h="16838" w:orient="portrait"/>
          <w:cols w:equalWidth="0" w:num="1">
            <w:col w:w="10235"/>
          </w:cols>
          <w:pgMar w:left="225" w:top="613" w:right="1440" w:bottom="1440" w:gutter="0" w:footer="0" w:header="0"/>
        </w:sectPr>
      </w:pPr>
    </w:p>
    <w:bookmarkStart w:id="25" w:name="page26"/>
    <w:bookmarkEnd w:id="25"/>
    <w:p>
      <w:pPr>
        <w:ind w:left="335" w:right="3719"/>
        <w:spacing w:after="0" w:line="239" w:lineRule="auto"/>
        <w:rPr>
          <w:sz w:val="20"/>
          <w:szCs w:val="20"/>
          <w:color w:val="auto"/>
        </w:rPr>
      </w:pPr>
      <w:r>
        <w:rPr>
          <w:rFonts w:ascii="Courier New" w:cs="Courier New" w:eastAsia="Courier New" w:hAnsi="Courier New"/>
          <w:sz w:val="14"/>
          <w:szCs w:val="14"/>
          <w:color w:val="auto"/>
        </w:rPr>
        <w:t>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164" w:lineRule="exact"/>
        <w:rPr>
          <w:sz w:val="20"/>
          <w:szCs w:val="20"/>
          <w:color w:val="auto"/>
        </w:rPr>
      </w:pPr>
    </w:p>
    <w:p>
      <w:pPr>
        <w:ind w:left="335" w:right="3719" w:hanging="335"/>
        <w:spacing w:after="0" w:line="239" w:lineRule="auto"/>
        <w:tabs>
          <w:tab w:leader="none" w:pos="33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5" w:lineRule="exact"/>
        <w:rPr>
          <w:rFonts w:ascii="Courier New" w:cs="Courier New" w:eastAsia="Courier New" w:hAnsi="Courier New"/>
          <w:sz w:val="14"/>
          <w:szCs w:val="14"/>
          <w:color w:val="auto"/>
        </w:rPr>
      </w:pPr>
    </w:p>
    <w:p>
      <w:pPr>
        <w:ind w:left="335" w:right="3799" w:hanging="335"/>
        <w:spacing w:after="0" w:line="259" w:lineRule="auto"/>
        <w:tabs>
          <w:tab w:leader="none" w:pos="335" w:val="left"/>
        </w:tabs>
        <w:numPr>
          <w:ilvl w:val="0"/>
          <w:numId w:val="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w:t>
      </w:r>
    </w:p>
    <w:p>
      <w:pPr>
        <w:sectPr>
          <w:pgSz w:w="11900" w:h="16838" w:orient="portrait"/>
          <w:cols w:equalWidth="0" w:num="1">
            <w:col w:w="10235"/>
          </w:cols>
          <w:pgMar w:left="225" w:top="596" w:right="1440" w:bottom="1440" w:gutter="0" w:footer="0" w:header="0"/>
        </w:sectPr>
      </w:pPr>
    </w:p>
    <w:bookmarkStart w:id="26" w:name="page27"/>
    <w:bookmarkEnd w:id="26"/>
    <w:p>
      <w:pPr>
        <w:ind w:left="335" w:right="3799"/>
        <w:spacing w:after="0" w:line="238" w:lineRule="auto"/>
        <w:rPr>
          <w:sz w:val="20"/>
          <w:szCs w:val="20"/>
          <w:color w:val="auto"/>
        </w:rPr>
      </w:pPr>
      <w:r>
        <w:rPr>
          <w:rFonts w:ascii="Courier New" w:cs="Courier New" w:eastAsia="Courier New" w:hAnsi="Courier New"/>
          <w:sz w:val="14"/>
          <w:szCs w:val="14"/>
          <w:color w:val="auto"/>
        </w:rPr>
        <w:t>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4" w:lineRule="exact"/>
        <w:rPr>
          <w:sz w:val="20"/>
          <w:szCs w:val="20"/>
          <w:color w:val="auto"/>
        </w:rPr>
      </w:pPr>
    </w:p>
    <w:p>
      <w:pPr>
        <w:ind w:left="335" w:right="3719" w:hanging="335"/>
        <w:spacing w:after="0" w:line="262" w:lineRule="auto"/>
        <w:tabs>
          <w:tab w:leader="none" w:pos="335" w:val="left"/>
        </w:tabs>
        <w:numPr>
          <w:ilvl w:val="0"/>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49" w:lineRule="exact"/>
        <w:rPr>
          <w:rFonts w:ascii="Courier New" w:cs="Courier New" w:eastAsia="Courier New" w:hAnsi="Courier New"/>
          <w:sz w:val="13"/>
          <w:szCs w:val="13"/>
          <w:color w:val="auto"/>
        </w:rPr>
      </w:pPr>
    </w:p>
    <w:p>
      <w:pPr>
        <w:ind w:left="335" w:right="3719" w:hanging="335"/>
        <w:spacing w:after="0" w:line="238" w:lineRule="auto"/>
        <w:tabs>
          <w:tab w:leader="none" w:pos="335"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3" w:lineRule="exact"/>
        <w:rPr>
          <w:rFonts w:ascii="Courier New" w:cs="Courier New" w:eastAsia="Courier New" w:hAnsi="Courier New"/>
          <w:sz w:val="14"/>
          <w:szCs w:val="14"/>
          <w:color w:val="auto"/>
        </w:rPr>
      </w:pPr>
    </w:p>
    <w:p>
      <w:pPr>
        <w:ind w:left="735" w:right="3719" w:hanging="406"/>
        <w:spacing w:after="0" w:line="237" w:lineRule="auto"/>
        <w:tabs>
          <w:tab w:leader="none" w:pos="73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4" w:lineRule="exact"/>
        <w:rPr>
          <w:rFonts w:ascii="Courier New" w:cs="Courier New" w:eastAsia="Courier New" w:hAnsi="Courier New"/>
          <w:sz w:val="14"/>
          <w:szCs w:val="14"/>
          <w:color w:val="auto"/>
        </w:rPr>
      </w:pPr>
    </w:p>
    <w:p>
      <w:pPr>
        <w:ind w:left="735" w:right="3719" w:hanging="406"/>
        <w:spacing w:after="0" w:line="238" w:lineRule="auto"/>
        <w:tabs>
          <w:tab w:leader="none" w:pos="73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5" w:lineRule="exact"/>
        <w:rPr>
          <w:rFonts w:ascii="Courier New" w:cs="Courier New" w:eastAsia="Courier New" w:hAnsi="Courier New"/>
          <w:sz w:val="14"/>
          <w:szCs w:val="14"/>
          <w:color w:val="auto"/>
        </w:rPr>
      </w:pPr>
    </w:p>
    <w:p>
      <w:pPr>
        <w:ind w:left="735" w:right="3799" w:hanging="406"/>
        <w:spacing w:after="0" w:line="239" w:lineRule="auto"/>
        <w:tabs>
          <w:tab w:leader="none" w:pos="73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4" w:lineRule="exact"/>
        <w:rPr>
          <w:rFonts w:ascii="Courier New" w:cs="Courier New" w:eastAsia="Courier New" w:hAnsi="Courier New"/>
          <w:sz w:val="14"/>
          <w:szCs w:val="14"/>
          <w:color w:val="auto"/>
        </w:rPr>
      </w:pPr>
    </w:p>
    <w:p>
      <w:pPr>
        <w:ind w:left="735" w:right="4379" w:hanging="406"/>
        <w:spacing w:after="0" w:line="236" w:lineRule="auto"/>
        <w:tabs>
          <w:tab w:leader="none" w:pos="73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735" w:hanging="406"/>
        <w:spacing w:after="0"/>
        <w:tabs>
          <w:tab w:leader="none" w:pos="735"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62" w:lineRule="exact"/>
        <w:rPr>
          <w:rFonts w:ascii="Courier New" w:cs="Courier New" w:eastAsia="Courier New" w:hAnsi="Courier New"/>
          <w:sz w:val="14"/>
          <w:szCs w:val="14"/>
          <w:color w:val="auto"/>
        </w:rPr>
      </w:pPr>
    </w:p>
    <w:p>
      <w:pPr>
        <w:ind w:left="1315" w:right="3719" w:hanging="573"/>
        <w:spacing w:after="0" w:line="261" w:lineRule="auto"/>
        <w:tabs>
          <w:tab w:leader="none" w:pos="1315" w:val="left"/>
        </w:tabs>
        <w:numPr>
          <w:ilvl w:val="2"/>
          <w:numId w:val="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5"/>
          </w:cols>
          <w:pgMar w:left="225" w:top="596" w:right="1440" w:bottom="1440" w:gutter="0" w:footer="0" w:header="0"/>
        </w:sectPr>
      </w:pPr>
    </w:p>
    <w:bookmarkStart w:id="27" w:name="page28"/>
    <w:bookmarkEnd w:id="27"/>
    <w:p>
      <w:pPr>
        <w:ind w:left="573" w:right="3719" w:hanging="573"/>
        <w:spacing w:after="0" w:line="258" w:lineRule="auto"/>
        <w:tabs>
          <w:tab w:leader="none" w:pos="573" w:val="left"/>
        </w:tabs>
        <w:numPr>
          <w:ilvl w:val="0"/>
          <w:numId w:val="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200" w:lineRule="exact"/>
        <w:rPr>
          <w:rFonts w:ascii="Courier New" w:cs="Courier New" w:eastAsia="Courier New" w:hAnsi="Courier New"/>
          <w:sz w:val="13"/>
          <w:szCs w:val="13"/>
          <w:color w:val="auto"/>
        </w:rPr>
      </w:pPr>
    </w:p>
    <w:p>
      <w:pPr>
        <w:spacing w:after="0" w:line="285" w:lineRule="exact"/>
        <w:rPr>
          <w:rFonts w:ascii="Courier New" w:cs="Courier New" w:eastAsia="Courier New" w:hAnsi="Courier New"/>
          <w:sz w:val="13"/>
          <w:szCs w:val="13"/>
          <w:color w:val="auto"/>
        </w:rPr>
      </w:pPr>
    </w:p>
    <w:p>
      <w:pPr>
        <w:ind w:left="573" w:right="3799" w:hanging="573"/>
        <w:spacing w:after="0" w:line="239" w:lineRule="auto"/>
        <w:tabs>
          <w:tab w:leader="none" w:pos="57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w:t>
      </w:r>
    </w:p>
    <w:p>
      <w:pPr>
        <w:sectPr>
          <w:pgSz w:w="11900" w:h="16838" w:orient="portrait"/>
          <w:cols w:equalWidth="0" w:num="1">
            <w:col w:w="9493"/>
          </w:cols>
          <w:pgMar w:left="967" w:top="596" w:right="1440" w:bottom="1440" w:gutter="0" w:footer="0" w:header="0"/>
        </w:sectPr>
      </w:pPr>
    </w:p>
    <w:bookmarkStart w:id="28" w:name="page29"/>
    <w:bookmarkEnd w:id="28"/>
    <w:p>
      <w:pPr>
        <w:ind w:left="986" w:right="3799"/>
        <w:spacing w:after="0" w:line="238" w:lineRule="auto"/>
        <w:rPr>
          <w:sz w:val="20"/>
          <w:szCs w:val="20"/>
          <w:color w:val="auto"/>
        </w:rPr>
      </w:pPr>
      <w:r>
        <w:rPr>
          <w:rFonts w:ascii="Courier New" w:cs="Courier New" w:eastAsia="Courier New" w:hAnsi="Courier New"/>
          <w:sz w:val="14"/>
          <w:szCs w:val="14"/>
          <w:color w:val="auto"/>
        </w:rPr>
        <w:t>option which was realized or obtained (measured at the date of exercise) by such individual at any time during the period beginning on the date which is twelve months prior to the date of termination.</w:t>
      </w:r>
    </w:p>
    <w:p>
      <w:pPr>
        <w:spacing w:after="0" w:line="164" w:lineRule="exact"/>
        <w:rPr>
          <w:sz w:val="20"/>
          <w:szCs w:val="20"/>
          <w:color w:val="auto"/>
        </w:rPr>
      </w:pPr>
    </w:p>
    <w:p>
      <w:pPr>
        <w:ind w:left="986" w:right="3799" w:hanging="573"/>
        <w:spacing w:after="0" w:line="238" w:lineRule="auto"/>
        <w:tabs>
          <w:tab w:leader="none" w:pos="986"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5" w:lineRule="exact"/>
        <w:rPr>
          <w:rFonts w:ascii="Courier New" w:cs="Courier New" w:eastAsia="Courier New" w:hAnsi="Courier New"/>
          <w:sz w:val="14"/>
          <w:szCs w:val="14"/>
          <w:color w:val="auto"/>
        </w:rPr>
      </w:pPr>
    </w:p>
    <w:p>
      <w:pPr>
        <w:ind w:left="986" w:right="3719" w:hanging="573"/>
        <w:spacing w:after="0" w:line="239" w:lineRule="auto"/>
        <w:tabs>
          <w:tab w:leader="none" w:pos="986"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4" w:lineRule="exact"/>
        <w:rPr>
          <w:rFonts w:ascii="Courier New" w:cs="Courier New" w:eastAsia="Courier New" w:hAnsi="Courier New"/>
          <w:sz w:val="14"/>
          <w:szCs w:val="14"/>
          <w:color w:val="auto"/>
        </w:rPr>
      </w:pPr>
    </w:p>
    <w:p>
      <w:pPr>
        <w:ind w:left="986" w:right="3879" w:hanging="573"/>
        <w:spacing w:after="0" w:line="238" w:lineRule="auto"/>
        <w:tabs>
          <w:tab w:leader="none" w:pos="986"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3" w:lineRule="exact"/>
        <w:rPr>
          <w:rFonts w:ascii="Courier New" w:cs="Courier New" w:eastAsia="Courier New" w:hAnsi="Courier New"/>
          <w:sz w:val="14"/>
          <w:szCs w:val="14"/>
          <w:color w:val="auto"/>
        </w:rPr>
      </w:pPr>
    </w:p>
    <w:p>
      <w:pPr>
        <w:ind w:left="406" w:right="3719" w:hanging="406"/>
        <w:spacing w:after="0" w:line="239" w:lineRule="auto"/>
        <w:tabs>
          <w:tab w:leader="none" w:pos="4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9" w:lineRule="exact"/>
        <w:rPr>
          <w:rFonts w:ascii="Courier New" w:cs="Courier New" w:eastAsia="Courier New" w:hAnsi="Courier New"/>
          <w:sz w:val="14"/>
          <w:szCs w:val="14"/>
          <w:color w:val="auto"/>
        </w:rPr>
      </w:pPr>
    </w:p>
    <w:p>
      <w:pPr>
        <w:ind w:left="406" w:right="379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63" w:lineRule="exact"/>
        <w:rPr>
          <w:rFonts w:ascii="Courier New" w:cs="Courier New" w:eastAsia="Courier New" w:hAnsi="Courier New"/>
          <w:sz w:val="14"/>
          <w:szCs w:val="14"/>
          <w:color w:val="auto"/>
        </w:rPr>
      </w:pPr>
    </w:p>
    <w:p>
      <w:pPr>
        <w:ind w:left="406" w:right="3719" w:hanging="406"/>
        <w:spacing w:after="0" w:line="236" w:lineRule="auto"/>
        <w:tabs>
          <w:tab w:leader="none" w:pos="406"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w:t>
      </w:r>
    </w:p>
    <w:p>
      <w:pPr>
        <w:sectPr>
          <w:pgSz w:w="11900" w:h="16838" w:orient="portrait"/>
          <w:cols w:equalWidth="0" w:num="1">
            <w:col w:w="9905"/>
          </w:cols>
          <w:pgMar w:left="554" w:top="596" w:right="1440" w:bottom="1440" w:gutter="0" w:footer="0" w:header="0"/>
        </w:sectPr>
      </w:pPr>
    </w:p>
    <w:bookmarkStart w:id="29" w:name="page30"/>
    <w:bookmarkEnd w:id="29"/>
    <w:p>
      <w:pPr>
        <w:ind w:left="406" w:right="3719"/>
        <w:spacing w:after="0" w:line="259" w:lineRule="auto"/>
        <w:rPr>
          <w:sz w:val="20"/>
          <w:szCs w:val="20"/>
          <w:color w:val="auto"/>
        </w:rPr>
      </w:pPr>
      <w:r>
        <w:rPr>
          <w:rFonts w:ascii="Courier New" w:cs="Courier New" w:eastAsia="Courier New" w:hAnsi="Courier New"/>
          <w:sz w:val="13"/>
          <w:szCs w:val="13"/>
          <w:color w:val="auto"/>
        </w:rPr>
        <w:t>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54" w:lineRule="exact"/>
        <w:rPr>
          <w:sz w:val="20"/>
          <w:szCs w:val="20"/>
          <w:color w:val="auto"/>
        </w:rPr>
      </w:pPr>
    </w:p>
    <w:p>
      <w:pPr>
        <w:ind w:left="406" w:right="3719" w:hanging="406"/>
        <w:spacing w:after="0" w:line="259" w:lineRule="auto"/>
        <w:tabs>
          <w:tab w:leader="none" w:pos="406" w:val="left"/>
        </w:tabs>
        <w:numPr>
          <w:ilvl w:val="0"/>
          <w:numId w:val="36"/>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09" w:lineRule="exact"/>
        <w:rPr>
          <w:rFonts w:ascii="Courier New" w:cs="Courier New" w:eastAsia="Courier New" w:hAnsi="Courier New"/>
          <w:sz w:val="13"/>
          <w:szCs w:val="13"/>
          <w:color w:val="auto"/>
        </w:rPr>
      </w:pPr>
    </w:p>
    <w:p>
      <w:pPr>
        <w:ind w:left="406" w:right="3879" w:hanging="406"/>
        <w:spacing w:after="0" w:line="238" w:lineRule="auto"/>
        <w:tabs>
          <w:tab w:leader="none" w:pos="40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65" w:lineRule="exact"/>
        <w:rPr>
          <w:rFonts w:ascii="Courier New" w:cs="Courier New" w:eastAsia="Courier New" w:hAnsi="Courier New"/>
          <w:sz w:val="14"/>
          <w:szCs w:val="14"/>
          <w:color w:val="auto"/>
        </w:rPr>
      </w:pPr>
    </w:p>
    <w:p>
      <w:pPr>
        <w:ind w:left="406" w:right="3799" w:hanging="406"/>
        <w:spacing w:after="0" w:line="238" w:lineRule="auto"/>
        <w:tabs>
          <w:tab w:leader="none" w:pos="406"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w:t>
      </w:r>
    </w:p>
    <w:p>
      <w:pPr>
        <w:sectPr>
          <w:pgSz w:w="11900" w:h="16838" w:orient="portrait"/>
          <w:cols w:equalWidth="0" w:num="1">
            <w:col w:w="9905"/>
          </w:cols>
          <w:pgMar w:left="554" w:top="596" w:right="1440" w:bottom="1440" w:gutter="0" w:footer="0" w:header="0"/>
        </w:sectPr>
      </w:pPr>
    </w:p>
    <w:bookmarkStart w:id="30" w:name="page31"/>
    <w:bookmarkEnd w:id="30"/>
    <w:p>
      <w:pPr>
        <w:ind w:left="735" w:right="3959"/>
        <w:spacing w:after="0" w:line="236" w:lineRule="auto"/>
        <w:rPr>
          <w:sz w:val="20"/>
          <w:szCs w:val="20"/>
          <w:color w:val="auto"/>
        </w:rPr>
      </w:pPr>
      <w:r>
        <w:rPr>
          <w:rFonts w:ascii="Courier New" w:cs="Courier New" w:eastAsia="Courier New" w:hAnsi="Courier New"/>
          <w:sz w:val="14"/>
          <w:szCs w:val="14"/>
          <w:color w:val="auto"/>
        </w:rPr>
        <w:t>for dividends or other rights for which the record date is prior to issuance of the Common Stock.</w:t>
      </w:r>
    </w:p>
    <w:p>
      <w:pPr>
        <w:spacing w:after="0" w:line="164" w:lineRule="exact"/>
        <w:rPr>
          <w:sz w:val="20"/>
          <w:szCs w:val="20"/>
          <w:color w:val="auto"/>
        </w:rPr>
      </w:pPr>
    </w:p>
    <w:p>
      <w:pPr>
        <w:ind w:left="735" w:right="3719" w:hanging="406"/>
        <w:spacing w:after="0" w:line="239" w:lineRule="auto"/>
        <w:tabs>
          <w:tab w:leader="none" w:pos="735"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5" w:lineRule="exact"/>
        <w:rPr>
          <w:rFonts w:ascii="Courier New" w:cs="Courier New" w:eastAsia="Courier New" w:hAnsi="Courier New"/>
          <w:sz w:val="14"/>
          <w:szCs w:val="14"/>
          <w:color w:val="auto"/>
        </w:rPr>
      </w:pPr>
    </w:p>
    <w:p>
      <w:pPr>
        <w:ind w:left="735" w:right="3719" w:hanging="406"/>
        <w:spacing w:after="0" w:line="260" w:lineRule="auto"/>
        <w:tabs>
          <w:tab w:leader="none" w:pos="735" w:val="left"/>
        </w:tabs>
        <w:numPr>
          <w:ilvl w:val="1"/>
          <w:numId w:val="37"/>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52" w:lineRule="exact"/>
        <w:rPr>
          <w:rFonts w:ascii="Courier New" w:cs="Courier New" w:eastAsia="Courier New" w:hAnsi="Courier New"/>
          <w:sz w:val="13"/>
          <w:szCs w:val="13"/>
          <w:color w:val="auto"/>
        </w:rPr>
      </w:pPr>
    </w:p>
    <w:p>
      <w:pPr>
        <w:ind w:left="335" w:right="3719" w:hanging="335"/>
        <w:spacing w:after="0" w:line="239" w:lineRule="auto"/>
        <w:tabs>
          <w:tab w:leader="none" w:pos="33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6" w:lineRule="exact"/>
        <w:rPr>
          <w:rFonts w:ascii="Courier New" w:cs="Courier New" w:eastAsia="Courier New" w:hAnsi="Courier New"/>
          <w:sz w:val="14"/>
          <w:szCs w:val="14"/>
          <w:color w:val="auto"/>
        </w:rPr>
      </w:pPr>
    </w:p>
    <w:p>
      <w:pPr>
        <w:ind w:left="735" w:right="3719" w:hanging="406"/>
        <w:spacing w:after="0" w:line="259" w:lineRule="auto"/>
        <w:tabs>
          <w:tab w:leader="none" w:pos="735" w:val="left"/>
        </w:tabs>
        <w:numPr>
          <w:ilvl w:val="1"/>
          <w:numId w:val="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5"/>
          </w:cols>
          <w:pgMar w:left="225" w:top="596" w:right="1440" w:bottom="1440" w:gutter="0" w:footer="0" w:header="0"/>
        </w:sectPr>
      </w:pPr>
    </w:p>
    <w:bookmarkStart w:id="31" w:name="page32"/>
    <w:bookmarkEnd w:id="31"/>
    <w:p>
      <w:pPr>
        <w:ind w:left="735" w:right="3799"/>
        <w:spacing w:after="0" w:line="236"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4" w:lineRule="exact"/>
        <w:rPr>
          <w:sz w:val="20"/>
          <w:szCs w:val="20"/>
          <w:color w:val="auto"/>
        </w:rPr>
      </w:pPr>
    </w:p>
    <w:p>
      <w:pPr>
        <w:ind w:left="735" w:right="3799" w:hanging="406"/>
        <w:spacing w:after="0" w:line="236" w:lineRule="auto"/>
        <w:tabs>
          <w:tab w:leader="none" w:pos="735"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63"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4"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1" w:lineRule="exact"/>
        <w:rPr>
          <w:rFonts w:ascii="Courier New" w:cs="Courier New" w:eastAsia="Courier New" w:hAnsi="Courier New"/>
          <w:sz w:val="14"/>
          <w:szCs w:val="14"/>
          <w:color w:val="auto"/>
        </w:rPr>
      </w:pPr>
    </w:p>
    <w:p>
      <w:pPr>
        <w:ind w:left="335" w:hanging="335"/>
        <w:spacing w:after="0"/>
        <w:tabs>
          <w:tab w:leader="none" w:pos="33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62" w:lineRule="exact"/>
        <w:rPr>
          <w:rFonts w:ascii="Courier New" w:cs="Courier New" w:eastAsia="Courier New" w:hAnsi="Courier New"/>
          <w:sz w:val="14"/>
          <w:szCs w:val="14"/>
          <w:color w:val="auto"/>
        </w:rPr>
      </w:pPr>
    </w:p>
    <w:p>
      <w:pPr>
        <w:ind w:left="735" w:right="4219" w:hanging="406"/>
        <w:spacing w:after="0" w:line="237" w:lineRule="auto"/>
        <w:tabs>
          <w:tab w:leader="none" w:pos="735"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4" w:lineRule="exact"/>
        <w:rPr>
          <w:rFonts w:ascii="Courier New" w:cs="Courier New" w:eastAsia="Courier New" w:hAnsi="Courier New"/>
          <w:sz w:val="14"/>
          <w:szCs w:val="14"/>
          <w:color w:val="auto"/>
        </w:rPr>
      </w:pPr>
    </w:p>
    <w:p>
      <w:pPr>
        <w:ind w:left="735" w:right="4059" w:hanging="406"/>
        <w:spacing w:after="0" w:line="264" w:lineRule="auto"/>
        <w:tabs>
          <w:tab w:leader="none" w:pos="735" w:val="left"/>
        </w:tabs>
        <w:numPr>
          <w:ilvl w:val="1"/>
          <w:numId w:val="40"/>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5"/>
          </w:cols>
          <w:pgMar w:left="225" w:top="596" w:right="1440" w:bottom="1440" w:gutter="0" w:footer="0" w:header="0"/>
        </w:sectPr>
      </w:pPr>
    </w:p>
    <w:bookmarkStart w:id="32" w:name="page33"/>
    <w:bookmarkEnd w:id="32"/>
    <w:p>
      <w:pPr>
        <w:jc w:val="center"/>
        <w:ind w:right="3144"/>
        <w:spacing w:after="0"/>
        <w:rPr>
          <w:sz w:val="20"/>
          <w:szCs w:val="20"/>
          <w:color w:val="auto"/>
        </w:rPr>
      </w:pPr>
      <w:r>
        <w:rPr>
          <w:rFonts w:ascii="Courier New" w:cs="Courier New" w:eastAsia="Courier New" w:hAnsi="Courier New"/>
          <w:sz w:val="14"/>
          <w:szCs w:val="14"/>
          <w:color w:val="auto"/>
        </w:rPr>
        <w:t>THE TORO COMPANY</w:t>
      </w:r>
    </w:p>
    <w:p>
      <w:pPr>
        <w:jc w:val="center"/>
        <w:ind w:right="3144"/>
        <w:spacing w:after="0"/>
        <w:rPr>
          <w:sz w:val="20"/>
          <w:szCs w:val="20"/>
          <w:color w:val="auto"/>
        </w:rPr>
      </w:pPr>
      <w:r>
        <w:rPr>
          <w:rFonts w:ascii="Courier New" w:cs="Courier New" w:eastAsia="Courier New" w:hAnsi="Courier New"/>
          <w:sz w:val="14"/>
          <w:szCs w:val="14"/>
          <w:color w:val="auto"/>
        </w:rPr>
        <w:t>1993 STOCK OPTION PLAN</w:t>
      </w:r>
    </w:p>
    <w:p>
      <w:pPr>
        <w:spacing w:after="0" w:line="321" w:lineRule="exact"/>
        <w:rPr>
          <w:sz w:val="20"/>
          <w:szCs w:val="20"/>
          <w:color w:val="auto"/>
        </w:rPr>
      </w:pPr>
    </w:p>
    <w:p>
      <w:pPr>
        <w:ind w:left="335" w:right="3799" w:hanging="335"/>
        <w:spacing w:after="0" w:line="259" w:lineRule="auto"/>
        <w:tabs>
          <w:tab w:leader="none" w:pos="335" w:val="left"/>
        </w:tabs>
        <w:numPr>
          <w:ilvl w:val="0"/>
          <w:numId w:val="4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307" w:lineRule="exact"/>
        <w:rPr>
          <w:rFonts w:ascii="Courier New" w:cs="Courier New" w:eastAsia="Courier New" w:hAnsi="Courier New"/>
          <w:sz w:val="13"/>
          <w:szCs w:val="13"/>
          <w:color w:val="auto"/>
        </w:rPr>
      </w:pPr>
    </w:p>
    <w:p>
      <w:pPr>
        <w:ind w:left="335" w:hanging="335"/>
        <w:spacing w:after="0"/>
        <w:tabs>
          <w:tab w:leader="none" w:pos="33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17, 1993.</w:t>
      </w:r>
    </w:p>
    <w:p>
      <w:pPr>
        <w:spacing w:after="0" w:line="162"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69" w:lineRule="exact"/>
        <w:rPr>
          <w:rFonts w:ascii="Courier New" w:cs="Courier New" w:eastAsia="Courier New" w:hAnsi="Courier New"/>
          <w:sz w:val="14"/>
          <w:szCs w:val="14"/>
          <w:color w:val="auto"/>
        </w:rPr>
      </w:pPr>
    </w:p>
    <w:p>
      <w:pPr>
        <w:ind w:left="335" w:right="371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w:t>
      </w:r>
    </w:p>
    <w:p>
      <w:pPr>
        <w:sectPr>
          <w:pgSz w:w="11900" w:h="16838" w:orient="portrait"/>
          <w:cols w:equalWidth="0" w:num="1">
            <w:col w:w="10235"/>
          </w:cols>
          <w:pgMar w:left="225" w:top="454" w:right="1440" w:bottom="1440" w:gutter="0" w:footer="0" w:header="0"/>
        </w:sectPr>
      </w:pPr>
    </w:p>
    <w:bookmarkStart w:id="33" w:name="page34"/>
    <w:bookmarkEnd w:id="33"/>
    <w:p>
      <w:pPr>
        <w:ind w:left="335" w:right="3719"/>
        <w:spacing w:after="0" w:line="239" w:lineRule="auto"/>
        <w:rPr>
          <w:sz w:val="20"/>
          <w:szCs w:val="20"/>
          <w:color w:val="auto"/>
        </w:rPr>
      </w:pPr>
      <w:r>
        <w:rPr>
          <w:rFonts w:ascii="Courier New" w:cs="Courier New" w:eastAsia="Courier New" w:hAnsi="Courier New"/>
          <w:sz w:val="14"/>
          <w:szCs w:val="14"/>
          <w:color w:val="auto"/>
        </w:rPr>
        <w:t>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165" w:lineRule="exact"/>
        <w:rPr>
          <w:sz w:val="20"/>
          <w:szCs w:val="20"/>
          <w:color w:val="auto"/>
        </w:rPr>
      </w:pPr>
    </w:p>
    <w:p>
      <w:pPr>
        <w:ind w:left="335" w:right="3719" w:hanging="335"/>
        <w:spacing w:after="0" w:line="239" w:lineRule="auto"/>
        <w:tabs>
          <w:tab w:leader="none" w:pos="33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5" w:lineRule="exact"/>
        <w:rPr>
          <w:rFonts w:ascii="Courier New" w:cs="Courier New" w:eastAsia="Courier New" w:hAnsi="Courier New"/>
          <w:sz w:val="14"/>
          <w:szCs w:val="14"/>
          <w:color w:val="auto"/>
        </w:rPr>
      </w:pPr>
    </w:p>
    <w:p>
      <w:pPr>
        <w:ind w:left="335" w:right="3799" w:hanging="335"/>
        <w:spacing w:after="0" w:line="239" w:lineRule="auto"/>
        <w:tabs>
          <w:tab w:leader="none" w:pos="33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w:t>
      </w:r>
    </w:p>
    <w:p>
      <w:pPr>
        <w:sectPr>
          <w:pgSz w:w="11900" w:h="16838" w:orient="portrait"/>
          <w:cols w:equalWidth="0" w:num="1">
            <w:col w:w="10235"/>
          </w:cols>
          <w:pgMar w:left="225" w:top="754" w:right="1440" w:bottom="1440" w:gutter="0" w:footer="0" w:header="0"/>
        </w:sectPr>
      </w:pPr>
    </w:p>
    <w:bookmarkStart w:id="34" w:name="page35"/>
    <w:bookmarkEnd w:id="34"/>
    <w:p>
      <w:pPr>
        <w:ind w:left="335" w:right="3719"/>
        <w:spacing w:after="0" w:line="238" w:lineRule="auto"/>
        <w:rPr>
          <w:sz w:val="20"/>
          <w:szCs w:val="20"/>
          <w:color w:val="auto"/>
        </w:rPr>
      </w:pPr>
      <w:r>
        <w:rPr>
          <w:rFonts w:ascii="Courier New" w:cs="Courier New" w:eastAsia="Courier New" w:hAnsi="Courier New"/>
          <w:sz w:val="14"/>
          <w:szCs w:val="14"/>
          <w:color w:val="auto"/>
        </w:rPr>
        <w:t>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5" w:lineRule="exact"/>
        <w:rPr>
          <w:sz w:val="20"/>
          <w:szCs w:val="20"/>
          <w:color w:val="auto"/>
        </w:rPr>
      </w:pPr>
    </w:p>
    <w:p>
      <w:pPr>
        <w:ind w:left="335" w:right="3719" w:hanging="335"/>
        <w:spacing w:after="0" w:line="262" w:lineRule="auto"/>
        <w:tabs>
          <w:tab w:leader="none" w:pos="335" w:val="left"/>
        </w:tabs>
        <w:numPr>
          <w:ilvl w:val="0"/>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49" w:lineRule="exact"/>
        <w:rPr>
          <w:rFonts w:ascii="Courier New" w:cs="Courier New" w:eastAsia="Courier New" w:hAnsi="Courier New"/>
          <w:sz w:val="13"/>
          <w:szCs w:val="13"/>
          <w:color w:val="auto"/>
        </w:rPr>
      </w:pPr>
    </w:p>
    <w:p>
      <w:pPr>
        <w:ind w:left="335" w:right="3719" w:hanging="335"/>
        <w:spacing w:after="0" w:line="238" w:lineRule="auto"/>
        <w:tabs>
          <w:tab w:leader="none" w:pos="33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3" w:lineRule="exact"/>
        <w:rPr>
          <w:rFonts w:ascii="Courier New" w:cs="Courier New" w:eastAsia="Courier New" w:hAnsi="Courier New"/>
          <w:sz w:val="14"/>
          <w:szCs w:val="14"/>
          <w:color w:val="auto"/>
        </w:rPr>
      </w:pPr>
    </w:p>
    <w:p>
      <w:pPr>
        <w:ind w:left="735" w:right="3719" w:hanging="406"/>
        <w:spacing w:after="0" w:line="237" w:lineRule="auto"/>
        <w:tabs>
          <w:tab w:leader="none" w:pos="73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4" w:lineRule="exact"/>
        <w:rPr>
          <w:rFonts w:ascii="Courier New" w:cs="Courier New" w:eastAsia="Courier New" w:hAnsi="Courier New"/>
          <w:sz w:val="14"/>
          <w:szCs w:val="14"/>
          <w:color w:val="auto"/>
        </w:rPr>
      </w:pPr>
    </w:p>
    <w:p>
      <w:pPr>
        <w:ind w:left="735" w:right="3719" w:hanging="406"/>
        <w:spacing w:after="0" w:line="238" w:lineRule="auto"/>
        <w:tabs>
          <w:tab w:leader="none" w:pos="73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5" w:lineRule="exact"/>
        <w:rPr>
          <w:rFonts w:ascii="Courier New" w:cs="Courier New" w:eastAsia="Courier New" w:hAnsi="Courier New"/>
          <w:sz w:val="14"/>
          <w:szCs w:val="14"/>
          <w:color w:val="auto"/>
        </w:rPr>
      </w:pPr>
    </w:p>
    <w:p>
      <w:pPr>
        <w:ind w:left="735" w:right="3799" w:hanging="406"/>
        <w:spacing w:after="0" w:line="239" w:lineRule="auto"/>
        <w:tabs>
          <w:tab w:leader="none" w:pos="73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4" w:lineRule="exact"/>
        <w:rPr>
          <w:rFonts w:ascii="Courier New" w:cs="Courier New" w:eastAsia="Courier New" w:hAnsi="Courier New"/>
          <w:sz w:val="14"/>
          <w:szCs w:val="14"/>
          <w:color w:val="auto"/>
        </w:rPr>
      </w:pPr>
    </w:p>
    <w:p>
      <w:pPr>
        <w:ind w:left="735" w:right="4379" w:hanging="406"/>
        <w:spacing w:after="0" w:line="236" w:lineRule="auto"/>
        <w:tabs>
          <w:tab w:leader="none" w:pos="73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735" w:hanging="406"/>
        <w:spacing w:after="0"/>
        <w:tabs>
          <w:tab w:leader="none" w:pos="735"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62" w:lineRule="exact"/>
        <w:rPr>
          <w:rFonts w:ascii="Courier New" w:cs="Courier New" w:eastAsia="Courier New" w:hAnsi="Courier New"/>
          <w:sz w:val="14"/>
          <w:szCs w:val="14"/>
          <w:color w:val="auto"/>
        </w:rPr>
      </w:pPr>
    </w:p>
    <w:p>
      <w:pPr>
        <w:ind w:left="1395" w:right="3719" w:hanging="653"/>
        <w:spacing w:after="0" w:line="261" w:lineRule="auto"/>
        <w:tabs>
          <w:tab w:leader="none" w:pos="1395" w:val="left"/>
        </w:tabs>
        <w:numPr>
          <w:ilvl w:val="2"/>
          <w:numId w:val="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5"/>
          </w:cols>
          <w:pgMar w:left="225" w:top="754" w:right="1440" w:bottom="1440" w:gutter="0" w:footer="0" w:header="0"/>
        </w:sectPr>
      </w:pPr>
    </w:p>
    <w:bookmarkStart w:id="35" w:name="page36"/>
    <w:bookmarkEnd w:id="35"/>
    <w:p>
      <w:pPr>
        <w:ind w:left="653" w:right="3719" w:hanging="653"/>
        <w:spacing w:after="0" w:line="258" w:lineRule="auto"/>
        <w:tabs>
          <w:tab w:leader="none" w:pos="653" w:val="left"/>
        </w:tabs>
        <w:numPr>
          <w:ilvl w:val="0"/>
          <w:numId w:val="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326" w:lineRule="exact"/>
        <w:rPr>
          <w:rFonts w:ascii="Courier New" w:cs="Courier New" w:eastAsia="Courier New" w:hAnsi="Courier New"/>
          <w:sz w:val="13"/>
          <w:szCs w:val="13"/>
          <w:color w:val="auto"/>
        </w:rPr>
      </w:pPr>
    </w:p>
    <w:p>
      <w:pPr>
        <w:ind w:left="653" w:right="3719" w:hanging="653"/>
        <w:spacing w:after="0" w:line="239" w:lineRule="auto"/>
        <w:tabs>
          <w:tab w:leader="none" w:pos="653"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w:t>
      </w:r>
    </w:p>
    <w:p>
      <w:pPr>
        <w:sectPr>
          <w:pgSz w:w="11900" w:h="16838" w:orient="portrait"/>
          <w:cols w:equalWidth="0" w:num="1">
            <w:col w:w="9493"/>
          </w:cols>
          <w:pgMar w:left="967" w:top="754" w:right="1440" w:bottom="1440" w:gutter="0" w:footer="0" w:header="0"/>
        </w:sectPr>
      </w:pPr>
    </w:p>
    <w:bookmarkStart w:id="36" w:name="page37"/>
    <w:bookmarkEnd w:id="36"/>
    <w:p>
      <w:pPr>
        <w:ind w:left="1066" w:right="3719"/>
        <w:spacing w:after="0" w:line="238" w:lineRule="auto"/>
        <w:rPr>
          <w:sz w:val="20"/>
          <w:szCs w:val="20"/>
          <w:color w:val="auto"/>
        </w:rPr>
      </w:pPr>
      <w:r>
        <w:rPr>
          <w:rFonts w:ascii="Courier New" w:cs="Courier New" w:eastAsia="Courier New" w:hAnsi="Courier New"/>
          <w:sz w:val="14"/>
          <w:szCs w:val="14"/>
          <w:color w:val="auto"/>
        </w:rPr>
        <w:t>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5" w:lineRule="exact"/>
        <w:rPr>
          <w:sz w:val="20"/>
          <w:szCs w:val="20"/>
          <w:color w:val="auto"/>
        </w:rPr>
      </w:pPr>
    </w:p>
    <w:p>
      <w:pPr>
        <w:ind w:left="1066" w:right="3719" w:hanging="653"/>
        <w:spacing w:after="0" w:line="238" w:lineRule="auto"/>
        <w:tabs>
          <w:tab w:leader="none" w:pos="1066"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5" w:lineRule="exact"/>
        <w:rPr>
          <w:rFonts w:ascii="Courier New" w:cs="Courier New" w:eastAsia="Courier New" w:hAnsi="Courier New"/>
          <w:sz w:val="14"/>
          <w:szCs w:val="14"/>
          <w:color w:val="auto"/>
        </w:rPr>
      </w:pPr>
    </w:p>
    <w:p>
      <w:pPr>
        <w:ind w:left="1066" w:right="3719" w:hanging="653"/>
        <w:spacing w:after="0" w:line="259" w:lineRule="auto"/>
        <w:tabs>
          <w:tab w:leader="none" w:pos="1066" w:val="left"/>
        </w:tabs>
        <w:numPr>
          <w:ilvl w:val="1"/>
          <w:numId w:val="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55" w:lineRule="exact"/>
        <w:rPr>
          <w:rFonts w:ascii="Courier New" w:cs="Courier New" w:eastAsia="Courier New" w:hAnsi="Courier New"/>
          <w:sz w:val="13"/>
          <w:szCs w:val="13"/>
          <w:color w:val="auto"/>
        </w:rPr>
      </w:pPr>
    </w:p>
    <w:p>
      <w:pPr>
        <w:ind w:left="1066" w:right="3799" w:hanging="653"/>
        <w:spacing w:after="0" w:line="238" w:lineRule="auto"/>
        <w:tabs>
          <w:tab w:leader="none" w:pos="1066"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3" w:lineRule="exact"/>
        <w:rPr>
          <w:rFonts w:ascii="Courier New" w:cs="Courier New" w:eastAsia="Courier New" w:hAnsi="Courier New"/>
          <w:sz w:val="14"/>
          <w:szCs w:val="14"/>
          <w:color w:val="auto"/>
        </w:rPr>
      </w:pPr>
    </w:p>
    <w:p>
      <w:pPr>
        <w:ind w:left="406" w:right="3719" w:hanging="406"/>
        <w:spacing w:after="0" w:line="239" w:lineRule="auto"/>
        <w:tabs>
          <w:tab w:leader="none" w:pos="406"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9" w:lineRule="exact"/>
        <w:rPr>
          <w:rFonts w:ascii="Courier New" w:cs="Courier New" w:eastAsia="Courier New" w:hAnsi="Courier New"/>
          <w:sz w:val="14"/>
          <w:szCs w:val="14"/>
          <w:color w:val="auto"/>
        </w:rPr>
      </w:pPr>
    </w:p>
    <w:p>
      <w:pPr>
        <w:ind w:left="406" w:right="3799"/>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ectPr>
          <w:pgSz w:w="11900" w:h="16838" w:orient="portrait"/>
          <w:cols w:equalWidth="0" w:num="1">
            <w:col w:w="9905"/>
          </w:cols>
          <w:pgMar w:left="554" w:top="754" w:right="1440" w:bottom="1440" w:gutter="0" w:footer="0" w:header="0"/>
        </w:sectPr>
      </w:pPr>
    </w:p>
    <w:bookmarkStart w:id="37" w:name="page38"/>
    <w:bookmarkEnd w:id="37"/>
    <w:p>
      <w:pPr>
        <w:ind w:left="406" w:right="3719" w:hanging="406"/>
        <w:spacing w:after="0" w:line="259" w:lineRule="auto"/>
        <w:tabs>
          <w:tab w:leader="none" w:pos="406" w:val="left"/>
        </w:tabs>
        <w:numPr>
          <w:ilvl w:val="0"/>
          <w:numId w:val="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53" w:lineRule="exact"/>
        <w:rPr>
          <w:rFonts w:ascii="Courier New" w:cs="Courier New" w:eastAsia="Courier New" w:hAnsi="Courier New"/>
          <w:sz w:val="13"/>
          <w:szCs w:val="13"/>
          <w:color w:val="auto"/>
        </w:rPr>
      </w:pPr>
    </w:p>
    <w:p>
      <w:pPr>
        <w:ind w:left="406" w:right="3719" w:hanging="406"/>
        <w:spacing w:after="0" w:line="259" w:lineRule="auto"/>
        <w:tabs>
          <w:tab w:leader="none" w:pos="406" w:val="left"/>
        </w:tabs>
        <w:numPr>
          <w:ilvl w:val="0"/>
          <w:numId w:val="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09" w:lineRule="exact"/>
        <w:rPr>
          <w:rFonts w:ascii="Courier New" w:cs="Courier New" w:eastAsia="Courier New" w:hAnsi="Courier New"/>
          <w:sz w:val="13"/>
          <w:szCs w:val="13"/>
          <w:color w:val="auto"/>
        </w:rPr>
      </w:pPr>
    </w:p>
    <w:p>
      <w:pPr>
        <w:ind w:left="406" w:right="3879" w:hanging="406"/>
        <w:spacing w:after="0" w:line="238" w:lineRule="auto"/>
        <w:tabs>
          <w:tab w:leader="none" w:pos="40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6" w:lineRule="exact"/>
        <w:rPr>
          <w:rFonts w:ascii="Courier New" w:cs="Courier New" w:eastAsia="Courier New" w:hAnsi="Courier New"/>
          <w:sz w:val="14"/>
          <w:szCs w:val="14"/>
          <w:color w:val="auto"/>
        </w:rPr>
      </w:pPr>
    </w:p>
    <w:p>
      <w:pPr>
        <w:ind w:left="406" w:right="3799" w:hanging="406"/>
        <w:spacing w:after="0" w:line="238" w:lineRule="auto"/>
        <w:tabs>
          <w:tab w:leader="none" w:pos="406"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w:t>
      </w:r>
    </w:p>
    <w:p>
      <w:pPr>
        <w:sectPr>
          <w:pgSz w:w="11900" w:h="16838" w:orient="portrait"/>
          <w:cols w:equalWidth="0" w:num="1">
            <w:col w:w="9905"/>
          </w:cols>
          <w:pgMar w:left="554" w:top="913" w:right="1440" w:bottom="1440" w:gutter="0" w:footer="0" w:header="0"/>
        </w:sectPr>
      </w:pPr>
    </w:p>
    <w:bookmarkStart w:id="38" w:name="page39"/>
    <w:bookmarkEnd w:id="38"/>
    <w:p>
      <w:pPr>
        <w:ind w:left="735" w:right="3799"/>
        <w:spacing w:after="0" w:line="237" w:lineRule="auto"/>
        <w:rPr>
          <w:sz w:val="20"/>
          <w:szCs w:val="20"/>
          <w:color w:val="auto"/>
        </w:rPr>
      </w:pPr>
      <w:r>
        <w:rPr>
          <w:rFonts w:ascii="Courier New" w:cs="Courier New" w:eastAsia="Courier New" w:hAnsi="Courier New"/>
          <w:sz w:val="14"/>
          <w:szCs w:val="14"/>
          <w:color w:val="auto"/>
        </w:rPr>
        <w:t>as otherwise expressly provided in the Plan, no adjustments shall be made for dividends or other rights for which the record date is prior to issuance of the Common Stock.</w:t>
      </w:r>
    </w:p>
    <w:p>
      <w:pPr>
        <w:spacing w:after="0" w:line="164" w:lineRule="exact"/>
        <w:rPr>
          <w:sz w:val="20"/>
          <w:szCs w:val="20"/>
          <w:color w:val="auto"/>
        </w:rPr>
      </w:pPr>
    </w:p>
    <w:p>
      <w:pPr>
        <w:ind w:left="735" w:right="3719" w:hanging="406"/>
        <w:spacing w:after="0" w:line="239" w:lineRule="auto"/>
        <w:tabs>
          <w:tab w:leader="none" w:pos="73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5" w:lineRule="exact"/>
        <w:rPr>
          <w:rFonts w:ascii="Courier New" w:cs="Courier New" w:eastAsia="Courier New" w:hAnsi="Courier New"/>
          <w:sz w:val="14"/>
          <w:szCs w:val="14"/>
          <w:color w:val="auto"/>
        </w:rPr>
      </w:pPr>
    </w:p>
    <w:p>
      <w:pPr>
        <w:ind w:left="735" w:right="3719" w:hanging="406"/>
        <w:spacing w:after="0" w:line="260" w:lineRule="auto"/>
        <w:tabs>
          <w:tab w:leader="none" w:pos="735" w:val="left"/>
        </w:tabs>
        <w:numPr>
          <w:ilvl w:val="1"/>
          <w:numId w:val="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52" w:lineRule="exact"/>
        <w:rPr>
          <w:rFonts w:ascii="Courier New" w:cs="Courier New" w:eastAsia="Courier New" w:hAnsi="Courier New"/>
          <w:sz w:val="13"/>
          <w:szCs w:val="13"/>
          <w:color w:val="auto"/>
        </w:rPr>
      </w:pPr>
    </w:p>
    <w:p>
      <w:pPr>
        <w:ind w:left="335" w:right="3719" w:hanging="335"/>
        <w:spacing w:after="0" w:line="239" w:lineRule="auto"/>
        <w:tabs>
          <w:tab w:leader="none" w:pos="33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6" w:lineRule="exact"/>
        <w:rPr>
          <w:rFonts w:ascii="Courier New" w:cs="Courier New" w:eastAsia="Courier New" w:hAnsi="Courier New"/>
          <w:sz w:val="14"/>
          <w:szCs w:val="14"/>
          <w:color w:val="auto"/>
        </w:rPr>
      </w:pPr>
    </w:p>
    <w:p>
      <w:pPr>
        <w:ind w:left="735" w:right="3719" w:hanging="406"/>
        <w:spacing w:after="0" w:line="259" w:lineRule="auto"/>
        <w:tabs>
          <w:tab w:leader="none" w:pos="735" w:val="left"/>
        </w:tabs>
        <w:numPr>
          <w:ilvl w:val="1"/>
          <w:numId w:val="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5"/>
          </w:cols>
          <w:pgMar w:left="225" w:top="754" w:right="1440" w:bottom="1440" w:gutter="0" w:footer="0" w:header="0"/>
        </w:sectPr>
      </w:pPr>
    </w:p>
    <w:bookmarkStart w:id="39" w:name="page40"/>
    <w:bookmarkEnd w:id="39"/>
    <w:p>
      <w:pPr>
        <w:ind w:left="735" w:right="3799"/>
        <w:spacing w:after="0" w:line="236"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4" w:lineRule="exact"/>
        <w:rPr>
          <w:sz w:val="20"/>
          <w:szCs w:val="20"/>
          <w:color w:val="auto"/>
        </w:rPr>
      </w:pPr>
    </w:p>
    <w:p>
      <w:pPr>
        <w:ind w:left="735" w:right="3799" w:hanging="406"/>
        <w:spacing w:after="0" w:line="236" w:lineRule="auto"/>
        <w:tabs>
          <w:tab w:leader="none" w:pos="73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63"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4"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1" w:lineRule="exact"/>
        <w:rPr>
          <w:rFonts w:ascii="Courier New" w:cs="Courier New" w:eastAsia="Courier New" w:hAnsi="Courier New"/>
          <w:sz w:val="14"/>
          <w:szCs w:val="14"/>
          <w:color w:val="auto"/>
        </w:rPr>
      </w:pPr>
    </w:p>
    <w:p>
      <w:pPr>
        <w:ind w:left="335" w:hanging="335"/>
        <w:spacing w:after="0"/>
        <w:tabs>
          <w:tab w:leader="none" w:pos="33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62" w:lineRule="exact"/>
        <w:rPr>
          <w:rFonts w:ascii="Courier New" w:cs="Courier New" w:eastAsia="Courier New" w:hAnsi="Courier New"/>
          <w:sz w:val="14"/>
          <w:szCs w:val="14"/>
          <w:color w:val="auto"/>
        </w:rPr>
      </w:pPr>
    </w:p>
    <w:p>
      <w:pPr>
        <w:ind w:left="735" w:right="4219" w:hanging="406"/>
        <w:spacing w:after="0" w:line="237" w:lineRule="auto"/>
        <w:tabs>
          <w:tab w:leader="none" w:pos="735"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4" w:lineRule="exact"/>
        <w:rPr>
          <w:rFonts w:ascii="Courier New" w:cs="Courier New" w:eastAsia="Courier New" w:hAnsi="Courier New"/>
          <w:sz w:val="14"/>
          <w:szCs w:val="14"/>
          <w:color w:val="auto"/>
        </w:rPr>
      </w:pPr>
    </w:p>
    <w:p>
      <w:pPr>
        <w:ind w:left="735" w:right="4059" w:hanging="406"/>
        <w:spacing w:after="0" w:line="264" w:lineRule="auto"/>
        <w:tabs>
          <w:tab w:leader="none" w:pos="735" w:val="left"/>
        </w:tabs>
        <w:numPr>
          <w:ilvl w:val="1"/>
          <w:numId w:val="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5"/>
          </w:cols>
          <w:pgMar w:left="225" w:top="754" w:right="1440" w:bottom="1440" w:gutter="0" w:footer="0" w:header="0"/>
        </w:sectPr>
      </w:pPr>
    </w:p>
    <w:bookmarkStart w:id="40" w:name="page41"/>
    <w:bookmarkEnd w:id="40"/>
    <w:p>
      <w:pPr>
        <w:ind w:left="2895"/>
        <w:spacing w:after="0"/>
        <w:rPr>
          <w:sz w:val="20"/>
          <w:szCs w:val="20"/>
          <w:color w:val="auto"/>
        </w:rPr>
      </w:pPr>
      <w:r>
        <w:rPr>
          <w:rFonts w:ascii="Courier New" w:cs="Courier New" w:eastAsia="Courier New" w:hAnsi="Courier New"/>
          <w:sz w:val="14"/>
          <w:szCs w:val="14"/>
          <w:color w:val="auto"/>
        </w:rPr>
        <w:t>THE TORO COMPANY</w:t>
      </w:r>
    </w:p>
    <w:p>
      <w:pPr>
        <w:ind w:left="2135"/>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321" w:lineRule="exact"/>
        <w:rPr>
          <w:sz w:val="20"/>
          <w:szCs w:val="20"/>
          <w:color w:val="auto"/>
        </w:rPr>
      </w:pPr>
    </w:p>
    <w:p>
      <w:pPr>
        <w:ind w:left="335" w:right="3799" w:hanging="335"/>
        <w:spacing w:after="0" w:line="238" w:lineRule="auto"/>
        <w:tabs>
          <w:tab w:leader="none" w:pos="33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6" w:lineRule="exact"/>
        <w:rPr>
          <w:rFonts w:ascii="Courier New" w:cs="Courier New" w:eastAsia="Courier New" w:hAnsi="Courier New"/>
          <w:sz w:val="14"/>
          <w:szCs w:val="14"/>
          <w:color w:val="auto"/>
        </w:rPr>
      </w:pPr>
    </w:p>
    <w:p>
      <w:pPr>
        <w:ind w:left="335" w:right="3799" w:hanging="335"/>
        <w:spacing w:after="0" w:line="262" w:lineRule="auto"/>
        <w:tabs>
          <w:tab w:leader="none" w:pos="335"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EFFECTIVE DATE. The Plan shall become effective as of August 1, 1991, subject to the approval of the stockholders of the Company at its Annual Meeting of Stockholders on December 10, 1991, and shall continue in effect unless and until terminated by the Board of Directors of the Company.</w:t>
      </w:r>
    </w:p>
    <w:p>
      <w:pPr>
        <w:spacing w:after="0" w:line="149" w:lineRule="exact"/>
        <w:rPr>
          <w:rFonts w:ascii="Courier New" w:cs="Courier New" w:eastAsia="Courier New" w:hAnsi="Courier New"/>
          <w:sz w:val="13"/>
          <w:szCs w:val="13"/>
          <w:color w:val="auto"/>
        </w:rPr>
      </w:pPr>
    </w:p>
    <w:p>
      <w:pPr>
        <w:ind w:left="335" w:right="4139" w:hanging="335"/>
        <w:spacing w:after="0" w:line="258" w:lineRule="auto"/>
        <w:tabs>
          <w:tab w:leader="none" w:pos="335" w:val="left"/>
        </w:tabs>
        <w:numPr>
          <w:ilvl w:val="0"/>
          <w:numId w:val="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w:t>
      </w:r>
    </w:p>
    <w:p>
      <w:pPr>
        <w:ind w:left="335" w:right="371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6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5" w:lineRule="exact"/>
        <w:rPr>
          <w:rFonts w:ascii="Courier New" w:cs="Courier New" w:eastAsia="Courier New" w:hAnsi="Courier New"/>
          <w:sz w:val="13"/>
          <w:szCs w:val="13"/>
          <w:color w:val="auto"/>
        </w:rPr>
      </w:pPr>
    </w:p>
    <w:p>
      <w:pPr>
        <w:ind w:left="335" w:right="3719" w:hanging="335"/>
        <w:spacing w:after="0" w:line="239" w:lineRule="auto"/>
        <w:tabs>
          <w:tab w:leader="none" w:pos="33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62" w:lineRule="exact"/>
        <w:rPr>
          <w:rFonts w:ascii="Courier New" w:cs="Courier New" w:eastAsia="Courier New" w:hAnsi="Courier New"/>
          <w:sz w:val="14"/>
          <w:szCs w:val="14"/>
          <w:color w:val="auto"/>
        </w:rPr>
      </w:pPr>
    </w:p>
    <w:p>
      <w:pPr>
        <w:ind w:left="335" w:right="3799" w:hanging="335"/>
        <w:spacing w:after="0" w:line="238" w:lineRule="auto"/>
        <w:tabs>
          <w:tab w:leader="none" w:pos="33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3" w:lineRule="exact"/>
        <w:rPr>
          <w:rFonts w:ascii="Courier New" w:cs="Courier New" w:eastAsia="Courier New" w:hAnsi="Courier New"/>
          <w:sz w:val="14"/>
          <w:szCs w:val="14"/>
          <w:color w:val="auto"/>
        </w:rPr>
      </w:pPr>
    </w:p>
    <w:p>
      <w:pPr>
        <w:ind w:left="735" w:right="3719" w:hanging="406"/>
        <w:spacing w:after="0" w:line="239" w:lineRule="auto"/>
        <w:tabs>
          <w:tab w:leader="none" w:pos="73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shall grant, in addition to a three year Performance Award, a</w:t>
      </w:r>
    </w:p>
    <w:p>
      <w:pPr>
        <w:sectPr>
          <w:pgSz w:w="11900" w:h="16838" w:orient="portrait"/>
          <w:cols w:equalWidth="0" w:num="1">
            <w:col w:w="10235"/>
          </w:cols>
          <w:pgMar w:left="225" w:top="613" w:right="1440" w:bottom="1440" w:gutter="0" w:footer="0" w:header="0"/>
        </w:sectPr>
      </w:pPr>
    </w:p>
    <w:bookmarkStart w:id="41" w:name="page42"/>
    <w:bookmarkEnd w:id="41"/>
    <w:p>
      <w:pPr>
        <w:ind w:left="406" w:right="3719"/>
        <w:spacing w:after="0" w:line="259" w:lineRule="auto"/>
        <w:rPr>
          <w:sz w:val="20"/>
          <w:szCs w:val="20"/>
          <w:color w:val="auto"/>
        </w:rPr>
      </w:pPr>
      <w:r>
        <w:rPr>
          <w:rFonts w:ascii="Courier New" w:cs="Courier New" w:eastAsia="Courier New" w:hAnsi="Courier New"/>
          <w:sz w:val="13"/>
          <w:szCs w:val="13"/>
          <w:color w:val="auto"/>
        </w:rPr>
        <w:t>Performance Award having a term of one fiscal year and a Performance Award having a term of two fiscal years, such that an award shall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312" w:lineRule="exact"/>
        <w:rPr>
          <w:sz w:val="20"/>
          <w:szCs w:val="20"/>
          <w:color w:val="auto"/>
        </w:rPr>
      </w:pPr>
    </w:p>
    <w:p>
      <w:pPr>
        <w:ind w:left="406" w:right="3799"/>
        <w:spacing w:after="0" w:line="239"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paragraph 5.c.ii hereof.</w:t>
      </w:r>
    </w:p>
    <w:p>
      <w:pPr>
        <w:spacing w:after="0" w:line="163" w:lineRule="exact"/>
        <w:rPr>
          <w:sz w:val="20"/>
          <w:szCs w:val="20"/>
          <w:color w:val="auto"/>
        </w:rPr>
      </w:pPr>
    </w:p>
    <w:p>
      <w:pPr>
        <w:ind w:left="406" w:right="3719" w:hanging="406"/>
        <w:spacing w:after="0" w:line="238" w:lineRule="auto"/>
        <w:tabs>
          <w:tab w:leader="none" w:pos="4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Except as otherwise permitted under this Plan, Performance Awards, whether one year, two year or three year awards, shall be granted as of the date which marks the first day of any Award Term.</w:t>
      </w:r>
    </w:p>
    <w:p>
      <w:pPr>
        <w:spacing w:after="0" w:line="159" w:lineRule="exact"/>
        <w:rPr>
          <w:rFonts w:ascii="Courier New" w:cs="Courier New" w:eastAsia="Courier New" w:hAnsi="Courier New"/>
          <w:sz w:val="14"/>
          <w:szCs w:val="14"/>
          <w:color w:val="auto"/>
        </w:rPr>
      </w:pPr>
    </w:p>
    <w:p>
      <w:pPr>
        <w:ind w:left="406" w:hanging="406"/>
        <w:spacing w:after="0"/>
        <w:tabs>
          <w:tab w:leader="none" w:pos="406"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AWARD.</w:t>
      </w:r>
    </w:p>
    <w:p>
      <w:pPr>
        <w:spacing w:after="0" w:line="162" w:lineRule="exact"/>
        <w:rPr>
          <w:rFonts w:ascii="Courier New" w:cs="Courier New" w:eastAsia="Courier New" w:hAnsi="Courier New"/>
          <w:sz w:val="14"/>
          <w:szCs w:val="14"/>
          <w:color w:val="auto"/>
        </w:rPr>
      </w:pPr>
    </w:p>
    <w:p>
      <w:pPr>
        <w:ind w:left="826" w:right="3719" w:hanging="413"/>
        <w:spacing w:after="0" w:line="259" w:lineRule="auto"/>
        <w:tabs>
          <w:tab w:leader="none" w:pos="826" w:val="left"/>
        </w:tabs>
        <w:numPr>
          <w:ilvl w:val="1"/>
          <w:numId w:val="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performance factor (such as .25, .50, 1.0, etc.) determined by the Committee, which is intended to reflect the Participant's ability to influence the financial results of the Company and the Participant's relative seniority within management. The maximum dollar amount of the Award Maximum of each Performance Award shall be set by the Committee at the time of grant of such award.</w:t>
      </w:r>
    </w:p>
    <w:p>
      <w:pPr>
        <w:spacing w:after="0" w:line="153" w:lineRule="exact"/>
        <w:rPr>
          <w:rFonts w:ascii="Courier New" w:cs="Courier New" w:eastAsia="Courier New" w:hAnsi="Courier New"/>
          <w:sz w:val="13"/>
          <w:szCs w:val="13"/>
          <w:color w:val="auto"/>
        </w:rPr>
      </w:pPr>
    </w:p>
    <w:p>
      <w:pPr>
        <w:ind w:left="826" w:right="379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SPECIAL RULE FOR PERSONS REFERRED TO IN SECTION 162(M): The maximum amount that may be paid with respect to a Performance Award granted to a person referred tp om Section 162(m) shall be determined based on an estimate of such base compensation to be paid during a one-year Award Term or the last fiscal year of a multiple year Award Term, and the maximum dollar amount of the Award Maximum shall be set by the Committee at the time of grant of such award. Performance factors applicable to such persons shall be as follows:</w:t>
      </w:r>
    </w:p>
    <w:p>
      <w:pPr>
        <w:spacing w:after="0" w:line="319" w:lineRule="exact"/>
        <w:rPr>
          <w:sz w:val="20"/>
          <w:szCs w:val="20"/>
          <w:color w:val="auto"/>
        </w:rPr>
      </w:pPr>
    </w:p>
    <w:p>
      <w:pPr>
        <w:ind w:left="3126"/>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905"/>
          </w:cols>
          <w:pgMar w:left="554" w:top="596" w:right="1440" w:bottom="1440" w:gutter="0" w:footer="0" w:header="0"/>
        </w:sectPr>
      </w:pPr>
    </w:p>
    <w:bookmarkStart w:id="42" w:name="page43"/>
    <w:bookmarkEnd w:id="42"/>
    <w:tbl>
      <w:tblPr>
        <w:tblLayout w:type="fixed"/>
        <w:tblInd w:w="1246" w:type="dxa"/>
        <w:tblCellMar>
          <w:top w:w="0" w:type="dxa"/>
          <w:left w:w="0" w:type="dxa"/>
          <w:bottom w:w="0" w:type="dxa"/>
          <w:right w:w="0" w:type="dxa"/>
        </w:tblCellMar>
      </w:tblP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President and Chief Operating Officer</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59"/>
        </w:trPr>
        <w:tc>
          <w:tcPr>
            <w:tcW w:w="3380" w:type="dxa"/>
            <w:vAlign w:val="bottom"/>
          </w:tcPr>
          <w:p>
            <w:pPr>
              <w:spacing w:after="0"/>
              <w:rPr>
                <w:sz w:val="20"/>
                <w:szCs w:val="20"/>
                <w:color w:val="auto"/>
              </w:rPr>
            </w:pPr>
            <w:r>
              <w:rPr>
                <w:rFonts w:ascii="Courier New" w:cs="Courier New" w:eastAsia="Courier New" w:hAnsi="Courier New"/>
                <w:sz w:val="14"/>
                <w:szCs w:val="14"/>
                <w:color w:val="auto"/>
              </w:rPr>
              <w:t>Other Officers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163" w:lineRule="exact"/>
        <w:rPr>
          <w:sz w:val="20"/>
          <w:szCs w:val="20"/>
          <w:color w:val="auto"/>
        </w:rPr>
      </w:pPr>
    </w:p>
    <w:p>
      <w:pPr>
        <w:ind w:left="826" w:right="3799" w:hanging="413"/>
        <w:spacing w:after="0" w:line="239" w:lineRule="auto"/>
        <w:tabs>
          <w:tab w:leader="none" w:pos="826"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and net income growth as compared with other similarly classified Fortune 500 companies (the "Performance Goal"), and the amount that shall be paid (the "Award Payment")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5" w:lineRule="exact"/>
        <w:rPr>
          <w:rFonts w:ascii="Courier New" w:cs="Courier New" w:eastAsia="Courier New" w:hAnsi="Courier New"/>
          <w:sz w:val="14"/>
          <w:szCs w:val="14"/>
          <w:color w:val="auto"/>
        </w:rPr>
      </w:pPr>
    </w:p>
    <w:p>
      <w:pPr>
        <w:ind w:left="406" w:hanging="406"/>
        <w:spacing w:after="0"/>
        <w:tabs>
          <w:tab w:leader="none" w:pos="406"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AWARD PAYMENT.</w:t>
      </w:r>
    </w:p>
    <w:p>
      <w:pPr>
        <w:spacing w:after="0" w:line="162" w:lineRule="exact"/>
        <w:rPr>
          <w:rFonts w:ascii="Courier New" w:cs="Courier New" w:eastAsia="Courier New" w:hAnsi="Courier New"/>
          <w:sz w:val="14"/>
          <w:szCs w:val="14"/>
          <w:color w:val="auto"/>
        </w:rPr>
      </w:pPr>
    </w:p>
    <w:p>
      <w:pPr>
        <w:ind w:left="826" w:right="3719" w:hanging="413"/>
        <w:spacing w:after="0" w:line="258" w:lineRule="auto"/>
        <w:tabs>
          <w:tab w:leader="none" w:pos="826" w:val="left"/>
        </w:tabs>
        <w:numPr>
          <w:ilvl w:val="1"/>
          <w:numId w:val="55"/>
        </w:numPr>
        <w:rPr>
          <w:rFonts w:ascii="Courier New" w:cs="Courier New" w:eastAsia="Courier New" w:hAnsi="Courier New"/>
          <w:sz w:val="13"/>
          <w:szCs w:val="13"/>
          <w:color w:val="auto"/>
        </w:rPr>
      </w:pPr>
      <w:r>
        <w:rPr>
          <w:rFonts w:ascii="Courier New" w:cs="Courier New" w:eastAsia="Courier New" w:hAnsi="Courier New"/>
          <w:sz w:val="13"/>
          <w:szCs w:val="13"/>
          <w:color w:val="auto"/>
        </w:rPr>
        <w:t>STANDARD CALCULATION. The Company's ROBE and net income growth for each fiscal year shall be converted to a percentile score (the Percentile Score) by comparing the ROBE and net income growth to comparable data for all companies in the Industrial and Farm Equipment Group of Fortune 500 (as reported for the calendar year ended during such fiscal year). The one year Percentile Score shall be used to determine the Award Payment with respect to a one year Award Term and the average of the Percentile Scores for a two or three year Award Term shall be used in determining the Award Payment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Payment with respect to a Performance Award covering two or three fiscal years shall not be earned or paid until the completion of the final fiscal year of the Award Term. However, no award payment will be earned or paid to any participant during the first six months of any Award Term.</w:t>
      </w:r>
    </w:p>
    <w:p>
      <w:pPr>
        <w:spacing w:after="0" w:line="200" w:lineRule="exact"/>
        <w:rPr>
          <w:sz w:val="20"/>
          <w:szCs w:val="20"/>
          <w:color w:val="auto"/>
        </w:rPr>
      </w:pPr>
    </w:p>
    <w:p>
      <w:pPr>
        <w:spacing w:after="0" w:line="278" w:lineRule="exact"/>
        <w:rPr>
          <w:sz w:val="20"/>
          <w:szCs w:val="20"/>
          <w:color w:val="auto"/>
        </w:rPr>
      </w:pPr>
    </w:p>
    <w:p>
      <w:pPr>
        <w:ind w:left="3126"/>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905"/>
          </w:cols>
          <w:pgMar w:left="554" w:top="592" w:right="1440" w:bottom="1440" w:gutter="0" w:footer="0" w:header="0"/>
        </w:sectPr>
      </w:pPr>
    </w:p>
    <w:bookmarkStart w:id="43" w:name="page44"/>
    <w:bookmarkEnd w:id="43"/>
    <w:p>
      <w:pPr>
        <w:ind w:left="826" w:right="3799" w:hanging="413"/>
        <w:spacing w:after="0" w:line="238" w:lineRule="auto"/>
        <w:tabs>
          <w:tab w:leader="none" w:pos="826"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5.d., any individual who has participated in the Plan for less than a full fiscal year during a one-year Award Term shall receive a payment only for that portion of the fiscal year during which the individual was a Participant (expressed as a percentage and based on a 360 day year).</w:t>
      </w:r>
    </w:p>
    <w:p>
      <w:pPr>
        <w:spacing w:after="0" w:line="166" w:lineRule="exact"/>
        <w:rPr>
          <w:rFonts w:ascii="Courier New" w:cs="Courier New" w:eastAsia="Courier New" w:hAnsi="Courier New"/>
          <w:sz w:val="14"/>
          <w:szCs w:val="14"/>
          <w:color w:val="auto"/>
        </w:rPr>
      </w:pPr>
    </w:p>
    <w:p>
      <w:pPr>
        <w:ind w:left="406" w:right="3799" w:hanging="406"/>
        <w:spacing w:after="0" w:line="237" w:lineRule="auto"/>
        <w:tabs>
          <w:tab w:leader="none" w:pos="406"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Notwithstanding any other provision of this Plan, the Maximum Award Payment with respect to any Performance Award is $1,100,000.</w:t>
      </w:r>
    </w:p>
    <w:p>
      <w:pPr>
        <w:spacing w:after="0" w:line="164" w:lineRule="exact"/>
        <w:rPr>
          <w:rFonts w:ascii="Courier New" w:cs="Courier New" w:eastAsia="Courier New" w:hAnsi="Courier New"/>
          <w:sz w:val="14"/>
          <w:szCs w:val="14"/>
          <w:color w:val="auto"/>
        </w:rPr>
      </w:pPr>
    </w:p>
    <w:p>
      <w:pPr>
        <w:ind w:left="406" w:right="3719" w:hanging="406"/>
        <w:spacing w:after="0" w:line="259" w:lineRule="auto"/>
        <w:tabs>
          <w:tab w:leader="none" w:pos="406"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PAYMENT. Before any payment is made under the Plan, the Committee must certify in writing that the Performance Goal justifying the payment has been met. Subject to the provisions of subparagraph 5.g.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 provided, however, that a Participant may elect to defer receipt of the cash payment for investment in a deferred compensation account in accordance with the Company's usual procedures, provided that such deferred compensation account shall be maintained in cash or cash equivalents and not in the equity securities of the Company. An election to defer shall be made by the Participant not later than 61 days prior to the last day of an applicable Award Term, and if deemed to be required by applicable securities laws or regulations, shall be made during a period that qualifies as a "window period" for purposes of rules and regulations under the Exchange Act.</w:t>
      </w:r>
    </w:p>
    <w:p>
      <w:pPr>
        <w:spacing w:after="0" w:line="310" w:lineRule="exact"/>
        <w:rPr>
          <w:rFonts w:ascii="Courier New" w:cs="Courier New" w:eastAsia="Courier New" w:hAnsi="Courier New"/>
          <w:sz w:val="13"/>
          <w:szCs w:val="13"/>
          <w:color w:val="auto"/>
        </w:rPr>
      </w:pPr>
    </w:p>
    <w:p>
      <w:pPr>
        <w:ind w:left="406" w:right="3719" w:hanging="406"/>
        <w:spacing w:after="0" w:line="259" w:lineRule="auto"/>
        <w:tabs>
          <w:tab w:leader="none" w:pos="406" w:val="left"/>
        </w:tabs>
        <w:numPr>
          <w:ilvl w:val="0"/>
          <w:numId w:val="57"/>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OF CONTROL. Each Performance Award shall provide that in the event of a threatened or actual change of control of the Company after one full year of any multiple year Award Term, or during the final six months of a one-year Award Term, any such Performance Award shall become immediately payable and the calculation of the amount payable shall be based on the ROBE and net income growth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any parent of or successor to the Company."</w:t>
      </w:r>
    </w:p>
    <w:p>
      <w:pPr>
        <w:spacing w:after="0" w:line="200" w:lineRule="exact"/>
        <w:rPr>
          <w:sz w:val="20"/>
          <w:szCs w:val="20"/>
          <w:color w:val="auto"/>
        </w:rPr>
      </w:pPr>
    </w:p>
    <w:p>
      <w:pPr>
        <w:spacing w:after="0" w:line="265" w:lineRule="exact"/>
        <w:rPr>
          <w:sz w:val="20"/>
          <w:szCs w:val="20"/>
          <w:color w:val="auto"/>
        </w:rPr>
      </w:pPr>
    </w:p>
    <w:p>
      <w:pPr>
        <w:ind w:left="3126"/>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905"/>
          </w:cols>
          <w:pgMar w:left="554" w:top="596" w:right="1440" w:bottom="1440" w:gutter="0" w:footer="0" w:header="0"/>
        </w:sectPr>
      </w:pPr>
    </w:p>
    <w:bookmarkStart w:id="44" w:name="page45"/>
    <w:bookmarkEnd w:id="44"/>
    <w:p>
      <w:pPr>
        <w:ind w:left="735" w:right="3799" w:hanging="406"/>
        <w:spacing w:after="0" w:line="238" w:lineRule="auto"/>
        <w:tabs>
          <w:tab w:leader="none" w:pos="735"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66" w:lineRule="exact"/>
        <w:rPr>
          <w:rFonts w:ascii="Courier New" w:cs="Courier New" w:eastAsia="Courier New" w:hAnsi="Courier New"/>
          <w:sz w:val="14"/>
          <w:szCs w:val="14"/>
          <w:color w:val="auto"/>
        </w:rPr>
      </w:pPr>
    </w:p>
    <w:p>
      <w:pPr>
        <w:ind w:left="1155" w:right="3799" w:hanging="413"/>
        <w:spacing w:after="0" w:line="260" w:lineRule="auto"/>
        <w:tabs>
          <w:tab w:leader="none" w:pos="1155" w:val="left"/>
        </w:tabs>
        <w:numPr>
          <w:ilvl w:val="2"/>
          <w:numId w:val="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In the event of the death, disability or retirement of a Participant, an Award Payment shall be paid if otherwise earned in accordance with subparagraph 5.d. hereof, with respect to the portion of the applicable Award Term completed at the date of such event (based on a 360 day year and expressed as a percentage). The amount shall be calculated and paid in accordance with the applicable provisions of subparagraphs 5.d. and 5.e., notwithstanding the earlier occurrence of such event.</w:t>
      </w:r>
    </w:p>
    <w:p>
      <w:pPr>
        <w:spacing w:after="0" w:line="150" w:lineRule="exact"/>
        <w:rPr>
          <w:rFonts w:ascii="Courier New" w:cs="Courier New" w:eastAsia="Courier New" w:hAnsi="Courier New"/>
          <w:sz w:val="13"/>
          <w:szCs w:val="13"/>
          <w:color w:val="auto"/>
        </w:rPr>
      </w:pPr>
    </w:p>
    <w:p>
      <w:pPr>
        <w:ind w:left="1155" w:right="3719" w:hanging="413"/>
        <w:spacing w:after="0" w:line="239" w:lineRule="auto"/>
        <w:tabs>
          <w:tab w:leader="none" w:pos="1155"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Payment shall be paid, if otherwise earned in accordance with subparagraph 5.d. hereof, with respect to the portion of the applicable Award Term completed at the date of such event (based on a 360 day year and expressed as a percentage). Any payment made under this subparagraph 5.g. shall be based on the ROBE of the Company for the fiscal period then most recently ended and the most recent Fortune 500 publication then available.</w:t>
      </w:r>
    </w:p>
    <w:p>
      <w:pPr>
        <w:spacing w:after="0" w:line="164" w:lineRule="exact"/>
        <w:rPr>
          <w:rFonts w:ascii="Courier New" w:cs="Courier New" w:eastAsia="Courier New" w:hAnsi="Courier New"/>
          <w:sz w:val="14"/>
          <w:szCs w:val="14"/>
          <w:color w:val="auto"/>
        </w:rPr>
      </w:pPr>
    </w:p>
    <w:p>
      <w:pPr>
        <w:ind w:left="335" w:right="3719" w:hanging="335"/>
        <w:spacing w:after="0" w:line="239" w:lineRule="auto"/>
        <w:tabs>
          <w:tab w:leader="none" w:pos="33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62" w:lineRule="exact"/>
        <w:rPr>
          <w:rFonts w:ascii="Courier New" w:cs="Courier New" w:eastAsia="Courier New" w:hAnsi="Courier New"/>
          <w:sz w:val="14"/>
          <w:szCs w:val="14"/>
          <w:color w:val="auto"/>
        </w:rPr>
      </w:pPr>
    </w:p>
    <w:p>
      <w:pPr>
        <w:ind w:left="735" w:right="4139" w:hanging="406"/>
        <w:spacing w:after="0" w:line="236" w:lineRule="auto"/>
        <w:tabs>
          <w:tab w:leader="none" w:pos="735"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63" w:lineRule="exact"/>
        <w:rPr>
          <w:rFonts w:ascii="Courier New" w:cs="Courier New" w:eastAsia="Courier New" w:hAnsi="Courier New"/>
          <w:sz w:val="14"/>
          <w:szCs w:val="14"/>
          <w:color w:val="auto"/>
        </w:rPr>
      </w:pPr>
    </w:p>
    <w:p>
      <w:pPr>
        <w:ind w:left="735" w:right="3799" w:hanging="406"/>
        <w:spacing w:after="0" w:line="258" w:lineRule="auto"/>
        <w:tabs>
          <w:tab w:leader="none" w:pos="735" w:val="left"/>
        </w:tabs>
        <w:numPr>
          <w:ilvl w:val="1"/>
          <w:numId w:val="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number of shares to be subject to an option granted to a Participant (the "Option Amount") shall be determined by: multiplying</w:t>
      </w:r>
    </w:p>
    <w:p>
      <w:pPr>
        <w:ind w:left="735" w:right="3799"/>
        <w:spacing w:after="0" w:line="258"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(a) the estimated base compensation of the Participant during the first fiscal year of the Award Term, as determined by the Human Resources department of the Company, exclusive of any bonus or other incentive compensation but including deferred compensation; times (b) the performance factor described in subparagraph 5.c.i above; times</w:t>
      </w:r>
    </w:p>
    <w:p>
      <w:pPr>
        <w:spacing w:after="0" w:line="1" w:lineRule="exact"/>
        <w:rPr>
          <w:rFonts w:ascii="Courier New" w:cs="Courier New" w:eastAsia="Courier New" w:hAnsi="Courier New"/>
          <w:sz w:val="13"/>
          <w:szCs w:val="13"/>
          <w:color w:val="auto"/>
        </w:rPr>
      </w:pPr>
    </w:p>
    <w:p>
      <w:pPr>
        <w:ind w:left="735" w:right="3719"/>
        <w:spacing w:after="0" w:line="238"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(c) 1.0 for a one-year Award Term, 1.05 for a two-year Award Term, and 1.1 for a three-year Award Term; and dividing that result by (d) the Fair Market Value of one share of the Common Stock of the Company determined in accordance with subparagraph 6.d. hereof.</w:t>
      </w:r>
    </w:p>
    <w:p>
      <w:pPr>
        <w:spacing w:after="0" w:line="318" w:lineRule="exact"/>
        <w:rPr>
          <w:sz w:val="20"/>
          <w:szCs w:val="20"/>
          <w:color w:val="auto"/>
        </w:rPr>
      </w:pPr>
    </w:p>
    <w:p>
      <w:pPr>
        <w:ind w:left="3455"/>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5"/>
          </w:cols>
          <w:pgMar w:left="225" w:top="596" w:right="1440" w:bottom="1440" w:gutter="0" w:footer="0" w:header="0"/>
        </w:sectPr>
      </w:pPr>
    </w:p>
    <w:bookmarkStart w:id="45" w:name="page46"/>
    <w:bookmarkEnd w:id="45"/>
    <w:p>
      <w:pPr>
        <w:ind w:left="406" w:right="3719" w:hanging="406"/>
        <w:spacing w:after="0" w:line="239" w:lineRule="auto"/>
        <w:tabs>
          <w:tab w:leader="none" w:pos="40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6.b., the number of shares subject to an option shall be subject to reduction as follows: If the Company's Percentile Score (or average Percentile Score for a multiple year Award Term) as calculated in accordance with subparagraph 5.d.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5.d. above. Thus, if the Company does not achieve a performance equal to at least the 25th percentile as herein provided for the Award Term, the option shall expire automatically. The calculation required by this subparagraph shall be made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170" w:lineRule="exact"/>
        <w:rPr>
          <w:rFonts w:ascii="Courier New" w:cs="Courier New" w:eastAsia="Courier New" w:hAnsi="Courier New"/>
          <w:sz w:val="14"/>
          <w:szCs w:val="14"/>
          <w:color w:val="auto"/>
        </w:rPr>
      </w:pPr>
    </w:p>
    <w:p>
      <w:pPr>
        <w:ind w:left="406" w:right="3719" w:hanging="406"/>
        <w:spacing w:after="0" w:line="239" w:lineRule="auto"/>
        <w:tabs>
          <w:tab w:leader="none" w:pos="40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per share under any option shall be the Fair Market Value of one share of the Common Stock of the Company. The Fair Market Value of one share of the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63" w:lineRule="exact"/>
        <w:rPr>
          <w:rFonts w:ascii="Courier New" w:cs="Courier New" w:eastAsia="Courier New" w:hAnsi="Courier New"/>
          <w:sz w:val="14"/>
          <w:szCs w:val="14"/>
          <w:color w:val="auto"/>
        </w:rPr>
      </w:pPr>
    </w:p>
    <w:p>
      <w:pPr>
        <w:ind w:left="406" w:right="3719" w:hanging="406"/>
        <w:spacing w:after="0" w:line="239" w:lineRule="auto"/>
        <w:tabs>
          <w:tab w:leader="none" w:pos="40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with respect to any Performance Award, or the portion thereof which remains after application of subparagraph 6.c. above, shall become exercisable on the date the Committee notifies the Participants in accordance with subparagraph 6.c., and may be exercised until 90 days following the Company's public year-end earnings announcement.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6.c. shall not be applicable.</w:t>
      </w:r>
    </w:p>
    <w:p>
      <w:pPr>
        <w:spacing w:after="0" w:line="165" w:lineRule="exact"/>
        <w:rPr>
          <w:rFonts w:ascii="Courier New" w:cs="Courier New" w:eastAsia="Courier New" w:hAnsi="Courier New"/>
          <w:sz w:val="14"/>
          <w:szCs w:val="14"/>
          <w:color w:val="auto"/>
        </w:rPr>
      </w:pPr>
    </w:p>
    <w:p>
      <w:pPr>
        <w:ind w:left="406" w:right="3719" w:hanging="406"/>
        <w:spacing w:after="0" w:line="238" w:lineRule="auto"/>
        <w:tabs>
          <w:tab w:leader="none" w:pos="406"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6.e. above.</w:t>
      </w:r>
    </w:p>
    <w:p>
      <w:pPr>
        <w:spacing w:after="0" w:line="319" w:lineRule="exact"/>
        <w:rPr>
          <w:sz w:val="20"/>
          <w:szCs w:val="20"/>
          <w:color w:val="auto"/>
        </w:rPr>
      </w:pPr>
    </w:p>
    <w:p>
      <w:pPr>
        <w:ind w:left="3126"/>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905"/>
          </w:cols>
          <w:pgMar w:left="554" w:top="596" w:right="1440" w:bottom="1440" w:gutter="0" w:footer="0" w:header="0"/>
        </w:sectPr>
      </w:pPr>
    </w:p>
    <w:bookmarkStart w:id="46" w:name="page47"/>
    <w:bookmarkEnd w:id="46"/>
    <w:p>
      <w:pPr>
        <w:jc w:val="center"/>
        <w:ind w:right="3139"/>
        <w:spacing w:after="0"/>
        <w:rPr>
          <w:sz w:val="20"/>
          <w:szCs w:val="20"/>
          <w:color w:val="auto"/>
        </w:rPr>
      </w:pPr>
      <w:r>
        <w:rPr>
          <w:rFonts w:ascii="Courier New" w:cs="Courier New" w:eastAsia="Courier New" w:hAnsi="Courier New"/>
          <w:sz w:val="14"/>
          <w:szCs w:val="14"/>
          <w:color w:val="auto"/>
        </w:rPr>
        <w:t>THE TORO COMPANY</w:t>
      </w:r>
    </w:p>
    <w:p>
      <w:pPr>
        <w:jc w:val="center"/>
        <w:ind w:right="3219"/>
        <w:spacing w:after="0"/>
        <w:rPr>
          <w:sz w:val="20"/>
          <w:szCs w:val="20"/>
          <w:color w:val="auto"/>
        </w:rPr>
      </w:pPr>
      <w:r>
        <w:rPr>
          <w:rFonts w:ascii="Courier New" w:cs="Courier New" w:eastAsia="Courier New" w:hAnsi="Courier New"/>
          <w:sz w:val="14"/>
          <w:szCs w:val="14"/>
          <w:color w:val="auto"/>
        </w:rPr>
        <w:t>SUPPLEMENTAL MANAGEMENT RETIREMENT PLAN</w:t>
      </w:r>
    </w:p>
    <w:p>
      <w:pPr>
        <w:spacing w:after="0" w:line="163"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The Toro Company hereby amends and restates its Supplemental Management Retirement Plan originally effective as of August 1, 1989, and amended and restated on November 6, 1991. This amendment and restatement is effective as of January 1, 1996. The Supplemental Management Retirement Plan is maintained by The Toro Company for the purpose of providing benefits for certain of its employees who participate in The Toro Company's Pension Plan or Profit Sharing Plan or in both such plans in excess of the limitations on benefits and contributions imposed by Section 401(a)(17) or Section 415 of the Internal Revenue Code on plans to which those sections apply.</w:t>
      </w:r>
    </w:p>
    <w:p>
      <w:pPr>
        <w:spacing w:after="0" w:line="31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ARTICLE I</w:t>
      </w:r>
    </w:p>
    <w:p>
      <w:pPr>
        <w:jc w:val="center"/>
        <w:ind w:right="3219"/>
        <w:spacing w:after="0"/>
        <w:rPr>
          <w:sz w:val="20"/>
          <w:szCs w:val="20"/>
          <w:color w:val="auto"/>
        </w:rPr>
      </w:pPr>
      <w:r>
        <w:rPr>
          <w:rFonts w:ascii="Courier New" w:cs="Courier New" w:eastAsia="Courier New" w:hAnsi="Courier New"/>
          <w:sz w:val="14"/>
          <w:szCs w:val="14"/>
          <w:color w:val="auto"/>
        </w:rPr>
        <w:t>DEFINITIONS</w:t>
      </w:r>
    </w:p>
    <w:p>
      <w:pPr>
        <w:spacing w:after="0" w:line="321"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Section 1.1 When used in this Plan document, the following terms have the meanings indicated unless a different meaning is plainly required by the context.</w:t>
      </w:r>
    </w:p>
    <w:p>
      <w:pPr>
        <w:spacing w:after="0" w:line="164" w:lineRule="exact"/>
        <w:rPr>
          <w:sz w:val="20"/>
          <w:szCs w:val="20"/>
          <w:color w:val="auto"/>
        </w:rPr>
      </w:pPr>
    </w:p>
    <w:p>
      <w:pPr>
        <w:ind w:right="3639" w:firstLine="330"/>
        <w:spacing w:after="0" w:line="238" w:lineRule="auto"/>
        <w:rPr>
          <w:sz w:val="20"/>
          <w:szCs w:val="20"/>
          <w:color w:val="auto"/>
        </w:rPr>
      </w:pPr>
      <w:r>
        <w:rPr>
          <w:rFonts w:ascii="Courier New" w:cs="Courier New" w:eastAsia="Courier New" w:hAnsi="Courier New"/>
          <w:sz w:val="14"/>
          <w:szCs w:val="14"/>
          <w:color w:val="auto"/>
        </w:rPr>
        <w:t>"Affiliate or Associate", for purposes of the definition of Change of Control, shall have the respective meanings ascribed to such terms in Rule 12b-2 of the General Rules and Regulations under the Securities Exchange Act of 1934, as amended (hereinafter referred to as the "Exchange Act").</w:t>
      </w:r>
    </w:p>
    <w:p>
      <w:pPr>
        <w:spacing w:after="0" w:line="164" w:lineRule="exact"/>
        <w:rPr>
          <w:sz w:val="20"/>
          <w:szCs w:val="20"/>
          <w:color w:val="auto"/>
        </w:rPr>
      </w:pPr>
    </w:p>
    <w:p>
      <w:pPr>
        <w:ind w:right="3639" w:firstLine="330"/>
        <w:spacing w:after="0" w:line="237" w:lineRule="auto"/>
        <w:rPr>
          <w:sz w:val="20"/>
          <w:szCs w:val="20"/>
          <w:color w:val="auto"/>
        </w:rPr>
      </w:pPr>
      <w:r>
        <w:rPr>
          <w:rFonts w:ascii="Courier New" w:cs="Courier New" w:eastAsia="Courier New" w:hAnsi="Courier New"/>
          <w:sz w:val="14"/>
          <w:szCs w:val="14"/>
          <w:color w:val="auto"/>
        </w:rPr>
        <w:t>"Beneficiary" means the person or persons selected by the Participant on a form provided by the Company to receive the benefits provided under this Plan in the event of the Participant's death.</w:t>
      </w:r>
    </w:p>
    <w:p>
      <w:pPr>
        <w:spacing w:after="0" w:line="164"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"Beneficial Owner", for purposes of the definition of Change of Control, a Person shall be deemed the "Beneficial Owner" of and shall be deemed to "beneficially own" any securities:</w:t>
      </w:r>
    </w:p>
    <w:p>
      <w:pPr>
        <w:spacing w:after="0" w:line="164" w:lineRule="exact"/>
        <w:rPr>
          <w:sz w:val="20"/>
          <w:szCs w:val="20"/>
          <w:color w:val="auto"/>
        </w:rPr>
      </w:pPr>
    </w:p>
    <w:p>
      <w:pPr>
        <w:ind w:left="340" w:right="4459" w:firstLine="407"/>
        <w:spacing w:after="0" w:line="236" w:lineRule="auto"/>
        <w:tabs>
          <w:tab w:leader="none" w:pos="1247"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directly or indirectly;</w:t>
      </w:r>
    </w:p>
    <w:p>
      <w:pPr>
        <w:spacing w:after="0" w:line="163" w:lineRule="exact"/>
        <w:rPr>
          <w:rFonts w:ascii="Courier New" w:cs="Courier New" w:eastAsia="Courier New" w:hAnsi="Courier New"/>
          <w:sz w:val="14"/>
          <w:szCs w:val="14"/>
          <w:color w:val="auto"/>
        </w:rPr>
      </w:pPr>
    </w:p>
    <w:p>
      <w:pPr>
        <w:ind w:left="340" w:right="3719" w:firstLine="407"/>
        <w:spacing w:after="0" w:line="258" w:lineRule="auto"/>
        <w:tabs>
          <w:tab w:leader="none" w:pos="1247" w:val="left"/>
        </w:tabs>
        <w:numPr>
          <w:ilvl w:val="1"/>
          <w:numId w:val="61"/>
        </w:numPr>
        <w:rPr>
          <w:rFonts w:ascii="Courier New" w:cs="Courier New" w:eastAsia="Courier New" w:hAnsi="Courier New"/>
          <w:sz w:val="13"/>
          <w:szCs w:val="13"/>
          <w:color w:val="auto"/>
        </w:rPr>
      </w:pPr>
      <w:r>
        <w:rPr>
          <w:rFonts w:ascii="Courier New" w:cs="Courier New" w:eastAsia="Courier New" w:hAnsi="Courier New"/>
          <w:sz w:val="13"/>
          <w:szCs w:val="13"/>
          <w:color w:val="auto"/>
        </w:rPr>
        <w:t>which such Person or any of such Person's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w:t>
      </w:r>
    </w:p>
    <w:p>
      <w:pPr>
        <w:ind w:left="740" w:hanging="406"/>
        <w:spacing w:after="0"/>
        <w:tabs>
          <w:tab w:leader="none" w:pos="7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ectPr>
          <w:pgSz w:w="11900" w:h="16838" w:orient="portrait"/>
          <w:cols w:equalWidth="0" w:num="1">
            <w:col w:w="10239"/>
          </w:cols>
          <w:pgMar w:left="220" w:top="613" w:right="1440" w:bottom="1440" w:gutter="0" w:footer="0" w:header="0"/>
        </w:sectPr>
      </w:pPr>
    </w:p>
    <w:bookmarkStart w:id="47" w:name="page48"/>
    <w:bookmarkEnd w:id="47"/>
    <w:p>
      <w:pPr>
        <w:ind w:left="340" w:right="3879"/>
        <w:spacing w:after="0" w:line="239" w:lineRule="auto"/>
        <w:rPr>
          <w:sz w:val="20"/>
          <w:szCs w:val="20"/>
          <w:color w:val="auto"/>
        </w:rPr>
      </w:pPr>
      <w:r>
        <w:rPr>
          <w:rFonts w:ascii="Courier New" w:cs="Courier New" w:eastAsia="Courier New" w:hAnsi="Courier New"/>
          <w:sz w:val="14"/>
          <w:szCs w:val="14"/>
          <w:color w:val="auto"/>
        </w:rPr>
        <w:t>right to vote pursuant to any agreement, arrangement or understanding, provided, however, that a Person shall not be deemed the Beneficial Owner of, or to beneficially own, any security if the agreement, arrangement or understanding to vote such security (A) arises solely from a revocable proxy or consent given to such Person in response to a public proxy or consent solicitation made pursuant to, and in accordance with, the applicable rules and regulations of the Exchange Act and (B) is not also then reportable on Schedule 13D under the Exchange Act (or any comparable or successor report); or</w:t>
      </w:r>
    </w:p>
    <w:p>
      <w:pPr>
        <w:spacing w:after="0" w:line="164" w:lineRule="exact"/>
        <w:rPr>
          <w:sz w:val="20"/>
          <w:szCs w:val="20"/>
          <w:color w:val="auto"/>
        </w:rPr>
      </w:pPr>
    </w:p>
    <w:p>
      <w:pPr>
        <w:ind w:left="340" w:right="3799" w:firstLine="407"/>
        <w:spacing w:after="0" w:line="238" w:lineRule="auto"/>
        <w:tabs>
          <w:tab w:leader="none" w:pos="124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such Person's Affiliates or Associates has any agreement, arrangement or understanding for the purpose of acquiring, holding, voting (except to the extent contemplated by the proviso to subsection (b) herein) or disposing of any securities of the Company.</w:t>
      </w:r>
    </w:p>
    <w:p>
      <w:pPr>
        <w:spacing w:after="0" w:line="166"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"Change of Control" shall mean the earliest to occur of (a) a public announcement that a Person and/or Affiliates and Associates of such Person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Person of 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of any parent of or successor to the Company.</w:t>
      </w:r>
    </w:p>
    <w:p>
      <w:pPr>
        <w:spacing w:after="0" w:line="16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63" w:lineRule="exact"/>
        <w:rPr>
          <w:sz w:val="20"/>
          <w:szCs w:val="20"/>
          <w:color w:val="auto"/>
        </w:rPr>
      </w:pPr>
    </w:p>
    <w:p>
      <w:pPr>
        <w:ind w:right="3879" w:firstLine="330"/>
        <w:spacing w:after="0" w:line="236" w:lineRule="auto"/>
        <w:rPr>
          <w:sz w:val="20"/>
          <w:szCs w:val="20"/>
          <w:color w:val="auto"/>
        </w:rPr>
      </w:pPr>
      <w:r>
        <w:rPr>
          <w:rFonts w:ascii="Courier New" w:cs="Courier New" w:eastAsia="Courier New" w:hAnsi="Courier New"/>
          <w:sz w:val="14"/>
          <w:szCs w:val="14"/>
          <w:color w:val="auto"/>
        </w:rPr>
        <w:t>"Committee" means the Compensation Committee of the Board of Directors of the Company, or any successor committee.</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"Company" means The Toro Company.</w:t>
      </w:r>
    </w:p>
    <w:p>
      <w:pPr>
        <w:spacing w:after="0" w:line="163" w:lineRule="exact"/>
        <w:rPr>
          <w:sz w:val="20"/>
          <w:szCs w:val="20"/>
          <w:color w:val="auto"/>
        </w:rPr>
      </w:pPr>
    </w:p>
    <w:p>
      <w:pPr>
        <w:ind w:right="3879" w:firstLine="330"/>
        <w:spacing w:after="0" w:line="237" w:lineRule="auto"/>
        <w:rPr>
          <w:sz w:val="20"/>
          <w:szCs w:val="20"/>
          <w:color w:val="auto"/>
        </w:rPr>
      </w:pPr>
      <w:r>
        <w:rPr>
          <w:rFonts w:ascii="Courier New" w:cs="Courier New" w:eastAsia="Courier New" w:hAnsi="Courier New"/>
          <w:sz w:val="14"/>
          <w:szCs w:val="14"/>
          <w:color w:val="auto"/>
        </w:rPr>
        <w:t>"Compensation" means compensation as defined in the Profit Sharing Plan plus any deferred compensation under The Toro Company Supplemental Retirement Plan.</w:t>
      </w:r>
    </w:p>
    <w:p>
      <w:pPr>
        <w:spacing w:after="0" w:line="164" w:lineRule="exact"/>
        <w:rPr>
          <w:sz w:val="20"/>
          <w:szCs w:val="20"/>
          <w:color w:val="auto"/>
        </w:rPr>
      </w:pPr>
    </w:p>
    <w:p>
      <w:pPr>
        <w:ind w:right="3959" w:firstLine="330"/>
        <w:spacing w:after="0" w:line="236" w:lineRule="auto"/>
        <w:rPr>
          <w:sz w:val="20"/>
          <w:szCs w:val="20"/>
          <w:color w:val="auto"/>
        </w:rPr>
      </w:pPr>
      <w:r>
        <w:rPr>
          <w:rFonts w:ascii="Courier New" w:cs="Courier New" w:eastAsia="Courier New" w:hAnsi="Courier New"/>
          <w:sz w:val="14"/>
          <w:szCs w:val="14"/>
          <w:color w:val="auto"/>
        </w:rPr>
        <w:t>"Eligibility Service" means eligibility service as defined in the Profit Sharing Plan.</w:t>
      </w:r>
    </w:p>
    <w:p>
      <w:pPr>
        <w:spacing w:after="0" w:line="164" w:lineRule="exact"/>
        <w:rPr>
          <w:sz w:val="20"/>
          <w:szCs w:val="20"/>
          <w:color w:val="auto"/>
        </w:rPr>
      </w:pPr>
    </w:p>
    <w:p>
      <w:pPr>
        <w:ind w:right="4219" w:firstLine="330"/>
        <w:spacing w:after="0" w:line="236" w:lineRule="auto"/>
        <w:rPr>
          <w:sz w:val="20"/>
          <w:szCs w:val="20"/>
          <w:color w:val="auto"/>
        </w:rPr>
      </w:pPr>
      <w:r>
        <w:rPr>
          <w:rFonts w:ascii="Courier New" w:cs="Courier New" w:eastAsia="Courier New" w:hAnsi="Courier New"/>
          <w:sz w:val="14"/>
          <w:szCs w:val="14"/>
          <w:color w:val="auto"/>
        </w:rPr>
        <w:t>"ERISA" means the Employee Retirement Income Security Act of 1974, as amended.</w:t>
      </w: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54" w:right="1440" w:bottom="1440" w:gutter="0" w:footer="0" w:header="0"/>
        </w:sectPr>
      </w:pPr>
    </w:p>
    <w:bookmarkStart w:id="48" w:name="page49"/>
    <w:bookmarkEnd w:id="48"/>
    <w:p>
      <w:pPr>
        <w:ind w:left="340"/>
        <w:spacing w:after="0"/>
        <w:rPr>
          <w:sz w:val="20"/>
          <w:szCs w:val="20"/>
          <w:color w:val="auto"/>
        </w:rPr>
      </w:pPr>
      <w:r>
        <w:rPr>
          <w:rFonts w:ascii="Courier New" w:cs="Courier New" w:eastAsia="Courier New" w:hAnsi="Courier New"/>
          <w:sz w:val="13"/>
          <w:szCs w:val="13"/>
          <w:color w:val="auto"/>
        </w:rPr>
        <w:t>"Participant" means any key employee described in Article II of this Plan.</w:t>
      </w:r>
    </w:p>
    <w:p>
      <w:pPr>
        <w:spacing w:after="0" w:line="170"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"Pension Plan" means The Toro Company Retirement Plan for Office and Hourly Employees (the successor of The Toro Company Retirement Plan for Office Employees) or any successor or replacement plan.</w:t>
      </w:r>
    </w:p>
    <w:p>
      <w:pPr>
        <w:spacing w:after="0" w:line="164" w:lineRule="exact"/>
        <w:rPr>
          <w:sz w:val="20"/>
          <w:szCs w:val="20"/>
          <w:color w:val="auto"/>
        </w:rPr>
      </w:pPr>
    </w:p>
    <w:p>
      <w:pPr>
        <w:ind w:right="3719" w:firstLine="330"/>
        <w:spacing w:after="0" w:line="260" w:lineRule="auto"/>
        <w:rPr>
          <w:sz w:val="20"/>
          <w:szCs w:val="20"/>
          <w:color w:val="auto"/>
        </w:rPr>
      </w:pPr>
      <w:r>
        <w:rPr>
          <w:rFonts w:ascii="Courier New" w:cs="Courier New" w:eastAsia="Courier New" w:hAnsi="Courier New"/>
          <w:sz w:val="13"/>
          <w:szCs w:val="13"/>
          <w:color w:val="auto"/>
        </w:rPr>
        <w:t>"Person" means, for purposes of the definition of Change of Control, any individual, corporation, partnership, trust or other entity, and shall include any successor (by merger or otherwise) of such entity. "Person" does not include the Company, any Subsidiary of the Company or any employee benefit plan of the Company or of any Subsidiary, or any entity holding shares of common stock of the Company for or pursuant to the terms of any such plan.</w:t>
      </w:r>
    </w:p>
    <w:p>
      <w:pPr>
        <w:spacing w:after="0" w:line="153" w:lineRule="exact"/>
        <w:rPr>
          <w:sz w:val="20"/>
          <w:szCs w:val="20"/>
          <w:color w:val="auto"/>
        </w:rPr>
      </w:pPr>
    </w:p>
    <w:p>
      <w:pPr>
        <w:ind w:right="3879" w:firstLine="330"/>
        <w:spacing w:after="0" w:line="270" w:lineRule="auto"/>
        <w:rPr>
          <w:sz w:val="20"/>
          <w:szCs w:val="20"/>
          <w:color w:val="auto"/>
        </w:rPr>
      </w:pPr>
      <w:r>
        <w:rPr>
          <w:rFonts w:ascii="Courier New" w:cs="Courier New" w:eastAsia="Courier New" w:hAnsi="Courier New"/>
          <w:sz w:val="13"/>
          <w:szCs w:val="13"/>
          <w:color w:val="auto"/>
        </w:rPr>
        <w:t>"Plan" means The Toro Company Supplemental Management Retirement Plan, as of its original effective date, including any subsequent amendments thereto.</w:t>
      </w:r>
    </w:p>
    <w:p>
      <w:pPr>
        <w:spacing w:after="0" w:line="14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"Plan Year" means the calendar year.</w:t>
      </w:r>
    </w:p>
    <w:p>
      <w:pPr>
        <w:spacing w:after="0" w:line="163" w:lineRule="exact"/>
        <w:rPr>
          <w:sz w:val="20"/>
          <w:szCs w:val="20"/>
          <w:color w:val="auto"/>
        </w:rPr>
      </w:pPr>
    </w:p>
    <w:p>
      <w:pPr>
        <w:ind w:right="3959" w:firstLine="330"/>
        <w:spacing w:after="0" w:line="237" w:lineRule="auto"/>
        <w:rPr>
          <w:sz w:val="20"/>
          <w:szCs w:val="20"/>
          <w:color w:val="auto"/>
        </w:rPr>
      </w:pPr>
      <w:r>
        <w:rPr>
          <w:rFonts w:ascii="Courier New" w:cs="Courier New" w:eastAsia="Courier New" w:hAnsi="Courier New"/>
          <w:sz w:val="14"/>
          <w:szCs w:val="14"/>
          <w:color w:val="auto"/>
        </w:rPr>
        <w:t>"Profit Sharing Plan" means The Toro Company Investment and Savings Plan (prior to August 1, 1995, The Toro Company Profit-Sharing Plan for Office Employees) or any successor or replacement plan.</w:t>
      </w:r>
    </w:p>
    <w:p>
      <w:pPr>
        <w:spacing w:after="0" w:line="164"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"Subsidiary" shall mean, for purposes of the definition of Change of Control, any corporation which is a component member of the controlled group of corporations of which the Company is the common parent. Controlled group shall be determined by reference to Section 1563 of the Code but including any corporation described in Section 1563(b)(2) thereof.</w:t>
      </w:r>
    </w:p>
    <w:p>
      <w:pPr>
        <w:spacing w:after="0" w:line="165" w:lineRule="exact"/>
        <w:rPr>
          <w:sz w:val="20"/>
          <w:szCs w:val="20"/>
          <w:color w:val="auto"/>
        </w:rPr>
      </w:pPr>
    </w:p>
    <w:p>
      <w:pPr>
        <w:ind w:right="3799" w:firstLine="330"/>
        <w:spacing w:after="0" w:line="236" w:lineRule="auto"/>
        <w:rPr>
          <w:sz w:val="20"/>
          <w:szCs w:val="20"/>
          <w:color w:val="auto"/>
        </w:rPr>
      </w:pPr>
      <w:r>
        <w:rPr>
          <w:rFonts w:ascii="Courier New" w:cs="Courier New" w:eastAsia="Courier New" w:hAnsi="Courier New"/>
          <w:sz w:val="14"/>
          <w:szCs w:val="14"/>
          <w:color w:val="auto"/>
        </w:rPr>
        <w:t>"Surviving Spouse" means the person who is married to a Participant at the date of his or her death and for at least one year prior thereto.</w:t>
      </w:r>
    </w:p>
    <w:p>
      <w:pPr>
        <w:spacing w:after="0" w:line="164" w:lineRule="exact"/>
        <w:rPr>
          <w:sz w:val="20"/>
          <w:szCs w:val="20"/>
          <w:color w:val="auto"/>
        </w:rPr>
      </w:pPr>
    </w:p>
    <w:p>
      <w:pPr>
        <w:ind w:right="3879" w:firstLine="330"/>
        <w:spacing w:after="0" w:line="238" w:lineRule="auto"/>
        <w:rPr>
          <w:sz w:val="20"/>
          <w:szCs w:val="20"/>
          <w:color w:val="auto"/>
        </w:rPr>
      </w:pPr>
      <w:r>
        <w:rPr>
          <w:rFonts w:ascii="Courier New" w:cs="Courier New" w:eastAsia="Courier New" w:hAnsi="Courier New"/>
          <w:sz w:val="14"/>
          <w:szCs w:val="14"/>
          <w:color w:val="auto"/>
        </w:rPr>
        <w:t>"Trust" means the trust established or maintained by the Company which is used in connection with this Plan to assist the Company in meeting its obligations under the Plan and which is hereby incorporated into the Plan by this reference.</w:t>
      </w:r>
    </w:p>
    <w:p>
      <w:pPr>
        <w:spacing w:after="0" w:line="164" w:lineRule="exact"/>
        <w:rPr>
          <w:sz w:val="20"/>
          <w:szCs w:val="20"/>
          <w:color w:val="auto"/>
        </w:rPr>
      </w:pPr>
    </w:p>
    <w:p>
      <w:pPr>
        <w:ind w:right="3959" w:firstLine="330"/>
        <w:spacing w:after="0" w:line="236" w:lineRule="auto"/>
        <w:rPr>
          <w:sz w:val="20"/>
          <w:szCs w:val="20"/>
          <w:color w:val="auto"/>
        </w:rPr>
      </w:pPr>
      <w:r>
        <w:rPr>
          <w:rFonts w:ascii="Courier New" w:cs="Courier New" w:eastAsia="Courier New" w:hAnsi="Courier New"/>
          <w:sz w:val="14"/>
          <w:szCs w:val="14"/>
          <w:color w:val="auto"/>
        </w:rPr>
        <w:t>"Trustee" means the corporation or individual selected by the Company to serve as Trustee for the Trust.</w:t>
      </w:r>
    </w:p>
    <w:p>
      <w:pPr>
        <w:spacing w:after="0" w:line="164" w:lineRule="exact"/>
        <w:rPr>
          <w:sz w:val="20"/>
          <w:szCs w:val="20"/>
          <w:color w:val="auto"/>
        </w:rPr>
      </w:pPr>
    </w:p>
    <w:p>
      <w:pPr>
        <w:ind w:right="3959" w:firstLine="330"/>
        <w:spacing w:after="0" w:line="236" w:lineRule="auto"/>
        <w:rPr>
          <w:sz w:val="20"/>
          <w:szCs w:val="20"/>
          <w:color w:val="auto"/>
        </w:rPr>
      </w:pPr>
      <w:r>
        <w:rPr>
          <w:rFonts w:ascii="Courier New" w:cs="Courier New" w:eastAsia="Courier New" w:hAnsi="Courier New"/>
          <w:sz w:val="14"/>
          <w:szCs w:val="14"/>
          <w:color w:val="auto"/>
        </w:rPr>
        <w:t>Section 1.2 The Company agrees to perform its obligations in accordance with the Plan.</w:t>
      </w:r>
    </w:p>
    <w:p>
      <w:pPr>
        <w:spacing w:after="0" w:line="164"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Section 1.3 Any term used in this Plan which is defined in the Plan shall have the meaning set forth in the Plan for all purposes of this Plan. The singular form of any word shall include</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596" w:right="1440" w:bottom="1440" w:gutter="0" w:footer="0" w:header="0"/>
        </w:sectPr>
      </w:pPr>
    </w:p>
    <w:bookmarkStart w:id="49" w:name="page50"/>
    <w:bookmarkEnd w:id="49"/>
    <w:p>
      <w:pPr>
        <w:ind w:right="4379"/>
        <w:spacing w:after="0" w:line="236" w:lineRule="auto"/>
        <w:rPr>
          <w:sz w:val="20"/>
          <w:szCs w:val="20"/>
          <w:color w:val="auto"/>
        </w:rPr>
      </w:pPr>
      <w:r>
        <w:rPr>
          <w:rFonts w:ascii="Courier New" w:cs="Courier New" w:eastAsia="Courier New" w:hAnsi="Courier New"/>
          <w:sz w:val="14"/>
          <w:szCs w:val="14"/>
          <w:color w:val="auto"/>
        </w:rPr>
        <w:t>the plural and the masculine gender shall include the feminine wherever necessary for the proper interpretation of this Plan.</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II</w:t>
      </w:r>
    </w:p>
    <w:p>
      <w:pPr>
        <w:ind w:left="2320"/>
        <w:spacing w:after="0"/>
        <w:rPr>
          <w:sz w:val="20"/>
          <w:szCs w:val="20"/>
          <w:color w:val="auto"/>
        </w:rPr>
      </w:pPr>
      <w:r>
        <w:rPr>
          <w:rFonts w:ascii="Courier New" w:cs="Courier New" w:eastAsia="Courier New" w:hAnsi="Courier New"/>
          <w:sz w:val="14"/>
          <w:szCs w:val="14"/>
          <w:color w:val="auto"/>
        </w:rPr>
        <w:t>ELIGIBILITY AND PARTICIPATION</w:t>
      </w:r>
    </w:p>
    <w:p>
      <w:pPr>
        <w:spacing w:after="0" w:line="163" w:lineRule="exact"/>
        <w:rPr>
          <w:sz w:val="20"/>
          <w:szCs w:val="20"/>
          <w:color w:val="auto"/>
        </w:rPr>
      </w:pPr>
    </w:p>
    <w:p>
      <w:pPr>
        <w:ind w:right="3879" w:firstLine="330"/>
        <w:spacing w:after="0" w:line="239" w:lineRule="auto"/>
        <w:rPr>
          <w:sz w:val="20"/>
          <w:szCs w:val="20"/>
          <w:color w:val="auto"/>
        </w:rPr>
      </w:pPr>
      <w:r>
        <w:rPr>
          <w:rFonts w:ascii="Courier New" w:cs="Courier New" w:eastAsia="Courier New" w:hAnsi="Courier New"/>
          <w:sz w:val="14"/>
          <w:szCs w:val="14"/>
          <w:color w:val="auto"/>
        </w:rPr>
        <w:t>Section 2.1 An employee who satisfies Section 2.2 and who is eligible to receive a benefit under the Company's Employee Stock Ownership Plan, the Pension Plan or the Profit Sharing Plan, the total amount of which is reduced by reason of the application of the limitations on contributions and benefits imposed by Section 401(a)(17) or Section 415 of the Code, as in effect on the date for either the allocation of contributions or the commencement of benefits, or as in effect at any time thereafter, shall be a Participant in the Plan.</w:t>
      </w:r>
    </w:p>
    <w:p>
      <w:pPr>
        <w:spacing w:after="0" w:line="164"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Section 2.2 Prior to August 1, 1994, a Participant in the Plan must be an executive at the level of Vice President or above or receiving annual Compensation equal to or greater than $200,000. On and after August 1, 1994, a Participant in the Plan must be an executive at the level of Vice President or above or receiving annual Compensation equal or greater than $150,000.</w:t>
      </w:r>
    </w:p>
    <w:p>
      <w:pPr>
        <w:spacing w:after="0" w:line="16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ARTICLE III</w:t>
      </w:r>
    </w:p>
    <w:p>
      <w:pPr>
        <w:ind w:left="2720"/>
        <w:spacing w:after="0"/>
        <w:rPr>
          <w:sz w:val="20"/>
          <w:szCs w:val="20"/>
          <w:color w:val="auto"/>
        </w:rPr>
      </w:pPr>
      <w:r>
        <w:rPr>
          <w:rFonts w:ascii="Courier New" w:cs="Courier New" w:eastAsia="Courier New" w:hAnsi="Courier New"/>
          <w:sz w:val="14"/>
          <w:szCs w:val="14"/>
          <w:color w:val="auto"/>
        </w:rPr>
        <w:t>SUPPLEMENTAL ACCOUNT</w:t>
      </w:r>
    </w:p>
    <w:p>
      <w:pPr>
        <w:spacing w:after="0" w:line="163"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Section 3.1 The Company shall establish and maintain an account for each Participant, or designated Beneficiary of the Participant upon the death of the Participant, and shall credit such account each Plan Year with an amount equal to the amount described in Section 3.2.</w:t>
      </w:r>
    </w:p>
    <w:p>
      <w:pPr>
        <w:spacing w:after="0" w:line="160" w:lineRule="exact"/>
        <w:rPr>
          <w:sz w:val="20"/>
          <w:szCs w:val="20"/>
          <w:color w:val="auto"/>
        </w:rPr>
      </w:pPr>
    </w:p>
    <w:p>
      <w:pPr>
        <w:ind w:left="340"/>
        <w:spacing w:after="0"/>
        <w:tabs>
          <w:tab w:leader="none" w:pos="1380" w:val="left"/>
        </w:tabs>
        <w:rPr>
          <w:sz w:val="20"/>
          <w:szCs w:val="20"/>
          <w:color w:val="auto"/>
        </w:rPr>
      </w:pPr>
      <w:r>
        <w:rPr>
          <w:rFonts w:ascii="Courier New" w:cs="Courier New" w:eastAsia="Courier New" w:hAnsi="Courier New"/>
          <w:sz w:val="14"/>
          <w:szCs w:val="14"/>
          <w:color w:val="auto"/>
        </w:rPr>
        <w:t>Section 3.2</w:t>
      </w:r>
      <w:r>
        <w:rPr>
          <w:sz w:val="20"/>
          <w:szCs w:val="20"/>
          <w:color w:val="auto"/>
        </w:rPr>
        <w:tab/>
      </w:r>
      <w:r>
        <w:rPr>
          <w:rFonts w:ascii="Courier New" w:cs="Courier New" w:eastAsia="Courier New" w:hAnsi="Courier New"/>
          <w:sz w:val="13"/>
          <w:szCs w:val="13"/>
          <w:color w:val="auto"/>
        </w:rPr>
        <w:t>The amount credited to each Participant's account pursuant to</w:t>
      </w:r>
    </w:p>
    <w:p>
      <w:pPr>
        <w:spacing w:after="0"/>
        <w:rPr>
          <w:sz w:val="20"/>
          <w:szCs w:val="20"/>
          <w:color w:val="auto"/>
        </w:rPr>
      </w:pPr>
      <w:r>
        <w:rPr>
          <w:rFonts w:ascii="Courier New" w:cs="Courier New" w:eastAsia="Courier New" w:hAnsi="Courier New"/>
          <w:sz w:val="14"/>
          <w:szCs w:val="14"/>
          <w:color w:val="auto"/>
        </w:rPr>
        <w:t>Section 3.1 shall be an amount equal to the difference between:</w:t>
      </w:r>
    </w:p>
    <w:p>
      <w:pPr>
        <w:spacing w:after="0" w:line="163" w:lineRule="exact"/>
        <w:rPr>
          <w:sz w:val="20"/>
          <w:szCs w:val="20"/>
          <w:color w:val="auto"/>
        </w:rPr>
      </w:pPr>
    </w:p>
    <w:p>
      <w:pPr>
        <w:ind w:left="340" w:right="3719" w:firstLine="407"/>
        <w:spacing w:after="0" w:line="260" w:lineRule="auto"/>
        <w:tabs>
          <w:tab w:leader="none" w:pos="1165" w:val="left"/>
        </w:tabs>
        <w:numPr>
          <w:ilvl w:val="0"/>
          <w:numId w:val="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aggregate amount of contributions and forfeitures which would have been allocated or reallocated with respect to the Participant under the Profit Sharing Plan and any other qualified plans that are defined contribution plans (as defined in Section 414(i) of the Code) maintained by the Company, based on the Participant's Compensation, and without regard to the limitations imposed by Section 401(a)(17) or Section 415 of the Code on the Profit Sharing Plan and such other qualified plans, and</w:t>
      </w:r>
    </w:p>
    <w:p>
      <w:pPr>
        <w:spacing w:after="0" w:line="151" w:lineRule="exact"/>
        <w:rPr>
          <w:rFonts w:ascii="Courier New" w:cs="Courier New" w:eastAsia="Courier New" w:hAnsi="Courier New"/>
          <w:sz w:val="13"/>
          <w:szCs w:val="13"/>
          <w:color w:val="auto"/>
        </w:rPr>
      </w:pPr>
    </w:p>
    <w:p>
      <w:pPr>
        <w:ind w:left="340" w:right="3879" w:firstLine="407"/>
        <w:spacing w:after="0" w:line="238" w:lineRule="auto"/>
        <w:tabs>
          <w:tab w:leader="none" w:pos="116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actually allocated or reallocated with respect to the Participant under such qualified plans and any credits made under a nonqualified deferred compensation plan maintained by the Company to replace amounts that would have been credited under such qualified plans had the Participant</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596" w:right="1440" w:bottom="1440" w:gutter="0" w:footer="0" w:header="0"/>
        </w:sectPr>
      </w:pPr>
    </w:p>
    <w:bookmarkStart w:id="50" w:name="page51"/>
    <w:bookmarkEnd w:id="50"/>
    <w:p>
      <w:pPr>
        <w:ind w:left="340" w:right="3879"/>
        <w:spacing w:after="0" w:line="236" w:lineRule="auto"/>
        <w:rPr>
          <w:sz w:val="20"/>
          <w:szCs w:val="20"/>
          <w:color w:val="auto"/>
        </w:rPr>
      </w:pPr>
      <w:r>
        <w:rPr>
          <w:rFonts w:ascii="Courier New" w:cs="Courier New" w:eastAsia="Courier New" w:hAnsi="Courier New"/>
          <w:sz w:val="14"/>
          <w:szCs w:val="14"/>
          <w:color w:val="auto"/>
        </w:rPr>
        <w:t>not deferred compensation under such a nonqualified deferred compensation plan.</w:t>
      </w:r>
    </w:p>
    <w:p>
      <w:pPr>
        <w:spacing w:after="0" w:line="164"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Section 3.3 For purposes of determining the amount which would have been allocated with respect to a Participant under a qualified defined contribution plan that contains a contribution formula, that formula will be used for purposes of determining the amount to be credited to the Participant under Section 3.2 above. For purposes of determining the amount which would have been allocated with respect to a Participant under a qualified defined contribution plan, other than the Company's Employee Stock Ownership Plan, pursuant to a plan contribution and allocation feature which does not specify the amount to be contributed on behalf of the Participant and under which allocations are made in proportion to compensation, such amount shall be deemed to be proportionate to the ratio of the actual contribution made to such plan over the compensation taken into account under such plan, provided, however, if such plan is integrated with social security, separate calculations should be made with respect to compensation above and below the integration level. For purposes of determining the amount which is to be credited with respect to the Company's Employee Stock Ownership Plan (the "ESOP"), such amount, which shall be based on the value of the Company's common stock and shall not require an allocation of stock, shall be determined by multiplying the difference (which shall not be less than zero) between the Participant's Compensation for the Plan Year and the compensation limit under Section 401(a)(17) of the Code, indexed for cost of living increases, by the actual rate of ESOP allocations calculated each year for Participants.</w:t>
      </w:r>
    </w:p>
    <w:p>
      <w:pPr>
        <w:spacing w:after="0" w:line="172" w:lineRule="exact"/>
        <w:rPr>
          <w:sz w:val="20"/>
          <w:szCs w:val="20"/>
          <w:color w:val="auto"/>
        </w:rPr>
      </w:pPr>
    </w:p>
    <w:p>
      <w:pPr>
        <w:jc w:val="both"/>
        <w:ind w:right="3799" w:firstLine="330"/>
        <w:spacing w:after="0" w:line="264" w:lineRule="auto"/>
        <w:rPr>
          <w:sz w:val="20"/>
          <w:szCs w:val="20"/>
          <w:color w:val="auto"/>
        </w:rPr>
      </w:pPr>
      <w:r>
        <w:rPr>
          <w:rFonts w:ascii="Courier New" w:cs="Courier New" w:eastAsia="Courier New" w:hAnsi="Courier New"/>
          <w:sz w:val="13"/>
          <w:szCs w:val="13"/>
          <w:color w:val="auto"/>
        </w:rPr>
        <w:t>Section 3.4 Amounts credited to a Participant's account for any Plan Year pursuant to the terms of the Plan shall be credited as of the end of such Plan Year to the account maintained under the Plan in the name of such Participant.</w:t>
      </w:r>
    </w:p>
    <w:p>
      <w:pPr>
        <w:spacing w:after="0" w:line="148"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Section 3.5 Amounts credited under the terms of the Plan to an account maintained for a Participant shall be credited with interest at a rate and in the manner determined by the Company to be consistent with that credited under the Company's deferred compensation agreements with its executive personnel and as described in the Trust, and such interest shall be credited to the account of each Participant as of the end of each calendar year quarter or at any other time as determined by the Chief Financial Officer of the Company or other officer authorized to act on behalf of the Company. However, at any time on or after the date on which the sum of a Participant's age and the Participant's years of Eligibility Service with the Company equals sixty (60), the Participant may, by providing written instructions to the Company, request that the Trustee invest a certain percentage of his or her account in one of the investment vehicles made available by the Company under the Trust. The Participant may change his or her investment preference on the first day of a calendar year and on</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596" w:right="1440" w:bottom="1440" w:gutter="0" w:footer="0" w:header="0"/>
        </w:sectPr>
      </w:pPr>
    </w:p>
    <w:bookmarkStart w:id="51" w:name="page52"/>
    <w:bookmarkEnd w:id="51"/>
    <w:p>
      <w:pPr>
        <w:ind w:right="3639"/>
        <w:spacing w:after="0" w:line="239" w:lineRule="auto"/>
        <w:rPr>
          <w:sz w:val="20"/>
          <w:szCs w:val="20"/>
          <w:color w:val="auto"/>
        </w:rPr>
      </w:pPr>
      <w:r>
        <w:rPr>
          <w:rFonts w:ascii="Courier New" w:cs="Courier New" w:eastAsia="Courier New" w:hAnsi="Courier New"/>
          <w:sz w:val="14"/>
          <w:szCs w:val="14"/>
          <w:color w:val="auto"/>
        </w:rPr>
        <w:t>the first day of the seventh month of a calendar year and more frequently as so permitted by the Company. The investment vehicles which shall be made available to the Participants shall be selected by the Chief Financial Officer or other officer authorized to act on behalf of the Company. A Participant's investment preference shall remain in effect until receipt by the Trust from the Company of a Participant's request changing or revoking the investment preference then in effect. Any expense incurred in connection with the investment option shall be charged against the Participant's account. The investment vehicles made available by the Company under the Trust shall be determined by the Company in its sole discretion, except that the one such investment vehicle shall provide a fixed rate of interest through investment in fixed income mutual funds or common trust funds, U.S. Bonds, certificates of deposit, annuity contracts, or such other similar investments.</w:t>
      </w:r>
    </w:p>
    <w:p>
      <w:pPr>
        <w:spacing w:after="0" w:line="167" w:lineRule="exact"/>
        <w:rPr>
          <w:sz w:val="20"/>
          <w:szCs w:val="20"/>
          <w:color w:val="auto"/>
        </w:rPr>
      </w:pPr>
    </w:p>
    <w:p>
      <w:pPr>
        <w:ind w:right="3639" w:firstLine="742"/>
        <w:spacing w:after="0" w:line="239" w:lineRule="auto"/>
        <w:rPr>
          <w:sz w:val="20"/>
          <w:szCs w:val="20"/>
          <w:color w:val="auto"/>
        </w:rPr>
      </w:pPr>
      <w:r>
        <w:rPr>
          <w:rFonts w:ascii="Courier New" w:cs="Courier New" w:eastAsia="Courier New" w:hAnsi="Courier New"/>
          <w:sz w:val="14"/>
          <w:szCs w:val="14"/>
          <w:color w:val="auto"/>
        </w:rPr>
        <w:t>Section 3.6 If a Participant participates in the investment of amounts in his or her account under the Trust as permitted under the Plan and the Trust, that portion of the Participant's accounts will be credited with earnings or losses based entirely upon the earnings or losses attributable to such investments. The Company shall not be required to credit that portion of the account subject to such investment election with interest, as described in Section 3.5, and the Company shall not be required to credit that portion of the account subject to such investment election with an amount equal to the difference obtained from subtracting the earnings or losses on such investments from the interest rate described in Section 3.5. If a Participant does not participate in the investment of the entire amount in his or her account, the portion not subject to such Participant involvement shall be credited with interest at a rate and in the manner determined by the Company to be consistent with that credited under the Company's deferred compensation agreements as described in Section 3.5, or with earnings or losses of investments made pursuant to the terms of the Trust if the amounts credited to the Participant's account under the Plan are credited to an account or accounts under the Trust pursuant to Section 9.13.</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ARTICLE IV</w:t>
      </w:r>
    </w:p>
    <w:p>
      <w:pPr>
        <w:jc w:val="center"/>
        <w:ind w:right="3219"/>
        <w:spacing w:after="0"/>
        <w:rPr>
          <w:sz w:val="20"/>
          <w:szCs w:val="20"/>
          <w:color w:val="auto"/>
        </w:rPr>
      </w:pPr>
      <w:r>
        <w:rPr>
          <w:rFonts w:ascii="Courier New" w:cs="Courier New" w:eastAsia="Courier New" w:hAnsi="Courier New"/>
          <w:sz w:val="14"/>
          <w:szCs w:val="14"/>
          <w:color w:val="auto"/>
        </w:rPr>
        <w:t>SUPPLEMENTAL RETIREMENT BENEFIT</w:t>
      </w:r>
    </w:p>
    <w:p>
      <w:pPr>
        <w:spacing w:after="0" w:line="163" w:lineRule="exact"/>
        <w:rPr>
          <w:sz w:val="20"/>
          <w:szCs w:val="20"/>
          <w:color w:val="auto"/>
        </w:rPr>
      </w:pPr>
    </w:p>
    <w:p>
      <w:pPr>
        <w:ind w:right="3799" w:firstLine="330"/>
        <w:spacing w:after="0" w:line="238" w:lineRule="auto"/>
        <w:rPr>
          <w:sz w:val="20"/>
          <w:szCs w:val="20"/>
          <w:color w:val="auto"/>
        </w:rPr>
      </w:pPr>
      <w:r>
        <w:rPr>
          <w:rFonts w:ascii="Courier New" w:cs="Courier New" w:eastAsia="Courier New" w:hAnsi="Courier New"/>
          <w:sz w:val="14"/>
          <w:szCs w:val="14"/>
          <w:color w:val="auto"/>
        </w:rPr>
        <w:t>Section 4.1 A supplemental retirement benefit shall be payable to a Participant under this Article IV in the form of a straight life annuity over the lifetime of the Participant, commencing on the Participant's normal retirement date as defined under the Pension Plan. The monthly amount of that benefit, which shall not be less than zero, shall be equal to the difference between:</w:t>
      </w:r>
    </w:p>
    <w:p>
      <w:pPr>
        <w:spacing w:after="0" w:line="166" w:lineRule="exact"/>
        <w:rPr>
          <w:sz w:val="20"/>
          <w:szCs w:val="20"/>
          <w:color w:val="auto"/>
        </w:rPr>
      </w:pPr>
    </w:p>
    <w:p>
      <w:pPr>
        <w:ind w:left="340" w:right="3719" w:firstLine="407"/>
        <w:spacing w:after="0" w:line="237" w:lineRule="auto"/>
        <w:tabs>
          <w:tab w:leader="none" w:pos="116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which the Participant would have been entitled to under the Pension Plan and any other qualified plants that are defined benefit plans (as defined</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6" w:right="1440" w:bottom="1440" w:gutter="0" w:footer="0" w:header="0"/>
        </w:sectPr>
      </w:pPr>
    </w:p>
    <w:bookmarkStart w:id="52" w:name="page53"/>
    <w:bookmarkEnd w:id="52"/>
    <w:p>
      <w:pPr>
        <w:ind w:left="340" w:right="3799"/>
        <w:spacing w:after="0" w:line="239" w:lineRule="auto"/>
        <w:rPr>
          <w:sz w:val="20"/>
          <w:szCs w:val="20"/>
          <w:color w:val="auto"/>
        </w:rPr>
      </w:pPr>
      <w:r>
        <w:rPr>
          <w:rFonts w:ascii="Courier New" w:cs="Courier New" w:eastAsia="Courier New" w:hAnsi="Courier New"/>
          <w:sz w:val="14"/>
          <w:szCs w:val="14"/>
          <w:color w:val="auto"/>
        </w:rPr>
        <w:t>under Section 414(j) of the Code) maintained by the Company if such amount were determined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165" w:lineRule="exact"/>
        <w:rPr>
          <w:sz w:val="20"/>
          <w:szCs w:val="20"/>
          <w:color w:val="auto"/>
        </w:rPr>
      </w:pPr>
    </w:p>
    <w:p>
      <w:pPr>
        <w:ind w:left="340" w:right="3719" w:firstLine="407"/>
        <w:spacing w:after="0" w:line="237" w:lineRule="auto"/>
        <w:tabs>
          <w:tab w:leader="none" w:pos="116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Participant under the Pension Plan and such other qualified defined benefit plans.</w:t>
      </w:r>
    </w:p>
    <w:p>
      <w:pPr>
        <w:spacing w:after="0" w:line="164"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Section 4.2 The amount described in Section 4.1 will be computed as of the date of retirement or termination of employment of the Participant with the Company in the form of a straight life annuity payable over the lifetime of the Participant commencing on the Participant's normal retirement date, as defined under the Pension Plan.</w:t>
      </w:r>
    </w:p>
    <w:p>
      <w:pPr>
        <w:spacing w:after="0" w:line="165" w:lineRule="exact"/>
        <w:rPr>
          <w:sz w:val="20"/>
          <w:szCs w:val="20"/>
          <w:color w:val="auto"/>
        </w:rPr>
      </w:pPr>
    </w:p>
    <w:p>
      <w:pPr>
        <w:ind w:right="3799" w:firstLine="330"/>
        <w:spacing w:after="0" w:line="238" w:lineRule="auto"/>
        <w:rPr>
          <w:sz w:val="20"/>
          <w:szCs w:val="20"/>
          <w:color w:val="auto"/>
        </w:rPr>
      </w:pPr>
      <w:r>
        <w:rPr>
          <w:rFonts w:ascii="Courier New" w:cs="Courier New" w:eastAsia="Courier New" w:hAnsi="Courier New"/>
          <w:sz w:val="14"/>
          <w:szCs w:val="14"/>
          <w:color w:val="auto"/>
        </w:rPr>
        <w:t>Section 4.3 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16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ARTICLE V</w:t>
      </w:r>
    </w:p>
    <w:p>
      <w:pPr>
        <w:jc w:val="center"/>
        <w:ind w:right="3219"/>
        <w:spacing w:after="0"/>
        <w:rPr>
          <w:sz w:val="20"/>
          <w:szCs w:val="20"/>
          <w:color w:val="auto"/>
        </w:rPr>
      </w:pPr>
      <w:r>
        <w:rPr>
          <w:rFonts w:ascii="Courier New" w:cs="Courier New" w:eastAsia="Courier New" w:hAnsi="Courier New"/>
          <w:sz w:val="14"/>
          <w:szCs w:val="14"/>
          <w:color w:val="auto"/>
        </w:rPr>
        <w:t>SUPPLEMENTAL SURVIVING SPOUSE BENEFIT</w:t>
      </w:r>
    </w:p>
    <w:p>
      <w:pPr>
        <w:spacing w:after="0" w:line="163"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Section 5.1 If a Participant dies prior to commencement of payment of his or her benefit under the Pension Plan under circumstances in which a benefit payable to the Surviving Spouse of the Participant pursuant to the Pension Plan is payable to such Surviving Spouse, then a supplemental benefit is payable to the Surviving Spouse under this Plan. The monthly amount of such benefit payable to the Surviving Spouse shall be an amount, not less than zero, equal to the difference between:</w:t>
      </w:r>
    </w:p>
    <w:p>
      <w:pPr>
        <w:spacing w:after="0" w:line="163" w:lineRule="exact"/>
        <w:rPr>
          <w:sz w:val="20"/>
          <w:szCs w:val="20"/>
          <w:color w:val="auto"/>
        </w:rPr>
      </w:pPr>
    </w:p>
    <w:p>
      <w:pPr>
        <w:ind w:left="340" w:right="3719" w:hanging="6"/>
        <w:spacing w:after="0" w:line="239" w:lineRule="auto"/>
        <w:tabs>
          <w:tab w:leader="none" w:pos="75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payable to the Surviving Spouse under the Pension Plan and any other qualified defined benefit plans maintained by the Company to which the Surviving Spouse would have been entitled under such plan or plans if such benefit were computed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6" w:right="1440" w:bottom="1440" w:gutter="0" w:footer="0" w:header="0"/>
        </w:sectPr>
      </w:pPr>
    </w:p>
    <w:bookmarkStart w:id="53" w:name="page54"/>
    <w:bookmarkEnd w:id="53"/>
    <w:p>
      <w:pPr>
        <w:jc w:val="both"/>
        <w:ind w:left="340" w:right="3799"/>
        <w:spacing w:after="0" w:line="237" w:lineRule="auto"/>
        <w:rPr>
          <w:sz w:val="20"/>
          <w:szCs w:val="20"/>
          <w:color w:val="auto"/>
        </w:rPr>
      </w:pPr>
      <w:r>
        <w:rPr>
          <w:rFonts w:ascii="Courier New" w:cs="Courier New" w:eastAsia="Courier New" w:hAnsi="Courier New"/>
          <w:sz w:val="14"/>
          <w:szCs w:val="14"/>
          <w:color w:val="auto"/>
        </w:rPr>
        <w:t>by the Company to replace amounts that would have been credited under such qualified plans had the Participant not deferred compensation under such a nonqualified deferred compensation plan, and</w:t>
      </w:r>
    </w:p>
    <w:p>
      <w:pPr>
        <w:spacing w:after="0" w:line="164" w:lineRule="exact"/>
        <w:rPr>
          <w:sz w:val="20"/>
          <w:szCs w:val="20"/>
          <w:color w:val="auto"/>
        </w:rPr>
      </w:pPr>
    </w:p>
    <w:p>
      <w:pPr>
        <w:ind w:left="340" w:right="4219" w:firstLine="407"/>
        <w:spacing w:after="0" w:line="270" w:lineRule="auto"/>
        <w:tabs>
          <w:tab w:leader="none" w:pos="1165" w:val="left"/>
        </w:tabs>
        <w:numPr>
          <w:ilvl w:val="0"/>
          <w:numId w:val="6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monthly amount of the benefit actually payable to the Surviving Spouse under the Pension Plan and such other plan or plans.</w:t>
      </w:r>
    </w:p>
    <w:p>
      <w:pPr>
        <w:spacing w:after="0" w:line="144" w:lineRule="exact"/>
        <w:rPr>
          <w:sz w:val="20"/>
          <w:szCs w:val="20"/>
          <w:color w:val="auto"/>
        </w:rPr>
      </w:pPr>
    </w:p>
    <w:p>
      <w:pPr>
        <w:ind w:right="3719" w:firstLine="330"/>
        <w:spacing w:after="0" w:line="239" w:lineRule="auto"/>
        <w:rPr>
          <w:sz w:val="20"/>
          <w:szCs w:val="20"/>
          <w:color w:val="auto"/>
        </w:rPr>
      </w:pPr>
      <w:r>
        <w:rPr>
          <w:rFonts w:ascii="Courier New" w:cs="Courier New" w:eastAsia="Courier New" w:hAnsi="Courier New"/>
          <w:sz w:val="14"/>
          <w:szCs w:val="14"/>
          <w:color w:val="auto"/>
        </w:rPr>
        <w:t>Section 5.2 Provided that a benefit is payable under this Article V to the Surviving Spouse of a Participant and subject to Section 9.7, a benefit payable under this Article V shall be payable over the lifetime of the Surviving Spouse in monthly installments commencing on the date for commencement of payment of the benefit payable to the Surviving Spouse under the Pension Plan and terminating on the date of the last payment of the benefit payable to the Surviving Spouse under the Pension Plan made before the Surviving Spouse's death. However, a Participant may elect on an election form described in Section 6.2 to have the actuarial equivalent of the benefit described herein distributed in a lump sum. In the event the lump sum option is selected in the election form, the benefit payable to the Surviving Spouse shall be made as of the first day of the first month immediately following the month in which the Participant's death occurred, or as soon thereafter as administratively feasible. A Participant may also change the form of payment in the manner described in Section 6.2. The actuarial equivalent of the benefit described in this Section 5.2 shall be determined by the same actuarial adjustments as those specified in the Pension Plan.</w:t>
      </w:r>
    </w:p>
    <w:p>
      <w:pPr>
        <w:spacing w:after="0" w:line="169"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Section 5.3 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16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VI</w:t>
      </w:r>
    </w:p>
    <w:p>
      <w:pPr>
        <w:ind w:left="2980"/>
        <w:spacing w:after="0"/>
        <w:rPr>
          <w:sz w:val="20"/>
          <w:szCs w:val="20"/>
          <w:color w:val="auto"/>
        </w:rPr>
      </w:pPr>
      <w:r>
        <w:rPr>
          <w:rFonts w:ascii="Courier New" w:cs="Courier New" w:eastAsia="Courier New" w:hAnsi="Courier New"/>
          <w:sz w:val="14"/>
          <w:szCs w:val="14"/>
          <w:color w:val="auto"/>
        </w:rPr>
        <w:t>DISTRIBUTIONS</w:t>
      </w:r>
    </w:p>
    <w:p>
      <w:pPr>
        <w:spacing w:after="0" w:line="163"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Section 6.1 All amounts credited to a Participant's account in accordance with Article III, including gains or losses credited in accordance with Article III, shall be distributed to or with respect to a Participant only upon termination of the Participant's employment with the Company for any reason including death. All such amounts shall be distributed in accordance with Section 6.2.</w:t>
      </w: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Section 6.2</w:t>
      </w:r>
    </w:p>
    <w:p>
      <w:pPr>
        <w:spacing w:after="0" w:line="163" w:lineRule="exact"/>
        <w:rPr>
          <w:sz w:val="20"/>
          <w:szCs w:val="20"/>
          <w:color w:val="auto"/>
        </w:rPr>
      </w:pPr>
    </w:p>
    <w:p>
      <w:pPr>
        <w:ind w:right="3879" w:firstLine="334"/>
        <w:spacing w:after="0" w:line="239" w:lineRule="auto"/>
        <w:tabs>
          <w:tab w:leader="none" w:pos="74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in the event of a termination of employment described in Section 6.1, all amounts distributable under the Plan that have been credited to a Participant's account in accordance with Article III shall be distributed to the Participant in accordance with one of the options selected by the Participant and available under an election form used in connection with this Plan, which form shall be provided to the Participant by the Company (hereinafter referred to as the "Election Form"). Each Participant in the Plan can make his or her initial elections during the calendar year in which this provision becomes effective and thereafter a Participant can make his or her initial elections at the time the Participant first becomes eligible to participate in the Plan. However, a Participant may change the form of payment by electing another option available in said Election Form, but such change in the form of payment will not be effective until the calendar year following the calendar year in which the change was elected. Further, in no event will any such change in the form of payment be effective if such change is elected after the Participant's employment with the Company is terminated for any reason. Such distribution election shall apply to all amounts credited to a Participant's account in accordance with Article III, except that any payment required to be made in the year prior to the year any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amounts credited to a Participant's account pursuant to Article III in accordance with the distribution provision contained in the Participant's prior effective Election Form or, if no such election has been made, then in accordance with the selections made under The Toro Company Supplemental Retirement Plan or The Toro Company Supplemental Retirement Plan II, whichever is applicable with respect to the Participant, or if such elections have not been made or are not in effect, then in a lump sum payment. In addition, the Committee may, in its sole discretion, determine the method of distribution of the amounts credited under Article III.</w:t>
      </w:r>
    </w:p>
    <w:p>
      <w:pPr>
        <w:spacing w:after="0" w:line="179" w:lineRule="exact"/>
        <w:rPr>
          <w:rFonts w:ascii="Courier New" w:cs="Courier New" w:eastAsia="Courier New" w:hAnsi="Courier New"/>
          <w:sz w:val="14"/>
          <w:szCs w:val="14"/>
          <w:color w:val="auto"/>
        </w:rPr>
      </w:pPr>
    </w:p>
    <w:p>
      <w:pPr>
        <w:ind w:right="3719" w:firstLine="334"/>
        <w:spacing w:after="0" w:line="238" w:lineRule="auto"/>
        <w:tabs>
          <w:tab w:leader="none" w:pos="742"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an amount credited to a Participant's account under Article III is payable to the Participant, except in the event of the Participant's death or disability, such benefit shall be distributed in accordance with the provisions of this Section 6.2 beginning as of the first day of the first month of the calendar year immediately following the calendar year</w:t>
      </w: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592" w:right="1440" w:bottom="1440" w:gutter="0" w:footer="0" w:header="0"/>
        </w:sectPr>
      </w:pPr>
    </w:p>
    <w:bookmarkStart w:id="55" w:name="page56"/>
    <w:bookmarkEnd w:id="55"/>
    <w:p>
      <w:pPr>
        <w:ind w:left="420" w:right="3799"/>
        <w:spacing w:after="0" w:line="238" w:lineRule="auto"/>
        <w:rPr>
          <w:sz w:val="20"/>
          <w:szCs w:val="20"/>
          <w:color w:val="auto"/>
        </w:rPr>
      </w:pPr>
      <w:r>
        <w:rPr>
          <w:rFonts w:ascii="Courier New" w:cs="Courier New" w:eastAsia="Courier New" w:hAnsi="Courier New"/>
          <w:sz w:val="14"/>
          <w:szCs w:val="14"/>
          <w:color w:val="auto"/>
        </w:rPr>
        <w:t>in which the Participant's distributable event occurs. In the event of a Participant's death or disability, such benefit shall be distributed in accordance with the provisions of this Section 6.2 beginning as of the first day of the first month immediately following the month in which the Participant's death occurred or the determination of such disability is made.</w:t>
      </w:r>
    </w:p>
    <w:p>
      <w:pPr>
        <w:spacing w:after="0" w:line="166" w:lineRule="exact"/>
        <w:rPr>
          <w:sz w:val="20"/>
          <w:szCs w:val="20"/>
          <w:color w:val="auto"/>
        </w:rPr>
      </w:pPr>
    </w:p>
    <w:p>
      <w:pPr>
        <w:ind w:right="3719" w:firstLine="412"/>
        <w:spacing w:after="0" w:line="239" w:lineRule="auto"/>
        <w:rPr>
          <w:sz w:val="20"/>
          <w:szCs w:val="20"/>
          <w:color w:val="auto"/>
        </w:rPr>
      </w:pPr>
      <w:r>
        <w:rPr>
          <w:rFonts w:ascii="Courier New" w:cs="Courier New" w:eastAsia="Courier New" w:hAnsi="Courier New"/>
          <w:sz w:val="14"/>
          <w:szCs w:val="14"/>
          <w:color w:val="auto"/>
        </w:rPr>
        <w:t>Section 6.3 If a Participant should die before distribution of the full amount of the account described in Article III has been made to him or her, any remaining amounts shall be distributed to the Participant's Beneficiary and by a method designated by the Participant in his or her Election Form. If a Participant has not designated a Beneficiary, or method of distribution, or if no designated Beneficiary is living on the date of distribution, such amounts shall be distributed to the Participant's beneficiary as described under the Profit Sharing Plan in a lump sum distribution as soon as administratively feasible following the Participant's death.</w:t>
      </w:r>
    </w:p>
    <w:p>
      <w:pPr>
        <w:spacing w:after="0" w:line="160"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Section 6.4</w:t>
      </w:r>
    </w:p>
    <w:p>
      <w:pPr>
        <w:spacing w:after="0" w:line="163" w:lineRule="exact"/>
        <w:rPr>
          <w:sz w:val="20"/>
          <w:szCs w:val="20"/>
          <w:color w:val="auto"/>
        </w:rPr>
      </w:pPr>
    </w:p>
    <w:p>
      <w:pPr>
        <w:ind w:left="420" w:right="3639" w:firstLine="409"/>
        <w:spacing w:after="0" w:line="239" w:lineRule="auto"/>
        <w:tabs>
          <w:tab w:leader="none" w:pos="124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and subject to Section 9.7, in the event the Participant incurs a termination of employment with the Company as described in Section 6.5, the benefit described in Article IV shall be distributed to the Participant in accordance with one of the options available under the Participant's Election Form as selected by the Participant in the manner described in Section 6.2. However, a Participant may change the form of payment by electing another option available under the Election Form, but such change in the form of payment will not be effective until the calendar year in which the change was elected. Further, in no event will any such change in the form of payment be effective if such change is elected after the Participant's employment with the Company is terminated for any reason. Such distribution election shall apply to the benefit described in Article IV, except that any payment required to be made in the year prior to the year a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benefit described in Article IV in accordance with the distribution provision contained in the Participant's prior effective Election Form or, if no such distribution provision exists, in a life annuity on the life of the Participant.</w:t>
      </w:r>
    </w:p>
    <w:p>
      <w:pPr>
        <w:spacing w:after="0" w:line="172" w:lineRule="exact"/>
        <w:rPr>
          <w:rFonts w:ascii="Courier New" w:cs="Courier New" w:eastAsia="Courier New" w:hAnsi="Courier New"/>
          <w:sz w:val="14"/>
          <w:szCs w:val="14"/>
          <w:color w:val="auto"/>
        </w:rPr>
      </w:pPr>
    </w:p>
    <w:p>
      <w:pPr>
        <w:ind w:left="420" w:right="3799" w:firstLine="409"/>
        <w:spacing w:after="0" w:line="236" w:lineRule="auto"/>
        <w:tabs>
          <w:tab w:leader="none" w:pos="1245"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 benefit described in Article IV is payable to</w:t>
      </w: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596" w:right="1440" w:bottom="1440" w:gutter="0" w:footer="0" w:header="0"/>
        </w:sectPr>
      </w:pPr>
    </w:p>
    <w:bookmarkStart w:id="56" w:name="page57"/>
    <w:bookmarkEnd w:id="56"/>
    <w:p>
      <w:pPr>
        <w:ind w:left="420" w:right="3639"/>
        <w:spacing w:after="0" w:line="239" w:lineRule="auto"/>
        <w:rPr>
          <w:sz w:val="20"/>
          <w:szCs w:val="20"/>
          <w:color w:val="auto"/>
        </w:rPr>
      </w:pPr>
      <w:r>
        <w:rPr>
          <w:rFonts w:ascii="Courier New" w:cs="Courier New" w:eastAsia="Courier New" w:hAnsi="Courier New"/>
          <w:sz w:val="14"/>
          <w:szCs w:val="14"/>
          <w:color w:val="auto"/>
        </w:rPr>
        <w:t>a Participant, except in the event of the Participant's death or disability, such benefit shall be distributed in accordance with the provisions of this Section 6.4 beginning as of the first day of the first month of the calendar year immediately following the calendar year in which the Participant's distributable event occurs. In the event of a Participant's disability, such benefit shall be distributed in accordance with the provisions of this Section 6.4 beginning as of the first day of the first month immediately following the month in which</w:t>
      </w:r>
    </w:p>
    <w:p>
      <w:pPr>
        <w:spacing w:after="0" w:line="5" w:lineRule="exact"/>
        <w:rPr>
          <w:sz w:val="20"/>
          <w:szCs w:val="20"/>
          <w:color w:val="auto"/>
        </w:rPr>
      </w:pPr>
    </w:p>
    <w:p>
      <w:pPr>
        <w:ind w:left="420" w:right="3959"/>
        <w:spacing w:after="0" w:line="264" w:lineRule="auto"/>
        <w:rPr>
          <w:sz w:val="20"/>
          <w:szCs w:val="20"/>
          <w:color w:val="auto"/>
        </w:rPr>
      </w:pPr>
      <w:r>
        <w:rPr>
          <w:rFonts w:ascii="Courier New" w:cs="Courier New" w:eastAsia="Courier New" w:hAnsi="Courier New"/>
          <w:sz w:val="13"/>
          <w:szCs w:val="13"/>
          <w:color w:val="auto"/>
        </w:rPr>
        <w:t>the determination of such disability is made. If a Participant dies before a benefit is payable to the Participant, then no benefit is payable under Acticle IV, but a benefit may be payable under Article V.</w:t>
      </w:r>
    </w:p>
    <w:p>
      <w:pPr>
        <w:spacing w:after="0" w:line="148" w:lineRule="exact"/>
        <w:rPr>
          <w:sz w:val="20"/>
          <w:szCs w:val="20"/>
          <w:color w:val="auto"/>
        </w:rPr>
      </w:pPr>
    </w:p>
    <w:p>
      <w:pPr>
        <w:ind w:right="3639" w:firstLine="412"/>
        <w:spacing w:after="0" w:line="238" w:lineRule="auto"/>
        <w:rPr>
          <w:sz w:val="20"/>
          <w:szCs w:val="20"/>
          <w:color w:val="auto"/>
        </w:rPr>
      </w:pPr>
      <w:r>
        <w:rPr>
          <w:rFonts w:ascii="Courier New" w:cs="Courier New" w:eastAsia="Courier New" w:hAnsi="Courier New"/>
          <w:sz w:val="14"/>
          <w:szCs w:val="14"/>
          <w:color w:val="auto"/>
        </w:rPr>
        <w:t>Section 6.5 The benefit described in Article IV shall be distributed, unless otherwise stated in the Plan, to or with respect to a Participant only upon termination of the Participant's employment with the Company for any reason other than death; if a Participant dies before such benefit is payable to the Participant, no benefit is payable under Article IV (but a benefit may be payable under Article V).</w:t>
      </w:r>
    </w:p>
    <w:p>
      <w:pPr>
        <w:spacing w:after="0" w:line="166" w:lineRule="exact"/>
        <w:rPr>
          <w:sz w:val="20"/>
          <w:szCs w:val="20"/>
          <w:color w:val="auto"/>
        </w:rPr>
      </w:pPr>
    </w:p>
    <w:p>
      <w:pPr>
        <w:ind w:right="3719" w:firstLine="412"/>
        <w:spacing w:after="0" w:line="260" w:lineRule="auto"/>
        <w:rPr>
          <w:sz w:val="20"/>
          <w:szCs w:val="20"/>
          <w:color w:val="auto"/>
        </w:rPr>
      </w:pPr>
      <w:r>
        <w:rPr>
          <w:rFonts w:ascii="Courier New" w:cs="Courier New" w:eastAsia="Courier New" w:hAnsi="Courier New"/>
          <w:sz w:val="13"/>
          <w:szCs w:val="13"/>
          <w:color w:val="auto"/>
        </w:rPr>
        <w:t>Section 6.6 A benefit under Article IV of this Plan which is payable in any form other than a straight life annuity over the lifetime of the Participant, or which commences at any time other than the Participant's normal retirement date, as defined in the Pension Plan, shall be the actuarial equivalent of the benefit described under Sections 4.1 and 4.2 as determined by the same actuarial adjustments as those specified in the Pension Plan with respect to the determination of the amount of the benefit payable under the Pension Plan on the date for commencement of payment under this Plan.</w:t>
      </w:r>
    </w:p>
    <w:p>
      <w:pPr>
        <w:spacing w:after="0" w:line="151" w:lineRule="exact"/>
        <w:rPr>
          <w:sz w:val="20"/>
          <w:szCs w:val="20"/>
          <w:color w:val="auto"/>
        </w:rPr>
      </w:pPr>
    </w:p>
    <w:p>
      <w:pPr>
        <w:ind w:right="3639" w:firstLine="412"/>
        <w:spacing w:after="0" w:line="238" w:lineRule="auto"/>
        <w:rPr>
          <w:sz w:val="20"/>
          <w:szCs w:val="20"/>
          <w:color w:val="auto"/>
        </w:rPr>
      </w:pPr>
      <w:r>
        <w:rPr>
          <w:rFonts w:ascii="Courier New" w:cs="Courier New" w:eastAsia="Courier New" w:hAnsi="Courier New"/>
          <w:sz w:val="14"/>
          <w:szCs w:val="14"/>
          <w:color w:val="auto"/>
        </w:rPr>
        <w:t>Section 6.7 Anything herein to the contrary notwithstanding, if, at any time, a court or the Internal Revenue Service determines that an amount in a Participant's account under the Trust is includable in the gross income of the Participant and subject to tax, the Committee may, in its sole discretion, permit a lump sum distribution of an amount equal to the amount determined to be includable in the Participant's gross income.</w:t>
      </w:r>
    </w:p>
    <w:p>
      <w:pPr>
        <w:spacing w:after="0" w:line="162"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ARTICLE VII</w:t>
      </w:r>
    </w:p>
    <w:p>
      <w:pPr>
        <w:ind w:left="2240"/>
        <w:spacing w:after="0"/>
        <w:rPr>
          <w:sz w:val="20"/>
          <w:szCs w:val="20"/>
          <w:color w:val="auto"/>
        </w:rPr>
      </w:pPr>
      <w:r>
        <w:rPr>
          <w:rFonts w:ascii="Courier New" w:cs="Courier New" w:eastAsia="Courier New" w:hAnsi="Courier New"/>
          <w:sz w:val="14"/>
          <w:szCs w:val="14"/>
          <w:color w:val="auto"/>
        </w:rPr>
        <w:t>ADMINISTRATION OF THE PLAN</w:t>
      </w:r>
    </w:p>
    <w:p>
      <w:pPr>
        <w:spacing w:after="0" w:line="163" w:lineRule="exact"/>
        <w:rPr>
          <w:sz w:val="20"/>
          <w:szCs w:val="20"/>
          <w:color w:val="auto"/>
        </w:rPr>
      </w:pPr>
    </w:p>
    <w:p>
      <w:pPr>
        <w:ind w:right="3799" w:firstLine="412"/>
        <w:spacing w:after="0" w:line="239" w:lineRule="auto"/>
        <w:rPr>
          <w:sz w:val="20"/>
          <w:szCs w:val="20"/>
          <w:color w:val="auto"/>
        </w:rPr>
      </w:pPr>
      <w:r>
        <w:rPr>
          <w:rFonts w:ascii="Courier New" w:cs="Courier New" w:eastAsia="Courier New" w:hAnsi="Courier New"/>
          <w:sz w:val="14"/>
          <w:szCs w:val="14"/>
          <w:color w:val="auto"/>
        </w:rPr>
        <w:t>Section 7.1 The Plan shall be administered by the Company, which shall have the authority, duty and power to interpret and construe the provisions of the Plan as it deems appropriate. The Company shall have the duty and responsibility of maintaining records, making the requisite calculations and disbursing the payment hereunder. The Company's interpretations, determinations, regulations and calculations shall be final and binding on all persons and parties concerned.</w:t>
      </w: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596" w:right="1440" w:bottom="1440" w:gutter="0" w:footer="0" w:header="0"/>
        </w:sectPr>
      </w:pPr>
    </w:p>
    <w:bookmarkStart w:id="57" w:name="page58"/>
    <w:bookmarkEnd w:id="57"/>
    <w:p>
      <w:pPr>
        <w:ind w:right="3639" w:firstLine="412"/>
        <w:spacing w:after="0" w:line="239" w:lineRule="auto"/>
        <w:rPr>
          <w:sz w:val="20"/>
          <w:szCs w:val="20"/>
          <w:color w:val="auto"/>
        </w:rPr>
      </w:pPr>
      <w:r>
        <w:rPr>
          <w:rFonts w:ascii="Courier New" w:cs="Courier New" w:eastAsia="Courier New" w:hAnsi="Courier New"/>
          <w:sz w:val="14"/>
          <w:szCs w:val="14"/>
          <w:color w:val="auto"/>
        </w:rPr>
        <w:t>Section 7.2 All provisions set forth in the Profit Sharing Plan with respect to the administrative powers and duties of the Company, and expenses of administration shall be applicable with respect to the Plan; unless such administrative powers and duties apply specifically with respect to the benefits described in Article IV or Article V, then all provisions set forth in the Pension Plan shall apply. 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64" w:lineRule="exact"/>
        <w:rPr>
          <w:sz w:val="20"/>
          <w:szCs w:val="20"/>
          <w:color w:val="auto"/>
        </w:rPr>
      </w:pPr>
    </w:p>
    <w:p>
      <w:pPr>
        <w:ind w:right="4059" w:firstLine="412"/>
        <w:spacing w:after="0" w:line="264" w:lineRule="auto"/>
        <w:rPr>
          <w:sz w:val="20"/>
          <w:szCs w:val="20"/>
          <w:color w:val="auto"/>
        </w:rPr>
      </w:pPr>
      <w:r>
        <w:rPr>
          <w:rFonts w:ascii="Courier New" w:cs="Courier New" w:eastAsia="Courier New" w:hAnsi="Courier New"/>
          <w:sz w:val="13"/>
          <w:szCs w:val="13"/>
          <w:color w:val="auto"/>
        </w:rPr>
        <w:t>Section 7.3 The Company shall furnish individual annual statements of accrued benefits to each Participant, or current Beneficiary or Surviving Spouse, in such form as determined by the Company or as required by law.</w:t>
      </w:r>
    </w:p>
    <w:p>
      <w:pPr>
        <w:spacing w:after="0" w:line="148" w:lineRule="exact"/>
        <w:rPr>
          <w:sz w:val="20"/>
          <w:szCs w:val="20"/>
          <w:color w:val="auto"/>
        </w:rPr>
      </w:pPr>
    </w:p>
    <w:p>
      <w:pPr>
        <w:ind w:right="3639" w:firstLine="412"/>
        <w:spacing w:after="0" w:line="239" w:lineRule="auto"/>
        <w:rPr>
          <w:sz w:val="20"/>
          <w:szCs w:val="20"/>
          <w:color w:val="auto"/>
        </w:rPr>
      </w:pPr>
      <w:r>
        <w:rPr>
          <w:rFonts w:ascii="Courier New" w:cs="Courier New" w:eastAsia="Courier New" w:hAnsi="Courier New"/>
          <w:sz w:val="14"/>
          <w:szCs w:val="14"/>
          <w:color w:val="auto"/>
        </w:rPr>
        <w:t>Section 7.4 The employee benefit plan procedures in this section are intended to comply with Section 503 of ERISA and Section 2560.503-1 of the Department of Labor Regulations and pertain to claims by the Participants and Beneficiaries ("claimants") for Plan benefits, consideration of such claims, and review of claim denials. For purposes of these procedures, a "claim" is a request for a benefit by a Participant or Beneficiary under the Plan or an Agreement. A claim is filed when the requirements of these procedures have been met.</w:t>
      </w:r>
    </w:p>
    <w:p>
      <w:pPr>
        <w:spacing w:after="0" w:line="164" w:lineRule="exact"/>
        <w:rPr>
          <w:sz w:val="20"/>
          <w:szCs w:val="20"/>
          <w:color w:val="auto"/>
        </w:rPr>
      </w:pPr>
    </w:p>
    <w:p>
      <w:pPr>
        <w:ind w:right="3879" w:firstLine="829"/>
        <w:spacing w:after="0" w:line="239" w:lineRule="auto"/>
        <w:tabs>
          <w:tab w:leader="none" w:pos="123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wholly or partially denied, notice of the decision, meeting the requirements of subsection (b) of these procedures, shall be furnished to the claimant within a reasonable period of time after the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169" w:lineRule="exact"/>
        <w:rPr>
          <w:rFonts w:ascii="Courier New" w:cs="Courier New" w:eastAsia="Courier New" w:hAnsi="Courier New"/>
          <w:sz w:val="14"/>
          <w:szCs w:val="14"/>
          <w:color w:val="auto"/>
        </w:rPr>
      </w:pPr>
    </w:p>
    <w:p>
      <w:pPr>
        <w:ind w:right="3639" w:firstLine="829"/>
        <w:spacing w:after="0" w:line="237" w:lineRule="auto"/>
        <w:tabs>
          <w:tab w:leader="none" w:pos="123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to every claimant who is denied a claim for benefits written notice setting forth in a manner calculated to be understood by the claimant:</w:t>
      </w: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596" w:right="1440" w:bottom="1440" w:gutter="0" w:footer="0" w:header="0"/>
        </w:sectPr>
      </w:pPr>
    </w:p>
    <w:bookmarkStart w:id="58" w:name="page59"/>
    <w:bookmarkEnd w:id="58"/>
    <w:p>
      <w:pPr>
        <w:ind w:left="1240" w:hanging="419"/>
        <w:spacing w:after="0"/>
        <w:tabs>
          <w:tab w:leader="none" w:pos="124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specific reason or reasons for the denial;</w:t>
      </w:r>
    </w:p>
    <w:p>
      <w:pPr>
        <w:spacing w:after="0" w:line="162" w:lineRule="exact"/>
        <w:rPr>
          <w:rFonts w:ascii="Courier New" w:cs="Courier New" w:eastAsia="Courier New" w:hAnsi="Courier New"/>
          <w:sz w:val="14"/>
          <w:szCs w:val="14"/>
          <w:color w:val="auto"/>
        </w:rPr>
      </w:pPr>
    </w:p>
    <w:p>
      <w:pPr>
        <w:ind w:left="400" w:right="4059" w:firstLine="421"/>
        <w:spacing w:after="0" w:line="236" w:lineRule="auto"/>
        <w:tabs>
          <w:tab w:leader="none" w:pos="130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reference to pertinent provisions of the Plan or Agreement on which the denial is based;</w:t>
      </w:r>
    </w:p>
    <w:p>
      <w:pPr>
        <w:spacing w:after="0" w:line="163" w:lineRule="exact"/>
        <w:rPr>
          <w:rFonts w:ascii="Courier New" w:cs="Courier New" w:eastAsia="Courier New" w:hAnsi="Courier New"/>
          <w:sz w:val="14"/>
          <w:szCs w:val="14"/>
          <w:color w:val="auto"/>
        </w:rPr>
      </w:pPr>
    </w:p>
    <w:p>
      <w:pPr>
        <w:ind w:left="400" w:right="3879" w:firstLine="421"/>
        <w:spacing w:after="0" w:line="264" w:lineRule="auto"/>
        <w:tabs>
          <w:tab w:leader="none" w:pos="1390" w:val="left"/>
        </w:tabs>
        <w:numPr>
          <w:ilvl w:val="1"/>
          <w:numId w:val="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description of any additional material or information necessary for the claimant to perfect the claim and an explanation of why such material or information is necessary; and</w:t>
      </w:r>
    </w:p>
    <w:p>
      <w:pPr>
        <w:spacing w:after="0" w:line="148" w:lineRule="exact"/>
        <w:rPr>
          <w:rFonts w:ascii="Courier New" w:cs="Courier New" w:eastAsia="Courier New" w:hAnsi="Courier New"/>
          <w:sz w:val="13"/>
          <w:szCs w:val="13"/>
          <w:color w:val="auto"/>
        </w:rPr>
      </w:pPr>
    </w:p>
    <w:p>
      <w:pPr>
        <w:ind w:left="400" w:right="4059" w:firstLine="421"/>
        <w:spacing w:after="0" w:line="237" w:lineRule="auto"/>
        <w:tabs>
          <w:tab w:leader="none" w:pos="130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information as to the steps to be taken if the Participant or Beneficiary wishes to submit his or her claim for review.</w:t>
      </w:r>
    </w:p>
    <w:p>
      <w:pPr>
        <w:spacing w:after="0" w:line="164" w:lineRule="exact"/>
        <w:rPr>
          <w:rFonts w:ascii="Courier New" w:cs="Courier New" w:eastAsia="Courier New" w:hAnsi="Courier New"/>
          <w:sz w:val="14"/>
          <w:szCs w:val="14"/>
          <w:color w:val="auto"/>
        </w:rPr>
      </w:pPr>
    </w:p>
    <w:p>
      <w:pPr>
        <w:ind w:left="80" w:right="3959" w:firstLine="329"/>
        <w:spacing w:after="0" w:line="260" w:lineRule="auto"/>
        <w:tabs>
          <w:tab w:leader="none" w:pos="822" w:val="left"/>
        </w:tabs>
        <w:numPr>
          <w:ilvl w:val="0"/>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If a claim is denied in whole or in part and if the claimant is dissatisfied with the disposition of the claimant's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151" w:lineRule="exact"/>
        <w:rPr>
          <w:rFonts w:ascii="Courier New" w:cs="Courier New" w:eastAsia="Courier New" w:hAnsi="Courier New"/>
          <w:sz w:val="13"/>
          <w:szCs w:val="13"/>
          <w:color w:val="auto"/>
        </w:rPr>
      </w:pPr>
    </w:p>
    <w:p>
      <w:pPr>
        <w:ind w:left="1240" w:hanging="419"/>
        <w:spacing w:after="0"/>
        <w:tabs>
          <w:tab w:leader="none" w:pos="1240" w:val="left"/>
        </w:tabs>
        <w:numPr>
          <w:ilvl w:val="1"/>
          <w:numId w:val="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request a review upon written application to the Company;</w:t>
      </w:r>
    </w:p>
    <w:p>
      <w:pPr>
        <w:spacing w:after="0" w:line="165" w:lineRule="exact"/>
        <w:rPr>
          <w:rFonts w:ascii="Courier New" w:cs="Courier New" w:eastAsia="Courier New" w:hAnsi="Courier New"/>
          <w:sz w:val="13"/>
          <w:szCs w:val="13"/>
          <w:color w:val="auto"/>
        </w:rPr>
      </w:pPr>
    </w:p>
    <w:p>
      <w:pPr>
        <w:ind w:left="1320" w:hanging="499"/>
        <w:spacing w:after="0"/>
        <w:tabs>
          <w:tab w:leader="none" w:pos="132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pertinent documents; and</w:t>
      </w:r>
    </w:p>
    <w:p>
      <w:pPr>
        <w:spacing w:after="0" w:line="158" w:lineRule="exact"/>
        <w:rPr>
          <w:rFonts w:ascii="Courier New" w:cs="Courier New" w:eastAsia="Courier New" w:hAnsi="Courier New"/>
          <w:sz w:val="14"/>
          <w:szCs w:val="14"/>
          <w:color w:val="auto"/>
        </w:rPr>
      </w:pPr>
    </w:p>
    <w:p>
      <w:pPr>
        <w:ind w:left="1400" w:hanging="579"/>
        <w:spacing w:after="0"/>
        <w:tabs>
          <w:tab w:leader="none" w:pos="140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 issues and comments in writing.</w:t>
      </w:r>
    </w:p>
    <w:p>
      <w:pPr>
        <w:spacing w:after="0" w:line="163" w:lineRule="exact"/>
        <w:rPr>
          <w:sz w:val="20"/>
          <w:szCs w:val="20"/>
          <w:color w:val="auto"/>
        </w:rPr>
      </w:pPr>
    </w:p>
    <w:p>
      <w:pPr>
        <w:ind w:right="3959"/>
        <w:spacing w:after="0" w:line="237" w:lineRule="auto"/>
        <w:rPr>
          <w:sz w:val="20"/>
          <w:szCs w:val="20"/>
          <w:color w:val="auto"/>
        </w:rPr>
      </w:pPr>
      <w:r>
        <w:rPr>
          <w:rFonts w:ascii="Courier New" w:cs="Courier New" w:eastAsia="Courier New" w:hAnsi="Courier New"/>
          <w:sz w:val="14"/>
          <w:szCs w:val="14"/>
          <w:color w:val="auto"/>
        </w:rPr>
        <w:t>A claimant must file such a request for review of a denied claim within a reasonable period of time, not to exceed 60 days, after receipt by the claimant of written notification of denial of a claim.</w:t>
      </w:r>
    </w:p>
    <w:p>
      <w:pPr>
        <w:spacing w:after="0" w:line="164" w:lineRule="exact"/>
        <w:rPr>
          <w:sz w:val="20"/>
          <w:szCs w:val="20"/>
          <w:color w:val="auto"/>
        </w:rPr>
      </w:pPr>
    </w:p>
    <w:p>
      <w:pPr>
        <w:ind w:right="3879" w:firstLine="409"/>
        <w:spacing w:after="0" w:line="259" w:lineRule="auto"/>
        <w:tabs>
          <w:tab w:leader="none" w:pos="825" w:val="left"/>
        </w:tabs>
        <w:numPr>
          <w:ilvl w:val="0"/>
          <w:numId w:val="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w:t>
      </w:r>
    </w:p>
    <w:p>
      <w:pPr>
        <w:spacing w:after="0" w:line="200" w:lineRule="exact"/>
        <w:rPr>
          <w:sz w:val="20"/>
          <w:szCs w:val="20"/>
          <w:color w:val="auto"/>
        </w:rPr>
      </w:pPr>
    </w:p>
    <w:p>
      <w:pPr>
        <w:spacing w:after="0" w:line="26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819"/>
          </w:cols>
          <w:pgMar w:left="640" w:top="592" w:right="1440" w:bottom="1440" w:gutter="0" w:footer="0" w:header="0"/>
        </w:sectPr>
      </w:pPr>
    </w:p>
    <w:bookmarkStart w:id="59" w:name="page60"/>
    <w:bookmarkEnd w:id="59"/>
    <w:p>
      <w:pPr>
        <w:ind w:left="420" w:right="3719"/>
        <w:spacing w:after="0" w:line="236" w:lineRule="auto"/>
        <w:rPr>
          <w:sz w:val="20"/>
          <w:szCs w:val="20"/>
          <w:color w:val="auto"/>
        </w:rPr>
      </w:pPr>
      <w:r>
        <w:rPr>
          <w:rFonts w:ascii="Courier New" w:cs="Courier New" w:eastAsia="Courier New" w:hAnsi="Courier New"/>
          <w:sz w:val="14"/>
          <w:szCs w:val="14"/>
          <w:color w:val="auto"/>
        </w:rPr>
        <w:t>review is not furnished within such time, the claim shall be deemed denied on review.</w:t>
      </w:r>
    </w:p>
    <w:p>
      <w:pPr>
        <w:spacing w:after="0" w:line="160"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ARTICLE VIII</w:t>
      </w:r>
    </w:p>
    <w:p>
      <w:pPr>
        <w:ind w:left="2140"/>
        <w:spacing w:after="0"/>
        <w:rPr>
          <w:sz w:val="20"/>
          <w:szCs w:val="20"/>
          <w:color w:val="auto"/>
        </w:rPr>
      </w:pPr>
      <w:r>
        <w:rPr>
          <w:rFonts w:ascii="Courier New" w:cs="Courier New" w:eastAsia="Courier New" w:hAnsi="Courier New"/>
          <w:sz w:val="14"/>
          <w:szCs w:val="14"/>
          <w:color w:val="auto"/>
        </w:rPr>
        <w:t>AMENDMENT OR TERMINATION</w:t>
      </w:r>
    </w:p>
    <w:p>
      <w:pPr>
        <w:spacing w:after="0" w:line="163" w:lineRule="exact"/>
        <w:rPr>
          <w:sz w:val="20"/>
          <w:szCs w:val="20"/>
          <w:color w:val="auto"/>
        </w:rPr>
      </w:pPr>
    </w:p>
    <w:p>
      <w:pPr>
        <w:ind w:right="4059" w:firstLine="412"/>
        <w:spacing w:after="0" w:line="238" w:lineRule="auto"/>
        <w:rPr>
          <w:sz w:val="20"/>
          <w:szCs w:val="20"/>
          <w:color w:val="auto"/>
        </w:rPr>
      </w:pPr>
      <w:r>
        <w:rPr>
          <w:rFonts w:ascii="Courier New" w:cs="Courier New" w:eastAsia="Courier New" w:hAnsi="Courier New"/>
          <w:sz w:val="14"/>
          <w:szCs w:val="14"/>
          <w:color w:val="auto"/>
        </w:rPr>
        <w:t>Section 8.1 The Company intends the Plan to be permanent but reserves the right to amend or terminate the Plan at any time. Any such amendment or termination shall be made in accordance with the amendment or termination provision contained in the Profit Sharing Plan.</w:t>
      </w:r>
    </w:p>
    <w:p>
      <w:pPr>
        <w:spacing w:after="0" w:line="164" w:lineRule="exact"/>
        <w:rPr>
          <w:sz w:val="20"/>
          <w:szCs w:val="20"/>
          <w:color w:val="auto"/>
        </w:rPr>
      </w:pPr>
    </w:p>
    <w:p>
      <w:pPr>
        <w:ind w:right="3879" w:firstLine="412"/>
        <w:spacing w:after="0" w:line="239" w:lineRule="auto"/>
        <w:rPr>
          <w:sz w:val="20"/>
          <w:szCs w:val="20"/>
          <w:color w:val="auto"/>
        </w:rPr>
      </w:pPr>
      <w:r>
        <w:rPr>
          <w:rFonts w:ascii="Courier New" w:cs="Courier New" w:eastAsia="Courier New" w:hAnsi="Courier New"/>
          <w:sz w:val="14"/>
          <w:szCs w:val="14"/>
          <w:color w:val="auto"/>
        </w:rPr>
        <w:t>Section 8.2 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his or her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Participants or to their Beneficiaries. 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164" w:lineRule="exact"/>
        <w:rPr>
          <w:sz w:val="20"/>
          <w:szCs w:val="20"/>
          <w:color w:val="auto"/>
        </w:rPr>
      </w:pPr>
    </w:p>
    <w:p>
      <w:pPr>
        <w:jc w:val="center"/>
        <w:ind w:right="3799"/>
        <w:spacing w:after="0"/>
        <w:rPr>
          <w:sz w:val="20"/>
          <w:szCs w:val="20"/>
          <w:color w:val="auto"/>
        </w:rPr>
      </w:pPr>
      <w:r>
        <w:rPr>
          <w:rFonts w:ascii="Courier New" w:cs="Courier New" w:eastAsia="Courier New" w:hAnsi="Courier New"/>
          <w:sz w:val="14"/>
          <w:szCs w:val="14"/>
          <w:color w:val="auto"/>
        </w:rPr>
        <w:t>ARTICLE IX</w:t>
      </w:r>
    </w:p>
    <w:p>
      <w:pPr>
        <w:jc w:val="center"/>
        <w:ind w:right="3799"/>
        <w:spacing w:after="0"/>
        <w:rPr>
          <w:sz w:val="20"/>
          <w:szCs w:val="20"/>
          <w:color w:val="auto"/>
        </w:rPr>
      </w:pPr>
      <w:r>
        <w:rPr>
          <w:rFonts w:ascii="Courier New" w:cs="Courier New" w:eastAsia="Courier New" w:hAnsi="Courier New"/>
          <w:sz w:val="14"/>
          <w:szCs w:val="14"/>
          <w:color w:val="auto"/>
        </w:rPr>
        <w:t>GENERAL PROVISIONS</w:t>
      </w:r>
    </w:p>
    <w:p>
      <w:pPr>
        <w:spacing w:after="0" w:line="163" w:lineRule="exact"/>
        <w:rPr>
          <w:sz w:val="20"/>
          <w:szCs w:val="20"/>
          <w:color w:val="auto"/>
        </w:rPr>
      </w:pPr>
    </w:p>
    <w:p>
      <w:pPr>
        <w:ind w:right="3879" w:firstLine="412"/>
        <w:spacing w:after="0" w:line="238" w:lineRule="auto"/>
        <w:rPr>
          <w:sz w:val="20"/>
          <w:szCs w:val="20"/>
          <w:color w:val="auto"/>
        </w:rPr>
      </w:pPr>
      <w:r>
        <w:rPr>
          <w:rFonts w:ascii="Courier New" w:cs="Courier New" w:eastAsia="Courier New" w:hAnsi="Courier New"/>
          <w:sz w:val="14"/>
          <w:szCs w:val="14"/>
          <w:color w:val="auto"/>
        </w:rPr>
        <w:t>Section 9.1 The Company has established a Trust which may be used to pay benefits arising under this Plan and all costs, charges and expenses relating thereto; except that, to the extent that the funds held in the Trust are insufficient to pay such benefits, costs, charges and expenses, the Company shall pay such benefits, costs, charges and expenses.</w:t>
      </w:r>
    </w:p>
    <w:p>
      <w:pPr>
        <w:spacing w:after="0" w:line="165" w:lineRule="exact"/>
        <w:rPr>
          <w:sz w:val="20"/>
          <w:szCs w:val="20"/>
          <w:color w:val="auto"/>
        </w:rPr>
      </w:pPr>
    </w:p>
    <w:p>
      <w:pPr>
        <w:ind w:right="3879" w:firstLine="412"/>
        <w:spacing w:after="0" w:line="260" w:lineRule="auto"/>
        <w:rPr>
          <w:sz w:val="20"/>
          <w:szCs w:val="20"/>
          <w:color w:val="auto"/>
        </w:rPr>
      </w:pPr>
      <w:r>
        <w:rPr>
          <w:rFonts w:ascii="Courier New" w:cs="Courier New" w:eastAsia="Courier New" w:hAnsi="Courier New"/>
          <w:sz w:val="13"/>
          <w:szCs w:val="13"/>
          <w:color w:val="auto"/>
        </w:rPr>
        <w:t>Section 9.2 The benefits payable hereunder or the right to receive future benefits under the Plan may not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52" w:lineRule="exact"/>
        <w:rPr>
          <w:sz w:val="20"/>
          <w:szCs w:val="20"/>
          <w:color w:val="auto"/>
        </w:rPr>
      </w:pPr>
    </w:p>
    <w:p>
      <w:pPr>
        <w:ind w:right="3879" w:firstLine="412"/>
        <w:spacing w:after="0" w:line="236" w:lineRule="auto"/>
        <w:rPr>
          <w:sz w:val="20"/>
          <w:szCs w:val="20"/>
          <w:color w:val="auto"/>
        </w:rPr>
      </w:pPr>
      <w:r>
        <w:rPr>
          <w:rFonts w:ascii="Courier New" w:cs="Courier New" w:eastAsia="Courier New" w:hAnsi="Courier New"/>
          <w:sz w:val="14"/>
          <w:szCs w:val="14"/>
          <w:color w:val="auto"/>
        </w:rPr>
        <w:t>Section 9.3 The Plan at all times shall be considered entirely unfunded both for tax purposes and for purposes of Title</w:t>
      </w: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596" w:right="1440" w:bottom="1440" w:gutter="0" w:footer="0" w:header="0"/>
        </w:sectPr>
      </w:pPr>
    </w:p>
    <w:bookmarkStart w:id="60" w:name="page61"/>
    <w:bookmarkEnd w:id="60"/>
    <w:p>
      <w:pPr>
        <w:ind w:right="3879"/>
        <w:spacing w:after="0" w:line="239" w:lineRule="auto"/>
        <w:rPr>
          <w:sz w:val="20"/>
          <w:szCs w:val="20"/>
          <w:color w:val="auto"/>
        </w:rPr>
      </w:pPr>
      <w:r>
        <w:rPr>
          <w:rFonts w:ascii="Courier New" w:cs="Courier New" w:eastAsia="Courier New" w:hAnsi="Courier New"/>
          <w:sz w:val="14"/>
          <w:szCs w:val="14"/>
          <w:color w:val="auto"/>
        </w:rPr>
        <w:t>I of ERISA. Funds invested hereunder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are required to notify the Trustee and each Participant in writing of such an occurrence within one (1) day of the Company's knowledge of such occurrence. No Participant, Surviving Spouse or any other person shall have any interest in any particular assets of the Company by reason of the right to receive a benefit under the Plan and to the extent the Participant, Surviving Spouse or any other person acquires a right to receive benefits under this Plan, such right shall be no greater than the right of any general unsecured creditor of the Company. The Plan constitutes a mere promise by the Company to make payments to the Participants, Surviving Spouses, or Beneficiaries in the future.</w:t>
      </w:r>
    </w:p>
    <w:p>
      <w:pPr>
        <w:spacing w:after="0" w:line="169" w:lineRule="exact"/>
        <w:rPr>
          <w:sz w:val="20"/>
          <w:szCs w:val="20"/>
          <w:color w:val="auto"/>
        </w:rPr>
      </w:pPr>
    </w:p>
    <w:p>
      <w:pPr>
        <w:ind w:right="4059" w:firstLine="412"/>
        <w:spacing w:after="0" w:line="239" w:lineRule="auto"/>
        <w:rPr>
          <w:sz w:val="20"/>
          <w:szCs w:val="20"/>
          <w:color w:val="auto"/>
        </w:rPr>
      </w:pPr>
      <w:r>
        <w:rPr>
          <w:rFonts w:ascii="Courier New" w:cs="Courier New" w:eastAsia="Courier New" w:hAnsi="Courier New"/>
          <w:sz w:val="14"/>
          <w:szCs w:val="14"/>
          <w:color w:val="auto"/>
        </w:rPr>
        <w:t>Section 9.4 Except as otherwise provided herein, the terms and conditions of the Profit Sharing Plan shall apply to the contributions described in Article III and the terms and conditions of the Pension Plan shall apply to the benefits described in Articles IV and V. Any benefit payable under the Company's Employee Stock Ownership Plan, the Pension Plan or the Profit Sharing Plan shall be paid in accordance with the terms and conditions of such plan and nothing in this Plan shall operate or be construed in any way to modify, amend or affect the terms and provisions of the Company's Employee Stock Ownership Plan, the Pension Plan or the Profit Sharing Plan.</w:t>
      </w:r>
    </w:p>
    <w:p>
      <w:pPr>
        <w:spacing w:after="0" w:line="165" w:lineRule="exact"/>
        <w:rPr>
          <w:sz w:val="20"/>
          <w:szCs w:val="20"/>
          <w:color w:val="auto"/>
        </w:rPr>
      </w:pPr>
    </w:p>
    <w:p>
      <w:pPr>
        <w:jc w:val="both"/>
        <w:ind w:right="4059" w:firstLine="412"/>
        <w:spacing w:after="0" w:line="264" w:lineRule="auto"/>
        <w:rPr>
          <w:sz w:val="20"/>
          <w:szCs w:val="20"/>
          <w:color w:val="auto"/>
        </w:rPr>
      </w:pPr>
      <w:r>
        <w:rPr>
          <w:rFonts w:ascii="Courier New" w:cs="Courier New" w:eastAsia="Courier New" w:hAnsi="Courier New"/>
          <w:sz w:val="13"/>
          <w:szCs w:val="13"/>
          <w:color w:val="auto"/>
        </w:rPr>
        <w:t>Section 9.5 Nothing contained in the Plan shall constitute a guaranty by the Company or any other person or entity that any funds in the Trust or the assets of the Company will be sufficient to pay any benefit hereunder.</w:t>
      </w:r>
    </w:p>
    <w:p>
      <w:pPr>
        <w:spacing w:after="0" w:line="148" w:lineRule="exact"/>
        <w:rPr>
          <w:sz w:val="20"/>
          <w:szCs w:val="20"/>
          <w:color w:val="auto"/>
        </w:rPr>
      </w:pPr>
    </w:p>
    <w:p>
      <w:pPr>
        <w:ind w:right="3959" w:firstLine="412"/>
        <w:spacing w:after="0" w:line="238" w:lineRule="auto"/>
        <w:rPr>
          <w:sz w:val="20"/>
          <w:szCs w:val="20"/>
          <w:color w:val="auto"/>
        </w:rPr>
      </w:pPr>
      <w:r>
        <w:rPr>
          <w:rFonts w:ascii="Courier New" w:cs="Courier New" w:eastAsia="Courier New" w:hAnsi="Courier New"/>
          <w:sz w:val="14"/>
          <w:szCs w:val="14"/>
          <w:color w:val="auto"/>
        </w:rPr>
        <w:t>Section 9.6 No Participant or Surviving Spouse shall have any right to a benefit under this Plan except in accordance with the terms of the Plan. Establishment of the Plan shall not be construed to give any Participant the right to be retained in the service of the Company.</w:t>
      </w:r>
    </w:p>
    <w:p>
      <w:pPr>
        <w:spacing w:after="0" w:line="164" w:lineRule="exact"/>
        <w:rPr>
          <w:sz w:val="20"/>
          <w:szCs w:val="20"/>
          <w:color w:val="auto"/>
        </w:rPr>
      </w:pPr>
    </w:p>
    <w:p>
      <w:pPr>
        <w:ind w:right="3879" w:firstLine="412"/>
        <w:spacing w:after="0" w:line="238" w:lineRule="auto"/>
        <w:rPr>
          <w:sz w:val="20"/>
          <w:szCs w:val="20"/>
          <w:color w:val="auto"/>
        </w:rPr>
      </w:pPr>
      <w:r>
        <w:rPr>
          <w:rFonts w:ascii="Courier New" w:cs="Courier New" w:eastAsia="Courier New" w:hAnsi="Courier New"/>
          <w:sz w:val="14"/>
          <w:szCs w:val="14"/>
          <w:color w:val="auto"/>
        </w:rPr>
        <w:t>Section 9.7 Notwithstanding anything in this Plan or a Participant's Election Form to the contrary, if the value or actuarial value of any benefit payable to or on behalf of the Participant under the Plan is $25,000 or less, the Company shall pay such value or actuarial value of such benefit to the Participant, Beneficiary, or Surviving Spouse in a single lump sum in lieu of any further benefit payments under the Plan.</w:t>
      </w:r>
    </w:p>
    <w:p>
      <w:pPr>
        <w:spacing w:after="0" w:line="32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596" w:right="1440" w:bottom="1440" w:gutter="0" w:footer="0" w:header="0"/>
        </w:sectPr>
      </w:pPr>
    </w:p>
    <w:bookmarkStart w:id="61" w:name="page62"/>
    <w:bookmarkEnd w:id="61"/>
    <w:p>
      <w:pPr>
        <w:ind w:right="3879" w:firstLine="412"/>
        <w:spacing w:after="0" w:line="239" w:lineRule="auto"/>
        <w:rPr>
          <w:sz w:val="20"/>
          <w:szCs w:val="20"/>
          <w:color w:val="auto"/>
        </w:rPr>
      </w:pPr>
      <w:r>
        <w:rPr>
          <w:rFonts w:ascii="Courier New" w:cs="Courier New" w:eastAsia="Courier New" w:hAnsi="Courier New"/>
          <w:sz w:val="14"/>
          <w:szCs w:val="14"/>
          <w:color w:val="auto"/>
        </w:rPr>
        <w:t>Section 9.8 If any person entitled to a benefit payment under the Plan is declared incompetent and a conservator or other person legally charged with the care of his or her person or his or her estate is appointed, any benefits under the Plan to which such person is entitled shall be paid to such conservator or other person legally charged with the care of his or her person or his or her estate. Except as provided above, when the Company determines that such person is unable to manage his or her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66" w:lineRule="exact"/>
        <w:rPr>
          <w:sz w:val="20"/>
          <w:szCs w:val="20"/>
          <w:color w:val="auto"/>
        </w:rPr>
      </w:pPr>
    </w:p>
    <w:p>
      <w:pPr>
        <w:ind w:right="3959" w:firstLine="412"/>
        <w:spacing w:after="0" w:line="239" w:lineRule="auto"/>
        <w:rPr>
          <w:sz w:val="20"/>
          <w:szCs w:val="20"/>
          <w:color w:val="auto"/>
        </w:rPr>
      </w:pPr>
      <w:r>
        <w:rPr>
          <w:rFonts w:ascii="Courier New" w:cs="Courier New" w:eastAsia="Courier New" w:hAnsi="Courier New"/>
          <w:sz w:val="14"/>
          <w:szCs w:val="14"/>
          <w:color w:val="auto"/>
        </w:rPr>
        <w:t>Section 9.9 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164" w:lineRule="exact"/>
        <w:rPr>
          <w:sz w:val="20"/>
          <w:szCs w:val="20"/>
          <w:color w:val="auto"/>
        </w:rPr>
      </w:pPr>
    </w:p>
    <w:p>
      <w:pPr>
        <w:ind w:right="3879" w:firstLine="412"/>
        <w:spacing w:after="0" w:line="259" w:lineRule="auto"/>
        <w:rPr>
          <w:sz w:val="20"/>
          <w:szCs w:val="20"/>
          <w:color w:val="auto"/>
        </w:rPr>
      </w:pPr>
      <w:r>
        <w:rPr>
          <w:rFonts w:ascii="Courier New" w:cs="Courier New" w:eastAsia="Courier New" w:hAnsi="Courier New"/>
          <w:sz w:val="13"/>
          <w:szCs w:val="13"/>
          <w:color w:val="auto"/>
        </w:rPr>
        <w:t>Section 9.10 Each Participant shall keep the Company informed of his or her current address and the current address of his or her spouse or designated Beneficiary. The Company shall not be obligated to search for any person. If the location of a Participant is not made known to the Company within three (3) years after the date on which payment of the Participant's benefits payable under this Plan may first be made, payment may be made as through the Participant had died at the end of the three-year period. If, within one additional year after such three-year period has elapsed, or, within three (3) years after the actual death of a Participant, the Company is unable to locate any Surviving Spouse or designated Beneficiary of the Participant, then the Company shall have no further obligation to pay any benefit hereunder to such Participant, Surviving Spouse or designated Beneficiary and such benefits shall be irrevocably forfeited.</w:t>
      </w:r>
    </w:p>
    <w:p>
      <w:pPr>
        <w:spacing w:after="0" w:line="313" w:lineRule="exact"/>
        <w:rPr>
          <w:sz w:val="20"/>
          <w:szCs w:val="20"/>
          <w:color w:val="auto"/>
        </w:rPr>
      </w:pPr>
    </w:p>
    <w:p>
      <w:pPr>
        <w:ind w:right="3879" w:firstLine="412"/>
        <w:spacing w:after="0" w:line="239" w:lineRule="auto"/>
        <w:rPr>
          <w:sz w:val="20"/>
          <w:szCs w:val="20"/>
          <w:color w:val="auto"/>
        </w:rPr>
      </w:pPr>
      <w:r>
        <w:rPr>
          <w:rFonts w:ascii="Courier New" w:cs="Courier New" w:eastAsia="Courier New" w:hAnsi="Courier New"/>
          <w:sz w:val="14"/>
          <w:szCs w:val="14"/>
          <w:color w:val="auto"/>
        </w:rPr>
        <w:t>Section 9.11 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163" w:lineRule="exact"/>
        <w:rPr>
          <w:sz w:val="20"/>
          <w:szCs w:val="20"/>
          <w:color w:val="auto"/>
        </w:rPr>
      </w:pPr>
    </w:p>
    <w:p>
      <w:pPr>
        <w:ind w:right="4539" w:firstLine="412"/>
        <w:spacing w:after="0" w:line="236" w:lineRule="auto"/>
        <w:rPr>
          <w:sz w:val="20"/>
          <w:szCs w:val="20"/>
          <w:color w:val="auto"/>
        </w:rPr>
      </w:pPr>
      <w:r>
        <w:rPr>
          <w:rFonts w:ascii="Courier New" w:cs="Courier New" w:eastAsia="Courier New" w:hAnsi="Courier New"/>
          <w:sz w:val="14"/>
          <w:szCs w:val="14"/>
          <w:color w:val="auto"/>
        </w:rPr>
        <w:t>Section 9.12 In the event a Participant incurs an unforeseeable emergency, the Participant may make a written request</w:t>
      </w:r>
    </w:p>
    <w:p>
      <w:pPr>
        <w:spacing w:after="0" w:line="31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596" w:right="1440" w:bottom="1440" w:gutter="0" w:footer="0" w:header="0"/>
        </w:sectPr>
      </w:pPr>
    </w:p>
    <w:bookmarkStart w:id="62" w:name="page63"/>
    <w:bookmarkEnd w:id="62"/>
    <w:p>
      <w:pPr>
        <w:ind w:right="3879"/>
        <w:spacing w:after="0" w:line="259" w:lineRule="auto"/>
        <w:rPr>
          <w:sz w:val="20"/>
          <w:szCs w:val="20"/>
          <w:color w:val="auto"/>
        </w:rPr>
      </w:pPr>
      <w:r>
        <w:rPr>
          <w:rFonts w:ascii="Courier New" w:cs="Courier New" w:eastAsia="Courier New" w:hAnsi="Courier New"/>
          <w:sz w:val="13"/>
          <w:szCs w:val="13"/>
          <w:color w:val="auto"/>
        </w:rPr>
        <w:t>to the Company for a hardship withdrawal from his or her account established under Article III. An unforeseeable emergency is a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section shall be interpreted in a manner consistent with Sections 1.457-2(h)(4) and 1.457-2(h)(5) of the Treasury Regulations.</w:t>
      </w:r>
    </w:p>
    <w:p>
      <w:pPr>
        <w:spacing w:after="0" w:line="155" w:lineRule="exact"/>
        <w:rPr>
          <w:sz w:val="20"/>
          <w:szCs w:val="20"/>
          <w:color w:val="auto"/>
        </w:rPr>
      </w:pPr>
    </w:p>
    <w:p>
      <w:pPr>
        <w:ind w:right="3879" w:firstLine="412"/>
        <w:spacing w:after="0" w:line="258" w:lineRule="auto"/>
        <w:rPr>
          <w:sz w:val="20"/>
          <w:szCs w:val="20"/>
          <w:color w:val="auto"/>
        </w:rPr>
      </w:pPr>
      <w:r>
        <w:rPr>
          <w:rFonts w:ascii="Courier New" w:cs="Courier New" w:eastAsia="Courier New" w:hAnsi="Courier New"/>
          <w:sz w:val="13"/>
          <w:szCs w:val="13"/>
          <w:color w:val="auto"/>
        </w:rPr>
        <w:t>Section 9.13 If there is a threat of a Change of Control or if a Participant elects to direct the investment of amounts credited to his or her account pursuant to Section 3.5, then, upon the occurrence of such threat of a Change of Control or at the time the Participant makes such an investment election or at any other time as determined by the Company, the Company shall transfer cash or property to the Trust in an amount equal to the present value of all accumulated or accrued benefits then payable to or on behalf of such Participant or Participants under this Plan, plus any applicable fees. The Company may also transfer cash or property to the Trust in an amount equal to the present value of all accumulated or accrued benefits then payable to or on behalf of any Participant under this Plan on any date designated in the sole discretion of the Company. If a transfer of cash or property occurs, the amounts transferred with respect to the benefits payable under Articles IV and V shall be, for each Participant or Surviving Spouse, the actuarial equivalent, as determined by using the actuarial assumptions described in the Pension Plan, of the benefits payable to or on behalf of each such individual under said Articles IV and V. Thereafter, the Company shall, for each Plan Year, transfer cash or property no later than thirty</w:t>
      </w:r>
    </w:p>
    <w:p>
      <w:pPr>
        <w:spacing w:after="0" w:line="4" w:lineRule="exact"/>
        <w:rPr>
          <w:sz w:val="20"/>
          <w:szCs w:val="20"/>
          <w:color w:val="auto"/>
        </w:rPr>
      </w:pPr>
    </w:p>
    <w:p>
      <w:pPr>
        <w:ind w:right="3879" w:firstLine="5"/>
        <w:spacing w:after="0" w:line="259" w:lineRule="auto"/>
        <w:tabs>
          <w:tab w:leader="none" w:pos="412" w:val="left"/>
        </w:tabs>
        <w:numPr>
          <w:ilvl w:val="0"/>
          <w:numId w:val="7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days after the end of the Plan Year in which the initial transfer occurs, and thereafter on each anniversary thereof, to the Trust for the benefit of each affected individual in an amount equal to the additional benefit accrued under the terms of this Plan during and in relation to the most recent Plan Year then ended. In the event of a transfer, the accounts of the Participants, established pursuant to Article III, shall be credited with interest, or earnings and losses in accordance with the provisions under Sections 3.5 and 3.6. A Change of Control shall be deemed "threatened' at such time as the Company becomes aware that any individual(s) or entity(s) or combinations thereof intend(s) to or has commenced a course of conduct which, if successful, would or could result in a Change of Control.</w:t>
      </w:r>
    </w:p>
    <w:p>
      <w:pPr>
        <w:spacing w:after="0" w:line="155" w:lineRule="exact"/>
        <w:rPr>
          <w:sz w:val="20"/>
          <w:szCs w:val="20"/>
          <w:color w:val="auto"/>
        </w:rPr>
      </w:pPr>
    </w:p>
    <w:p>
      <w:pPr>
        <w:ind w:right="3959" w:firstLine="412"/>
        <w:spacing w:after="0" w:line="238" w:lineRule="auto"/>
        <w:rPr>
          <w:sz w:val="20"/>
          <w:szCs w:val="20"/>
          <w:color w:val="auto"/>
        </w:rPr>
      </w:pPr>
      <w:r>
        <w:rPr>
          <w:rFonts w:ascii="Courier New" w:cs="Courier New" w:eastAsia="Courier New" w:hAnsi="Courier New"/>
          <w:sz w:val="14"/>
          <w:szCs w:val="14"/>
          <w:color w:val="auto"/>
        </w:rPr>
        <w:t>Section 9.14 Each Participant shall receive a copy of the Plan and the Company will make available for inspection by any Participant or designated Beneficiary a copy of the rules and regulations used by the Company in administering the Plan.</w:t>
      </w:r>
    </w:p>
    <w:p>
      <w:pPr>
        <w:spacing w:after="0" w:line="318"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6" w:right="1440" w:bottom="1440" w:gutter="0" w:footer="0" w:header="0"/>
        </w:sectPr>
      </w:pPr>
    </w:p>
    <w:bookmarkStart w:id="63" w:name="page64"/>
    <w:bookmarkEnd w:id="63"/>
    <w:p>
      <w:pPr>
        <w:ind w:right="3879" w:firstLine="412"/>
        <w:spacing w:after="0" w:line="238" w:lineRule="auto"/>
        <w:rPr>
          <w:sz w:val="20"/>
          <w:szCs w:val="20"/>
          <w:color w:val="auto"/>
        </w:rPr>
      </w:pPr>
      <w:r>
        <w:rPr>
          <w:rFonts w:ascii="Courier New" w:cs="Courier New" w:eastAsia="Courier New" w:hAnsi="Courier New"/>
          <w:sz w:val="14"/>
          <w:szCs w:val="14"/>
          <w:color w:val="auto"/>
        </w:rPr>
        <w:t>Section 9.15 All questions pertaining to the construction, validity and effect of the Plan shall be determined in accordance with the laws of the United States and to the extent not preempted by such laws, by the laws of the State of Minnesota.</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18th day of September, 1996.</w:t>
      </w: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27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K. B. Melrose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Title: Chairman, CEO and President</w:t>
      </w: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6" w:right="1440" w:bottom="1440" w:gutter="0" w:footer="0" w:header="0"/>
        </w:sectPr>
      </w:pPr>
    </w:p>
    <w:bookmarkStart w:id="64" w:name="page65"/>
    <w:bookmarkEnd w:id="64"/>
    <w:p>
      <w:pPr>
        <w:jc w:val="center"/>
        <w:ind w:right="3139"/>
        <w:spacing w:after="0"/>
        <w:rPr>
          <w:sz w:val="20"/>
          <w:szCs w:val="20"/>
          <w:color w:val="auto"/>
        </w:rPr>
      </w:pPr>
      <w:r>
        <w:rPr>
          <w:rFonts w:ascii="Courier New" w:cs="Courier New" w:eastAsia="Courier New" w:hAnsi="Courier New"/>
          <w:sz w:val="14"/>
          <w:szCs w:val="14"/>
          <w:color w:val="auto"/>
        </w:rPr>
        <w:t>THE TORO COMPANY</w:t>
      </w:r>
    </w:p>
    <w:p>
      <w:pPr>
        <w:jc w:val="center"/>
        <w:ind w:right="3219"/>
        <w:spacing w:after="0"/>
        <w:rPr>
          <w:sz w:val="20"/>
          <w:szCs w:val="20"/>
          <w:color w:val="auto"/>
        </w:rPr>
      </w:pPr>
      <w:r>
        <w:rPr>
          <w:rFonts w:ascii="Courier New" w:cs="Courier New" w:eastAsia="Courier New" w:hAnsi="Courier New"/>
          <w:sz w:val="14"/>
          <w:szCs w:val="14"/>
          <w:color w:val="auto"/>
        </w:rPr>
        <w:t>CHIEF EXECUTIVE OFFICER INCENTIVE AWARD AGREEMENT</w:t>
      </w:r>
    </w:p>
    <w:p>
      <w:pPr>
        <w:spacing w:after="0" w:line="321"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AGREEMENT ("Agreement") dated as of July 31, 1995, by and between The Toro Company, a Delaware corporation (the "Company"), and Kendrick B. Melrose, its Chief Executive Officer ("Mr. Melrose").</w:t>
      </w:r>
    </w:p>
    <w:p>
      <w:pPr>
        <w:spacing w:after="0" w:line="164" w:lineRule="exact"/>
        <w:rPr>
          <w:sz w:val="20"/>
          <w:szCs w:val="20"/>
          <w:color w:val="auto"/>
        </w:rPr>
      </w:pPr>
    </w:p>
    <w:p>
      <w:pPr>
        <w:ind w:right="3719" w:firstLine="5"/>
        <w:spacing w:after="0" w:line="238" w:lineRule="auto"/>
        <w:tabs>
          <w:tab w:leader="none" w:pos="3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162" w:lineRule="exact"/>
        <w:rPr>
          <w:rFonts w:ascii="Courier New" w:cs="Courier New" w:eastAsia="Courier New" w:hAnsi="Courier New"/>
          <w:sz w:val="14"/>
          <w:szCs w:val="14"/>
          <w:color w:val="auto"/>
        </w:rPr>
      </w:pPr>
    </w:p>
    <w:p>
      <w:pPr>
        <w:ind w:left="340" w:hanging="335"/>
        <w:spacing w:after="0"/>
        <w:tabs>
          <w:tab w:leader="none" w:pos="3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AWARD.</w:t>
      </w:r>
    </w:p>
    <w:p>
      <w:pPr>
        <w:spacing w:after="0" w:line="162" w:lineRule="exact"/>
        <w:rPr>
          <w:rFonts w:ascii="Courier New" w:cs="Courier New" w:eastAsia="Courier New" w:hAnsi="Courier New"/>
          <w:sz w:val="14"/>
          <w:szCs w:val="14"/>
          <w:color w:val="auto"/>
        </w:rPr>
      </w:pPr>
    </w:p>
    <w:p>
      <w:pPr>
        <w:ind w:right="3639" w:firstLine="334"/>
        <w:spacing w:after="0" w:line="259" w:lineRule="auto"/>
        <w:tabs>
          <w:tab w:leader="none" w:pos="742" w:val="left"/>
        </w:tabs>
        <w:numPr>
          <w:ilvl w:val="1"/>
          <w:numId w:val="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Section 2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54" w:lineRule="exact"/>
        <w:rPr>
          <w:rFonts w:ascii="Courier New" w:cs="Courier New" w:eastAsia="Courier New" w:hAnsi="Courier New"/>
          <w:sz w:val="13"/>
          <w:szCs w:val="13"/>
          <w:color w:val="auto"/>
        </w:rPr>
      </w:pPr>
    </w:p>
    <w:p>
      <w:pPr>
        <w:ind w:right="3639" w:firstLine="334"/>
        <w:spacing w:after="0" w:line="239" w:lineRule="auto"/>
        <w:tabs>
          <w:tab w:leader="none" w:pos="742"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Section 2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Section 1.c. and 2.b. hereof.</w:t>
      </w:r>
    </w:p>
    <w:p>
      <w:pPr>
        <w:sectPr>
          <w:pgSz w:w="11900" w:h="16838" w:orient="portrait"/>
          <w:cols w:equalWidth="0" w:num="1">
            <w:col w:w="10239"/>
          </w:cols>
          <w:pgMar w:left="220" w:top="454" w:right="1440" w:bottom="1440" w:gutter="0" w:footer="0" w:header="0"/>
        </w:sectPr>
      </w:pPr>
    </w:p>
    <w:bookmarkStart w:id="65" w:name="page66"/>
    <w:bookmarkEnd w:id="65"/>
    <w:p>
      <w:pPr>
        <w:ind w:left="-5" w:right="3639" w:firstLine="334"/>
        <w:spacing w:after="0" w:line="239" w:lineRule="auto"/>
        <w:tabs>
          <w:tab w:leader="none" w:pos="737"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59" w:lineRule="exact"/>
        <w:rPr>
          <w:rFonts w:ascii="Courier New" w:cs="Courier New" w:eastAsia="Courier New" w:hAnsi="Courier New"/>
          <w:sz w:val="14"/>
          <w:szCs w:val="14"/>
          <w:color w:val="auto"/>
        </w:rPr>
      </w:pPr>
    </w:p>
    <w:p>
      <w:pPr>
        <w:ind w:left="335" w:hanging="335"/>
        <w:spacing w:after="0"/>
        <w:tabs>
          <w:tab w:leader="none" w:pos="335"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62" w:lineRule="exact"/>
        <w:rPr>
          <w:rFonts w:ascii="Courier New" w:cs="Courier New" w:eastAsia="Courier New" w:hAnsi="Courier New"/>
          <w:sz w:val="14"/>
          <w:szCs w:val="14"/>
          <w:color w:val="auto"/>
        </w:rPr>
      </w:pPr>
    </w:p>
    <w:p>
      <w:pPr>
        <w:ind w:left="-5" w:right="3879" w:firstLine="334"/>
        <w:spacing w:after="0" w:line="261" w:lineRule="auto"/>
        <w:tabs>
          <w:tab w:leader="none" w:pos="737" w:val="left"/>
        </w:tabs>
        <w:numPr>
          <w:ilvl w:val="1"/>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Section 2.a.</w:t>
      </w:r>
    </w:p>
    <w:p>
      <w:pPr>
        <w:spacing w:after="0" w:line="150" w:lineRule="exact"/>
        <w:rPr>
          <w:rFonts w:ascii="Courier New" w:cs="Courier New" w:eastAsia="Courier New" w:hAnsi="Courier New"/>
          <w:sz w:val="13"/>
          <w:szCs w:val="13"/>
          <w:color w:val="auto"/>
        </w:rPr>
      </w:pPr>
    </w:p>
    <w:p>
      <w:pPr>
        <w:ind w:left="-5" w:right="3639" w:firstLine="747"/>
        <w:spacing w:after="0" w:line="239" w:lineRule="auto"/>
        <w:tabs>
          <w:tab w:leader="none" w:pos="1150"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Section 2.a.i. and to the achievement by Mr. Melrose of the Performance Goals set forth in Section 2.a.i.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Section 2.b.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169" w:lineRule="exact"/>
        <w:rPr>
          <w:rFonts w:ascii="Courier New" w:cs="Courier New" w:eastAsia="Courier New" w:hAnsi="Courier New"/>
          <w:sz w:val="14"/>
          <w:szCs w:val="14"/>
          <w:color w:val="auto"/>
        </w:rPr>
      </w:pPr>
    </w:p>
    <w:p>
      <w:pPr>
        <w:ind w:left="-5" w:right="3719" w:firstLine="1159"/>
        <w:spacing w:after="0" w:line="264" w:lineRule="auto"/>
        <w:tabs>
          <w:tab w:leader="none" w:pos="1562" w:val="left"/>
        </w:tabs>
        <w:numPr>
          <w:ilvl w:val="3"/>
          <w:numId w:val="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following table sets forth the Performance Goals, the schedule for achievement of each Performance Goal and the portion of Restricted Stock and Performance Units in which rights vest upon such achievement.</w:t>
      </w:r>
    </w:p>
    <w:p>
      <w:pPr>
        <w:spacing w:after="0" w:line="144" w:lineRule="exact"/>
        <w:rPr>
          <w:sz w:val="20"/>
          <w:szCs w:val="20"/>
          <w:color w:val="auto"/>
        </w:rPr>
      </w:pPr>
    </w:p>
    <w:p>
      <w:pPr>
        <w:ind w:left="3455"/>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5"/>
          </w:cols>
          <w:pgMar w:left="225" w:top="596" w:right="1440"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Performance Goal</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Restricted Period</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Portion of</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rPr>
              <w:t>Portion of</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to be Achieved</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(July 31, 1995</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Shares of Re-</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w w:val="95"/>
              </w:rPr>
              <w:t>Performance</w:t>
            </w:r>
          </w:p>
        </w:tc>
      </w:tr>
      <w:tr>
        <w:trPr>
          <w:trHeight w:val="159"/>
        </w:trPr>
        <w:tc>
          <w:tcPr>
            <w:tcW w:w="2600" w:type="dxa"/>
            <w:vAlign w:val="bottom"/>
          </w:tcPr>
          <w:p>
            <w:pPr>
              <w:spacing w:after="0"/>
              <w:rPr>
                <w:sz w:val="13"/>
                <w:szCs w:val="13"/>
                <w:color w:val="auto"/>
              </w:rPr>
            </w:pP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through earlier of</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stricted Stock</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rPr>
              <w:t>Units to</w:t>
            </w:r>
          </w:p>
        </w:tc>
      </w:tr>
      <w:tr>
        <w:trPr>
          <w:trHeight w:val="159"/>
        </w:trPr>
        <w:tc>
          <w:tcPr>
            <w:tcW w:w="2600" w:type="dxa"/>
            <w:vAlign w:val="bottom"/>
          </w:tcPr>
          <w:p>
            <w:pPr>
              <w:spacing w:after="0"/>
              <w:rPr>
                <w:sz w:val="13"/>
                <w:szCs w:val="13"/>
                <w:color w:val="auto"/>
              </w:rPr>
            </w:pP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date shown or</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to Vest Upon</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rPr>
              <w:t>Vest Upon</w:t>
            </w:r>
          </w:p>
        </w:tc>
      </w:tr>
      <w:tr>
        <w:trPr>
          <w:trHeight w:val="159"/>
        </w:trPr>
        <w:tc>
          <w:tcPr>
            <w:tcW w:w="2600" w:type="dxa"/>
            <w:vAlign w:val="bottom"/>
          </w:tcPr>
          <w:p>
            <w:pPr>
              <w:spacing w:after="0"/>
              <w:rPr>
                <w:sz w:val="13"/>
                <w:szCs w:val="13"/>
                <w:color w:val="auto"/>
              </w:rPr>
            </w:pP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Goal Achievement)</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Achievement</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w w:val="95"/>
              </w:rPr>
              <w:t>Achievement</w:t>
            </w:r>
          </w:p>
        </w:tc>
      </w:tr>
      <w:tr>
        <w:trPr>
          <w:trHeight w:val="317"/>
        </w:trPr>
        <w:tc>
          <w:tcPr>
            <w:tcW w:w="2600" w:type="dxa"/>
            <w:vAlign w:val="bottom"/>
          </w:tcPr>
          <w:p>
            <w:pPr>
              <w:spacing w:after="0"/>
              <w:rPr>
                <w:sz w:val="20"/>
                <w:szCs w:val="20"/>
                <w:color w:val="auto"/>
              </w:rPr>
            </w:pPr>
            <w:r>
              <w:rPr>
                <w:rFonts w:ascii="Courier New" w:cs="Courier New" w:eastAsia="Courier New" w:hAnsi="Courier New"/>
                <w:sz w:val="14"/>
                <w:szCs w:val="14"/>
                <w:color w:val="auto"/>
              </w:rPr>
              <w:t>Goal 1:</w:t>
            </w: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CEO and senior management</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succession plan developed</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and progress towards fulfill-</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ment of the plan, approved</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by Board of Directors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July 31, 1998</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15%</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rPr>
              <w:t>15%</w:t>
            </w:r>
          </w:p>
        </w:tc>
      </w:tr>
      <w:tr>
        <w:trPr>
          <w:trHeight w:val="317"/>
        </w:trPr>
        <w:tc>
          <w:tcPr>
            <w:tcW w:w="2600" w:type="dxa"/>
            <w:vAlign w:val="bottom"/>
          </w:tcPr>
          <w:p>
            <w:pPr>
              <w:spacing w:after="0"/>
              <w:rPr>
                <w:sz w:val="20"/>
                <w:szCs w:val="20"/>
                <w:color w:val="auto"/>
              </w:rPr>
            </w:pPr>
            <w:r>
              <w:rPr>
                <w:rFonts w:ascii="Courier New" w:cs="Courier New" w:eastAsia="Courier New" w:hAnsi="Courier New"/>
                <w:sz w:val="14"/>
                <w:szCs w:val="14"/>
                <w:color w:val="auto"/>
              </w:rPr>
              <w:t>Goal 2:</w:t>
            </w: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Potential CEO successor</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identified with approval</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of Board of Directors</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and continued development</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of senior management team</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July 31, 1999</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15%</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rPr>
              <w:t>15%</w:t>
            </w:r>
          </w:p>
        </w:tc>
      </w:tr>
      <w:tr>
        <w:trPr>
          <w:trHeight w:val="317"/>
        </w:trPr>
        <w:tc>
          <w:tcPr>
            <w:tcW w:w="2600" w:type="dxa"/>
            <w:vAlign w:val="bottom"/>
          </w:tcPr>
          <w:p>
            <w:pPr>
              <w:spacing w:after="0"/>
              <w:rPr>
                <w:sz w:val="20"/>
                <w:szCs w:val="20"/>
                <w:color w:val="auto"/>
              </w:rPr>
            </w:pPr>
            <w:r>
              <w:rPr>
                <w:rFonts w:ascii="Courier New" w:cs="Courier New" w:eastAsia="Courier New" w:hAnsi="Courier New"/>
                <w:sz w:val="14"/>
                <w:szCs w:val="14"/>
                <w:color w:val="auto"/>
              </w:rPr>
              <w:t>Goal 3:</w:t>
            </w:r>
          </w:p>
        </w:tc>
        <w:tc>
          <w:tcPr>
            <w:tcW w:w="19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CEO successor who was</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identified and developed</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by Mr. Melrose is elected</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as CEO by Board of</w:t>
            </w:r>
          </w:p>
        </w:tc>
        <w:tc>
          <w:tcPr>
            <w:tcW w:w="19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980" w:type="dxa"/>
            <w:vAlign w:val="bottom"/>
          </w:tcPr>
          <w:p>
            <w:pPr>
              <w:ind w:left="200"/>
              <w:spacing w:after="0"/>
              <w:rPr>
                <w:sz w:val="20"/>
                <w:szCs w:val="20"/>
                <w:color w:val="auto"/>
              </w:rPr>
            </w:pPr>
            <w:r>
              <w:rPr>
                <w:rFonts w:ascii="Courier New" w:cs="Courier New" w:eastAsia="Courier New" w:hAnsi="Courier New"/>
                <w:sz w:val="14"/>
                <w:szCs w:val="14"/>
                <w:color w:val="auto"/>
              </w:rPr>
              <w:t>July 31, 2000</w:t>
            </w:r>
          </w:p>
        </w:tc>
        <w:tc>
          <w:tcPr>
            <w:tcW w:w="1700" w:type="dxa"/>
            <w:vAlign w:val="bottom"/>
          </w:tcPr>
          <w:p>
            <w:pPr>
              <w:ind w:left="280"/>
              <w:spacing w:after="0"/>
              <w:rPr>
                <w:sz w:val="20"/>
                <w:szCs w:val="20"/>
                <w:color w:val="auto"/>
              </w:rPr>
            </w:pPr>
            <w:r>
              <w:rPr>
                <w:rFonts w:ascii="Courier New" w:cs="Courier New" w:eastAsia="Courier New" w:hAnsi="Courier New"/>
                <w:sz w:val="14"/>
                <w:szCs w:val="14"/>
                <w:color w:val="auto"/>
              </w:rPr>
              <w:t>70%</w:t>
            </w:r>
          </w:p>
        </w:tc>
        <w:tc>
          <w:tcPr>
            <w:tcW w:w="1140" w:type="dxa"/>
            <w:vAlign w:val="bottom"/>
          </w:tcPr>
          <w:p>
            <w:pPr>
              <w:ind w:left="240"/>
              <w:spacing w:after="0"/>
              <w:rPr>
                <w:sz w:val="20"/>
                <w:szCs w:val="20"/>
                <w:color w:val="auto"/>
              </w:rPr>
            </w:pPr>
            <w:r>
              <w:rPr>
                <w:rFonts w:ascii="Courier New" w:cs="Courier New" w:eastAsia="Courier New" w:hAnsi="Courier New"/>
                <w:sz w:val="14"/>
                <w:szCs w:val="14"/>
                <w:color w:val="auto"/>
              </w:rPr>
              <w:t>70%</w:t>
            </w:r>
          </w:p>
        </w:tc>
      </w:tr>
    </w:tbl>
    <w:p>
      <w:pPr>
        <w:spacing w:after="0" w:line="200" w:lineRule="exact"/>
        <w:rPr>
          <w:sz w:val="20"/>
          <w:szCs w:val="20"/>
          <w:color w:val="auto"/>
        </w:rPr>
      </w:pPr>
    </w:p>
    <w:p>
      <w:pPr>
        <w:spacing w:after="0" w:line="280" w:lineRule="exact"/>
        <w:rPr>
          <w:sz w:val="20"/>
          <w:szCs w:val="20"/>
          <w:color w:val="auto"/>
        </w:rPr>
      </w:pPr>
    </w:p>
    <w:p>
      <w:pPr>
        <w:ind w:right="3639" w:firstLine="1159"/>
        <w:spacing w:after="0" w:line="239" w:lineRule="auto"/>
        <w:tabs>
          <w:tab w:leader="none" w:pos="156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Section 2.b.</w:t>
      </w:r>
    </w:p>
    <w:p>
      <w:pPr>
        <w:spacing w:after="0" w:line="164" w:lineRule="exact"/>
        <w:rPr>
          <w:rFonts w:ascii="Courier New" w:cs="Courier New" w:eastAsia="Courier New" w:hAnsi="Courier New"/>
          <w:sz w:val="14"/>
          <w:szCs w:val="14"/>
          <w:color w:val="auto"/>
        </w:rPr>
      </w:pPr>
    </w:p>
    <w:p>
      <w:pPr>
        <w:ind w:right="3799" w:firstLine="1159"/>
        <w:spacing w:after="0" w:line="260" w:lineRule="auto"/>
        <w:tabs>
          <w:tab w:leader="none" w:pos="1567" w:val="left"/>
        </w:tabs>
        <w:numPr>
          <w:ilvl w:val="0"/>
          <w:numId w:val="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200" w:lineRule="exact"/>
        <w:rPr>
          <w:sz w:val="20"/>
          <w:szCs w:val="20"/>
          <w:color w:val="auto"/>
        </w:rPr>
      </w:pPr>
    </w:p>
    <w:p>
      <w:pPr>
        <w:spacing w:after="0" w:line="2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09" w:right="1440" w:bottom="1440" w:gutter="0" w:footer="0" w:header="0"/>
        </w:sectPr>
      </w:pPr>
    </w:p>
    <w:bookmarkStart w:id="67" w:name="page68"/>
    <w:bookmarkEnd w:id="67"/>
    <w:p>
      <w:pPr>
        <w:ind w:right="3639" w:firstLine="747"/>
        <w:spacing w:after="0" w:line="239" w:lineRule="auto"/>
        <w:tabs>
          <w:tab w:leader="none" w:pos="1154"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Section 2.a.i.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Section 1.b. hereof.</w:t>
      </w:r>
    </w:p>
    <w:p>
      <w:pPr>
        <w:spacing w:after="0" w:line="162" w:lineRule="exact"/>
        <w:rPr>
          <w:rFonts w:ascii="Courier New" w:cs="Courier New" w:eastAsia="Courier New" w:hAnsi="Courier New"/>
          <w:sz w:val="14"/>
          <w:szCs w:val="14"/>
          <w:color w:val="auto"/>
        </w:rPr>
      </w:pPr>
    </w:p>
    <w:p>
      <w:pPr>
        <w:ind w:right="3639" w:firstLine="747"/>
        <w:spacing w:after="0" w:line="239" w:lineRule="auto"/>
        <w:tabs>
          <w:tab w:leader="none" w:pos="1154"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Section 2.c.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Section 2.b., and shall become nonforfeitable in the fiscal year following the year of the date of such event, and on the first day that such vesting would not cause the compensation to be deemed compensation with respect to the prior fiscal year.</w:t>
      </w:r>
    </w:p>
    <w:p>
      <w:pPr>
        <w:spacing w:after="0" w:line="165" w:lineRule="exact"/>
        <w:rPr>
          <w:rFonts w:ascii="Courier New" w:cs="Courier New" w:eastAsia="Courier New" w:hAnsi="Courier New"/>
          <w:sz w:val="14"/>
          <w:szCs w:val="14"/>
          <w:color w:val="auto"/>
        </w:rPr>
      </w:pPr>
    </w:p>
    <w:p>
      <w:pPr>
        <w:ind w:right="3639" w:firstLine="334"/>
        <w:spacing w:after="0" w:line="259" w:lineRule="auto"/>
        <w:tabs>
          <w:tab w:leader="none" w:pos="660" w:val="left"/>
        </w:tabs>
        <w:numPr>
          <w:ilvl w:val="0"/>
          <w:numId w:val="81"/>
        </w:numPr>
        <w:rPr>
          <w:rFonts w:ascii="Courier New" w:cs="Courier New" w:eastAsia="Courier New" w:hAnsi="Courier New"/>
          <w:sz w:val="13"/>
          <w:szCs w:val="13"/>
          <w:color w:val="auto"/>
        </w:rPr>
      </w:pPr>
      <w:r>
        <w:rPr>
          <w:rFonts w:ascii="Courier New" w:cs="Courier New" w:eastAsia="Courier New" w:hAnsi="Courier New"/>
          <w:sz w:val="13"/>
          <w:szCs w:val="13"/>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Section 1.b.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Section 1.c. not then expended for Mr. Melrose's benefit shall be paid to Mr. Melrose over the remainder of the five year period. Mr. Melrose shall not have any right to receive payments pursuant to Section 1.c. or this Section 2.b. until and unless he shall have executed an agreement not to compete with the Company and delivered a fully executed copy thereof to the Company, and otherwise complied with the then applicable terms and conditions of the Plan, except as provided in Section 2.a.iii.</w:t>
      </w:r>
    </w:p>
    <w:p>
      <w:pPr>
        <w:spacing w:after="0" w:line="305" w:lineRule="exact"/>
        <w:rPr>
          <w:rFonts w:ascii="Courier New" w:cs="Courier New" w:eastAsia="Courier New" w:hAnsi="Courier New"/>
          <w:sz w:val="13"/>
          <w:szCs w:val="13"/>
          <w:color w:val="auto"/>
        </w:rPr>
      </w:pPr>
    </w:p>
    <w:p>
      <w:pPr>
        <w:ind w:left="740" w:hanging="406"/>
        <w:spacing w:after="0"/>
        <w:tabs>
          <w:tab w:leader="none" w:pos="7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Section</w:t>
      </w:r>
    </w:p>
    <w:p>
      <w:pPr>
        <w:spacing w:after="0" w:line="4"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2.a.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this Agreement, "Cause" shall mean:</w:t>
      </w: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54" w:right="1440" w:bottom="1440" w:gutter="0" w:footer="0" w:header="0"/>
        </w:sectPr>
      </w:pPr>
    </w:p>
    <w:bookmarkStart w:id="68" w:name="page69"/>
    <w:bookmarkEnd w:id="68"/>
    <w:p>
      <w:pPr>
        <w:ind w:left="340" w:right="3799" w:hanging="6"/>
        <w:spacing w:after="0" w:line="239" w:lineRule="auto"/>
        <w:tabs>
          <w:tab w:leader="none" w:pos="752"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162" w:lineRule="exact"/>
        <w:rPr>
          <w:rFonts w:ascii="Courier New" w:cs="Courier New" w:eastAsia="Courier New" w:hAnsi="Courier New"/>
          <w:sz w:val="14"/>
          <w:szCs w:val="14"/>
          <w:color w:val="auto"/>
        </w:rPr>
      </w:pPr>
    </w:p>
    <w:p>
      <w:pPr>
        <w:ind w:left="340" w:right="3879" w:hanging="6"/>
        <w:spacing w:after="0" w:line="270" w:lineRule="auto"/>
        <w:tabs>
          <w:tab w:leader="none" w:pos="835" w:val="left"/>
        </w:tabs>
        <w:numPr>
          <w:ilvl w:val="0"/>
          <w:numId w:val="8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willful engaging by Mr. Melrose in illegal conduct or gross misconduct which is materially and demonstrably injurious to the Company.</w:t>
      </w:r>
    </w:p>
    <w:p>
      <w:pPr>
        <w:spacing w:after="0" w:line="144" w:lineRule="exact"/>
        <w:rPr>
          <w:sz w:val="20"/>
          <w:szCs w:val="20"/>
          <w:color w:val="auto"/>
        </w:rPr>
      </w:pPr>
    </w:p>
    <w:p>
      <w:pPr>
        <w:ind w:right="3639" w:firstLine="82"/>
        <w:spacing w:after="0" w:line="259" w:lineRule="auto"/>
        <w:rPr>
          <w:sz w:val="20"/>
          <w:szCs w:val="20"/>
          <w:color w:val="auto"/>
        </w:rPr>
      </w:pPr>
      <w:r>
        <w:rPr>
          <w:rFonts w:ascii="Courier New" w:cs="Courier New" w:eastAsia="Courier New" w:hAnsi="Courier New"/>
          <w:sz w:val="13"/>
          <w:szCs w:val="13"/>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subparagraph (i) or (ii) above, and specifying the particulars thereof in detail.</w:t>
      </w:r>
    </w:p>
    <w:p>
      <w:pPr>
        <w:spacing w:after="0" w:line="307" w:lineRule="exact"/>
        <w:rPr>
          <w:sz w:val="20"/>
          <w:szCs w:val="20"/>
          <w:color w:val="auto"/>
        </w:rPr>
      </w:pPr>
    </w:p>
    <w:p>
      <w:pPr>
        <w:ind w:left="740" w:hanging="406"/>
        <w:spacing w:after="0"/>
        <w:tabs>
          <w:tab w:leader="none" w:pos="7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58" w:lineRule="exact"/>
        <w:rPr>
          <w:rFonts w:ascii="Courier New" w:cs="Courier New" w:eastAsia="Courier New" w:hAnsi="Courier New"/>
          <w:sz w:val="14"/>
          <w:szCs w:val="14"/>
          <w:color w:val="auto"/>
        </w:rPr>
      </w:pPr>
    </w:p>
    <w:p>
      <w:pPr>
        <w:ind w:left="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w:t>
      </w:r>
    </w:p>
    <w:p>
      <w:pPr>
        <w:spacing w:after="0" w:line="4" w:lineRule="exact"/>
        <w:rPr>
          <w:rFonts w:ascii="Courier New" w:cs="Courier New" w:eastAsia="Courier New" w:hAnsi="Courier New"/>
          <w:sz w:val="14"/>
          <w:szCs w:val="14"/>
          <w:color w:val="auto"/>
        </w:rPr>
      </w:pPr>
    </w:p>
    <w:p>
      <w:pPr>
        <w:ind w:right="3639"/>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64" w:lineRule="exact"/>
        <w:rPr>
          <w:sz w:val="20"/>
          <w:szCs w:val="20"/>
          <w:color w:val="auto"/>
        </w:rPr>
      </w:pPr>
    </w:p>
    <w:p>
      <w:pPr>
        <w:ind w:left="740" w:right="3799"/>
        <w:spacing w:after="0" w:line="239"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163" w:lineRule="exact"/>
        <w:rPr>
          <w:sz w:val="20"/>
          <w:szCs w:val="20"/>
          <w:color w:val="auto"/>
        </w:rPr>
      </w:pPr>
    </w:p>
    <w:p>
      <w:pPr>
        <w:ind w:right="3719" w:firstLine="747"/>
        <w:spacing w:after="0" w:line="238" w:lineRule="auto"/>
        <w:tabs>
          <w:tab w:leader="none" w:pos="115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54" w:right="1440" w:bottom="1440" w:gutter="0" w:footer="0" w:header="0"/>
        </w:sectPr>
      </w:pPr>
    </w:p>
    <w:bookmarkStart w:id="69" w:name="page70"/>
    <w:bookmarkEnd w:id="69"/>
    <w:p>
      <w:pPr>
        <w:ind w:right="3639"/>
        <w:spacing w:after="0" w:line="239" w:lineRule="auto"/>
        <w:rPr>
          <w:sz w:val="20"/>
          <w:szCs w:val="20"/>
          <w:color w:val="auto"/>
        </w:rPr>
      </w:pPr>
      <w:r>
        <w:rPr>
          <w:rFonts w:ascii="Courier New" w:cs="Courier New" w:eastAsia="Courier New" w:hAnsi="Courier New"/>
          <w:sz w:val="14"/>
          <w:szCs w:val="14"/>
          <w:color w:val="auto"/>
        </w:rPr>
        <w:t>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164" w:lineRule="exact"/>
        <w:rPr>
          <w:sz w:val="20"/>
          <w:szCs w:val="20"/>
          <w:color w:val="auto"/>
        </w:rPr>
      </w:pPr>
    </w:p>
    <w:p>
      <w:pPr>
        <w:ind w:right="3639" w:firstLine="747"/>
        <w:spacing w:after="0" w:line="239" w:lineRule="auto"/>
        <w:tabs>
          <w:tab w:leader="none" w:pos="1154"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Section 2.a.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Section 2.d.i. hereof. The number of shares of Common Stock to be released shall be the same number as to which the Performance Goals have been achieved in accordance with Section 2.a.</w:t>
      </w:r>
    </w:p>
    <w:p>
      <w:pPr>
        <w:spacing w:after="0" w:line="159" w:lineRule="exact"/>
        <w:rPr>
          <w:rFonts w:ascii="Courier New" w:cs="Courier New" w:eastAsia="Courier New" w:hAnsi="Courier New"/>
          <w:sz w:val="14"/>
          <w:szCs w:val="14"/>
          <w:color w:val="auto"/>
        </w:rPr>
      </w:pPr>
    </w:p>
    <w:p>
      <w:pPr>
        <w:ind w:left="740" w:hanging="406"/>
        <w:spacing w:after="0"/>
        <w:tabs>
          <w:tab w:leader="none" w:pos="7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62" w:lineRule="exact"/>
        <w:rPr>
          <w:rFonts w:ascii="Courier New" w:cs="Courier New" w:eastAsia="Courier New" w:hAnsi="Courier New"/>
          <w:sz w:val="14"/>
          <w:szCs w:val="14"/>
          <w:color w:val="auto"/>
        </w:rPr>
      </w:pPr>
    </w:p>
    <w:p>
      <w:pPr>
        <w:ind w:right="3639" w:firstLine="747"/>
        <w:spacing w:after="0" w:line="238" w:lineRule="auto"/>
        <w:tabs>
          <w:tab w:leader="none" w:pos="1154"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VOTE AND DIVIDENDS. Except as provided in Section 1 and this Section 2, Mr. Melrose shall have, with respect to the shares of Restricted Stock, all of the rights of a stockholder of the Company, including the right to vote the shares and the right to receive cash dividends with respect to the shares.</w:t>
      </w:r>
    </w:p>
    <w:p>
      <w:pPr>
        <w:spacing w:after="0" w:line="165" w:lineRule="exact"/>
        <w:rPr>
          <w:sz w:val="20"/>
          <w:szCs w:val="20"/>
          <w:color w:val="auto"/>
        </w:rPr>
      </w:pPr>
    </w:p>
    <w:p>
      <w:pPr>
        <w:ind w:right="3719" w:firstLine="747"/>
        <w:spacing w:after="0" w:line="260" w:lineRule="auto"/>
        <w:tabs>
          <w:tab w:leader="none" w:pos="1154" w:val="left"/>
        </w:tabs>
        <w:numPr>
          <w:ilvl w:val="2"/>
          <w:numId w:val="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50" w:lineRule="exact"/>
        <w:rPr>
          <w:rFonts w:ascii="Courier New" w:cs="Courier New" w:eastAsia="Courier New" w:hAnsi="Courier New"/>
          <w:sz w:val="13"/>
          <w:szCs w:val="13"/>
          <w:color w:val="auto"/>
        </w:rPr>
      </w:pPr>
    </w:p>
    <w:p>
      <w:pPr>
        <w:jc w:val="both"/>
        <w:ind w:right="3719" w:firstLine="334"/>
        <w:spacing w:after="0" w:line="258" w:lineRule="auto"/>
        <w:tabs>
          <w:tab w:leader="none" w:pos="742" w:val="left"/>
        </w:tabs>
        <w:numPr>
          <w:ilvl w:val="1"/>
          <w:numId w:val="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ind w:right="3639" w:firstLine="5"/>
        <w:spacing w:after="0" w:line="239" w:lineRule="auto"/>
        <w:tabs>
          <w:tab w:leader="none" w:pos="33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596" w:right="1440" w:bottom="1440" w:gutter="0" w:footer="0" w:header="0"/>
        </w:sectPr>
      </w:pPr>
    </w:p>
    <w:bookmarkStart w:id="70" w:name="page71"/>
    <w:bookmarkEnd w:id="70"/>
    <w:p>
      <w:pPr>
        <w:ind w:right="3719"/>
        <w:spacing w:after="0" w:line="236" w:lineRule="auto"/>
        <w:rPr>
          <w:sz w:val="20"/>
          <w:szCs w:val="20"/>
          <w:color w:val="auto"/>
        </w:rPr>
      </w:pPr>
      <w:r>
        <w:rPr>
          <w:rFonts w:ascii="Courier New" w:cs="Courier New" w:eastAsia="Courier New" w:hAnsi="Courier New"/>
          <w:sz w:val="14"/>
          <w:szCs w:val="14"/>
          <w:color w:val="auto"/>
        </w:rPr>
        <w:t>before such Change of Control to cease to constitute a majority of the Board of Directors of the Company or any parent of or successor to the Company.</w:t>
      </w:r>
    </w:p>
    <w:p>
      <w:pPr>
        <w:spacing w:after="0" w:line="164" w:lineRule="exact"/>
        <w:rPr>
          <w:sz w:val="20"/>
          <w:szCs w:val="20"/>
          <w:color w:val="auto"/>
        </w:rPr>
      </w:pPr>
    </w:p>
    <w:p>
      <w:pPr>
        <w:ind w:right="3639" w:firstLine="5"/>
        <w:spacing w:after="0" w:line="239" w:lineRule="auto"/>
        <w:tabs>
          <w:tab w:leader="none" w:pos="33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64" w:lineRule="exact"/>
        <w:rPr>
          <w:rFonts w:ascii="Courier New" w:cs="Courier New" w:eastAsia="Courier New" w:hAnsi="Courier New"/>
          <w:sz w:val="14"/>
          <w:szCs w:val="14"/>
          <w:color w:val="auto"/>
        </w:rPr>
      </w:pPr>
    </w:p>
    <w:p>
      <w:pPr>
        <w:ind w:right="3639" w:firstLine="5"/>
        <w:spacing w:after="0" w:line="239" w:lineRule="auto"/>
        <w:tabs>
          <w:tab w:leader="none" w:pos="33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5" w:lineRule="exact"/>
        <w:rPr>
          <w:rFonts w:ascii="Courier New" w:cs="Courier New" w:eastAsia="Courier New" w:hAnsi="Courier New"/>
          <w:sz w:val="14"/>
          <w:szCs w:val="14"/>
          <w:color w:val="auto"/>
        </w:rPr>
      </w:pPr>
    </w:p>
    <w:p>
      <w:pPr>
        <w:ind w:right="3639" w:firstLine="5"/>
        <w:spacing w:after="0" w:line="239" w:lineRule="auto"/>
        <w:tabs>
          <w:tab w:leader="none" w:pos="33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164" w:lineRule="exact"/>
        <w:rPr>
          <w:rFonts w:ascii="Courier New" w:cs="Courier New" w:eastAsia="Courier New" w:hAnsi="Courier New"/>
          <w:sz w:val="14"/>
          <w:szCs w:val="14"/>
          <w:color w:val="auto"/>
        </w:rPr>
      </w:pPr>
    </w:p>
    <w:p>
      <w:pPr>
        <w:ind w:right="3719" w:firstLine="5"/>
        <w:spacing w:after="0" w:line="262" w:lineRule="auto"/>
        <w:tabs>
          <w:tab w:leader="none" w:pos="330" w:val="left"/>
        </w:tabs>
        <w:numPr>
          <w:ilvl w:val="0"/>
          <w:numId w:val="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EMPLOYMENT. Nothing in the Plan or this Agreement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149" w:lineRule="exact"/>
        <w:rPr>
          <w:rFonts w:ascii="Courier New" w:cs="Courier New" w:eastAsia="Courier New" w:hAnsi="Courier New"/>
          <w:sz w:val="13"/>
          <w:szCs w:val="13"/>
          <w:color w:val="auto"/>
        </w:rPr>
      </w:pPr>
    </w:p>
    <w:p>
      <w:pPr>
        <w:ind w:right="3799" w:firstLine="5"/>
        <w:spacing w:after="0" w:line="239" w:lineRule="auto"/>
        <w:tabs>
          <w:tab w:leader="none" w:pos="33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596" w:right="1440" w:bottom="1440" w:gutter="0" w:footer="0" w:header="0"/>
        </w:sectPr>
      </w:pPr>
    </w:p>
    <w:bookmarkStart w:id="71" w:name="page72"/>
    <w:bookmarkEnd w:id="71"/>
    <w:p>
      <w:pPr>
        <w:ind w:right="3799" w:firstLine="5"/>
        <w:spacing w:after="0" w:line="239" w:lineRule="auto"/>
        <w:tabs>
          <w:tab w:leader="none" w:pos="3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the award made by this Agreement, Mr. Melrose agrees that the award or 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64" w:lineRule="exact"/>
        <w:rPr>
          <w:rFonts w:ascii="Courier New" w:cs="Courier New" w:eastAsia="Courier New" w:hAnsi="Courier New"/>
          <w:sz w:val="14"/>
          <w:szCs w:val="14"/>
          <w:color w:val="auto"/>
        </w:rPr>
      </w:pPr>
    </w:p>
    <w:p>
      <w:pPr>
        <w:ind w:right="3639" w:firstLine="5"/>
        <w:spacing w:after="0" w:line="259" w:lineRule="auto"/>
        <w:tabs>
          <w:tab w:leader="none" w:pos="330" w:val="left"/>
        </w:tabs>
        <w:numPr>
          <w:ilvl w:val="0"/>
          <w:numId w:val="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54" w:lineRule="exact"/>
        <w:rPr>
          <w:rFonts w:ascii="Courier New" w:cs="Courier New" w:eastAsia="Courier New" w:hAnsi="Courier New"/>
          <w:sz w:val="13"/>
          <w:szCs w:val="13"/>
          <w:color w:val="auto"/>
        </w:rPr>
      </w:pPr>
    </w:p>
    <w:p>
      <w:pPr>
        <w:ind w:right="3959" w:firstLine="5"/>
        <w:spacing w:after="0" w:line="236" w:lineRule="auto"/>
        <w:tabs>
          <w:tab w:leader="none" w:pos="3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in accordance with and governed by the laws of the State of Delaware.</w:t>
      </w:r>
    </w:p>
    <w:p>
      <w:pPr>
        <w:spacing w:after="0" w:line="163" w:lineRule="exact"/>
        <w:rPr>
          <w:rFonts w:ascii="Courier New" w:cs="Courier New" w:eastAsia="Courier New" w:hAnsi="Courier New"/>
          <w:sz w:val="14"/>
          <w:szCs w:val="14"/>
          <w:color w:val="auto"/>
        </w:rPr>
      </w:pPr>
    </w:p>
    <w:p>
      <w:pPr>
        <w:ind w:right="3879" w:firstLine="5"/>
        <w:spacing w:after="0" w:line="238" w:lineRule="auto"/>
        <w:tabs>
          <w:tab w:leader="none" w:pos="33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the Plan or this Agreement, the Plan and this Agreement shall be binding upon and inure to the benefit of the Company, its successors and assigns and Mr. Melrose, his beneficiaries, heirs, executors, administrators and legal representatives.</w:t>
      </w:r>
    </w:p>
    <w:p>
      <w:pPr>
        <w:spacing w:after="0" w:line="164" w:lineRule="exact"/>
        <w:rPr>
          <w:sz w:val="20"/>
          <w:szCs w:val="20"/>
          <w:color w:val="auto"/>
        </w:rPr>
      </w:pPr>
    </w:p>
    <w:p>
      <w:pPr>
        <w:ind w:right="3959" w:firstLine="330"/>
        <w:spacing w:after="0" w:line="236" w:lineRule="auto"/>
        <w:rPr>
          <w:sz w:val="20"/>
          <w:szCs w:val="20"/>
          <w:color w:val="auto"/>
        </w:rPr>
      </w:pPr>
      <w:r>
        <w:rPr>
          <w:rFonts w:ascii="Courier New" w:cs="Courier New" w:eastAsia="Courier New" w:hAnsi="Courier New"/>
          <w:sz w:val="14"/>
          <w:szCs w:val="14"/>
          <w:color w:val="auto"/>
        </w:rPr>
        <w:t>IN WITNESS WHEREOF, the Agreement has been executed and delivered by the Company as of the date first above set forth.</w:t>
      </w:r>
    </w:p>
    <w:p>
      <w:pPr>
        <w:spacing w:after="0" w:line="16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THE TORO COMPANY</w:t>
      </w:r>
    </w:p>
    <w:p>
      <w:pPr>
        <w:spacing w:after="0" w:line="159"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By /s/ J. Lawrence McIntyre</w:t>
      </w:r>
    </w:p>
    <w:p>
      <w:pPr>
        <w:ind w:left="2640"/>
        <w:spacing w:after="0"/>
        <w:rPr>
          <w:sz w:val="20"/>
          <w:szCs w:val="20"/>
          <w:color w:val="auto"/>
        </w:rPr>
      </w:pPr>
      <w:r>
        <w:rPr>
          <w:rFonts w:ascii="Courier New" w:cs="Courier New" w:eastAsia="Courier New" w:hAnsi="Courier New"/>
          <w:sz w:val="14"/>
          <w:szCs w:val="14"/>
          <w:color w:val="auto"/>
        </w:rPr>
        <w:t>--------------------------------</w:t>
      </w:r>
    </w:p>
    <w:p>
      <w:pPr>
        <w:spacing w:after="0" w:line="158" w:lineRule="exact"/>
        <w:rPr>
          <w:sz w:val="20"/>
          <w:szCs w:val="20"/>
          <w:color w:val="auto"/>
        </w:rPr>
      </w:pPr>
    </w:p>
    <w:p>
      <w:pPr>
        <w:ind w:left="2400"/>
        <w:spacing w:after="0"/>
        <w:tabs>
          <w:tab w:leader="none" w:pos="296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3"/>
          <w:szCs w:val="13"/>
          <w:color w:val="auto"/>
        </w:rPr>
        <w:t>Vice President &amp; Secretary</w:t>
      </w:r>
    </w:p>
    <w:p>
      <w:pPr>
        <w:ind w:left="2900"/>
        <w:spacing w:after="0"/>
        <w:rPr>
          <w:sz w:val="20"/>
          <w:szCs w:val="20"/>
          <w:color w:val="auto"/>
        </w:rPr>
      </w:pPr>
      <w:r>
        <w:rPr>
          <w:rFonts w:ascii="Courier New" w:cs="Courier New" w:eastAsia="Courier New" w:hAnsi="Courier New"/>
          <w:sz w:val="14"/>
          <w:szCs w:val="14"/>
          <w:color w:val="auto"/>
        </w:rPr>
        <w:t>-----------------------------</w:t>
      </w:r>
    </w:p>
    <w:p>
      <w:pPr>
        <w:spacing w:after="0" w:line="163" w:lineRule="exact"/>
        <w:rPr>
          <w:sz w:val="20"/>
          <w:szCs w:val="20"/>
          <w:color w:val="auto"/>
        </w:rPr>
      </w:pPr>
    </w:p>
    <w:p>
      <w:pPr>
        <w:ind w:right="4059" w:firstLine="330"/>
        <w:spacing w:after="0" w:line="236" w:lineRule="auto"/>
        <w:rPr>
          <w:sz w:val="20"/>
          <w:szCs w:val="20"/>
          <w:color w:val="auto"/>
        </w:rPr>
      </w:pPr>
      <w:r>
        <w:rPr>
          <w:rFonts w:ascii="Courier New" w:cs="Courier New" w:eastAsia="Courier New" w:hAnsi="Courier New"/>
          <w:sz w:val="14"/>
          <w:szCs w:val="14"/>
          <w:color w:val="auto"/>
        </w:rPr>
        <w:t>I hereby agree to the terms and conditions of this Restricted Stock and Performance Unit Award grant made to me as of July 31, 1995.</w:t>
      </w:r>
    </w:p>
    <w:p>
      <w:pPr>
        <w:spacing w:after="0" w:line="16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KENDRICK B. MELROSE</w:t>
      </w:r>
    </w:p>
    <w:p>
      <w:pPr>
        <w:spacing w:after="0" w:line="317"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 Kendrick B. Melrose</w:t>
      </w:r>
    </w:p>
    <w:p>
      <w:pPr>
        <w:ind w:left="2400"/>
        <w:spacing w:after="0"/>
        <w:rPr>
          <w:sz w:val="20"/>
          <w:szCs w:val="20"/>
          <w:color w:val="auto"/>
        </w:rPr>
      </w:pPr>
      <w:r>
        <w:rPr>
          <w:rFonts w:ascii="Courier New" w:cs="Courier New" w:eastAsia="Courier New" w:hAnsi="Courier New"/>
          <w:sz w:val="14"/>
          <w:szCs w:val="14"/>
          <w:color w:val="auto"/>
        </w:rPr>
        <w:t>-----------------------------------</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596" w:right="1440" w:bottom="1440" w:gutter="0" w:footer="0" w:header="0"/>
        </w:sectPr>
      </w:pPr>
    </w:p>
    <w:bookmarkStart w:id="72" w:name="page73"/>
    <w:bookmarkEnd w:id="72"/>
    <w:p>
      <w:pPr>
        <w:ind w:left="5700"/>
        <w:spacing w:after="0"/>
        <w:rPr>
          <w:sz w:val="20"/>
          <w:szCs w:val="20"/>
          <w:color w:val="auto"/>
        </w:rPr>
      </w:pPr>
      <w:r>
        <w:rPr>
          <w:rFonts w:ascii="Courier New" w:cs="Courier New" w:eastAsia="Courier New" w:hAnsi="Courier New"/>
          <w:sz w:val="14"/>
          <w:szCs w:val="14"/>
          <w:color w:val="auto"/>
        </w:rPr>
        <w:t>Exhibit 11</w:t>
      </w:r>
    </w:p>
    <w:p>
      <w:pPr>
        <w:spacing w:after="0" w:line="159"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4" w:lineRule="exact"/>
        <w:rPr>
          <w:sz w:val="20"/>
          <w:szCs w:val="20"/>
          <w:color w:val="auto"/>
        </w:rPr>
      </w:pPr>
    </w:p>
    <w:p>
      <w:pPr>
        <w:ind w:left="1660" w:right="4940" w:hanging="1566"/>
        <w:spacing w:after="0" w:line="236" w:lineRule="auto"/>
        <w:rPr>
          <w:sz w:val="20"/>
          <w:szCs w:val="20"/>
          <w:color w:val="auto"/>
        </w:rPr>
      </w:pPr>
      <w:r>
        <w:rPr>
          <w:rFonts w:ascii="Courier New" w:cs="Courier New" w:eastAsia="Courier New" w:hAnsi="Courier New"/>
          <w:sz w:val="14"/>
          <w:szCs w:val="14"/>
          <w:color w:val="auto"/>
        </w:rPr>
        <w:t>Computation of Earnings per Share of Common Stock and Common Stock Equivalents (Not Covered by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5200"/>
        <w:spacing w:after="0"/>
        <w:rPr>
          <w:sz w:val="20"/>
          <w:szCs w:val="20"/>
          <w:color w:val="auto"/>
        </w:rPr>
      </w:pPr>
      <w:r>
        <w:rPr>
          <w:rFonts w:ascii="Courier New" w:cs="Courier New" w:eastAsia="Courier New" w:hAnsi="Courier New"/>
          <w:sz w:val="14"/>
          <w:szCs w:val="14"/>
          <w:color w:val="auto"/>
        </w:rPr>
        <w:t>------------------------------------------------------------</w:t>
      </w:r>
    </w:p>
    <w:p>
      <w:pPr>
        <w:jc w:val="center"/>
        <w:ind w:left="4040"/>
        <w:spacing w:after="0"/>
        <w:rPr>
          <w:sz w:val="20"/>
          <w:szCs w:val="20"/>
          <w:color w:val="auto"/>
        </w:rPr>
      </w:pPr>
      <w:r>
        <w:rPr>
          <w:rFonts w:ascii="Courier New" w:cs="Courier New" w:eastAsia="Courier New" w:hAnsi="Courier New"/>
          <w:sz w:val="14"/>
          <w:szCs w:val="14"/>
          <w:color w:val="auto"/>
        </w:rPr>
        <w:t>3 MONTHS</w:t>
      </w:r>
    </w:p>
    <w:p>
      <w:pPr>
        <w:jc w:val="center"/>
        <w:ind w:left="4700"/>
        <w:spacing w:after="0"/>
        <w:tabs>
          <w:tab w:leader="none" w:pos="640" w:val="left"/>
          <w:tab w:leader="none" w:pos="11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3"/>
          <w:szCs w:val="13"/>
          <w:color w:val="auto"/>
        </w:rPr>
        <w:t>YEARS ENDED</w:t>
      </w:r>
    </w:p>
    <w:p>
      <w:pPr>
        <w:jc w:val="center"/>
        <w:ind w:left="5200"/>
        <w:spacing w:after="0"/>
        <w:rPr>
          <w:sz w:val="20"/>
          <w:szCs w:val="20"/>
          <w:color w:val="auto"/>
        </w:rPr>
      </w:pPr>
      <w:r>
        <w:rPr>
          <w:rFonts w:ascii="Courier New" w:cs="Courier New" w:eastAsia="Courier New" w:hAnsi="Courier New"/>
          <w:sz w:val="14"/>
          <w:szCs w:val="14"/>
          <w:color w:val="auto"/>
        </w:rPr>
        <w:t>------------------------------------------------------------</w:t>
      </w:r>
    </w:p>
    <w:p>
      <w:pPr>
        <w:jc w:val="center"/>
        <w:ind w:left="5200"/>
        <w:spacing w:after="0"/>
        <w:tabs>
          <w:tab w:leader="none" w:pos="640" w:val="left"/>
          <w:tab w:leader="none" w:pos="560" w:val="left"/>
          <w:tab w:leader="none" w:pos="560" w:val="left"/>
        </w:tabs>
        <w:rPr>
          <w:sz w:val="20"/>
          <w:szCs w:val="20"/>
          <w:color w:val="auto"/>
        </w:rPr>
      </w:pPr>
      <w:r>
        <w:rPr>
          <w:rFonts w:ascii="Courier New" w:cs="Courier New" w:eastAsia="Courier New" w:hAnsi="Courier New"/>
          <w:sz w:val="14"/>
          <w:szCs w:val="14"/>
          <w:color w:val="auto"/>
        </w:rPr>
        <w:t>10/31/96</w:t>
      </w:r>
      <w:r>
        <w:rPr>
          <w:sz w:val="20"/>
          <w:szCs w:val="20"/>
          <w:color w:val="auto"/>
        </w:rPr>
        <w:tab/>
      </w:r>
      <w:r>
        <w:rPr>
          <w:rFonts w:ascii="Courier New" w:cs="Courier New" w:eastAsia="Courier New" w:hAnsi="Courier New"/>
          <w:sz w:val="14"/>
          <w:szCs w:val="14"/>
          <w:color w:val="auto"/>
        </w:rPr>
        <w:t>10/31/95</w:t>
      </w:r>
      <w:r>
        <w:rPr>
          <w:sz w:val="20"/>
          <w:szCs w:val="20"/>
          <w:color w:val="auto"/>
        </w:rPr>
        <w:tab/>
      </w:r>
      <w:r>
        <w:rPr>
          <w:rFonts w:ascii="Courier New" w:cs="Courier New" w:eastAsia="Courier New" w:hAnsi="Courier New"/>
          <w:sz w:val="14"/>
          <w:szCs w:val="14"/>
          <w:color w:val="auto"/>
        </w:rPr>
        <w:t>7/31/95</w:t>
      </w:r>
      <w:r>
        <w:rPr>
          <w:sz w:val="20"/>
          <w:szCs w:val="20"/>
          <w:color w:val="auto"/>
        </w:rPr>
        <w:tab/>
      </w:r>
      <w:r>
        <w:rPr>
          <w:rFonts w:ascii="Courier New" w:cs="Courier New" w:eastAsia="Courier New" w:hAnsi="Courier New"/>
          <w:sz w:val="13"/>
          <w:szCs w:val="13"/>
          <w:color w:val="auto"/>
        </w:rPr>
        <w:t>7/31/94</w:t>
      </w:r>
    </w:p>
    <w:tbl>
      <w:tblPr>
        <w:tblLayout w:type="fixed"/>
        <w:tblInd w:w="0" w:type="dxa"/>
        <w:tblCellMar>
          <w:top w:w="0" w:type="dxa"/>
          <w:left w:w="0" w:type="dxa"/>
          <w:bottom w:w="0" w:type="dxa"/>
          <w:right w:w="0" w:type="dxa"/>
        </w:tblCellMar>
      </w:tblPr>
      <w:tr>
        <w:trPr>
          <w:trHeight w:val="158"/>
        </w:trPr>
        <w:tc>
          <w:tcPr>
            <w:tcW w:w="11460" w:type="dxa"/>
            <w:vAlign w:val="bottom"/>
            <w:gridSpan w:val="5"/>
          </w:tcPr>
          <w:p>
            <w:pPr>
              <w:jc w:val="right"/>
              <w:spacing w:after="0"/>
              <w:rPr>
                <w:sz w:val="20"/>
                <w:szCs w:val="20"/>
                <w:color w:val="auto"/>
              </w:rPr>
            </w:pPr>
            <w:r>
              <w:rPr>
                <w:rFonts w:ascii="Courier New" w:cs="Courier New" w:eastAsia="Courier New" w:hAnsi="Courier New"/>
                <w:sz w:val="14"/>
                <w:szCs w:val="14"/>
                <w:color w:val="auto"/>
                <w:w w:val="97"/>
              </w:rPr>
              <w:t>- - - - -----------------------------------------------------------------------------------------------------------------------------------</w:t>
            </w:r>
          </w:p>
        </w:tc>
      </w:tr>
      <w:tr>
        <w:trPr>
          <w:trHeight w:val="317"/>
        </w:trPr>
        <w:tc>
          <w:tcPr>
            <w:tcW w:w="5400" w:type="dxa"/>
            <w:vAlign w:val="bottom"/>
          </w:tcPr>
          <w:p>
            <w:pPr>
              <w:ind w:left="160"/>
              <w:spacing w:after="0"/>
              <w:rPr>
                <w:sz w:val="20"/>
                <w:szCs w:val="20"/>
                <w:color w:val="auto"/>
              </w:rPr>
            </w:pPr>
            <w:r>
              <w:rPr>
                <w:rFonts w:ascii="Courier New" w:cs="Courier New" w:eastAsia="Courier New" w:hAnsi="Courier New"/>
                <w:sz w:val="14"/>
                <w:szCs w:val="14"/>
                <w:color w:val="auto"/>
              </w:rPr>
              <w:t>Net earnings</w:t>
            </w: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$36,409,000</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$ 3,997,000</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$36,667,000</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$22,230,000</w:t>
            </w:r>
          </w:p>
        </w:tc>
      </w:tr>
      <w:tr>
        <w:trPr>
          <w:trHeight w:val="159"/>
        </w:trPr>
        <w:tc>
          <w:tcPr>
            <w:tcW w:w="5400" w:type="dxa"/>
            <w:vAlign w:val="bottom"/>
          </w:tcPr>
          <w:p>
            <w:pPr>
              <w:spacing w:after="0"/>
              <w:rPr>
                <w:sz w:val="13"/>
                <w:szCs w:val="13"/>
                <w:color w:val="auto"/>
              </w:rPr>
            </w:pP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w:t>
            </w:r>
          </w:p>
        </w:tc>
      </w:tr>
      <w:tr>
        <w:trPr>
          <w:trHeight w:val="159"/>
        </w:trPr>
        <w:tc>
          <w:tcPr>
            <w:tcW w:w="5400" w:type="dxa"/>
            <w:vAlign w:val="bottom"/>
          </w:tcPr>
          <w:p>
            <w:pPr>
              <w:spacing w:after="0"/>
              <w:rPr>
                <w:sz w:val="13"/>
                <w:szCs w:val="13"/>
                <w:color w:val="auto"/>
              </w:rPr>
            </w:pP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w:t>
            </w:r>
          </w:p>
        </w:tc>
      </w:tr>
      <w:tr>
        <w:trPr>
          <w:trHeight w:val="159"/>
        </w:trPr>
        <w:tc>
          <w:tcPr>
            <w:tcW w:w="5400" w:type="dxa"/>
            <w:vAlign w:val="bottom"/>
          </w:tcPr>
          <w:p>
            <w:pPr>
              <w:ind w:left="160"/>
              <w:spacing w:after="0"/>
              <w:rPr>
                <w:sz w:val="20"/>
                <w:szCs w:val="20"/>
                <w:color w:val="auto"/>
              </w:rPr>
            </w:pPr>
            <w:r>
              <w:rPr>
                <w:rFonts w:ascii="Courier New" w:cs="Courier New" w:eastAsia="Courier New" w:hAnsi="Courier New"/>
                <w:sz w:val="14"/>
                <w:szCs w:val="14"/>
                <w:color w:val="auto"/>
              </w:rPr>
              <w:t>Primary:</w:t>
            </w:r>
          </w:p>
        </w:tc>
        <w:tc>
          <w:tcPr>
            <w:tcW w:w="1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317"/>
        </w:trPr>
        <w:tc>
          <w:tcPr>
            <w:tcW w:w="5400" w:type="dxa"/>
            <w:vAlign w:val="bottom"/>
          </w:tcPr>
          <w:p>
            <w:pPr>
              <w:ind w:left="500"/>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17"/>
        </w:trPr>
        <w:tc>
          <w:tcPr>
            <w:tcW w:w="5400" w:type="dxa"/>
            <w:vAlign w:val="bottom"/>
          </w:tcPr>
          <w:p>
            <w:pPr>
              <w:ind w:left="500"/>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12,140,689</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12,117,815</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12,556,039</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12,472,828</w:t>
            </w:r>
          </w:p>
        </w:tc>
      </w:tr>
      <w:tr>
        <w:trPr>
          <w:trHeight w:val="317"/>
        </w:trPr>
        <w:tc>
          <w:tcPr>
            <w:tcW w:w="5400" w:type="dxa"/>
            <w:vAlign w:val="bottom"/>
          </w:tcPr>
          <w:p>
            <w:pPr>
              <w:ind w:left="500"/>
              <w:spacing w:after="0"/>
              <w:rPr>
                <w:sz w:val="20"/>
                <w:szCs w:val="20"/>
                <w:color w:val="auto"/>
              </w:rPr>
            </w:pPr>
            <w:r>
              <w:rPr>
                <w:rFonts w:ascii="Courier New" w:cs="Courier New" w:eastAsia="Courier New" w:hAnsi="Courier New"/>
                <w:sz w:val="14"/>
                <w:szCs w:val="14"/>
                <w:color w:val="auto"/>
              </w:rPr>
              <w:t>Dilutive effect of outstanding stock options (1)</w:t>
            </w: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414,026</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424,225</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476,374</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509,538</w:t>
            </w:r>
          </w:p>
        </w:tc>
      </w:tr>
      <w:tr>
        <w:trPr>
          <w:trHeight w:val="159"/>
        </w:trPr>
        <w:tc>
          <w:tcPr>
            <w:tcW w:w="5400" w:type="dxa"/>
            <w:vAlign w:val="bottom"/>
          </w:tcPr>
          <w:p>
            <w:pPr>
              <w:spacing w:after="0"/>
              <w:rPr>
                <w:sz w:val="13"/>
                <w:szCs w:val="13"/>
                <w:color w:val="auto"/>
              </w:rPr>
            </w:pP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w:t>
            </w:r>
          </w:p>
        </w:tc>
      </w:tr>
      <w:tr>
        <w:trPr>
          <w:trHeight w:val="159"/>
        </w:trPr>
        <w:tc>
          <w:tcPr>
            <w:tcW w:w="5400" w:type="dxa"/>
            <w:vAlign w:val="bottom"/>
          </w:tcPr>
          <w:p>
            <w:pPr>
              <w:spacing w:after="0"/>
              <w:rPr>
                <w:sz w:val="13"/>
                <w:szCs w:val="13"/>
                <w:color w:val="auto"/>
              </w:rPr>
            </w:pP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12,554,715</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12,542,040</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13,032,413</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12,982,366</w:t>
            </w:r>
          </w:p>
        </w:tc>
      </w:tr>
      <w:tr>
        <w:trPr>
          <w:trHeight w:val="159"/>
        </w:trPr>
        <w:tc>
          <w:tcPr>
            <w:tcW w:w="5400" w:type="dxa"/>
            <w:vAlign w:val="bottom"/>
          </w:tcPr>
          <w:p>
            <w:pPr>
              <w:spacing w:after="0"/>
              <w:rPr>
                <w:sz w:val="13"/>
                <w:szCs w:val="13"/>
                <w:color w:val="auto"/>
              </w:rPr>
            </w:pP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w:t>
            </w:r>
          </w:p>
        </w:tc>
      </w:tr>
      <w:tr>
        <w:trPr>
          <w:trHeight w:val="159"/>
        </w:trPr>
        <w:tc>
          <w:tcPr>
            <w:tcW w:w="5400" w:type="dxa"/>
            <w:vAlign w:val="bottom"/>
          </w:tcPr>
          <w:p>
            <w:pPr>
              <w:spacing w:after="0"/>
              <w:rPr>
                <w:sz w:val="13"/>
                <w:szCs w:val="13"/>
                <w:color w:val="auto"/>
              </w:rPr>
            </w:pPr>
          </w:p>
        </w:tc>
        <w:tc>
          <w:tcPr>
            <w:tcW w:w="17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520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9"/>
        </w:trPr>
        <w:tc>
          <w:tcPr>
            <w:tcW w:w="5200" w:type="dxa"/>
            <w:vAlign w:val="bottom"/>
          </w:tcPr>
          <w:p>
            <w:pPr>
              <w:spacing w:after="0"/>
              <w:rPr>
                <w:sz w:val="20"/>
                <w:szCs w:val="20"/>
                <w:color w:val="auto"/>
              </w:rPr>
            </w:pPr>
            <w:r>
              <w:rPr>
                <w:rFonts w:ascii="Courier New" w:cs="Courier New" w:eastAsia="Courier New" w:hAnsi="Courier New"/>
                <w:sz w:val="14"/>
                <w:szCs w:val="14"/>
                <w:color w:val="auto"/>
              </w:rPr>
              <w:t>equivalents</w:t>
            </w:r>
          </w:p>
        </w:tc>
        <w:tc>
          <w:tcPr>
            <w:tcW w:w="10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2.90</w:t>
            </w:r>
          </w:p>
        </w:tc>
        <w:tc>
          <w:tcPr>
            <w:tcW w:w="5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0.32</w:t>
            </w:r>
          </w:p>
        </w:tc>
        <w:tc>
          <w:tcPr>
            <w:tcW w:w="4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2.81</w:t>
            </w:r>
          </w:p>
        </w:tc>
        <w:tc>
          <w:tcPr>
            <w:tcW w:w="5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bl>
    <w:p>
      <w:pPr>
        <w:spacing w:after="0" w:line="4" w:lineRule="exact"/>
        <w:rPr>
          <w:sz w:val="20"/>
          <w:szCs w:val="20"/>
          <w:color w:val="auto"/>
        </w:rPr>
      </w:pPr>
    </w:p>
    <w:p>
      <w:pPr>
        <w:ind w:left="160" w:hanging="155"/>
        <w:spacing w:after="0"/>
        <w:tabs>
          <w:tab w:leader="none" w:pos="160" w:val="left"/>
        </w:tabs>
        <w:numPr>
          <w:ilvl w:val="0"/>
          <w:numId w:val="9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16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Fully Diluted: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159"/>
        </w:trPr>
        <w:tc>
          <w:tcPr>
            <w:tcW w:w="4940" w:type="dxa"/>
            <w:vAlign w:val="bottom"/>
          </w:tcPr>
          <w:p>
            <w:pPr>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17"/>
        </w:trPr>
        <w:tc>
          <w:tcPr>
            <w:tcW w:w="494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12,140,689</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12,117,815</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12,556,039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r>
      <w:tr>
        <w:trPr>
          <w:trHeight w:val="317"/>
        </w:trPr>
        <w:tc>
          <w:tcPr>
            <w:tcW w:w="494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stock options (2)</w:t>
            </w:r>
          </w:p>
        </w:tc>
        <w:tc>
          <w:tcPr>
            <w:tcW w:w="1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414,026</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424,225</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511,133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r>
      <w:tr>
        <w:trPr>
          <w:trHeight w:val="159"/>
        </w:trPr>
        <w:tc>
          <w:tcPr>
            <w:tcW w:w="4940" w:type="dxa"/>
            <w:vAlign w:val="bottom"/>
          </w:tcPr>
          <w:p>
            <w:pPr>
              <w:spacing w:after="0"/>
              <w:rPr>
                <w:sz w:val="13"/>
                <w:szCs w:val="13"/>
                <w:color w:val="auto"/>
              </w:rPr>
            </w:pPr>
          </w:p>
        </w:tc>
        <w:tc>
          <w:tcPr>
            <w:tcW w:w="1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4940" w:type="dxa"/>
            <w:vAlign w:val="bottom"/>
          </w:tcPr>
          <w:p>
            <w:pPr>
              <w:spacing w:after="0"/>
              <w:rPr>
                <w:sz w:val="13"/>
                <w:szCs w:val="13"/>
                <w:color w:val="auto"/>
              </w:rPr>
            </w:pPr>
          </w:p>
        </w:tc>
        <w:tc>
          <w:tcPr>
            <w:tcW w:w="1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12,554,715</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12,542,040</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13,067,172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r>
      <w:tr>
        <w:trPr>
          <w:trHeight w:val="159"/>
        </w:trPr>
        <w:tc>
          <w:tcPr>
            <w:tcW w:w="4940" w:type="dxa"/>
            <w:vAlign w:val="bottom"/>
          </w:tcPr>
          <w:p>
            <w:pPr>
              <w:spacing w:after="0"/>
              <w:rPr>
                <w:sz w:val="13"/>
                <w:szCs w:val="13"/>
                <w:color w:val="auto"/>
              </w:rPr>
            </w:pPr>
          </w:p>
        </w:tc>
        <w:tc>
          <w:tcPr>
            <w:tcW w:w="1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4940" w:type="dxa"/>
            <w:vAlign w:val="bottom"/>
          </w:tcPr>
          <w:p>
            <w:pPr>
              <w:spacing w:after="0"/>
              <w:rPr>
                <w:sz w:val="13"/>
                <w:szCs w:val="13"/>
                <w:color w:val="auto"/>
              </w:rPr>
            </w:pPr>
          </w:p>
        </w:tc>
        <w:tc>
          <w:tcPr>
            <w:tcW w:w="17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60" w:hanging="155"/>
        <w:spacing w:after="0"/>
        <w:tabs>
          <w:tab w:leader="none" w:pos="160" w:val="left"/>
        </w:tabs>
        <w:numPr>
          <w:ilvl w:val="0"/>
          <w:numId w:val="9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16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Net earnings per share of common  stock and common stock</w:t>
      </w:r>
    </w:p>
    <w:p>
      <w:pPr>
        <w:ind w:left="160"/>
        <w:spacing w:after="0"/>
        <w:tabs>
          <w:tab w:leader="none" w:pos="5920" w:val="left"/>
          <w:tab w:leader="none" w:pos="6500" w:val="left"/>
          <w:tab w:leader="none" w:pos="7160" w:val="left"/>
          <w:tab w:leader="none" w:pos="7820" w:val="left"/>
          <w:tab w:leader="none" w:pos="8480" w:val="left"/>
          <w:tab w:leader="none" w:pos="9060" w:val="left"/>
          <w:tab w:leader="none" w:pos="9720" w:val="left"/>
          <w:tab w:leader="none" w:pos="1030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tab/>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40" w:right="4940" w:hanging="735"/>
        <w:spacing w:after="0" w:line="238" w:lineRule="auto"/>
        <w:tabs>
          <w:tab w:leader="none" w:pos="7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163" w:lineRule="exact"/>
        <w:rPr>
          <w:rFonts w:ascii="Courier New" w:cs="Courier New" w:eastAsia="Courier New" w:hAnsi="Courier New"/>
          <w:sz w:val="14"/>
          <w:szCs w:val="14"/>
          <w:color w:val="auto"/>
        </w:rPr>
      </w:pPr>
    </w:p>
    <w:p>
      <w:pPr>
        <w:ind w:left="740" w:right="4940" w:hanging="735"/>
        <w:spacing w:after="0" w:line="238" w:lineRule="auto"/>
        <w:tabs>
          <w:tab w:leader="none" w:pos="74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460"/>
          </w:cols>
          <w:pgMar w:left="220" w:top="771" w:right="219"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AT A GLANCE</w:t>
      </w:r>
    </w:p>
    <w:p>
      <w:pPr>
        <w:spacing w:after="0" w:line="4" w:lineRule="exact"/>
        <w:rPr>
          <w:sz w:val="20"/>
          <w:szCs w:val="20"/>
          <w:color w:val="auto"/>
        </w:rPr>
      </w:pPr>
    </w:p>
    <w:p>
      <w:pPr>
        <w:ind w:left="160" w:hanging="155"/>
        <w:spacing w:after="0"/>
        <w:tabs>
          <w:tab w:leader="none" w:pos="160"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9" w:lineRule="exact"/>
        <w:rPr>
          <w:rFonts w:ascii="Courier New" w:cs="Courier New" w:eastAsia="Courier New" w:hAnsi="Courier New"/>
          <w:sz w:val="13"/>
          <w:szCs w:val="13"/>
          <w:color w:val="auto"/>
        </w:rPr>
      </w:pPr>
    </w:p>
    <w:p>
      <w:pPr>
        <w:ind w:left="340" w:right="3139" w:hanging="335"/>
        <w:spacing w:after="0" w:line="236" w:lineRule="auto"/>
        <w:tabs>
          <w:tab w:leader="none" w:pos="1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TORO CONTINUED TO DEMONSTRATE LEVERAGED OPERATING PERFORMANCE POSTING A 16 PERCENT INCREASE IN EARNINGS PER SHARE ON A SLIGHT SALES INCREASE.</w:t>
      </w:r>
    </w:p>
    <w:p>
      <w:pPr>
        <w:spacing w:after="0" w:line="163" w:lineRule="exact"/>
        <w:rPr>
          <w:rFonts w:ascii="Courier New" w:cs="Courier New" w:eastAsia="Courier New" w:hAnsi="Courier New"/>
          <w:sz w:val="14"/>
          <w:szCs w:val="14"/>
          <w:color w:val="auto"/>
        </w:rPr>
      </w:pPr>
    </w:p>
    <w:p>
      <w:pPr>
        <w:ind w:left="340" w:right="3299" w:hanging="335"/>
        <w:spacing w:after="0" w:line="236" w:lineRule="auto"/>
        <w:tabs>
          <w:tab w:leader="none" w:pos="1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EXCELLENT SNOWTHROWER SALES COMBINED WITH STRONG GROWTH IN INTERNATIONAL PROFESSIONAL TURN MAINTENANCE PRODUCTS HIGHLIGHTED TORO'S SALES</w:t>
      </w:r>
    </w:p>
    <w:p>
      <w:pPr>
        <w:spacing w:after="0" w:line="1"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w:t>
      </w:r>
    </w:p>
    <w:p>
      <w:pPr>
        <w:spacing w:after="0" w:line="162" w:lineRule="exact"/>
        <w:rPr>
          <w:rFonts w:ascii="Courier New" w:cs="Courier New" w:eastAsia="Courier New" w:hAnsi="Courier New"/>
          <w:sz w:val="14"/>
          <w:szCs w:val="14"/>
          <w:color w:val="auto"/>
        </w:rPr>
      </w:pPr>
    </w:p>
    <w:p>
      <w:pPr>
        <w:ind w:left="340" w:right="3799" w:hanging="335"/>
        <w:spacing w:after="0" w:line="270" w:lineRule="auto"/>
        <w:tabs>
          <w:tab w:leader="none" w:pos="175" w:val="left"/>
        </w:tabs>
        <w:numPr>
          <w:ilvl w:val="0"/>
          <w:numId w:val="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 PROFESSIONAL TURN MAINTENANCE SALES CONTINUED TO GROW FASTER THAN RESIDENTIAL SALES AND HELPED OFFSET THE SLUGGISH LAWN AND GARDEN BUSINESS.</w:t>
      </w:r>
    </w:p>
    <w:p>
      <w:pPr>
        <w:spacing w:after="0" w:line="144" w:lineRule="exact"/>
        <w:rPr>
          <w:rFonts w:ascii="Courier New" w:cs="Courier New" w:eastAsia="Courier New" w:hAnsi="Courier New"/>
          <w:sz w:val="13"/>
          <w:szCs w:val="13"/>
          <w:color w:val="auto"/>
        </w:rPr>
      </w:pPr>
    </w:p>
    <w:p>
      <w:pPr>
        <w:ind w:left="340" w:right="3139" w:hanging="335"/>
        <w:spacing w:after="0" w:line="236" w:lineRule="auto"/>
        <w:tabs>
          <w:tab w:leader="none" w:pos="1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THE COMPANY CONTINUED TO BUILD FOR THE FUTURE BY INVESTING IN RESEARCH AND DEVELOPMENT, NEW BUSINESSES AND STRATEGIC INITIATIVES.</w:t>
      </w:r>
    </w:p>
    <w:p>
      <w:pPr>
        <w:spacing w:after="0" w:line="163" w:lineRule="exact"/>
        <w:rPr>
          <w:rFonts w:ascii="Courier New" w:cs="Courier New" w:eastAsia="Courier New" w:hAnsi="Courier New"/>
          <w:sz w:val="14"/>
          <w:szCs w:val="14"/>
          <w:color w:val="auto"/>
        </w:rPr>
      </w:pPr>
    </w:p>
    <w:p>
      <w:pPr>
        <w:ind w:left="340" w:right="3219" w:hanging="335"/>
        <w:spacing w:after="0" w:line="236" w:lineRule="auto"/>
        <w:tabs>
          <w:tab w:leader="none" w:pos="1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SEVERAL ACQUISITIONS AND ALLIANCES TOOK PLACE IN FISCAL 1996 THAT PROVIDE GROWTH MOMENTUM FOR THE FUTURE.</w:t>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4" w:lineRule="exact"/>
        <w:rPr>
          <w:sz w:val="20"/>
          <w:szCs w:val="20"/>
          <w:color w:val="auto"/>
        </w:rPr>
      </w:pPr>
    </w:p>
    <w:p>
      <w:pPr>
        <w:ind w:left="160" w:hanging="155"/>
        <w:spacing w:after="0"/>
        <w:tabs>
          <w:tab w:leader="none" w:pos="160" w:val="left"/>
        </w:tabs>
        <w:numPr>
          <w:ilvl w:val="0"/>
          <w:numId w:val="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(Dollars in thousands, except per share data)</w:t>
      </w:r>
    </w:p>
    <w:p>
      <w:pPr>
        <w:spacing w:after="0" w:line="158" w:lineRule="exact"/>
        <w:rPr>
          <w:sz w:val="20"/>
          <w:szCs w:val="20"/>
          <w:color w:val="auto"/>
        </w:rPr>
      </w:pPr>
    </w:p>
    <w:p>
      <w:pPr>
        <w:spacing w:after="0"/>
        <w:tabs>
          <w:tab w:leader="none" w:pos="3700" w:val="left"/>
          <w:tab w:leader="none" w:pos="4760" w:val="left"/>
          <w:tab w:leader="none" w:pos="542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3"/>
          <w:szCs w:val="13"/>
          <w:color w:val="auto"/>
        </w:rPr>
        <w:t>% 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$930,909</w:t>
            </w:r>
          </w:p>
        </w:tc>
        <w:tc>
          <w:tcPr>
            <w:tcW w:w="1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$919,427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36,409</w:t>
            </w:r>
          </w:p>
        </w:tc>
        <w:tc>
          <w:tcPr>
            <w:tcW w:w="1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32,362</w:t>
            </w:r>
          </w:p>
        </w:tc>
        <w:tc>
          <w:tcPr>
            <w:tcW w:w="7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12.5</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Percent of net sales</w:t>
            </w:r>
          </w:p>
        </w:tc>
        <w:tc>
          <w:tcPr>
            <w:tcW w:w="178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3.9%</w:t>
            </w:r>
          </w:p>
        </w:tc>
        <w:tc>
          <w:tcPr>
            <w:tcW w:w="11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3.5%</w:t>
            </w:r>
          </w:p>
        </w:tc>
        <w:tc>
          <w:tcPr>
            <w:tcW w:w="700" w:type="dxa"/>
            <w:vAlign w:val="bottom"/>
          </w:tcPr>
          <w:p>
            <w:pPr>
              <w:spacing w:after="0"/>
              <w:rPr>
                <w:sz w:val="13"/>
                <w:szCs w:val="13"/>
                <w:color w:val="auto"/>
              </w:rPr>
            </w:pPr>
          </w:p>
        </w:tc>
      </w:tr>
    </w:tbl>
    <w:p>
      <w:pPr>
        <w:spacing w:after="0" w:line="4" w:lineRule="exact"/>
        <w:rPr>
          <w:sz w:val="20"/>
          <w:szCs w:val="20"/>
          <w:color w:val="auto"/>
        </w:rPr>
      </w:pPr>
    </w:p>
    <w:p>
      <w:pPr>
        <w:ind w:left="160" w:hanging="155"/>
        <w:spacing w:after="0"/>
        <w:tabs>
          <w:tab w:leader="none" w:pos="160" w:val="left"/>
        </w:tabs>
        <w:numPr>
          <w:ilvl w:val="0"/>
          <w:numId w:val="9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Net earnings per share of common stock</w:t>
      </w:r>
    </w:p>
    <w:tbl>
      <w:tblPr>
        <w:tblLayout w:type="fixed"/>
        <w:tblInd w:w="0" w:type="dxa"/>
        <w:tblCellMar>
          <w:top w:w="0" w:type="dxa"/>
          <w:left w:w="0" w:type="dxa"/>
          <w:bottom w:w="0" w:type="dxa"/>
          <w:right w:w="0" w:type="dxa"/>
        </w:tblCellMar>
      </w:tblPr>
      <w:tr>
        <w:trPr>
          <w:trHeight w:val="159"/>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and common stock equivalent</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   2.90</w:t>
            </w:r>
          </w:p>
        </w:tc>
        <w:tc>
          <w:tcPr>
            <w:tcW w:w="11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   2.50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Dividends paid per share of</w:t>
            </w: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9"/>
        </w:trPr>
        <w:tc>
          <w:tcPr>
            <w:tcW w:w="2900" w:type="dxa"/>
            <w:vAlign w:val="bottom"/>
          </w:tcPr>
          <w:p>
            <w:pPr>
              <w:ind w:left="160"/>
              <w:spacing w:after="0"/>
              <w:rPr>
                <w:sz w:val="20"/>
                <w:szCs w:val="20"/>
                <w:color w:val="auto"/>
              </w:rPr>
            </w:pPr>
            <w:r>
              <w:rPr>
                <w:rFonts w:ascii="Courier New" w:cs="Courier New" w:eastAsia="Courier New" w:hAnsi="Courier New"/>
                <w:sz w:val="14"/>
                <w:szCs w:val="14"/>
                <w:color w:val="auto"/>
              </w:rPr>
              <w:t>common stock outstanding</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0.48</w:t>
            </w:r>
          </w:p>
        </w:tc>
        <w:tc>
          <w:tcPr>
            <w:tcW w:w="11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0.48</w:t>
            </w:r>
          </w:p>
        </w:tc>
        <w:tc>
          <w:tcPr>
            <w:tcW w:w="660" w:type="dxa"/>
            <w:vAlign w:val="bottom"/>
          </w:tcPr>
          <w:p>
            <w:pPr>
              <w:spacing w:after="0"/>
              <w:rPr>
                <w:sz w:val="13"/>
                <w:szCs w:val="13"/>
                <w:color w:val="auto"/>
              </w:rPr>
            </w:pPr>
          </w:p>
        </w:tc>
      </w:tr>
    </w:tbl>
    <w:p>
      <w:pPr>
        <w:spacing w:after="0" w:line="4" w:lineRule="exact"/>
        <w:rPr>
          <w:sz w:val="20"/>
          <w:szCs w:val="20"/>
          <w:color w:val="auto"/>
        </w:rPr>
      </w:pPr>
    </w:p>
    <w:p>
      <w:pPr>
        <w:ind w:left="160" w:hanging="155"/>
        <w:spacing w:after="0"/>
        <w:tabs>
          <w:tab w:leader="none" w:pos="160" w:val="left"/>
        </w:tabs>
        <w:numPr>
          <w:ilvl w:val="0"/>
          <w:numId w:val="9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Return on:</w:t>
      </w:r>
    </w:p>
    <w:tbl>
      <w:tblPr>
        <w:tblLayout w:type="fixed"/>
        <w:tblInd w:w="160" w:type="dxa"/>
        <w:tblCellMar>
          <w:top w:w="0" w:type="dxa"/>
          <w:left w:w="0" w:type="dxa"/>
          <w:bottom w:w="0" w:type="dxa"/>
          <w:right w:w="0" w:type="dxa"/>
        </w:tblCellMar>
      </w:tblPr>
      <w:tr>
        <w:trPr>
          <w:trHeight w:val="159"/>
        </w:trPr>
        <w:tc>
          <w:tcPr>
            <w:tcW w:w="330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19.1%</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w w:val="95"/>
              </w:rPr>
              <w:t>18.1%</w:t>
            </w:r>
          </w:p>
        </w:tc>
      </w:tr>
      <w:tr>
        <w:trPr>
          <w:trHeight w:val="159"/>
        </w:trPr>
        <w:tc>
          <w:tcPr>
            <w:tcW w:w="330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18.0</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rPr>
              <w:t>17.5</w:t>
            </w:r>
          </w:p>
        </w:tc>
      </w:tr>
      <w:tr>
        <w:trPr>
          <w:trHeight w:val="159"/>
        </w:trPr>
        <w:tc>
          <w:tcPr>
            <w:tcW w:w="3300" w:type="dxa"/>
            <w:vAlign w:val="bottom"/>
          </w:tcPr>
          <w:p>
            <w:pPr>
              <w:spacing w:after="0"/>
              <w:rPr>
                <w:sz w:val="20"/>
                <w:szCs w:val="20"/>
                <w:color w:val="auto"/>
              </w:rPr>
            </w:pPr>
            <w:r>
              <w:rPr>
                <w:rFonts w:ascii="Courier New" w:cs="Courier New" w:eastAsia="Courier New" w:hAnsi="Courier New"/>
                <w:sz w:val="14"/>
                <w:szCs w:val="14"/>
                <w:color w:val="auto"/>
              </w:rPr>
              <w:t>Average invested capital</w:t>
            </w:r>
          </w:p>
        </w:tc>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15.2</w:t>
            </w:r>
          </w:p>
        </w:tc>
        <w:tc>
          <w:tcPr>
            <w:tcW w:w="740" w:type="dxa"/>
            <w:vAlign w:val="bottom"/>
          </w:tcPr>
          <w:p>
            <w:pPr>
              <w:ind w:left="320"/>
              <w:spacing w:after="0"/>
              <w:rPr>
                <w:sz w:val="20"/>
                <w:szCs w:val="20"/>
                <w:color w:val="auto"/>
              </w:rPr>
            </w:pPr>
            <w:r>
              <w:rPr>
                <w:rFonts w:ascii="Courier New" w:cs="Courier New" w:eastAsia="Courier New" w:hAnsi="Courier New"/>
                <w:sz w:val="14"/>
                <w:szCs w:val="14"/>
                <w:color w:val="auto"/>
              </w:rPr>
              <w:t>13.8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AT YEAR END</w:t>
            </w: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$197,144</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$165,086</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19.4</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496,877</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472,653</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5.1</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94,390</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110,274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213,567</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190,892</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11.9</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17.75</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15.69</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13.1</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6,841</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7,243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13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3,509</w:t>
            </w:r>
          </w:p>
        </w:tc>
        <w:tc>
          <w:tcPr>
            <w:tcW w:w="11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3,638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ind w:left="160" w:hanging="155"/>
        <w:spacing w:after="0"/>
        <w:tabs>
          <w:tab w:leader="none" w:pos="160" w:val="left"/>
        </w:tabs>
        <w:numPr>
          <w:ilvl w:val="0"/>
          <w:numId w:val="9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5"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This report is the first reflecting Toro's change of fiscal year from July 31 to October 31. For comparative purposes, financial information for years previously ended in July has been restated in portions of this report to reflect the new fiscal year ending in October. Financial information for the year ended October 31, 1996, the three month transition period ended October 31, 1995 and the years ended July 31, 1995 and 1994 has been derived from the audited financial statements for the applicable period. Financial information related to the October 31, 1995 balance sheet has been derived from the October 31, 1995 audited balance sheet. All other financial information for years ending in October is unaudited.</w:t>
      </w:r>
    </w:p>
    <w:p>
      <w:pPr>
        <w:spacing w:after="0" w:line="323" w:lineRule="exact"/>
        <w:rPr>
          <w:sz w:val="20"/>
          <w:szCs w:val="20"/>
          <w:color w:val="auto"/>
        </w:rPr>
      </w:pPr>
    </w:p>
    <w:p>
      <w:pPr>
        <w:ind w:right="3959"/>
        <w:spacing w:after="0" w:line="237" w:lineRule="auto"/>
        <w:rPr>
          <w:sz w:val="20"/>
          <w:szCs w:val="20"/>
          <w:color w:val="auto"/>
        </w:rPr>
      </w:pPr>
      <w:r>
        <w:rPr>
          <w:rFonts w:ascii="Courier New" w:cs="Courier New" w:eastAsia="Courier New" w:hAnsi="Courier New"/>
          <w:sz w:val="14"/>
          <w:szCs w:val="14"/>
          <w:color w:val="auto"/>
        </w:rPr>
        <w:t>TORO'S PURPOSE is to help customers beautify and preserve outdoor landscapes with environmentally responsible products of customer-valued quality and innovation.</w:t>
      </w:r>
    </w:p>
    <w:p>
      <w:pPr>
        <w:spacing w:after="0" w:line="164"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4"/>
          <w:szCs w:val="14"/>
          <w:color w:val="auto"/>
        </w:rPr>
        <w:t>TORO'S MISSION is to be the leading worldwide provider of outdoor landscaping products, support services and integrated systems. Toro will explore new opportunities that build revenue growth and sustainability using our core competencies to gain a leading market position.</w:t>
      </w:r>
    </w:p>
    <w:p>
      <w:pPr>
        <w:spacing w:after="0" w:line="164" w:lineRule="exact"/>
        <w:rPr>
          <w:sz w:val="20"/>
          <w:szCs w:val="20"/>
          <w:color w:val="auto"/>
        </w:rPr>
      </w:pPr>
    </w:p>
    <w:p>
      <w:pPr>
        <w:ind w:right="3799"/>
        <w:spacing w:after="0" w:line="236" w:lineRule="auto"/>
        <w:rPr>
          <w:sz w:val="20"/>
          <w:szCs w:val="20"/>
          <w:color w:val="auto"/>
        </w:rPr>
      </w:pPr>
      <w:r>
        <w:rPr>
          <w:rFonts w:ascii="Courier New" w:cs="Courier New" w:eastAsia="Courier New" w:hAnsi="Courier New"/>
          <w:sz w:val="14"/>
          <w:szCs w:val="14"/>
          <w:color w:val="auto"/>
        </w:rPr>
        <w:t>ON THE COVER - Toro is the exclusive provider of turf maintenance equipment to the Valderrama Club de Golf, Spain, site of the 1997 Ryder Cup of golf.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0" w:type="dxa"/>
            <w:vAlign w:val="bottom"/>
          </w:tcPr>
          <w:p>
            <w:pPr>
              <w:spacing w:after="0"/>
              <w:rPr>
                <w:sz w:val="20"/>
                <w:szCs w:val="20"/>
                <w:color w:val="auto"/>
              </w:rPr>
            </w:pPr>
            <w:r>
              <w:rPr>
                <w:rFonts w:ascii="Courier New" w:cs="Courier New" w:eastAsia="Courier New" w:hAnsi="Courier New"/>
                <w:sz w:val="14"/>
                <w:szCs w:val="14"/>
                <w:color w:val="auto"/>
              </w:rPr>
              <w:t>Letter</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Shareholders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59"/>
        </w:trPr>
        <w:tc>
          <w:tcPr>
            <w:tcW w:w="540" w:type="dxa"/>
            <w:vAlign w:val="bottom"/>
          </w:tcPr>
          <w:p>
            <w:pPr>
              <w:spacing w:after="0"/>
              <w:rPr>
                <w:sz w:val="20"/>
                <w:szCs w:val="20"/>
                <w:color w:val="auto"/>
              </w:rPr>
            </w:pPr>
            <w:r>
              <w:rPr>
                <w:rFonts w:ascii="Courier New" w:cs="Courier New" w:eastAsia="Courier New" w:hAnsi="Courier New"/>
                <w:sz w:val="14"/>
                <w:szCs w:val="14"/>
                <w:color w:val="auto"/>
              </w:rPr>
              <w:t>Review</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Operations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59"/>
        </w:trPr>
        <w:tc>
          <w:tcPr>
            <w:tcW w:w="2840" w:type="dxa"/>
            <w:vAlign w:val="bottom"/>
            <w:gridSpan w:val="3"/>
          </w:tcPr>
          <w:p>
            <w:pPr>
              <w:spacing w:after="0"/>
              <w:rPr>
                <w:sz w:val="20"/>
                <w:szCs w:val="20"/>
                <w:color w:val="auto"/>
              </w:rPr>
            </w:pPr>
            <w:r>
              <w:rPr>
                <w:rFonts w:ascii="Courier New" w:cs="Courier New" w:eastAsia="Courier New" w:hAnsi="Courier New"/>
                <w:sz w:val="14"/>
                <w:szCs w:val="14"/>
                <w:color w:val="auto"/>
              </w:rPr>
              <w:t>Eleven-Year Selected</w:t>
            </w:r>
          </w:p>
        </w:tc>
        <w:tc>
          <w:tcPr>
            <w:tcW w:w="1200" w:type="dxa"/>
            <w:vAlign w:val="bottom"/>
          </w:tcPr>
          <w:p>
            <w:pPr>
              <w:spacing w:after="0"/>
              <w:rPr>
                <w:sz w:val="13"/>
                <w:szCs w:val="13"/>
                <w:color w:val="auto"/>
              </w:rPr>
            </w:pPr>
          </w:p>
        </w:tc>
      </w:tr>
      <w:tr>
        <w:trPr>
          <w:trHeight w:val="159"/>
        </w:trPr>
        <w:tc>
          <w:tcPr>
            <w:tcW w:w="2840" w:type="dxa"/>
            <w:vAlign w:val="bottom"/>
            <w:gridSpan w:val="3"/>
          </w:tcPr>
          <w:p>
            <w:pPr>
              <w:spacing w:after="0"/>
              <w:rPr>
                <w:sz w:val="20"/>
                <w:szCs w:val="20"/>
                <w:color w:val="auto"/>
              </w:rPr>
            </w:pPr>
            <w:r>
              <w:rPr>
                <w:rFonts w:ascii="Courier New" w:cs="Courier New" w:eastAsia="Courier New" w:hAnsi="Courier New"/>
                <w:sz w:val="14"/>
                <w:szCs w:val="14"/>
                <w:color w:val="auto"/>
              </w:rPr>
              <w:t>Financial Data</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rPr>
          <w:sz w:val="20"/>
          <w:szCs w:val="20"/>
          <w:color w:val="auto"/>
        </w:rPr>
      </w:pPr>
      <w:r>
        <w:rPr>
          <w:rFonts w:ascii="Courier New" w:cs="Courier New" w:eastAsia="Courier New" w:hAnsi="Courier New"/>
          <w:sz w:val="14"/>
          <w:szCs w:val="14"/>
          <w:color w:val="auto"/>
        </w:rPr>
        <w:t>October 31, 1996</w:t>
      </w:r>
    </w:p>
    <w:p>
      <w:pPr>
        <w:ind w:left="160" w:hanging="155"/>
        <w:spacing w:after="0"/>
        <w:tabs>
          <w:tab w:leader="none" w:pos="1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tabs>
          <w:tab w:leader="none" w:pos="3860" w:val="left"/>
        </w:tabs>
        <w:rPr>
          <w:sz w:val="20"/>
          <w:szCs w:val="20"/>
          <w:color w:val="auto"/>
        </w:rPr>
      </w:pPr>
      <w:r>
        <w:rPr>
          <w:rFonts w:ascii="Courier New" w:cs="Courier New" w:eastAsia="Courier New" w:hAnsi="Courier New"/>
          <w:sz w:val="14"/>
          <w:szCs w:val="14"/>
          <w:color w:val="auto"/>
        </w:rPr>
        <w:t>and Analysis</w:t>
      </w:r>
      <w:r>
        <w:rPr>
          <w:sz w:val="20"/>
          <w:szCs w:val="20"/>
          <w:color w:val="auto"/>
        </w:rPr>
        <w:tab/>
      </w:r>
      <w:r>
        <w:rPr>
          <w:rFonts w:ascii="Courier New" w:cs="Courier New" w:eastAsia="Courier New" w:hAnsi="Courier New"/>
          <w:sz w:val="13"/>
          <w:szCs w:val="13"/>
          <w:color w:val="auto"/>
        </w:rPr>
        <w:t>16</w:t>
      </w:r>
    </w:p>
    <w:p>
      <w:pPr>
        <w:spacing w:after="0" w:line="158"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3"/>
          <w:szCs w:val="13"/>
          <w:color w:val="auto"/>
        </w:rPr>
        <w:t>21</w:t>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and Fiscal Years</w:t>
      </w:r>
    </w:p>
    <w:p>
      <w:pPr>
        <w:spacing w:after="0"/>
        <w:rPr>
          <w:sz w:val="20"/>
          <w:szCs w:val="20"/>
          <w:color w:val="auto"/>
        </w:rPr>
      </w:pPr>
      <w:r>
        <w:rPr>
          <w:rFonts w:ascii="Courier New" w:cs="Courier New" w:eastAsia="Courier New" w:hAnsi="Courier New"/>
          <w:sz w:val="14"/>
          <w:szCs w:val="14"/>
          <w:color w:val="auto"/>
        </w:rPr>
        <w:t>Ended July 31, 1995 and July 31, 1994.</w:t>
      </w:r>
    </w:p>
    <w:p>
      <w:pPr>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239"/>
          </w:cols>
          <w:pgMar w:left="220" w:top="454" w:right="1440"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Management's Discussion</w:t>
            </w:r>
          </w:p>
        </w:tc>
        <w:tc>
          <w:tcPr>
            <w:tcW w:w="1280" w:type="dxa"/>
            <w:vAlign w:val="bottom"/>
          </w:tcPr>
          <w:p>
            <w:pPr>
              <w:spacing w:after="0"/>
              <w:rPr>
                <w:sz w:val="13"/>
                <w:szCs w:val="13"/>
                <w:color w:val="auto"/>
              </w:rPr>
            </w:pPr>
          </w:p>
        </w:tc>
      </w:t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17"/>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17"/>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1280" w:type="dxa"/>
            <w:vAlign w:val="bottom"/>
          </w:tcPr>
          <w:p>
            <w:pPr>
              <w:spacing w:after="0"/>
              <w:rPr>
                <w:sz w:val="24"/>
                <w:szCs w:val="24"/>
                <w:color w:val="auto"/>
              </w:rPr>
            </w:pPr>
          </w:p>
        </w:tc>
      </w:t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17"/>
        </w:trPr>
        <w:tc>
          <w:tcPr>
            <w:tcW w:w="2760" w:type="dxa"/>
            <w:vAlign w:val="bottom"/>
          </w:tcPr>
          <w:p>
            <w:pPr>
              <w:spacing w:after="0"/>
              <w:rPr>
                <w:sz w:val="20"/>
                <w:szCs w:val="20"/>
                <w:color w:val="auto"/>
              </w:rPr>
            </w:pPr>
            <w:r>
              <w:rPr>
                <w:rFonts w:ascii="Courier New" w:cs="Courier New" w:eastAsia="Courier New" w:hAnsi="Courier New"/>
                <w:sz w:val="14"/>
                <w:szCs w:val="14"/>
                <w:color w:val="auto"/>
              </w:rPr>
              <w:t>Directors, Officers and</w:t>
            </w:r>
          </w:p>
        </w:tc>
        <w:tc>
          <w:tcPr>
            <w:tcW w:w="1280" w:type="dxa"/>
            <w:vAlign w:val="bottom"/>
          </w:tcPr>
          <w:p>
            <w:pPr>
              <w:spacing w:after="0"/>
              <w:rPr>
                <w:sz w:val="24"/>
                <w:szCs w:val="24"/>
                <w:color w:val="auto"/>
              </w:rPr>
            </w:pPr>
          </w:p>
        </w:tc>
      </w:t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Stockholders' Information</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634"/>
        </w:trPr>
        <w:tc>
          <w:tcPr>
            <w:tcW w:w="2760" w:type="dxa"/>
            <w:vAlign w:val="bottom"/>
          </w:tcPr>
          <w:p>
            <w:pPr>
              <w:spacing w:after="0"/>
              <w:rPr>
                <w:sz w:val="24"/>
                <w:szCs w:val="24"/>
                <w:color w:val="auto"/>
              </w:rPr>
            </w:pPr>
          </w:p>
        </w:tc>
        <w:tc>
          <w:tcPr>
            <w:tcW w:w="128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1</w:t>
            </w:r>
          </w:p>
        </w:tc>
      </w:tr>
    </w:tbl>
    <w:p>
      <w:pPr>
        <w:sectPr>
          <w:pgSz w:w="11900" w:h="16838" w:orient="portrait"/>
          <w:cols w:equalWidth="0" w:num="1">
            <w:col w:w="10239"/>
          </w:cols>
          <w:pgMar w:left="220" w:top="137" w:right="1440" w:bottom="1440" w:gutter="0" w:footer="0" w:header="0"/>
        </w:sectPr>
      </w:pPr>
    </w:p>
    <w:bookmarkStart w:id="75" w:name="page76"/>
    <w:bookmarkEnd w:id="75"/>
    <w:p>
      <w:pPr>
        <w:spacing w:after="0"/>
        <w:tabs>
          <w:tab w:leader="none" w:pos="3040" w:val="left"/>
        </w:tabs>
        <w:rPr>
          <w:sz w:val="20"/>
          <w:szCs w:val="20"/>
          <w:color w:val="auto"/>
        </w:rPr>
      </w:pPr>
      <w:r>
        <w:rPr>
          <w:rFonts w:ascii="Courier New" w:cs="Courier New" w:eastAsia="Courier New" w:hAnsi="Courier New"/>
          <w:sz w:val="14"/>
          <w:szCs w:val="14"/>
          <w:color w:val="auto"/>
        </w:rPr>
        <w:t>ELEVEN-YEAR SELECTED FINANCIAL DATA</w:t>
      </w:r>
      <w:r>
        <w:rPr>
          <w:sz w:val="20"/>
          <w:szCs w:val="20"/>
          <w:color w:val="auto"/>
        </w:rPr>
        <w:tab/>
      </w:r>
      <w:r>
        <w:rPr>
          <w:rFonts w:ascii="Courier New" w:cs="Courier New" w:eastAsia="Courier New" w:hAnsi="Courier New"/>
          <w:sz w:val="13"/>
          <w:szCs w:val="13"/>
          <w:color w:val="auto"/>
        </w:rPr>
        <w:t>The Toro Company</w:t>
      </w:r>
    </w:p>
    <w:p>
      <w:pPr>
        <w:spacing w:after="0" w:line="4" w:lineRule="exact"/>
        <w:rPr>
          <w:sz w:val="20"/>
          <w:szCs w:val="20"/>
          <w:color w:val="auto"/>
        </w:rPr>
      </w:pPr>
    </w:p>
    <w:p>
      <w:pPr>
        <w:ind w:left="160" w:hanging="155"/>
        <w:spacing w:after="0"/>
        <w:tabs>
          <w:tab w:leader="none" w:pos="160" w:val="left"/>
        </w:tabs>
        <w:numPr>
          <w:ilvl w:val="0"/>
          <w:numId w:val="10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(Dollars in thousands, except per share data)</w:t>
      </w:r>
    </w:p>
    <w:p>
      <w:pPr>
        <w:spacing w:after="0" w:line="4"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Years ended October 31**** 1996 1995 1994 1993 1992* 1991 - - - -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930,909</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919,400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864,300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706,600</w:t>
            </w: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638,700</w:t>
            </w:r>
          </w:p>
        </w:tc>
        <w:tc>
          <w:tcPr>
            <w:tcW w:w="340" w:type="dxa"/>
            <w:vAlign w:val="bottom"/>
          </w:tcPr>
          <w:p>
            <w:pPr>
              <w:spacing w:after="0"/>
              <w:rPr>
                <w:sz w:val="13"/>
                <w:szCs w:val="13"/>
                <w:color w:val="auto"/>
              </w:rPr>
            </w:pPr>
          </w:p>
        </w:tc>
        <w:tc>
          <w:tcPr>
            <w:tcW w:w="82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$706,200</w:t>
            </w:r>
          </w:p>
        </w:tc>
        <w:tc>
          <w:tcPr>
            <w:tcW w:w="24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36,409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32,362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32,426</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15,282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5"/>
              </w:rPr>
              <w:t>(21,726)</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16,100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(3.4)%</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stock equivalent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2.49</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$ 0.77</w:t>
            </w:r>
          </w:p>
        </w:tc>
        <w:tc>
          <w:tcPr>
            <w:tcW w:w="24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5,834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5,953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6,022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5,858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5,765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5,710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24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(14.2)%</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191"/>
              <w:spacing w:after="0"/>
              <w:rPr>
                <w:sz w:val="20"/>
                <w:szCs w:val="20"/>
                <w:color w:val="auto"/>
              </w:rPr>
            </w:pPr>
            <w:r>
              <w:rPr>
                <w:rFonts w:ascii="Courier New" w:cs="Courier New" w:eastAsia="Courier New" w:hAnsi="Courier New"/>
                <w:sz w:val="14"/>
                <w:szCs w:val="14"/>
                <w:color w:val="auto"/>
              </w:rPr>
              <w:t>(15.5)%</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24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405,001</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386,259</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373,400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326,100</w:t>
            </w: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324,200</w:t>
            </w:r>
          </w:p>
        </w:tc>
        <w:tc>
          <w:tcPr>
            <w:tcW w:w="340" w:type="dxa"/>
            <w:vAlign w:val="bottom"/>
          </w:tcPr>
          <w:p>
            <w:pPr>
              <w:spacing w:after="0"/>
              <w:rPr>
                <w:sz w:val="13"/>
                <w:szCs w:val="13"/>
                <w:color w:val="auto"/>
              </w:rPr>
            </w:pPr>
          </w:p>
        </w:tc>
        <w:tc>
          <w:tcPr>
            <w:tcW w:w="820" w:type="dxa"/>
            <w:vAlign w:val="bottom"/>
            <w:gridSpan w:val="2"/>
          </w:tcPr>
          <w:p>
            <w:pPr>
              <w:jc w:val="right"/>
              <w:ind w:right="11"/>
              <w:spacing w:after="0"/>
              <w:rPr>
                <w:sz w:val="20"/>
                <w:szCs w:val="20"/>
                <w:color w:val="auto"/>
              </w:rPr>
            </w:pPr>
            <w:r>
              <w:rPr>
                <w:rFonts w:ascii="Courier New" w:cs="Courier New" w:eastAsia="Courier New" w:hAnsi="Courier New"/>
                <w:sz w:val="14"/>
                <w:szCs w:val="14"/>
                <w:color w:val="auto"/>
              </w:rPr>
              <w:t>$322,000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207,857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221,173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197,200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169,200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132,500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103,800</w:t>
            </w:r>
          </w:p>
        </w:tc>
        <w:tc>
          <w:tcPr>
            <w:tcW w:w="240" w:type="dxa"/>
            <w:vAlign w:val="bottom"/>
          </w:tcPr>
          <w:p>
            <w:pPr>
              <w:spacing w:after="0"/>
              <w:rPr>
                <w:sz w:val="13"/>
                <w:szCs w:val="13"/>
                <w:color w:val="auto"/>
              </w:rPr>
            </w:pPr>
          </w:p>
        </w:tc>
      </w:tr>
      <w:tr>
        <w:trPr>
          <w:trHeight w:val="159"/>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197,144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165,086</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176,200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156,900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191,700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218,200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91,876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86,394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78,200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73,700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85,100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93,400</w:t>
            </w:r>
          </w:p>
        </w:tc>
        <w:tc>
          <w:tcPr>
            <w:tcW w:w="240" w:type="dxa"/>
            <w:vAlign w:val="bottom"/>
          </w:tcPr>
          <w:p>
            <w:pPr>
              <w:spacing w:after="0"/>
              <w:rPr>
                <w:sz w:val="13"/>
                <w:szCs w:val="13"/>
                <w:color w:val="auto"/>
              </w:rPr>
            </w:pPr>
          </w:p>
        </w:tc>
      </w:tr>
      <w:tr>
        <w:trPr>
          <w:trHeight w:val="159"/>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496,877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472,653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451,600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399,800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409,300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415,400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long-term debt</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22,438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7,223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5,300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4,100</w:t>
            </w:r>
          </w:p>
        </w:tc>
        <w:tc>
          <w:tcPr>
            <w:tcW w:w="24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53,015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53,365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70,400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87,300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147,900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154,100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213,567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190,892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178,700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141,900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126,400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153,400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266,582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244,257</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249,100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229,200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274,300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307,500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15.69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14.05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11.47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10.50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12.84</w:t>
            </w:r>
          </w:p>
        </w:tc>
        <w:tc>
          <w:tcPr>
            <w:tcW w:w="24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outstanding (in thousands)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12,032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12,168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12,720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12,370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12,041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11,950</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6,841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7,243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c>
          <w:tcPr>
            <w:tcW w:w="24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1/4</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32</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1/4</w:t>
            </w: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30</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1/2</w:t>
            </w: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3/4</w:t>
            </w: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w:t>
            </w: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1/2</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3/8</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7/8</w:t>
            </w: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3/4</w:t>
            </w: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3/8</w:t>
            </w: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1/8</w:t>
            </w: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3/4</w:t>
            </w:r>
          </w:p>
        </w:tc>
      </w:tr>
    </w:tbl>
    <w:p>
      <w:pPr>
        <w:spacing w:after="0" w:line="4" w:lineRule="exact"/>
        <w:rPr>
          <w:sz w:val="20"/>
          <w:szCs w:val="20"/>
          <w:color w:val="auto"/>
        </w:rPr>
      </w:pPr>
    </w:p>
    <w:p>
      <w:pPr>
        <w:ind w:left="160" w:hanging="155"/>
        <w:spacing w:after="0"/>
        <w:tabs>
          <w:tab w:leader="none" w:pos="160" w:val="left"/>
        </w:tabs>
        <w:numPr>
          <w:ilvl w:val="0"/>
          <w:numId w:val="10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41" w:lineRule="exact"/>
        <w:rPr>
          <w:rFonts w:ascii="Courier New" w:cs="Courier New" w:eastAsia="Courier New" w:hAnsi="Courier New"/>
          <w:sz w:val="13"/>
          <w:szCs w:val="13"/>
          <w:color w:val="auto"/>
        </w:rPr>
      </w:pPr>
    </w:p>
    <w:p>
      <w:pPr>
        <w:ind w:left="346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14</w:t>
      </w:r>
    </w:p>
    <w:p>
      <w:pPr>
        <w:sectPr>
          <w:pgSz w:w="11900" w:h="16838" w:orient="portrait"/>
          <w:cols w:equalWidth="0" w:num="1">
            <w:col w:w="11380"/>
          </w:cols>
          <w:pgMar w:left="220" w:top="909" w:right="299" w:bottom="1440" w:gutter="0" w:footer="0" w:header="0"/>
        </w:sectPr>
      </w:pPr>
    </w:p>
    <w:bookmarkStart w:id="76" w:name="page77"/>
    <w:bookmarkEnd w:id="76"/>
    <w:p>
      <w:pPr>
        <w:ind w:left="160" w:hanging="155"/>
        <w:spacing w:after="0"/>
        <w:tabs>
          <w:tab w:leader="none" w:pos="160" w:val="left"/>
        </w:tabs>
        <w:numPr>
          <w:ilvl w:val="0"/>
          <w:numId w:val="10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(Dollars in thousands, except per share data)</w:t>
      </w:r>
    </w:p>
    <w:p>
      <w:pPr>
        <w:spacing w:after="0" w:line="4"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Years ended October 31**** 1990** 1989 1988 1987*** 1986 - - - -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747,300</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639,200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626,200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551,600</w:t>
            </w: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422,300</w:t>
            </w:r>
          </w:p>
        </w:tc>
        <w:tc>
          <w:tcPr>
            <w:tcW w:w="26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9,130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8,394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19,962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20,500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17,900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stock equivalent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0.84</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1.60</w:t>
            </w: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6,074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4,774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4,613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3,730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3,135</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0.37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c>
          <w:tcPr>
            <w:tcW w:w="26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306,800</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271,200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296,400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262,600</w:t>
            </w:r>
          </w:p>
        </w:tc>
        <w:tc>
          <w:tcPr>
            <w:tcW w:w="3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216,600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133,000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125,000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144,200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121,800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114,700</w:t>
            </w:r>
          </w:p>
        </w:tc>
        <w:tc>
          <w:tcPr>
            <w:tcW w:w="260" w:type="dxa"/>
            <w:vAlign w:val="bottom"/>
          </w:tcPr>
          <w:p>
            <w:pPr>
              <w:spacing w:after="0"/>
              <w:rPr>
                <w:sz w:val="13"/>
                <w:szCs w:val="13"/>
                <w:color w:val="auto"/>
              </w:rPr>
            </w:pPr>
          </w:p>
        </w:tc>
      </w:tr>
      <w:tr>
        <w:trPr>
          <w:trHeight w:val="159"/>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173,800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146,200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152,200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140,800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101,900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103,900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57,100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55,800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52,800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27,300</w:t>
            </w:r>
          </w:p>
        </w:tc>
        <w:tc>
          <w:tcPr>
            <w:tcW w:w="260" w:type="dxa"/>
            <w:vAlign w:val="bottom"/>
          </w:tcPr>
          <w:p>
            <w:pPr>
              <w:spacing w:after="0"/>
              <w:rPr>
                <w:sz w:val="13"/>
                <w:szCs w:val="13"/>
                <w:color w:val="auto"/>
              </w:rPr>
            </w:pPr>
          </w:p>
        </w:tc>
      </w:tr>
      <w:tr>
        <w:trPr>
          <w:trHeight w:val="159"/>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410,700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328,300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352,200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315,400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243,900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long-term debt</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6,100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2,100</w:t>
            </w:r>
          </w:p>
        </w:tc>
        <w:tc>
          <w:tcPr>
            <w:tcW w:w="26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125,300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95,600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112,200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109,800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54,500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6,000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9,000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10,500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10,500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146,300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99,300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85,100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72,200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62,100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271,600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200,900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206,300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1"/>
              </w:rPr>
              <w:t>192,500</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127,100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12.34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9.98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8.46</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13"/>
                <w:szCs w:val="13"/>
                <w:color w:val="auto"/>
              </w:rPr>
            </w:pPr>
          </w:p>
        </w:tc>
      </w:tr>
      <w:tr>
        <w:trPr>
          <w:trHeight w:val="317"/>
        </w:trPr>
        <w:tc>
          <w:tcPr>
            <w:tcW w:w="342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outstanding (in thousands)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11,859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9,946</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10,059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10,144</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10,280</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3"/>
                <w:szCs w:val="13"/>
                <w:color w:val="auto"/>
              </w:rPr>
            </w:pP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3/8</w:t>
            </w: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7/8</w:t>
            </w: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3/4</w:t>
            </w: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3/4</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18</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3/8</w:t>
            </w:r>
          </w:p>
        </w:tc>
        <w:tc>
          <w:tcPr>
            <w:tcW w:w="220" w:type="dxa"/>
            <w:vAlign w:val="bottom"/>
          </w:tcPr>
          <w:p>
            <w:pPr>
              <w:spacing w:after="0"/>
              <w:rPr>
                <w:sz w:val="13"/>
                <w:szCs w:val="13"/>
                <w:color w:val="auto"/>
              </w:rPr>
            </w:pPr>
          </w:p>
        </w:tc>
        <w:tc>
          <w:tcPr>
            <w:tcW w:w="6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1/8</w:t>
            </w:r>
          </w:p>
        </w:tc>
        <w:tc>
          <w:tcPr>
            <w:tcW w:w="16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3/8</w:t>
            </w:r>
          </w:p>
        </w:tc>
      </w:tr>
    </w:tbl>
    <w:p>
      <w:pPr>
        <w:spacing w:after="0" w:line="4" w:lineRule="exact"/>
        <w:rPr>
          <w:sz w:val="20"/>
          <w:szCs w:val="20"/>
          <w:color w:val="auto"/>
        </w:rPr>
      </w:pPr>
    </w:p>
    <w:p>
      <w:pPr>
        <w:ind w:left="160" w:hanging="155"/>
        <w:spacing w:after="0"/>
        <w:tabs>
          <w:tab w:leader="none" w:pos="160" w:val="left"/>
        </w:tabs>
        <w:numPr>
          <w:ilvl w:val="0"/>
          <w:numId w:val="10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324" w:lineRule="exact"/>
        <w:rPr>
          <w:rFonts w:ascii="Courier New" w:cs="Courier New" w:eastAsia="Courier New" w:hAnsi="Courier New"/>
          <w:sz w:val="13"/>
          <w:szCs w:val="13"/>
          <w:color w:val="auto"/>
        </w:rPr>
      </w:pPr>
    </w:p>
    <w:p>
      <w:pPr>
        <w:ind w:left="26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 Includes restructuring costs of $24.9 million, or $1.41 per share.</w:t>
      </w:r>
    </w:p>
    <w:p>
      <w:pPr>
        <w:spacing w:after="0" w:line="4" w:lineRule="exact"/>
        <w:rPr>
          <w:rFonts w:ascii="Courier New" w:cs="Courier New" w:eastAsia="Courier New" w:hAnsi="Courier New"/>
          <w:sz w:val="13"/>
          <w:szCs w:val="13"/>
          <w:color w:val="auto"/>
        </w:rPr>
      </w:pPr>
    </w:p>
    <w:p>
      <w:pPr>
        <w:ind w:left="420" w:right="3800" w:hanging="251"/>
        <w:spacing w:after="0" w:line="258" w:lineRule="auto"/>
        <w:tabs>
          <w:tab w:leader="none" w:pos="420" w:val="left"/>
        </w:tabs>
        <w:numPr>
          <w:ilvl w:val="1"/>
          <w:numId w:val="10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The company's consolidated financial statements include results of operations of Lawn-Boy Inc. from November 7, 1989, the date of acquisition.</w:t>
      </w:r>
    </w:p>
    <w:p>
      <w:pPr>
        <w:ind w:left="420" w:right="3960" w:hanging="333"/>
        <w:spacing w:after="0" w:line="237" w:lineRule="auto"/>
        <w:tabs>
          <w:tab w:leader="none" w:pos="42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Wheel Horse Products, Inc. from December 19, 1986, the date of acquisition.</w:t>
      </w:r>
    </w:p>
    <w:p>
      <w:pPr>
        <w:spacing w:after="0" w:line="5" w:lineRule="exact"/>
        <w:rPr>
          <w:rFonts w:ascii="Courier New" w:cs="Courier New" w:eastAsia="Courier New" w:hAnsi="Courier New"/>
          <w:sz w:val="14"/>
          <w:szCs w:val="14"/>
          <w:color w:val="auto"/>
        </w:rPr>
      </w:pPr>
    </w:p>
    <w:p>
      <w:pPr>
        <w:ind w:left="420" w:right="4220" w:hanging="415"/>
        <w:spacing w:after="0" w:line="236" w:lineRule="auto"/>
        <w:tabs>
          <w:tab w:leader="none" w:pos="42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date of the year end for years prior to 1995 was the Friday closest to October 31.</w:t>
      </w:r>
    </w:p>
    <w:p>
      <w:pPr>
        <w:spacing w:after="0" w:line="318" w:lineRule="exact"/>
        <w:rPr>
          <w:sz w:val="20"/>
          <w:szCs w:val="20"/>
          <w:color w:val="auto"/>
        </w:rPr>
      </w:pPr>
    </w:p>
    <w:p>
      <w:pPr>
        <w:spacing w:after="0"/>
        <w:tabs>
          <w:tab w:leader="none" w:pos="1140" w:val="left"/>
          <w:tab w:leader="none" w:pos="2300" w:val="left"/>
          <w:tab w:leader="none" w:pos="3440" w:val="left"/>
          <w:tab w:leader="none" w:pos="4600" w:val="left"/>
          <w:tab w:leader="none" w:pos="5760" w:val="left"/>
        </w:tabs>
        <w:rPr>
          <w:sz w:val="20"/>
          <w:szCs w:val="20"/>
          <w:color w:val="auto"/>
        </w:rPr>
      </w:pP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3"/>
          <w:szCs w:val="13"/>
          <w:color w:val="auto"/>
        </w:rPr>
        <w:t>[graph]</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400"/>
          </w:cols>
          <w:pgMar w:left="220" w:top="754" w:right="1279"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1996 Annual Report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rPr>
          <w:sz w:val="20"/>
          <w:szCs w:val="20"/>
          <w:color w:val="auto"/>
        </w:rPr>
      </w:pPr>
      <w:r>
        <w:rPr>
          <w:rFonts w:ascii="Courier New" w:cs="Courier New" w:eastAsia="Courier New" w:hAnsi="Courier New"/>
          <w:sz w:val="14"/>
          <w:szCs w:val="14"/>
          <w:color w:val="auto"/>
        </w:rPr>
        <w:t>OF FINANCIAL CONDITION AND RESULTS OF OPERATIONS The Toro Company</w:t>
      </w:r>
    </w:p>
    <w:p>
      <w:pPr>
        <w:spacing w:after="0" w:line="163" w:lineRule="exact"/>
        <w:rPr>
          <w:sz w:val="20"/>
          <w:szCs w:val="20"/>
          <w:color w:val="auto"/>
        </w:rPr>
      </w:pPr>
    </w:p>
    <w:p>
      <w:pPr>
        <w:ind w:right="5100"/>
        <w:spacing w:after="0" w:line="239"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The following comparisons are based on the company's new fiscal year end. The 3 month transition period ended October 31, 1995 bridges the gap between the company's old and new fiscal year ends. A comparison of this transition period to the same period in 1994 is presented beginning on page 25. In addition, a comparison of the years ended July 31, 1995 and 1994 is also presented beginning on page 25.</w:t>
      </w:r>
    </w:p>
    <w:p>
      <w:pPr>
        <w:spacing w:after="0" w:line="163" w:lineRule="exact"/>
        <w:rPr>
          <w:sz w:val="20"/>
          <w:szCs w:val="20"/>
          <w:color w:val="auto"/>
        </w:rPr>
      </w:pPr>
    </w:p>
    <w:p>
      <w:pPr>
        <w:ind w:right="5020"/>
        <w:spacing w:after="0" w:line="239" w:lineRule="auto"/>
        <w:rPr>
          <w:sz w:val="20"/>
          <w:szCs w:val="20"/>
          <w:color w:val="auto"/>
        </w:rPr>
      </w:pPr>
      <w:r>
        <w:rPr>
          <w:rFonts w:ascii="Courier New" w:cs="Courier New" w:eastAsia="Courier New" w:hAnsi="Courier New"/>
          <w:sz w:val="14"/>
          <w:szCs w:val="14"/>
          <w:color w:val="auto"/>
        </w:rPr>
        <w:t>Financial information relating to the year ended October 31, 1996 has been derived from the audited financial statements. The results of operations for fiscal years ended in October 1995 and 1994 have been restated from the previous July 31 year end to the new fiscal year basis and are unaudited. The October 31, 1995 balance sheet information has been derived from the October 31, 1995 audited balance sheet. Financial information for the year ended October 28, 1994 is unaudited and is presented for informational purposes only.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63" w:lineRule="exact"/>
        <w:rPr>
          <w:sz w:val="20"/>
          <w:szCs w:val="20"/>
          <w:color w:val="auto"/>
        </w:rPr>
      </w:pPr>
    </w:p>
    <w:p>
      <w:pPr>
        <w:ind w:right="5020"/>
        <w:spacing w:after="0" w:line="259" w:lineRule="auto"/>
        <w:rPr>
          <w:sz w:val="20"/>
          <w:szCs w:val="20"/>
          <w:color w:val="auto"/>
        </w:rPr>
      </w:pPr>
      <w:r>
        <w:rPr>
          <w:rFonts w:ascii="Courier New" w:cs="Courier New" w:eastAsia="Courier New" w:hAnsi="Courier New"/>
          <w:sz w:val="13"/>
          <w:szCs w:val="13"/>
          <w:color w:val="auto"/>
        </w:rPr>
        <w:t>In 1996, the company increased net earnings by 12.3% over the previous year in spite of only a modest increase in worldwide net sales. The company continues to focus on implementing operational strategies which improve production flexibility and efficiency and aggressive expense control measures which result in increased margins. Weather patterns have a major impact on the company's sales; however, the company has entered into a number of strategic alliances and acquisitions in 1996, and continues to seek other opportunities to diversify both the product categories and the global markets where products are sold. This has and will continue to reduce the impact of localized weather patterns and economic conditions on the company's sales and earnings. See "Acquisitions and Strategic Alliances" included in this MD&amp;A.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40" w:type="dxa"/>
            <w:vAlign w:val="bottom"/>
          </w:tcPr>
          <w:p>
            <w:pPr>
              <w:spacing w:after="0"/>
              <w:rPr>
                <w:sz w:val="13"/>
                <w:szCs w:val="13"/>
                <w:color w:val="auto"/>
              </w:rPr>
            </w:pPr>
          </w:p>
        </w:tc>
        <w:tc>
          <w:tcPr>
            <w:tcW w:w="16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YEAR ENDED</w:t>
            </w:r>
          </w:p>
        </w:tc>
        <w:tc>
          <w:tcPr>
            <w:tcW w:w="1140" w:type="dxa"/>
            <w:vAlign w:val="bottom"/>
          </w:tcPr>
          <w:p>
            <w:pPr>
              <w:spacing w:after="0"/>
              <w:rPr>
                <w:sz w:val="13"/>
                <w:szCs w:val="13"/>
                <w:color w:val="auto"/>
              </w:rPr>
            </w:pPr>
          </w:p>
        </w:tc>
        <w:tc>
          <w:tcPr>
            <w:tcW w:w="13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Year Ended</w:t>
            </w:r>
          </w:p>
        </w:tc>
        <w:tc>
          <w:tcPr>
            <w:tcW w:w="1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4040" w:type="dxa"/>
            <w:vAlign w:val="bottom"/>
          </w:tcPr>
          <w:p>
            <w:pPr>
              <w:spacing w:after="0"/>
              <w:rPr>
                <w:sz w:val="13"/>
                <w:szCs w:val="13"/>
                <w:color w:val="auto"/>
              </w:rPr>
            </w:pPr>
          </w:p>
        </w:tc>
        <w:tc>
          <w:tcPr>
            <w:tcW w:w="16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OCTOBER 31</w:t>
            </w:r>
          </w:p>
        </w:tc>
        <w:tc>
          <w:tcPr>
            <w:tcW w:w="1140" w:type="dxa"/>
            <w:vAlign w:val="bottom"/>
          </w:tcPr>
          <w:p>
            <w:pPr>
              <w:spacing w:after="0"/>
              <w:rPr>
                <w:sz w:val="13"/>
                <w:szCs w:val="13"/>
                <w:color w:val="auto"/>
              </w:rPr>
            </w:pPr>
          </w:p>
        </w:tc>
        <w:tc>
          <w:tcPr>
            <w:tcW w:w="13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October 31</w:t>
            </w:r>
          </w:p>
        </w:tc>
        <w:tc>
          <w:tcPr>
            <w:tcW w:w="1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59"/>
        </w:trPr>
        <w:tc>
          <w:tcPr>
            <w:tcW w:w="404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6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1996</w:t>
            </w:r>
          </w:p>
        </w:tc>
        <w:tc>
          <w:tcPr>
            <w:tcW w:w="1140" w:type="dxa"/>
            <w:vAlign w:val="bottom"/>
          </w:tcPr>
          <w:p>
            <w:pPr>
              <w:ind w:left="320"/>
              <w:spacing w:after="0"/>
              <w:rPr>
                <w:sz w:val="20"/>
                <w:szCs w:val="20"/>
                <w:color w:val="auto"/>
              </w:rPr>
            </w:pPr>
            <w:r>
              <w:rPr>
                <w:rFonts w:ascii="Courier New" w:cs="Courier New" w:eastAsia="Courier New" w:hAnsi="Courier New"/>
                <w:sz w:val="14"/>
                <w:szCs w:val="14"/>
                <w:color w:val="auto"/>
              </w:rPr>
              <w:t>% Change</w:t>
            </w:r>
          </w:p>
        </w:tc>
        <w:tc>
          <w:tcPr>
            <w:tcW w:w="13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8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$930.9</w:t>
            </w:r>
          </w:p>
        </w:tc>
        <w:tc>
          <w:tcPr>
            <w:tcW w:w="11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$919.4</w:t>
            </w:r>
          </w:p>
        </w:tc>
        <w:tc>
          <w:tcPr>
            <w:tcW w:w="1160" w:type="dxa"/>
            <w:vAlign w:val="bottom"/>
          </w:tcPr>
          <w:p>
            <w:pPr>
              <w:ind w:left="500"/>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8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589.2</w:t>
            </w:r>
          </w:p>
        </w:tc>
        <w:tc>
          <w:tcPr>
            <w:tcW w:w="116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589.2</w:t>
            </w:r>
          </w:p>
        </w:tc>
        <w:tc>
          <w:tcPr>
            <w:tcW w:w="1160" w:type="dxa"/>
            <w:vAlign w:val="bottom"/>
          </w:tcPr>
          <w:p>
            <w:pPr>
              <w:ind w:left="500"/>
              <w:spacing w:after="0"/>
              <w:rPr>
                <w:sz w:val="20"/>
                <w:szCs w:val="20"/>
                <w:color w:val="auto"/>
              </w:rPr>
            </w:pPr>
            <w:r>
              <w:rPr>
                <w:rFonts w:ascii="Courier New" w:cs="Courier New" w:eastAsia="Courier New" w:hAnsi="Courier New"/>
                <w:sz w:val="14"/>
                <w:szCs w:val="14"/>
                <w:color w:val="auto"/>
              </w:rPr>
              <w:t>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549.7</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0" w:type="dxa"/>
        <w:tblCellMar>
          <w:top w:w="0" w:type="dxa"/>
          <w:left w:w="0" w:type="dxa"/>
          <w:bottom w:w="0" w:type="dxa"/>
          <w:right w:w="0" w:type="dxa"/>
        </w:tblCellMar>
      </w:tblPr>
      <w:tr>
        <w:trPr>
          <w:trHeight w:val="159"/>
        </w:trPr>
        <w:tc>
          <w:tcPr>
            <w:tcW w:w="4200" w:type="dxa"/>
            <w:vAlign w:val="bottom"/>
          </w:tcPr>
          <w:p>
            <w:pPr>
              <w:ind w:left="340"/>
              <w:spacing w:after="0"/>
              <w:rPr>
                <w:sz w:val="20"/>
                <w:szCs w:val="20"/>
                <w:color w:val="auto"/>
              </w:rPr>
            </w:pPr>
            <w:r>
              <w:rPr>
                <w:rFonts w:ascii="Courier New" w:cs="Courier New" w:eastAsia="Courier New" w:hAnsi="Courier New"/>
                <w:sz w:val="14"/>
                <w:szCs w:val="14"/>
                <w:color w:val="auto"/>
              </w:rPr>
              <w:t>Gross profit</w:t>
            </w:r>
          </w:p>
        </w:tc>
        <w:tc>
          <w:tcPr>
            <w:tcW w:w="15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341.7</w:t>
            </w:r>
          </w:p>
        </w:tc>
        <w:tc>
          <w:tcPr>
            <w:tcW w:w="116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3.5</w:t>
            </w:r>
          </w:p>
        </w:tc>
        <w:tc>
          <w:tcPr>
            <w:tcW w:w="130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330.2</w:t>
            </w:r>
          </w:p>
        </w:tc>
        <w:tc>
          <w:tcPr>
            <w:tcW w:w="11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314.6</w:t>
            </w:r>
          </w:p>
        </w:tc>
      </w:tr>
      <w:tr>
        <w:trPr>
          <w:trHeight w:val="159"/>
        </w:trPr>
        <w:tc>
          <w:tcPr>
            <w:tcW w:w="42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5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278.3</w:t>
            </w:r>
          </w:p>
        </w:tc>
        <w:tc>
          <w:tcPr>
            <w:tcW w:w="116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2.3</w:t>
            </w:r>
          </w:p>
        </w:tc>
        <w:tc>
          <w:tcPr>
            <w:tcW w:w="130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272.1</w:t>
            </w:r>
          </w:p>
        </w:tc>
        <w:tc>
          <w:tcPr>
            <w:tcW w:w="11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255.6</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0" w:type="dxa"/>
        <w:tblCellMar>
          <w:top w:w="0" w:type="dxa"/>
          <w:left w:w="0" w:type="dxa"/>
          <w:bottom w:w="0" w:type="dxa"/>
          <w:right w:w="0" w:type="dxa"/>
        </w:tblCellMar>
      </w:tblPr>
      <w:tr>
        <w:trPr>
          <w:trHeight w:val="159"/>
        </w:trPr>
        <w:tc>
          <w:tcPr>
            <w:tcW w:w="3600" w:type="dxa"/>
            <w:vAlign w:val="bottom"/>
          </w:tcPr>
          <w:p>
            <w:pPr>
              <w:ind w:left="340"/>
              <w:spacing w:after="0"/>
              <w:rPr>
                <w:sz w:val="20"/>
                <w:szCs w:val="20"/>
                <w:color w:val="auto"/>
              </w:rPr>
            </w:pPr>
            <w:r>
              <w:rPr>
                <w:rFonts w:ascii="Courier New" w:cs="Courier New" w:eastAsia="Courier New" w:hAnsi="Courier New"/>
                <w:sz w:val="14"/>
                <w:szCs w:val="14"/>
                <w:color w:val="auto"/>
              </w:rPr>
              <w:t>Earnings from operations</w:t>
            </w:r>
          </w:p>
        </w:tc>
        <w:tc>
          <w:tcPr>
            <w:tcW w:w="2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63.4</w:t>
            </w:r>
          </w:p>
        </w:tc>
        <w:tc>
          <w:tcPr>
            <w:tcW w:w="120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9.1</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58.1</w:t>
            </w:r>
          </w:p>
        </w:tc>
        <w:tc>
          <w:tcPr>
            <w:tcW w:w="124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(1.5)</w:t>
            </w:r>
          </w:p>
        </w:tc>
        <w:tc>
          <w:tcPr>
            <w:tcW w:w="840" w:type="dxa"/>
            <w:vAlign w:val="bottom"/>
          </w:tcPr>
          <w:p>
            <w:pPr>
              <w:ind w:left="420"/>
              <w:spacing w:after="0"/>
              <w:rPr>
                <w:sz w:val="20"/>
                <w:szCs w:val="20"/>
                <w:color w:val="auto"/>
              </w:rPr>
            </w:pPr>
            <w:r>
              <w:rPr>
                <w:rFonts w:ascii="Courier New" w:cs="Courier New" w:eastAsia="Courier New" w:hAnsi="Courier New"/>
                <w:sz w:val="14"/>
                <w:szCs w:val="14"/>
                <w:color w:val="auto"/>
              </w:rPr>
              <w:t>59.0</w:t>
            </w:r>
          </w:p>
        </w:tc>
      </w:tr>
      <w:tr>
        <w:trPr>
          <w:trHeight w:val="159"/>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1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13.5</w:t>
            </w:r>
          </w:p>
        </w:tc>
        <w:tc>
          <w:tcPr>
            <w:tcW w:w="120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13.4</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11.9</w:t>
            </w:r>
          </w:p>
        </w:tc>
        <w:tc>
          <w:tcPr>
            <w:tcW w:w="124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(7.0)</w:t>
            </w:r>
          </w:p>
        </w:tc>
        <w:tc>
          <w:tcPr>
            <w:tcW w:w="840" w:type="dxa"/>
            <w:vAlign w:val="bottom"/>
          </w:tcPr>
          <w:p>
            <w:pPr>
              <w:ind w:left="420"/>
              <w:spacing w:after="0"/>
              <w:rPr>
                <w:sz w:val="20"/>
                <w:szCs w:val="20"/>
                <w:color w:val="auto"/>
              </w:rPr>
            </w:pPr>
            <w:r>
              <w:rPr>
                <w:rFonts w:ascii="Courier New" w:cs="Courier New" w:eastAsia="Courier New" w:hAnsi="Courier New"/>
                <w:sz w:val="14"/>
                <w:szCs w:val="14"/>
                <w:color w:val="auto"/>
              </w:rPr>
              <w:t>12.8</w:t>
            </w:r>
          </w:p>
        </w:tc>
      </w:tr>
      <w:tr>
        <w:trPr>
          <w:trHeight w:val="159"/>
        </w:trPr>
        <w:tc>
          <w:tcPr>
            <w:tcW w:w="36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1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(10.3)</w:t>
            </w:r>
          </w:p>
        </w:tc>
        <w:tc>
          <w:tcPr>
            <w:tcW w:w="120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33.8</w:t>
            </w:r>
          </w:p>
        </w:tc>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(7.7)</w:t>
            </w:r>
          </w:p>
        </w:tc>
        <w:tc>
          <w:tcPr>
            <w:tcW w:w="124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(1.3)</w:t>
            </w:r>
          </w:p>
        </w:tc>
        <w:tc>
          <w:tcPr>
            <w:tcW w:w="840" w:type="dxa"/>
            <w:vAlign w:val="bottom"/>
          </w:tcPr>
          <w:p>
            <w:pPr>
              <w:ind w:left="420"/>
              <w:spacing w:after="0"/>
              <w:rPr>
                <w:sz w:val="20"/>
                <w:szCs w:val="20"/>
                <w:color w:val="auto"/>
              </w:rPr>
            </w:pPr>
            <w:r>
              <w:rPr>
                <w:rFonts w:ascii="Courier New" w:cs="Courier New" w:eastAsia="Courier New" w:hAnsi="Courier New"/>
                <w:sz w:val="14"/>
                <w:szCs w:val="14"/>
                <w:color w:val="auto"/>
                <w:w w:val="95"/>
              </w:rPr>
              <w:t>(7.8)</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0" w:type="dxa"/>
        <w:tblCellMar>
          <w:top w:w="0" w:type="dxa"/>
          <w:left w:w="0" w:type="dxa"/>
          <w:bottom w:w="0" w:type="dxa"/>
          <w:right w:w="0" w:type="dxa"/>
        </w:tblCellMar>
      </w:tblPr>
      <w:tr>
        <w:trPr>
          <w:trHeight w:val="159"/>
        </w:trPr>
        <w:tc>
          <w:tcPr>
            <w:tcW w:w="3760" w:type="dxa"/>
            <w:vAlign w:val="bottom"/>
          </w:tcPr>
          <w:p>
            <w:pPr>
              <w:ind w:left="340"/>
              <w:spacing w:after="0"/>
              <w:rPr>
                <w:sz w:val="20"/>
                <w:szCs w:val="20"/>
                <w:color w:val="auto"/>
              </w:rPr>
            </w:pPr>
            <w:r>
              <w:rPr>
                <w:rFonts w:ascii="Courier New" w:cs="Courier New" w:eastAsia="Courier New" w:hAnsi="Courier New"/>
                <w:sz w:val="14"/>
                <w:szCs w:val="14"/>
                <w:color w:val="auto"/>
              </w:rPr>
              <w:t>Earning before income taxes</w:t>
            </w:r>
          </w:p>
        </w:tc>
        <w:tc>
          <w:tcPr>
            <w:tcW w:w="19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60.2</w:t>
            </w:r>
          </w:p>
        </w:tc>
        <w:tc>
          <w:tcPr>
            <w:tcW w:w="12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11.7</w:t>
            </w:r>
          </w:p>
        </w:tc>
        <w:tc>
          <w:tcPr>
            <w:tcW w:w="12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53.9</w:t>
            </w:r>
          </w:p>
        </w:tc>
        <w:tc>
          <w:tcPr>
            <w:tcW w:w="128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54.0</w:t>
            </w:r>
          </w:p>
        </w:tc>
      </w:tr>
      <w:tr>
        <w:trPr>
          <w:trHeight w:val="159"/>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9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23.8</w:t>
            </w:r>
          </w:p>
        </w:tc>
        <w:tc>
          <w:tcPr>
            <w:tcW w:w="12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10.7</w:t>
            </w:r>
          </w:p>
        </w:tc>
        <w:tc>
          <w:tcPr>
            <w:tcW w:w="12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21.5</w:t>
            </w:r>
          </w:p>
        </w:tc>
        <w:tc>
          <w:tcPr>
            <w:tcW w:w="128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bl>
    <w:p>
      <w:pPr>
        <w:spacing w:after="0"/>
        <w:rPr>
          <w:sz w:val="20"/>
          <w:szCs w:val="20"/>
          <w:color w:val="auto"/>
        </w:rPr>
      </w:pPr>
      <w:r>
        <w:rPr>
          <w:rFonts w:ascii="Courier New" w:cs="Courier New" w:eastAsia="Courier New" w:hAnsi="Courier New"/>
          <w:sz w:val="14"/>
          <w:szCs w:val="14"/>
          <w:color w:val="auto"/>
        </w:rPr>
        <w:t>- - - - -----------------------------------------------------------------------------------------------------------------------------</w:t>
      </w:r>
    </w:p>
    <w:p>
      <w:pPr>
        <w:ind w:left="340"/>
        <w:spacing w:after="0"/>
        <w:tabs>
          <w:tab w:leader="none" w:pos="4760" w:val="left"/>
          <w:tab w:leader="none" w:pos="6160" w:val="left"/>
          <w:tab w:leader="none" w:pos="7240" w:val="left"/>
          <w:tab w:leader="none" w:pos="8880" w:val="left"/>
          <w:tab w:leader="none" w:pos="9720" w:val="left"/>
        </w:tabs>
        <w:rPr>
          <w:sz w:val="20"/>
          <w:szCs w:val="20"/>
          <w:color w:val="auto"/>
        </w:rPr>
      </w:pPr>
      <w:r>
        <w:rPr>
          <w:rFonts w:ascii="Courier New" w:cs="Courier New" w:eastAsia="Courier New" w:hAnsi="Courier New"/>
          <w:sz w:val="14"/>
          <w:szCs w:val="14"/>
          <w:color w:val="auto"/>
        </w:rPr>
        <w:t>Net earnings</w:t>
      </w:r>
      <w:r>
        <w:rPr>
          <w:sz w:val="20"/>
          <w:szCs w:val="20"/>
          <w:color w:val="auto"/>
        </w:rPr>
        <w:tab/>
      </w:r>
      <w:r>
        <w:rPr>
          <w:rFonts w:ascii="Courier New" w:cs="Courier New" w:eastAsia="Courier New" w:hAnsi="Courier New"/>
          <w:sz w:val="14"/>
          <w:szCs w:val="14"/>
          <w:color w:val="auto"/>
        </w:rPr>
        <w:t>$ 36.4</w:t>
      </w:r>
      <w:r>
        <w:rPr>
          <w:sz w:val="20"/>
          <w:szCs w:val="20"/>
          <w:color w:val="auto"/>
        </w:rPr>
        <w:tab/>
      </w:r>
      <w:r>
        <w:rPr>
          <w:rFonts w:ascii="Courier New" w:cs="Courier New" w:eastAsia="Courier New" w:hAnsi="Courier New"/>
          <w:sz w:val="14"/>
          <w:szCs w:val="14"/>
          <w:color w:val="auto"/>
        </w:rPr>
        <w:t>12.3%</w:t>
      </w:r>
      <w:r>
        <w:rPr>
          <w:sz w:val="20"/>
          <w:szCs w:val="20"/>
          <w:color w:val="auto"/>
        </w:rPr>
        <w:tab/>
      </w:r>
      <w:r>
        <w:rPr>
          <w:rFonts w:ascii="Courier New" w:cs="Courier New" w:eastAsia="Courier New" w:hAnsi="Courier New"/>
          <w:sz w:val="14"/>
          <w:szCs w:val="14"/>
          <w:color w:val="auto"/>
        </w:rPr>
        <w:t>$ 32.4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$ 32.4</w:t>
      </w:r>
    </w:p>
    <w:p>
      <w:pPr>
        <w:ind w:left="160" w:hanging="155"/>
        <w:spacing w:after="0"/>
        <w:tabs>
          <w:tab w:leader="none" w:pos="1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tbl>
      <w:tblPr>
        <w:tblLayout w:type="fixed"/>
        <w:tblInd w:w="340" w:type="dxa"/>
        <w:tblCellMar>
          <w:top w:w="0" w:type="dxa"/>
          <w:left w:w="0" w:type="dxa"/>
          <w:bottom w:w="0" w:type="dxa"/>
          <w:right w:w="0" w:type="dxa"/>
        </w:tblCellMar>
      </w:tblPr>
      <w:tr>
        <w:trPr>
          <w:trHeight w:val="159"/>
        </w:trPr>
        <w:tc>
          <w:tcPr>
            <w:tcW w:w="334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206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$ 2.90</w:t>
            </w:r>
          </w:p>
        </w:tc>
        <w:tc>
          <w:tcPr>
            <w:tcW w:w="12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16.0%</w:t>
            </w:r>
          </w:p>
        </w:tc>
        <w:tc>
          <w:tcPr>
            <w:tcW w:w="130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$ 2.50</w:t>
            </w:r>
          </w:p>
        </w:tc>
        <w:tc>
          <w:tcPr>
            <w:tcW w:w="12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bl>
    <w:p>
      <w:pPr>
        <w:ind w:left="160" w:hanging="155"/>
        <w:spacing w:after="0"/>
        <w:tabs>
          <w:tab w:leader="none" w:pos="1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BY PRODUCT LINE</w:t>
      </w:r>
    </w:p>
    <w:p>
      <w:pPr>
        <w:ind w:left="160" w:hanging="155"/>
        <w:spacing w:after="0"/>
        <w:tabs>
          <w:tab w:leader="none" w:pos="1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ind w:left="160" w:hanging="155"/>
        <w:spacing w:after="0"/>
        <w:tabs>
          <w:tab w:leader="none" w:pos="1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9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$461.0</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(1.3)%</w:t>
            </w:r>
          </w:p>
        </w:tc>
        <w:tc>
          <w:tcPr>
            <w:tcW w:w="12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$467.2</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$476.2</w:t>
            </w:r>
          </w:p>
        </w:tc>
      </w:t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9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322.0</w:t>
            </w:r>
          </w:p>
        </w:tc>
        <w:tc>
          <w:tcPr>
            <w:tcW w:w="12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3.6</w:t>
            </w:r>
          </w:p>
        </w:tc>
        <w:tc>
          <w:tcPr>
            <w:tcW w:w="12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310.8</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262.3</w:t>
            </w:r>
          </w:p>
        </w:tc>
      </w:t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9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147.9</w:t>
            </w:r>
          </w:p>
        </w:tc>
        <w:tc>
          <w:tcPr>
            <w:tcW w:w="12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4.6</w:t>
            </w:r>
          </w:p>
        </w:tc>
        <w:tc>
          <w:tcPr>
            <w:tcW w:w="12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141.4</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125.8</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340" w:type="dxa"/>
        <w:tblCellMar>
          <w:top w:w="0" w:type="dxa"/>
          <w:left w:w="0" w:type="dxa"/>
          <w:bottom w:w="0" w:type="dxa"/>
          <w:right w:w="0" w:type="dxa"/>
        </w:tblCellMar>
      </w:tblPr>
      <w:tr>
        <w:trPr>
          <w:trHeight w:val="159"/>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9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$930.9</w:t>
            </w:r>
          </w:p>
        </w:tc>
        <w:tc>
          <w:tcPr>
            <w:tcW w:w="11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1.3%</w:t>
            </w:r>
          </w:p>
        </w:tc>
        <w:tc>
          <w:tcPr>
            <w:tcW w:w="12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$919.4</w:t>
            </w:r>
          </w:p>
        </w:tc>
        <w:tc>
          <w:tcPr>
            <w:tcW w:w="116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bl>
    <w:p>
      <w:pPr>
        <w:ind w:left="160" w:hanging="155"/>
        <w:spacing w:after="0"/>
        <w:tabs>
          <w:tab w:leader="none" w:pos="1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202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$174.2</w:t>
            </w:r>
          </w:p>
        </w:tc>
        <w:tc>
          <w:tcPr>
            <w:tcW w:w="12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16.4%</w:t>
            </w:r>
          </w:p>
        </w:tc>
        <w:tc>
          <w:tcPr>
            <w:tcW w:w="12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$149.6</w:t>
            </w:r>
          </w:p>
        </w:tc>
        <w:tc>
          <w:tcPr>
            <w:tcW w:w="116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$140.7</w:t>
            </w:r>
          </w:p>
        </w:tc>
      </w:tr>
    </w:tbl>
    <w:p>
      <w:pPr>
        <w:ind w:left="160" w:hanging="155"/>
        <w:spacing w:after="0"/>
        <w:tabs>
          <w:tab w:leader="none" w:pos="1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80"/>
          </w:cols>
          <w:pgMar w:left="220" w:top="592" w:right="299"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In fiscal 1996, net earnings increased by $4.0 million to $36.4 million from</w:t>
      </w:r>
    </w:p>
    <w:p>
      <w:pPr>
        <w:spacing w:after="0" w:line="4" w:lineRule="exact"/>
        <w:rPr>
          <w:sz w:val="20"/>
          <w:szCs w:val="20"/>
          <w:color w:val="auto"/>
        </w:rPr>
      </w:pPr>
    </w:p>
    <w:p>
      <w:pPr>
        <w:jc w:val="both"/>
        <w:ind w:right="3799"/>
        <w:spacing w:after="0" w:line="237" w:lineRule="auto"/>
        <w:rPr>
          <w:sz w:val="20"/>
          <w:szCs w:val="20"/>
          <w:color w:val="auto"/>
        </w:rPr>
      </w:pPr>
      <w:r>
        <w:rPr>
          <w:rFonts w:ascii="Courier New" w:cs="Courier New" w:eastAsia="Courier New" w:hAnsi="Courier New"/>
          <w:sz w:val="14"/>
          <w:szCs w:val="14"/>
          <w:color w:val="auto"/>
        </w:rPr>
        <w:t>$32.4 million in the prior fiscal year. Worldwide net sales increased by $11.5 million to $930.9 million in 1996 versus $919.4 million in 1995. The following is a discussion of the sales by product group:</w:t>
      </w:r>
    </w:p>
    <w:p>
      <w:pPr>
        <w:spacing w:after="0" w:line="16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CONSUMER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consumer product sales in 1996 fell by 1.3% to $461.0 million from</w:t>
      </w:r>
    </w:p>
    <w:p>
      <w:pPr>
        <w:spacing w:after="0" w:line="4"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For the year, snowthrower sales were up 31.0%, primarily the result of sales volume increases. International sales included in the worldwide consumer totals declined by 1% from the prior year. Walk behind mower sales were lower, but this decline was partially offset by strong riding product sales.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5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COMMERCIAL</w:t>
      </w:r>
    </w:p>
    <w:p>
      <w:pPr>
        <w:spacing w:after="0" w:line="163" w:lineRule="exact"/>
        <w:rPr>
          <w:sz w:val="20"/>
          <w:szCs w:val="20"/>
          <w:color w:val="auto"/>
        </w:rPr>
      </w:pPr>
    </w:p>
    <w:p>
      <w:pPr>
        <w:ind w:right="3799"/>
        <w:spacing w:after="0" w:line="260" w:lineRule="auto"/>
        <w:rPr>
          <w:sz w:val="20"/>
          <w:szCs w:val="20"/>
          <w:color w:val="auto"/>
        </w:rPr>
      </w:pPr>
      <w:r>
        <w:rPr>
          <w:rFonts w:ascii="Courier New" w:cs="Courier New" w:eastAsia="Courier New" w:hAnsi="Courier New"/>
          <w:sz w:val="13"/>
          <w:szCs w:val="13"/>
          <w:color w:val="auto"/>
        </w:rPr>
        <w:t>Worldwide commercial product sales increased $11.2 million or 3.6% over the prior year to $322.0 million. International sales were strong, up 30.4%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competitive actions among the major equipment manufacturers.</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5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IRRIGATION</w:t>
      </w:r>
    </w:p>
    <w:p>
      <w:pPr>
        <w:spacing w:after="0" w:line="163"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Worldwide irrigation sales totaled $147.9 million representing an increase of $6.5 million or 4.6% over the prior year. International irrigation sales were strong, up 15.3% from the prior year, fueled by strong golf market sales. This was partially offset by lower sales to the residential/commercial markets which were impacted by the cold, wet spring.</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5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INTERNATIONAL MARKETS</w:t>
      </w:r>
    </w:p>
    <w:p>
      <w:pPr>
        <w:spacing w:after="0" w:line="163"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Total international sales, included in the preceding net sales table, increased by 16.4% over the previous year to $174.2 million. This was primarily the result of increased sales volumes in the European and Asian golf markets. International sales are principally denominated in U.S. dollars; however, a portion of the company's international sales are denominated in foreign currencies. To reduce the uncertainty of foreign currency exchange rate movements on these sales commitments, the company enters into foreign exchange and range forward contracts. See Note 11 to the Consolidated Financial Statements.</w:t>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4" w:lineRule="exact"/>
        <w:rPr>
          <w:sz w:val="20"/>
          <w:szCs w:val="20"/>
          <w:color w:val="auto"/>
        </w:rPr>
      </w:pPr>
    </w:p>
    <w:p>
      <w:pPr>
        <w:ind w:left="160" w:hanging="155"/>
        <w:spacing w:after="0"/>
        <w:tabs>
          <w:tab w:leader="none" w:pos="160"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jc w:val="both"/>
        <w:ind w:left="3380" w:right="3879"/>
        <w:spacing w:after="0" w:line="236"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YEAR ENDED Year Ended Year Ended OCTOBER 31 October 31 October 28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Margins (Percent of net sales)</w:t>
            </w:r>
          </w:p>
        </w:tc>
        <w:tc>
          <w:tcPr>
            <w:tcW w:w="14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1996</w:t>
            </w:r>
          </w:p>
        </w:tc>
        <w:tc>
          <w:tcPr>
            <w:tcW w:w="10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0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36.7%</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0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6.8</w:t>
            </w:r>
          </w:p>
        </w:tc>
        <w:tc>
          <w:tcPr>
            <w:tcW w:w="10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6.3</w:t>
            </w:r>
          </w:p>
        </w:tc>
        <w:tc>
          <w:tcPr>
            <w:tcW w:w="7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6.8</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0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6.5</w:t>
            </w:r>
          </w:p>
        </w:tc>
        <w:tc>
          <w:tcPr>
            <w:tcW w:w="10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5.9</w:t>
            </w:r>
          </w:p>
        </w:tc>
        <w:tc>
          <w:tcPr>
            <w:tcW w:w="7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6.2</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0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3.9</w:t>
            </w:r>
          </w:p>
        </w:tc>
        <w:tc>
          <w:tcPr>
            <w:tcW w:w="10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879" w:firstLine="330"/>
        <w:spacing w:after="0" w:line="239" w:lineRule="auto"/>
        <w:rPr>
          <w:sz w:val="20"/>
          <w:szCs w:val="20"/>
          <w:color w:val="auto"/>
        </w:rPr>
      </w:pPr>
      <w:r>
        <w:rPr>
          <w:rFonts w:ascii="Courier New" w:cs="Courier New" w:eastAsia="Courier New" w:hAnsi="Courier New"/>
          <w:sz w:val="14"/>
          <w:szCs w:val="14"/>
          <w:color w:val="auto"/>
        </w:rPr>
        <w:t>The gross profit of $341.7 million represents an $11.5 million or 3.5% increase over the gross profit of $330.2 million in 1995. As a percent of net sales, gross profit rose to 36.7% from 35.9% in the prior year. The percentage margin improvement resulted primarily from reduced production costs, notably materials and product mix. This improvement was offset partially by costs resulting from lowered production levels in selected plants to match market needs.</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592" w:right="1440" w:bottom="1440" w:gutter="0" w:footer="0" w:header="0"/>
        </w:sectPr>
      </w:pPr>
    </w:p>
    <w:bookmarkStart w:id="79" w:name="page80"/>
    <w:bookmarkEnd w:id="79"/>
    <w:p>
      <w:pPr>
        <w:ind w:right="3879" w:firstLine="330"/>
        <w:spacing w:after="0" w:line="238" w:lineRule="auto"/>
        <w:rPr>
          <w:sz w:val="20"/>
          <w:szCs w:val="20"/>
          <w:color w:val="auto"/>
        </w:rPr>
      </w:pPr>
      <w:r>
        <w:rPr>
          <w:rFonts w:ascii="Courier New" w:cs="Courier New" w:eastAsia="Courier New" w:hAnsi="Courier New"/>
          <w:sz w:val="14"/>
          <w:szCs w:val="14"/>
          <w:color w:val="auto"/>
        </w:rPr>
        <w:t>Operating profit rose to $63.4 million or 6.8% of net sales, from $58.1 million or 6.3% of net sales in 1995. The improvement in operating profit resulted from an increase in gross profit margins of $11.5 million, partially offset by a $6.2 million increase in SG&amp;A expenses.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321" w:lineRule="exact"/>
        <w:rPr>
          <w:sz w:val="20"/>
          <w:szCs w:val="20"/>
          <w:color w:val="auto"/>
        </w:rPr>
      </w:pPr>
    </w:p>
    <w:p>
      <w:pPr>
        <w:ind w:left="160" w:hanging="155"/>
        <w:spacing w:after="0"/>
        <w:tabs>
          <w:tab w:leader="none" w:pos="16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00" w:type="dxa"/>
            <w:vAlign w:val="bottom"/>
          </w:tcPr>
          <w:p>
            <w:pPr>
              <w:spacing w:after="0"/>
              <w:rPr>
                <w:sz w:val="13"/>
                <w:szCs w:val="13"/>
                <w:color w:val="auto"/>
              </w:rPr>
            </w:pPr>
          </w:p>
        </w:tc>
        <w:tc>
          <w:tcPr>
            <w:tcW w:w="100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7"/>
              </w:rPr>
              <w:t>YEAR ENDED</w:t>
            </w:r>
          </w:p>
        </w:tc>
        <w:tc>
          <w:tcPr>
            <w:tcW w:w="1020" w:type="dxa"/>
            <w:vAlign w:val="bottom"/>
          </w:tcPr>
          <w:p>
            <w:pPr>
              <w:spacing w:after="0"/>
              <w:rPr>
                <w:sz w:val="13"/>
                <w:szCs w:val="13"/>
                <w:color w:val="auto"/>
              </w:rPr>
            </w:pPr>
          </w:p>
        </w:tc>
        <w:tc>
          <w:tcPr>
            <w:tcW w:w="11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spacing w:after="0"/>
              <w:rPr>
                <w:sz w:val="13"/>
                <w:szCs w:val="13"/>
                <w:color w:val="auto"/>
              </w:rPr>
            </w:pPr>
          </w:p>
        </w:tc>
        <w:tc>
          <w:tcPr>
            <w:tcW w:w="11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Year Ended</w:t>
            </w:r>
          </w:p>
        </w:tc>
        <w:tc>
          <w:tcPr>
            <w:tcW w:w="920" w:type="dxa"/>
            <w:vAlign w:val="bottom"/>
          </w:tcPr>
          <w:p>
            <w:pPr>
              <w:spacing w:after="0"/>
              <w:rPr>
                <w:sz w:val="13"/>
                <w:szCs w:val="13"/>
                <w:color w:val="auto"/>
              </w:rPr>
            </w:pPr>
          </w:p>
        </w:tc>
      </w:tr>
      <w:tr>
        <w:trPr>
          <w:trHeight w:val="159"/>
        </w:trPr>
        <w:tc>
          <w:tcPr>
            <w:tcW w:w="2800" w:type="dxa"/>
            <w:vAlign w:val="bottom"/>
          </w:tcPr>
          <w:p>
            <w:pPr>
              <w:spacing w:after="0"/>
              <w:rPr>
                <w:sz w:val="13"/>
                <w:szCs w:val="13"/>
                <w:color w:val="auto"/>
              </w:rPr>
            </w:pPr>
          </w:p>
        </w:tc>
        <w:tc>
          <w:tcPr>
            <w:tcW w:w="1000" w:type="dxa"/>
            <w:vAlign w:val="bottom"/>
          </w:tcPr>
          <w:p>
            <w:pPr>
              <w:jc w:val="right"/>
              <w:ind w:right="91"/>
              <w:spacing w:after="0"/>
              <w:rPr>
                <w:sz w:val="20"/>
                <w:szCs w:val="20"/>
                <w:color w:val="auto"/>
              </w:rPr>
            </w:pPr>
            <w:r>
              <w:rPr>
                <w:rFonts w:ascii="Courier New" w:cs="Courier New" w:eastAsia="Courier New" w:hAnsi="Courier New"/>
                <w:sz w:val="14"/>
                <w:szCs w:val="14"/>
                <w:color w:val="auto"/>
                <w:w w:val="97"/>
              </w:rPr>
              <w:t>OCTOBER 31</w:t>
            </w:r>
          </w:p>
        </w:tc>
        <w:tc>
          <w:tcPr>
            <w:tcW w:w="10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OF</w:t>
            </w:r>
          </w:p>
        </w:tc>
        <w:tc>
          <w:tcPr>
            <w:tcW w:w="11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October 31</w:t>
            </w:r>
          </w:p>
        </w:tc>
        <w:tc>
          <w:tcPr>
            <w:tcW w:w="1040" w:type="dxa"/>
            <w:vAlign w:val="bottom"/>
          </w:tcPr>
          <w:p>
            <w:pPr>
              <w:jc w:val="right"/>
              <w:ind w:right="71"/>
              <w:spacing w:after="0"/>
              <w:rPr>
                <w:sz w:val="20"/>
                <w:szCs w:val="20"/>
                <w:color w:val="auto"/>
              </w:rPr>
            </w:pPr>
            <w:r>
              <w:rPr>
                <w:rFonts w:ascii="Courier New" w:cs="Courier New" w:eastAsia="Courier New" w:hAnsi="Courier New"/>
                <w:sz w:val="14"/>
                <w:szCs w:val="14"/>
                <w:color w:val="auto"/>
              </w:rPr>
              <w:t>% of</w:t>
            </w:r>
          </w:p>
        </w:tc>
        <w:tc>
          <w:tcPr>
            <w:tcW w:w="11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October 28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59"/>
        </w:trPr>
        <w:tc>
          <w:tcPr>
            <w:tcW w:w="2800" w:type="dxa"/>
            <w:vAlign w:val="bottom"/>
          </w:tcPr>
          <w:p>
            <w:pPr>
              <w:spacing w:after="0"/>
              <w:rPr>
                <w:sz w:val="20"/>
                <w:szCs w:val="20"/>
                <w:color w:val="auto"/>
              </w:rPr>
            </w:pPr>
            <w:r>
              <w:rPr>
                <w:rFonts w:ascii="Courier New" w:cs="Courier New" w:eastAsia="Courier New" w:hAnsi="Courier New"/>
                <w:sz w:val="14"/>
                <w:szCs w:val="14"/>
                <w:color w:val="auto"/>
                <w:w w:val="97"/>
              </w:rPr>
              <w:t>SG&amp;A Expense (Dollars in millions)</w:t>
            </w:r>
          </w:p>
        </w:tc>
        <w:tc>
          <w:tcPr>
            <w:tcW w:w="10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51"/>
              <w:spacing w:after="0"/>
              <w:rPr>
                <w:sz w:val="20"/>
                <w:szCs w:val="20"/>
                <w:color w:val="auto"/>
              </w:rPr>
            </w:pPr>
            <w:r>
              <w:rPr>
                <w:rFonts w:ascii="Courier New" w:cs="Courier New" w:eastAsia="Courier New" w:hAnsi="Courier New"/>
                <w:sz w:val="14"/>
                <w:szCs w:val="14"/>
                <w:color w:val="auto"/>
              </w:rPr>
              <w:t>NET SALES</w:t>
            </w:r>
          </w:p>
        </w:tc>
        <w:tc>
          <w:tcPr>
            <w:tcW w:w="11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71"/>
              <w:spacing w:after="0"/>
              <w:rPr>
                <w:sz w:val="20"/>
                <w:szCs w:val="20"/>
                <w:color w:val="auto"/>
              </w:rPr>
            </w:pPr>
            <w:r>
              <w:rPr>
                <w:rFonts w:ascii="Courier New" w:cs="Courier New" w:eastAsia="Courier New" w:hAnsi="Courier New"/>
                <w:sz w:val="14"/>
                <w:szCs w:val="14"/>
                <w:color w:val="auto"/>
              </w:rPr>
              <w:t>Net Sales</w:t>
            </w:r>
          </w:p>
        </w:tc>
        <w:tc>
          <w:tcPr>
            <w:tcW w:w="11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  97.5</w:t>
            </w:r>
          </w:p>
        </w:tc>
        <w:tc>
          <w:tcPr>
            <w:tcW w:w="100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10.5%</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  92.7</w:t>
            </w:r>
          </w:p>
        </w:tc>
        <w:tc>
          <w:tcPr>
            <w:tcW w:w="10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10.1%</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  82.6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87.5</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9.4</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89.0</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9.7</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90.8</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10.5</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28.5</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3.0</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31.9</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3.5</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30.0</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3.5</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10.3</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1.1</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9.9</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9.0</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31.3</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3.4</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27.4</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2.9</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25.0</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2.9</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15.2</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1.6</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14.7</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12.2</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3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8.0</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0.9</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6.5</w:t>
            </w:r>
          </w:p>
        </w:tc>
        <w:tc>
          <w:tcPr>
            <w:tcW w:w="10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0.7</w:t>
            </w:r>
          </w:p>
        </w:tc>
        <w:tc>
          <w:tcPr>
            <w:tcW w:w="11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6.0</w:t>
            </w:r>
          </w:p>
        </w:tc>
        <w:tc>
          <w:tcPr>
            <w:tcW w:w="7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ind w:right="339"/>
        <w:spacing w:after="0" w:line="236" w:lineRule="auto"/>
        <w:rPr>
          <w:sz w:val="20"/>
          <w:szCs w:val="20"/>
          <w:color w:val="auto"/>
        </w:rPr>
      </w:pPr>
      <w:r>
        <w:rPr>
          <w:rFonts w:ascii="Courier New" w:cs="Courier New" w:eastAsia="Courier New" w:hAnsi="Courier New"/>
          <w:sz w:val="14"/>
          <w:szCs w:val="14"/>
          <w:color w:val="auto"/>
        </w:rPr>
        <w:t>- - - - ---------------------------------------------------------------------------------------------------------------- Total $278.3 29.9% $272.1 29.6% $255.6 29.6%</w:t>
      </w:r>
    </w:p>
    <w:p>
      <w:pPr>
        <w:spacing w:after="0" w:line="5" w:lineRule="exact"/>
        <w:rPr>
          <w:sz w:val="20"/>
          <w:szCs w:val="20"/>
          <w:color w:val="auto"/>
        </w:rPr>
      </w:pPr>
    </w:p>
    <w:p>
      <w:pPr>
        <w:ind w:left="160" w:hanging="155"/>
        <w:spacing w:after="0"/>
        <w:tabs>
          <w:tab w:leader="none" w:pos="160"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7" w:lineRule="exact"/>
        <w:rPr>
          <w:sz w:val="20"/>
          <w:szCs w:val="20"/>
          <w:color w:val="auto"/>
        </w:rPr>
      </w:pPr>
    </w:p>
    <w:p>
      <w:pPr>
        <w:ind w:right="4299" w:firstLine="330"/>
        <w:spacing w:after="0" w:line="236" w:lineRule="auto"/>
        <w:rPr>
          <w:sz w:val="20"/>
          <w:szCs w:val="20"/>
          <w:color w:val="auto"/>
        </w:rPr>
      </w:pPr>
      <w:r>
        <w:rPr>
          <w:rFonts w:ascii="Courier New" w:cs="Courier New" w:eastAsia="Courier New" w:hAnsi="Courier New"/>
          <w:sz w:val="14"/>
          <w:szCs w:val="14"/>
          <w:color w:val="auto"/>
        </w:rPr>
        <w:t>For 1996, SG&amp;A expenses totaled $278.3 million or 29.9% of net sales compared to $272.1 million or 29.6% of net sales in 1995.</w:t>
      </w:r>
    </w:p>
    <w:p>
      <w:pPr>
        <w:spacing w:after="0" w:line="5" w:lineRule="exact"/>
        <w:rPr>
          <w:sz w:val="20"/>
          <w:szCs w:val="20"/>
          <w:color w:val="auto"/>
        </w:rPr>
      </w:pPr>
    </w:p>
    <w:p>
      <w:pPr>
        <w:ind w:right="3879" w:firstLine="330"/>
        <w:spacing w:after="0" w:line="238" w:lineRule="auto"/>
        <w:rPr>
          <w:sz w:val="20"/>
          <w:szCs w:val="20"/>
          <w:color w:val="auto"/>
        </w:rPr>
      </w:pPr>
      <w:r>
        <w:rPr>
          <w:rFonts w:ascii="Courier New" w:cs="Courier New" w:eastAsia="Courier New" w:hAnsi="Courier New"/>
          <w:sz w:val="14"/>
          <w:szCs w:val="14"/>
          <w:color w:val="auto"/>
        </w:rPr>
        <w:t>The increase in administrative expense of $4.8 million was comprised primarily of additional operating expenses associated with new businesses acquired in 1996. See "Acquisitions and Strategic Alliances included in this MD&amp;A.</w:t>
      </w:r>
    </w:p>
    <w:p>
      <w:pPr>
        <w:spacing w:after="0" w:line="164" w:lineRule="exact"/>
        <w:rPr>
          <w:sz w:val="20"/>
          <w:szCs w:val="20"/>
          <w:color w:val="auto"/>
        </w:rPr>
      </w:pPr>
    </w:p>
    <w:p>
      <w:pPr>
        <w:ind w:right="4059" w:firstLine="330"/>
        <w:spacing w:after="0" w:line="237" w:lineRule="auto"/>
        <w:rPr>
          <w:sz w:val="20"/>
          <w:szCs w:val="20"/>
          <w:color w:val="auto"/>
        </w:rPr>
      </w:pPr>
      <w:r>
        <w:rPr>
          <w:rFonts w:ascii="Courier New" w:cs="Courier New" w:eastAsia="Courier New" w:hAnsi="Courier New"/>
          <w:sz w:val="14"/>
          <w:szCs w:val="14"/>
          <w:color w:val="auto"/>
        </w:rPr>
        <w:t>Sales and marketing expense was down $1.5 million due to reduced direct expenses from the decrease in consumer lawn and garden sales combined with savings from added expense controls.</w:t>
      </w:r>
    </w:p>
    <w:p>
      <w:pPr>
        <w:spacing w:after="0" w:line="164" w:lineRule="exact"/>
        <w:rPr>
          <w:sz w:val="20"/>
          <w:szCs w:val="20"/>
          <w:color w:val="auto"/>
        </w:rPr>
      </w:pPr>
    </w:p>
    <w:p>
      <w:pPr>
        <w:ind w:right="3879" w:firstLine="330"/>
        <w:spacing w:after="0" w:line="237" w:lineRule="auto"/>
        <w:rPr>
          <w:sz w:val="20"/>
          <w:szCs w:val="20"/>
          <w:color w:val="auto"/>
        </w:rPr>
      </w:pPr>
      <w:r>
        <w:rPr>
          <w:rFonts w:ascii="Courier New" w:cs="Courier New" w:eastAsia="Courier New" w:hAnsi="Courier New"/>
          <w:sz w:val="14"/>
          <w:szCs w:val="14"/>
          <w:color w:val="auto"/>
        </w:rPr>
        <w:t>Warranty expense was down $3.4 million from the prior year as a result of lower warranty reserve requirements due to continuing product quality improvements and experience factors.</w:t>
      </w:r>
    </w:p>
    <w:p>
      <w:pPr>
        <w:spacing w:after="0" w:line="164" w:lineRule="exact"/>
        <w:rPr>
          <w:sz w:val="20"/>
          <w:szCs w:val="20"/>
          <w:color w:val="auto"/>
        </w:rPr>
      </w:pPr>
    </w:p>
    <w:p>
      <w:pPr>
        <w:ind w:right="3719" w:firstLine="330"/>
        <w:spacing w:after="0" w:line="260" w:lineRule="auto"/>
        <w:rPr>
          <w:sz w:val="20"/>
          <w:szCs w:val="20"/>
          <w:color w:val="auto"/>
        </w:rPr>
      </w:pPr>
      <w:r>
        <w:rPr>
          <w:rFonts w:ascii="Courier New" w:cs="Courier New" w:eastAsia="Courier New" w:hAnsi="Courier New"/>
          <w:sz w:val="13"/>
          <w:szCs w:val="13"/>
          <w:color w:val="auto"/>
        </w:rPr>
        <w:t>Distribution/dealer financing expense increased by $0.4 million and was flat as a percent of sales. Distributor/dealer financing expense represents the cost incurred by the company to contract with a third party financing source to finance dealer inventory purchases. The $10.3 million charge reflected in SG&amp;A expense represents credit facility origination costs and interest charged for a pre-established length of time. Interest is charged at market rates based on prime plus a negotiated markup. These financing arrangements are used by the company as a marketing tool to enable customers to buy inventory.</w:t>
      </w:r>
    </w:p>
    <w:p>
      <w:pPr>
        <w:spacing w:after="0" w:line="151" w:lineRule="exact"/>
        <w:rPr>
          <w:sz w:val="20"/>
          <w:szCs w:val="20"/>
          <w:color w:val="auto"/>
        </w:rPr>
      </w:pPr>
    </w:p>
    <w:p>
      <w:pPr>
        <w:ind w:right="3799" w:firstLine="330"/>
        <w:spacing w:after="0" w:line="270" w:lineRule="auto"/>
        <w:rPr>
          <w:sz w:val="20"/>
          <w:szCs w:val="20"/>
          <w:color w:val="auto"/>
        </w:rPr>
      </w:pPr>
      <w:r>
        <w:rPr>
          <w:rFonts w:ascii="Courier New" w:cs="Courier New" w:eastAsia="Courier New" w:hAnsi="Courier New"/>
          <w:sz w:val="13"/>
          <w:szCs w:val="13"/>
          <w:color w:val="auto"/>
        </w:rPr>
        <w:t>Research and development expenditures increased by $3.9 million reflecting the company's commitment to invest in product innovation and development.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63" w:lineRule="exact"/>
        <w:rPr>
          <w:sz w:val="20"/>
          <w:szCs w:val="20"/>
          <w:color w:val="auto"/>
        </w:rPr>
      </w:pPr>
    </w:p>
    <w:p>
      <w:pPr>
        <w:ind w:right="3959" w:firstLine="330"/>
        <w:spacing w:after="0" w:line="236" w:lineRule="auto"/>
        <w:rPr>
          <w:sz w:val="20"/>
          <w:szCs w:val="20"/>
          <w:color w:val="auto"/>
        </w:rPr>
      </w:pPr>
      <w:r>
        <w:rPr>
          <w:rFonts w:ascii="Courier New" w:cs="Courier New" w:eastAsia="Courier New" w:hAnsi="Courier New"/>
          <w:sz w:val="14"/>
          <w:szCs w:val="14"/>
          <w:color w:val="auto"/>
        </w:rPr>
        <w:t>Warehousing expense increased nominally by $0.5 million as the result of warehousing costs for new businesses.</w:t>
      </w:r>
    </w:p>
    <w:p>
      <w:pPr>
        <w:spacing w:after="0" w:line="164" w:lineRule="exact"/>
        <w:rPr>
          <w:sz w:val="20"/>
          <w:szCs w:val="20"/>
          <w:color w:val="auto"/>
        </w:rPr>
      </w:pPr>
    </w:p>
    <w:p>
      <w:pPr>
        <w:ind w:right="3639" w:firstLine="330"/>
        <w:spacing w:after="0" w:line="237" w:lineRule="auto"/>
        <w:rPr>
          <w:sz w:val="20"/>
          <w:szCs w:val="20"/>
          <w:color w:val="auto"/>
        </w:rPr>
      </w:pPr>
      <w:r>
        <w:rPr>
          <w:rFonts w:ascii="Courier New" w:cs="Courier New" w:eastAsia="Courier New" w:hAnsi="Courier New"/>
          <w:sz w:val="14"/>
          <w:szCs w:val="14"/>
          <w:color w:val="auto"/>
        </w:rPr>
        <w:t>Service/quality assurance increased 23.1% from 1995 as a result of additional quality assurance and customer service spending for the company's new ventures.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w:t>
      </w:r>
    </w:p>
    <w:p>
      <w:pPr>
        <w:spacing w:after="0" w:line="5"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purchased $13.3 million of its own common stock during the year which was funded with short-term borrowings. This cash outflow was offset partially by $12.1 million received as a result of an interest rate swap entered into during 1996. The company anticipates a significant increase in interest expense in 1997 as a result of the additional debt associated with the acquisition of James Hardie Irrigation Group. See "Acquisitions and Strategic Alliances" in this MD&amp;A.</w:t>
      </w:r>
    </w:p>
    <w:p>
      <w:pPr>
        <w:spacing w:after="0" w:line="30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596"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OTHER INCOME, NET</w:t>
      </w:r>
    </w:p>
    <w:p>
      <w:pPr>
        <w:spacing w:after="0" w:line="163" w:lineRule="exact"/>
        <w:rPr>
          <w:sz w:val="20"/>
          <w:szCs w:val="20"/>
          <w:color w:val="auto"/>
        </w:rPr>
      </w:pPr>
    </w:p>
    <w:p>
      <w:pPr>
        <w:ind w:right="3639"/>
        <w:spacing w:after="0" w:line="237" w:lineRule="auto"/>
        <w:rPr>
          <w:sz w:val="20"/>
          <w:szCs w:val="20"/>
          <w:color w:val="auto"/>
        </w:rPr>
      </w:pPr>
      <w:r>
        <w:rPr>
          <w:rFonts w:ascii="Courier New" w:cs="Courier New" w:eastAsia="Courier New" w:hAnsi="Courier New"/>
          <w:sz w:val="14"/>
          <w:szCs w:val="14"/>
          <w:color w:val="auto"/>
        </w:rPr>
        <w:t>Other income, net totaled $10.3 million in 1996 versus $7.7 million for 1995. The increase is primarily the result of favorable patent infringement litigation settlements.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163" w:lineRule="exact"/>
        <w:rPr>
          <w:sz w:val="20"/>
          <w:szCs w:val="20"/>
          <w:color w:val="auto"/>
        </w:rPr>
      </w:pPr>
    </w:p>
    <w:p>
      <w:pPr>
        <w:ind w:right="3959"/>
        <w:spacing w:after="0" w:line="239" w:lineRule="auto"/>
        <w:rPr>
          <w:sz w:val="20"/>
          <w:szCs w:val="20"/>
          <w:color w:val="auto"/>
        </w:rPr>
      </w:pPr>
      <w:r>
        <w:rPr>
          <w:rFonts w:ascii="Courier New" w:cs="Courier New" w:eastAsia="Courier New" w:hAnsi="Courier New"/>
          <w:sz w:val="14"/>
          <w:szCs w:val="14"/>
          <w:color w:val="auto"/>
        </w:rPr>
        <w:t>The effective tax rate for 1996 was 39.5% compared to 39.9% in 1995. In accordance with Financial Accounting Standards No. 109, the company has determined that it is not necessary to establish a valuation reserve for the deferred income tax benefit because it is more likely than not that the net deferred income tax benefit of $31.5 million will be principally realized through carry back to taxable income in prior years, future reversals of existing taxable temporary differences, and to a lesser extent, future taxable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Net earnings for 1996 were $36.4 million, representing a 12.3% increase over 1995 earnings of $32.4 million. The increase is primarily the result of improved operating margins. On a per share basis, earnings increased 16% to $2.90 from $2.50 in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Total assets at October 31, 1996 increased by 5.1% to $496.9 million compared to $472.7 million for the prior year. The increase was primarily comprised of a $40.8 million increase in accounts receivable resulting from third and fourth quarter lawn and garden, and snow sales, new business receivables and dealer direct financing. This increase was offset partially by a reduction in cash and cash equivalents and inventories resulting from production management strategies.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Working capital at 1996 year end was $197.1 million which represents an increase of $32.0 million from the $165.1 million reported for 1995. The current ratio for 1996 was 1.95 versus 1.75 in 1995. Working capital as a percent of sales was 21.2% in 1996 and 18.0% for 1995.</w:t>
      </w:r>
    </w:p>
    <w:p>
      <w:pPr>
        <w:spacing w:after="0" w:line="164"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The increase in working capital resulted from the $18.7 million increase in current assets, primarily accounts receivable, which was partially offset by reduced inventories. In addition, current liabilities declined by $13.3 million, due to a combination of a $15.0 million decline in the current portion of long term debt, and a $8.2 million decrease in accounts payable. This was offset partially by a $9.6 million increase in other accrued liabilities, primarily caused by a change in benefit plan year ends which impacted the timing of company payments to these plans.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includes:</w:t>
      </w:r>
    </w:p>
    <w:p>
      <w:pPr>
        <w:spacing w:after="0" w:line="163" w:lineRule="exact"/>
        <w:rPr>
          <w:sz w:val="20"/>
          <w:szCs w:val="20"/>
          <w:color w:val="auto"/>
        </w:rPr>
      </w:pPr>
    </w:p>
    <w:p>
      <w:pPr>
        <w:ind w:right="3299" w:firstLine="5"/>
        <w:spacing w:after="0" w:line="236" w:lineRule="auto"/>
        <w:tabs>
          <w:tab w:leader="none" w:pos="16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$50.0 million of 11% sinking fund debentures, due August 2017 with sinking fund payments due annually August 1998 through August 2017.</w:t>
      </w:r>
    </w:p>
    <w:p>
      <w:pPr>
        <w:spacing w:after="0" w:line="163" w:lineRule="exact"/>
        <w:rPr>
          <w:rFonts w:ascii="Courier New" w:cs="Courier New" w:eastAsia="Courier New" w:hAnsi="Courier New"/>
          <w:sz w:val="14"/>
          <w:szCs w:val="14"/>
          <w:color w:val="auto"/>
        </w:rPr>
      </w:pPr>
    </w:p>
    <w:p>
      <w:pPr>
        <w:ind w:right="2979" w:firstLine="5"/>
        <w:spacing w:after="0" w:line="236" w:lineRule="auto"/>
        <w:tabs>
          <w:tab w:leader="none" w:pos="16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$3.4 million variable rate industrial revenue bond, due June 2004 with sinking fund payments due annually June 1997 through June 2004.</w:t>
      </w:r>
    </w:p>
    <w:p>
      <w:pPr>
        <w:spacing w:after="0" w:line="164" w:lineRule="exact"/>
        <w:rPr>
          <w:sz w:val="20"/>
          <w:szCs w:val="20"/>
          <w:color w:val="auto"/>
        </w:rPr>
      </w:pPr>
    </w:p>
    <w:p>
      <w:pPr>
        <w:ind w:right="3639" w:firstLine="330"/>
        <w:spacing w:after="0" w:line="238" w:lineRule="auto"/>
        <w:rPr>
          <w:sz w:val="20"/>
          <w:szCs w:val="20"/>
          <w:color w:val="auto"/>
        </w:rPr>
      </w:pPr>
      <w:r>
        <w:rPr>
          <w:rFonts w:ascii="Courier New" w:cs="Courier New" w:eastAsia="Courier New" w:hAnsi="Courier New"/>
          <w:sz w:val="14"/>
          <w:szCs w:val="14"/>
          <w:color w:val="auto"/>
        </w:rPr>
        <w:t>Long-term debt at October 31, 1996 was $53.4 million, down $15.3 million from $68.7 million at October 31, 1995. The amount of total long-term debt attributable to Toro Credit Company, the company's consolidated finance subsidiary, was zero at October 31, 1996 compared to $15.0 million at October 31, 1995. Toro Credit Company is now funded by the parent. The company's capital structure is managed on a consolidated basis.</w:t>
      </w: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592" w:right="1440" w:bottom="1440" w:gutter="0" w:footer="0" w:header="0"/>
        </w:sectPr>
      </w:pPr>
    </w:p>
    <w:bookmarkStart w:id="81" w:name="page82"/>
    <w:bookmarkEnd w:id="81"/>
    <w:p>
      <w:pPr>
        <w:ind w:right="3879" w:firstLine="330"/>
        <w:spacing w:after="0" w:line="238" w:lineRule="auto"/>
        <w:rPr>
          <w:sz w:val="20"/>
          <w:szCs w:val="20"/>
          <w:color w:val="auto"/>
        </w:rPr>
      </w:pPr>
      <w:r>
        <w:rPr>
          <w:rFonts w:ascii="Courier New" w:cs="Courier New" w:eastAsia="Courier New" w:hAnsi="Courier New"/>
          <w:sz w:val="14"/>
          <w:szCs w:val="14"/>
          <w:color w:val="auto"/>
        </w:rPr>
        <w:t>Total debt at October 31, 1996 was $94.4 million, down $15.9 million from $110.3 million at October 31, 1995. The total debt to total capital ratio decreased from 36.6% in 1995 to 30.7% in 1996 as the result of decreased long-term debt and an increase in current year earnings.</w:t>
      </w:r>
    </w:p>
    <w:p>
      <w:pPr>
        <w:spacing w:after="0" w:line="164" w:lineRule="exact"/>
        <w:rPr>
          <w:sz w:val="20"/>
          <w:szCs w:val="20"/>
          <w:color w:val="auto"/>
        </w:rPr>
      </w:pPr>
    </w:p>
    <w:p>
      <w:pPr>
        <w:ind w:right="4059" w:firstLine="330"/>
        <w:spacing w:after="0" w:line="237" w:lineRule="auto"/>
        <w:rPr>
          <w:sz w:val="20"/>
          <w:szCs w:val="20"/>
          <w:color w:val="auto"/>
        </w:rPr>
      </w:pPr>
      <w:r>
        <w:rPr>
          <w:rFonts w:ascii="Courier New" w:cs="Courier New" w:eastAsia="Courier New" w:hAnsi="Courier New"/>
          <w:sz w:val="14"/>
          <w:szCs w:val="14"/>
          <w:color w:val="auto"/>
        </w:rPr>
        <w:t>Total capitalization at October 31, 1996 consisted of $53.4 million of long-term debt, $41.0 million of short-term borrowing and $213.6 million of stockholders' equity.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 1996, the company continued to improve its liquidity through cash management strategies which included the continued replacement of long-term debt with short term borrowings at more favorable interest rates, combined with prudent management of inventory levels.</w:t>
      </w:r>
    </w:p>
    <w:p>
      <w:pPr>
        <w:spacing w:after="0" w:line="164" w:lineRule="exact"/>
        <w:rPr>
          <w:sz w:val="20"/>
          <w:szCs w:val="20"/>
          <w:color w:val="auto"/>
        </w:rPr>
      </w:pPr>
    </w:p>
    <w:p>
      <w:pPr>
        <w:ind w:right="3879" w:firstLine="330"/>
        <w:spacing w:after="0" w:line="238"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options, coupled with forecasted cash flows as well as the anticipated issuance of public debt described below will provide the capital resources for its anticipated needs.</w:t>
      </w:r>
    </w:p>
    <w:p>
      <w:pPr>
        <w:spacing w:after="0" w:line="160"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CASH FLOW</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Cash and cash equivalents declined by $7.6 million from 1995 to 1996. This decline in cash was primarily driven by repayment of debt and stock repurchases. At October 31, 1996 the company had $4,908,000 included in trade payables that represented the reclassification of outstanding checks in excess of related bank balances.</w:t>
      </w:r>
    </w:p>
    <w:p>
      <w:pPr>
        <w:spacing w:after="0" w:line="165" w:lineRule="exact"/>
        <w:rPr>
          <w:sz w:val="20"/>
          <w:szCs w:val="20"/>
          <w:color w:val="auto"/>
        </w:rPr>
      </w:pPr>
    </w:p>
    <w:p>
      <w:pPr>
        <w:ind w:right="3639" w:firstLine="330"/>
        <w:spacing w:after="0" w:line="261" w:lineRule="auto"/>
        <w:rPr>
          <w:sz w:val="20"/>
          <w:szCs w:val="20"/>
          <w:color w:val="auto"/>
        </w:rPr>
      </w:pPr>
      <w:r>
        <w:rPr>
          <w:rFonts w:ascii="Courier New" w:cs="Courier New" w:eastAsia="Courier New" w:hAnsi="Courier New"/>
          <w:sz w:val="13"/>
          <w:szCs w:val="13"/>
          <w:color w:val="auto"/>
        </w:rPr>
        <w:t>Cash provided by operating activities increased by $12.5 million as a result of a reduction in inventories and increased earnings. This was offset by increased accounts receivable attributed to timing of snowthrower and lawn and garden sales late in the year, expanded dealer direct financing programs through Toro Credit Company, and receivables resulting from Toro's new businesses.</w:t>
      </w:r>
    </w:p>
    <w:p>
      <w:pPr>
        <w:spacing w:after="0" w:line="151" w:lineRule="exact"/>
        <w:rPr>
          <w:sz w:val="20"/>
          <w:szCs w:val="20"/>
          <w:color w:val="auto"/>
        </w:rPr>
      </w:pPr>
    </w:p>
    <w:p>
      <w:pPr>
        <w:ind w:right="3959" w:firstLine="330"/>
        <w:spacing w:after="0" w:line="262" w:lineRule="auto"/>
        <w:rPr>
          <w:sz w:val="20"/>
          <w:szCs w:val="20"/>
          <w:color w:val="auto"/>
        </w:rPr>
      </w:pPr>
      <w:r>
        <w:rPr>
          <w:rFonts w:ascii="Courier New" w:cs="Courier New" w:eastAsia="Courier New" w:hAnsi="Courier New"/>
          <w:sz w:val="13"/>
          <w:szCs w:val="13"/>
          <w:color w:val="auto"/>
        </w:rPr>
        <w:t>Cash used in investing activities declined slightly in 1996 from 1995. Investing activities consisted primarily of initial purchases of tooling components used to manufacture new products and a variety of expenditures to improve and modernize the manufacturing plants and administrative offices.</w:t>
      </w:r>
    </w:p>
    <w:p>
      <w:pPr>
        <w:spacing w:after="0" w:line="150" w:lineRule="exact"/>
        <w:rPr>
          <w:sz w:val="20"/>
          <w:szCs w:val="20"/>
          <w:color w:val="auto"/>
        </w:rPr>
      </w:pPr>
    </w:p>
    <w:p>
      <w:pPr>
        <w:ind w:right="3799" w:firstLine="330"/>
        <w:spacing w:after="0" w:line="261" w:lineRule="auto"/>
        <w:rPr>
          <w:sz w:val="20"/>
          <w:szCs w:val="20"/>
          <w:color w:val="auto"/>
        </w:rPr>
      </w:pPr>
      <w:r>
        <w:rPr>
          <w:rFonts w:ascii="Courier New" w:cs="Courier New" w:eastAsia="Courier New" w:hAnsi="Courier New"/>
          <w:sz w:val="13"/>
          <w:szCs w:val="13"/>
          <w:color w:val="auto"/>
        </w:rPr>
        <w:t>Cash used in financing activities was primarily for retirement of debt and purchases of Toro stock. The company purchased the stock for use in employee benefit plans and for potential acquisitions. The major source of cash from financing activities was cash received from the forward starting interest rate exchange agreement. See Note 3 to the Consolidated Financial Statements.</w:t>
      </w:r>
    </w:p>
    <w:p>
      <w:pPr>
        <w:spacing w:after="0" w:line="14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CREDIT LINES AND OTHER CAPITAL RESOURCES</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The company's seasonal working capital requirements are funded with $194.0 million of unsecured bank credit lines. Average borrowings under these lines were $95.2 million in 1996 and $44.6 million in 1995. The increase in the average borrowings was the result of the reduction in long-term debt, the addition of dealer direct financing through Toro Credit Company, the purchase of the company's stock and the increase in seasonal working capital. At October 31, 1996, the company had $153.0 million of unutilized availability under these credit lines. Subsequent to the year end, the company executed an agreement for an additional $150.0 million unsecured bank credit line expiring in December 1997.</w:t>
      </w:r>
    </w:p>
    <w:p>
      <w:pPr>
        <w:spacing w:after="0" w:line="165"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Additionally, the company's resources included two bankers' acceptance financing agreements totaling $40.0 million. There were no amounts outstanding under these agreements at October 31, 1996 or 1995.</w:t>
      </w:r>
    </w:p>
    <w:p>
      <w:pPr>
        <w:spacing w:after="0" w:line="164" w:lineRule="exact"/>
        <w:rPr>
          <w:sz w:val="20"/>
          <w:szCs w:val="20"/>
          <w:color w:val="auto"/>
        </w:rPr>
      </w:pPr>
    </w:p>
    <w:p>
      <w:pPr>
        <w:ind w:right="3719" w:firstLine="330"/>
        <w:spacing w:after="0" w:line="260" w:lineRule="auto"/>
        <w:rPr>
          <w:sz w:val="20"/>
          <w:szCs w:val="20"/>
          <w:color w:val="auto"/>
        </w:rPr>
      </w:pPr>
      <w:r>
        <w:rPr>
          <w:rFonts w:ascii="Courier New" w:cs="Courier New" w:eastAsia="Courier New" w:hAnsi="Courier New"/>
          <w:sz w:val="13"/>
          <w:szCs w:val="13"/>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seasonal working capital requirements are financed primarily with the short-term financing arrangements described above.</w:t>
      </w:r>
    </w:p>
    <w:p>
      <w:pPr>
        <w:spacing w:after="0" w:line="149"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ACQUISITION FINANCING</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 December 1996, the company completed the acquisition of James Hardie Irrigation Group. The purchase price of approximately $119.0 million has been initially financed with temporary bank debt. The company intends to file a shelf registration for public debt to facilitate the issuance of long-term</w:t>
      </w: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596" w:right="1440" w:bottom="1440" w:gutter="0" w:footer="0" w:header="0"/>
        </w:sectPr>
      </w:pPr>
    </w:p>
    <w:bookmarkStart w:id="82" w:name="page83"/>
    <w:bookmarkEnd w:id="82"/>
    <w:p>
      <w:pPr>
        <w:ind w:right="3799"/>
        <w:spacing w:after="0" w:line="238" w:lineRule="auto"/>
        <w:rPr>
          <w:sz w:val="20"/>
          <w:szCs w:val="20"/>
          <w:color w:val="auto"/>
        </w:rPr>
      </w:pPr>
      <w:r>
        <w:rPr>
          <w:rFonts w:ascii="Courier New" w:cs="Courier New" w:eastAsia="Courier New" w:hAnsi="Courier New"/>
          <w:sz w:val="14"/>
          <w:szCs w:val="14"/>
          <w:color w:val="auto"/>
        </w:rPr>
        <w:t>debt to replace the temporary bank debt. The company also believes that financing is available through other resources. Management believes that the capital resources available under existing arrangements are sufficient to meet the company's needs through fiscal 1997. See "Acquisitions and Strategic Alliances" included in this MD&amp;A.</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63" w:lineRule="exact"/>
        <w:rPr>
          <w:sz w:val="20"/>
          <w:szCs w:val="20"/>
          <w:color w:val="auto"/>
        </w:rPr>
      </w:pPr>
    </w:p>
    <w:p>
      <w:pPr>
        <w:ind w:right="3799"/>
        <w:spacing w:after="0" w:line="237"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STRATEGIC ALLIANCES</w:t>
      </w:r>
    </w:p>
    <w:p>
      <w:pPr>
        <w:spacing w:after="0" w:line="163" w:lineRule="exact"/>
        <w:rPr>
          <w:sz w:val="20"/>
          <w:szCs w:val="20"/>
          <w:color w:val="auto"/>
        </w:rPr>
      </w:pPr>
    </w:p>
    <w:p>
      <w:pPr>
        <w:ind w:right="3639"/>
        <w:spacing w:after="0" w:line="259" w:lineRule="auto"/>
        <w:rPr>
          <w:sz w:val="20"/>
          <w:szCs w:val="20"/>
          <w:color w:val="auto"/>
        </w:rPr>
      </w:pPr>
      <w:r>
        <w:rPr>
          <w:rFonts w:ascii="Courier New" w:cs="Courier New" w:eastAsia="Courier New" w:hAnsi="Courier New"/>
          <w:sz w:val="13"/>
          <w:szCs w:val="13"/>
          <w:color w:val="auto"/>
        </w:rPr>
        <w:t>On December 3, 1996, the company announced that it completed the acquisition of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company intends to file a shelf registration for public debt which would facilitate the issuance of long-term debt to replace the temporary bank debt. The company expects the purchase to have a modest dilutive effect on earnings per share in 1997. JHI is a worldwide leader in the production of irrigation systems to the commercial landscape market. See Note 14 to the Consolidated Financial Statements.</w:t>
      </w:r>
    </w:p>
    <w:p>
      <w:pPr>
        <w:spacing w:after="0" w:line="155" w:lineRule="exact"/>
        <w:rPr>
          <w:sz w:val="20"/>
          <w:szCs w:val="20"/>
          <w:color w:val="auto"/>
        </w:rPr>
      </w:pPr>
    </w:p>
    <w:p>
      <w:pPr>
        <w:ind w:right="3799" w:firstLine="330"/>
        <w:spacing w:after="0" w:line="238" w:lineRule="auto"/>
        <w:rPr>
          <w:sz w:val="20"/>
          <w:szCs w:val="20"/>
          <w:color w:val="auto"/>
        </w:rPr>
      </w:pPr>
      <w:r>
        <w:rPr>
          <w:rFonts w:ascii="Courier New" w:cs="Courier New" w:eastAsia="Courier New" w:hAnsi="Courier New"/>
          <w:sz w:val="14"/>
          <w:szCs w:val="14"/>
          <w:color w:val="auto"/>
        </w:rPr>
        <w:t>In addition, the company completed the acquisitions of Liquid Ag Systems and National Service Network in 1996, and joined Walt Disney Wide World of Sports, Ryobi Outdoor Products, and Maruyama Manufacturing, Inc., in alliances that provide enhanced visibility and expanded product lines into emerging markets such as the landscape contractor business.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The company continued to increase earnings by leveraging a slight sales gain. Strong sales performance in several product categories offset slower performance in others. The increase in net earnings resulted from improvements in operating margin offset partially by added expenses for new businesses and product research and development. In addition, an increase in other income more than offset an increase in interest expense resulting from higher working capital levels during the year. The company strengthened its balance sheet through cash management, inventory strategies and reduced long-term debt.</w:t>
      </w:r>
    </w:p>
    <w:p>
      <w:pPr>
        <w:spacing w:after="0" w:line="159"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4"/>
          <w:szCs w:val="14"/>
          <w:color w:val="auto"/>
        </w:rPr>
        <w:t>CONSOLIDATED STATEMENTS OF EARNINGS</w:t>
      </w:r>
      <w:r>
        <w:rPr>
          <w:sz w:val="20"/>
          <w:szCs w:val="20"/>
          <w:color w:val="auto"/>
        </w:rPr>
        <w:tab/>
      </w:r>
      <w:r>
        <w:rPr>
          <w:rFonts w:ascii="Courier New" w:cs="Courier New" w:eastAsia="Courier New" w:hAnsi="Courier New"/>
          <w:sz w:val="13"/>
          <w:szCs w:val="13"/>
          <w:color w:val="auto"/>
        </w:rPr>
        <w:t>The Toro Company</w:t>
      </w:r>
    </w:p>
    <w:p>
      <w:pPr>
        <w:spacing w:after="0" w:line="321" w:lineRule="exact"/>
        <w:rPr>
          <w:sz w:val="20"/>
          <w:szCs w:val="20"/>
          <w:color w:val="auto"/>
        </w:rPr>
      </w:pPr>
    </w:p>
    <w:p>
      <w:pPr>
        <w:ind w:left="160" w:hanging="155"/>
        <w:spacing w:after="0"/>
        <w:tabs>
          <w:tab w:leader="none" w:pos="160"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80" w:type="dxa"/>
            <w:vAlign w:val="bottom"/>
          </w:tcPr>
          <w:p>
            <w:pPr>
              <w:spacing w:after="0"/>
              <w:rPr>
                <w:sz w:val="13"/>
                <w:szCs w:val="13"/>
                <w:color w:val="auto"/>
              </w:rPr>
            </w:pPr>
          </w:p>
        </w:tc>
        <w:tc>
          <w:tcPr>
            <w:tcW w:w="14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YEAR ENDED</w:t>
            </w:r>
          </w:p>
        </w:tc>
        <w:tc>
          <w:tcPr>
            <w:tcW w:w="12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4080" w:type="dxa"/>
            <w:vAlign w:val="bottom"/>
          </w:tcPr>
          <w:p>
            <w:pPr>
              <w:spacing w:after="0"/>
              <w:rPr>
                <w:sz w:val="13"/>
                <w:szCs w:val="13"/>
                <w:color w:val="auto"/>
              </w:rPr>
            </w:pPr>
          </w:p>
        </w:tc>
        <w:tc>
          <w:tcPr>
            <w:tcW w:w="14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OCTOBER 31</w:t>
            </w:r>
          </w:p>
        </w:tc>
        <w:tc>
          <w:tcPr>
            <w:tcW w:w="12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October 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4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1996</w:t>
            </w:r>
          </w:p>
        </w:tc>
        <w:tc>
          <w:tcPr>
            <w:tcW w:w="12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7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$930,909</w:t>
            </w:r>
          </w:p>
        </w:tc>
        <w:tc>
          <w:tcPr>
            <w:tcW w:w="12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$919,427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$864,284</w:t>
            </w:r>
          </w:p>
        </w:tc>
      </w:t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7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589,186</w:t>
            </w:r>
          </w:p>
        </w:tc>
        <w:tc>
          <w:tcPr>
            <w:tcW w:w="12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589,211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549,728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60" w:type="dxa"/>
            <w:vAlign w:val="bottom"/>
            <w:gridSpan w:val="4"/>
          </w:tcPr>
          <w:p>
            <w:pPr>
              <w:spacing w:after="0"/>
              <w:rPr>
                <w:sz w:val="20"/>
                <w:szCs w:val="20"/>
                <w:color w:val="auto"/>
              </w:rPr>
            </w:pPr>
            <w:r>
              <w:rPr>
                <w:rFonts w:ascii="Courier New" w:cs="Courier New" w:eastAsia="Courier New" w:hAnsi="Courier New"/>
                <w:sz w:val="14"/>
                <w:szCs w:val="14"/>
                <w:color w:val="auto"/>
                <w:w w:val="97"/>
              </w:rPr>
              <w:t>- - - - -------------------------------------------------------------------------------------------------</w:t>
            </w:r>
          </w:p>
        </w:tc>
      </w:tr>
      <w:tr>
        <w:trPr>
          <w:trHeight w:val="159"/>
        </w:trPr>
        <w:tc>
          <w:tcPr>
            <w:tcW w:w="4120" w:type="dxa"/>
            <w:vAlign w:val="bottom"/>
          </w:tcPr>
          <w:p>
            <w:pPr>
              <w:ind w:left="160"/>
              <w:spacing w:after="0"/>
              <w:rPr>
                <w:sz w:val="20"/>
                <w:szCs w:val="20"/>
                <w:color w:val="auto"/>
              </w:rPr>
            </w:pPr>
            <w:r>
              <w:rPr>
                <w:rFonts w:ascii="Courier New" w:cs="Courier New" w:eastAsia="Courier New" w:hAnsi="Courier New"/>
                <w:sz w:val="14"/>
                <w:szCs w:val="14"/>
                <w:color w:val="auto"/>
              </w:rPr>
              <w:t>Gross profit</w:t>
            </w:r>
          </w:p>
        </w:tc>
        <w:tc>
          <w:tcPr>
            <w:tcW w:w="15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341,723</w:t>
            </w:r>
          </w:p>
        </w:tc>
        <w:tc>
          <w:tcPr>
            <w:tcW w:w="12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330,216</w:t>
            </w:r>
          </w:p>
        </w:tc>
        <w:tc>
          <w:tcPr>
            <w:tcW w:w="1820" w:type="dxa"/>
            <w:vAlign w:val="bottom"/>
          </w:tcPr>
          <w:p>
            <w:pPr>
              <w:jc w:val="right"/>
              <w:ind w:right="831"/>
              <w:spacing w:after="0"/>
              <w:rPr>
                <w:sz w:val="20"/>
                <w:szCs w:val="20"/>
                <w:color w:val="auto"/>
              </w:rPr>
            </w:pPr>
            <w:r>
              <w:rPr>
                <w:rFonts w:ascii="Courier New" w:cs="Courier New" w:eastAsia="Courier New" w:hAnsi="Courier New"/>
                <w:sz w:val="14"/>
                <w:szCs w:val="14"/>
                <w:color w:val="auto"/>
              </w:rPr>
              <w:t>314,556</w:t>
            </w:r>
          </w:p>
        </w:tc>
      </w:t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5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278,284</w:t>
            </w:r>
          </w:p>
        </w:tc>
        <w:tc>
          <w:tcPr>
            <w:tcW w:w="12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272,128</w:t>
            </w:r>
          </w:p>
        </w:tc>
        <w:tc>
          <w:tcPr>
            <w:tcW w:w="1820" w:type="dxa"/>
            <w:vAlign w:val="bottom"/>
          </w:tcPr>
          <w:p>
            <w:pPr>
              <w:jc w:val="right"/>
              <w:ind w:right="831"/>
              <w:spacing w:after="0"/>
              <w:rPr>
                <w:sz w:val="20"/>
                <w:szCs w:val="20"/>
                <w:color w:val="auto"/>
              </w:rPr>
            </w:pPr>
            <w:r>
              <w:rPr>
                <w:rFonts w:ascii="Courier New" w:cs="Courier New" w:eastAsia="Courier New" w:hAnsi="Courier New"/>
                <w:sz w:val="14"/>
                <w:szCs w:val="14"/>
                <w:color w:val="auto"/>
              </w:rPr>
              <w:t>255,625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ind w:left="160"/>
              <w:spacing w:after="0"/>
              <w:rPr>
                <w:sz w:val="20"/>
                <w:szCs w:val="20"/>
                <w:color w:val="auto"/>
              </w:rPr>
            </w:pPr>
            <w:r>
              <w:rPr>
                <w:rFonts w:ascii="Courier New" w:cs="Courier New" w:eastAsia="Courier New" w:hAnsi="Courier New"/>
                <w:sz w:val="14"/>
                <w:szCs w:val="14"/>
                <w:color w:val="auto"/>
              </w:rPr>
              <w:t>Earnings from operations</w:t>
            </w:r>
          </w:p>
        </w:tc>
        <w:tc>
          <w:tcPr>
            <w:tcW w:w="22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63,439</w:t>
            </w: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58,088</w:t>
            </w:r>
          </w:p>
        </w:tc>
        <w:tc>
          <w:tcPr>
            <w:tcW w:w="900" w:type="dxa"/>
            <w:vAlign w:val="bottom"/>
          </w:tcPr>
          <w:p>
            <w:pPr>
              <w:ind w:left="320"/>
              <w:spacing w:after="0"/>
              <w:rPr>
                <w:sz w:val="20"/>
                <w:szCs w:val="20"/>
                <w:color w:val="auto"/>
              </w:rPr>
            </w:pPr>
            <w:r>
              <w:rPr>
                <w:rFonts w:ascii="Courier New" w:cs="Courier New" w:eastAsia="Courier New" w:hAnsi="Courier New"/>
                <w:sz w:val="14"/>
                <w:szCs w:val="14"/>
                <w:color w:val="auto"/>
              </w:rPr>
              <w:t>58,931</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2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13,590</w:t>
            </w: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11,954</w:t>
            </w:r>
          </w:p>
        </w:tc>
        <w:tc>
          <w:tcPr>
            <w:tcW w:w="900" w:type="dxa"/>
            <w:vAlign w:val="bottom"/>
          </w:tcPr>
          <w:p>
            <w:pPr>
              <w:ind w:left="320"/>
              <w:spacing w:after="0"/>
              <w:rPr>
                <w:sz w:val="20"/>
                <w:szCs w:val="20"/>
                <w:color w:val="auto"/>
              </w:rPr>
            </w:pPr>
            <w:r>
              <w:rPr>
                <w:rFonts w:ascii="Courier New" w:cs="Courier New" w:eastAsia="Courier New" w:hAnsi="Courier New"/>
                <w:sz w:val="14"/>
                <w:szCs w:val="14"/>
                <w:color w:val="auto"/>
              </w:rPr>
              <w:t>12,705</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(10,331)</w:t>
            </w: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(7,747)</w:t>
            </w:r>
          </w:p>
        </w:tc>
        <w:tc>
          <w:tcPr>
            <w:tcW w:w="900" w:type="dxa"/>
            <w:vAlign w:val="bottom"/>
          </w:tcPr>
          <w:p>
            <w:pPr>
              <w:ind w:left="320"/>
              <w:spacing w:after="0"/>
              <w:rPr>
                <w:sz w:val="20"/>
                <w:szCs w:val="20"/>
                <w:color w:val="auto"/>
              </w:rPr>
            </w:pPr>
            <w:r>
              <w:rPr>
                <w:rFonts w:ascii="Courier New" w:cs="Courier New" w:eastAsia="Courier New" w:hAnsi="Courier New"/>
                <w:sz w:val="14"/>
                <w:szCs w:val="14"/>
                <w:color w:val="auto"/>
                <w:w w:val="95"/>
              </w:rPr>
              <w:t>(7,819)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348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202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60,180</w:t>
            </w:r>
          </w:p>
        </w:tc>
        <w:tc>
          <w:tcPr>
            <w:tcW w:w="12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53,881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54,045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23,771</w:t>
            </w:r>
          </w:p>
        </w:tc>
        <w:tc>
          <w:tcPr>
            <w:tcW w:w="12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21,519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21,619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ind w:left="160"/>
        <w:spacing w:after="0"/>
        <w:tabs>
          <w:tab w:leader="none" w:pos="4600" w:val="left"/>
          <w:tab w:leader="none" w:pos="5840" w:val="left"/>
          <w:tab w:leader="none" w:pos="7080" w:val="left"/>
        </w:tabs>
        <w:rPr>
          <w:sz w:val="20"/>
          <w:szCs w:val="20"/>
          <w:color w:val="auto"/>
        </w:rPr>
      </w:pPr>
      <w:r>
        <w:rPr>
          <w:rFonts w:ascii="Courier New" w:cs="Courier New" w:eastAsia="Courier New" w:hAnsi="Courier New"/>
          <w:sz w:val="14"/>
          <w:szCs w:val="14"/>
          <w:color w:val="auto"/>
        </w:rPr>
        <w:t>Net earnings</w:t>
      </w:r>
      <w:r>
        <w:rPr>
          <w:sz w:val="20"/>
          <w:szCs w:val="20"/>
          <w:color w:val="auto"/>
        </w:rPr>
        <w:tab/>
      </w:r>
      <w:r>
        <w:rPr>
          <w:rFonts w:ascii="Courier New" w:cs="Courier New" w:eastAsia="Courier New" w:hAnsi="Courier New"/>
          <w:sz w:val="14"/>
          <w:szCs w:val="14"/>
          <w:color w:val="auto"/>
        </w:rPr>
        <w:t>$ 36,409</w:t>
      </w:r>
      <w:r>
        <w:rPr>
          <w:sz w:val="20"/>
          <w:szCs w:val="20"/>
          <w:color w:val="auto"/>
        </w:rPr>
        <w:tab/>
      </w:r>
      <w:r>
        <w:rPr>
          <w:rFonts w:ascii="Courier New" w:cs="Courier New" w:eastAsia="Courier New" w:hAnsi="Courier New"/>
          <w:sz w:val="14"/>
          <w:szCs w:val="14"/>
          <w:color w:val="auto"/>
        </w:rPr>
        <w:t>$ 32,362</w:t>
      </w:r>
      <w:r>
        <w:rPr>
          <w:sz w:val="20"/>
          <w:szCs w:val="20"/>
          <w:color w:val="auto"/>
        </w:rPr>
        <w:tab/>
      </w:r>
      <w:r>
        <w:rPr>
          <w:rFonts w:ascii="Courier New" w:cs="Courier New" w:eastAsia="Courier New" w:hAnsi="Courier New"/>
          <w:sz w:val="13"/>
          <w:szCs w:val="13"/>
          <w:color w:val="auto"/>
        </w:rPr>
        <w:t>$ 32,426</w:t>
      </w:r>
    </w:p>
    <w:p>
      <w:pPr>
        <w:spacing w:after="0" w:line="4" w:lineRule="exact"/>
        <w:rPr>
          <w:sz w:val="20"/>
          <w:szCs w:val="20"/>
          <w:color w:val="auto"/>
        </w:rPr>
      </w:pPr>
    </w:p>
    <w:p>
      <w:pPr>
        <w:ind w:left="160" w:hanging="155"/>
        <w:spacing w:after="0"/>
        <w:tabs>
          <w:tab w:leader="none" w:pos="160" w:val="left"/>
        </w:tabs>
        <w:numPr>
          <w:ilvl w:val="0"/>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Net earnings per share of common stock and</w:t>
      </w:r>
    </w:p>
    <w:tbl>
      <w:tblPr>
        <w:tblLayout w:type="fixed"/>
        <w:tblInd w:w="160" w:type="dxa"/>
        <w:tblCellMar>
          <w:top w:w="0" w:type="dxa"/>
          <w:left w:w="0" w:type="dxa"/>
          <w:bottom w:w="0" w:type="dxa"/>
          <w:right w:w="0" w:type="dxa"/>
        </w:tblCellMar>
      </w:tblP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common stock equivalent</w:t>
            </w:r>
          </w:p>
        </w:tc>
        <w:tc>
          <w:tcPr>
            <w:tcW w:w="2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   2.90</w:t>
            </w:r>
          </w:p>
        </w:tc>
        <w:tc>
          <w:tcPr>
            <w:tcW w:w="12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   2.50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2.49</w:t>
            </w:r>
          </w:p>
        </w:tc>
      </w:tr>
    </w:tbl>
    <w:p>
      <w:pPr>
        <w:spacing w:after="0" w:line="4" w:lineRule="exact"/>
        <w:rPr>
          <w:sz w:val="20"/>
          <w:szCs w:val="20"/>
          <w:color w:val="auto"/>
        </w:rPr>
      </w:pPr>
    </w:p>
    <w:p>
      <w:pPr>
        <w:ind w:left="160" w:hanging="155"/>
        <w:spacing w:after="0"/>
        <w:tabs>
          <w:tab w:leader="none" w:pos="160"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596" w:right="1440" w:bottom="1440" w:gutter="0" w:footer="0" w:header="0"/>
        </w:sectPr>
      </w:pPr>
    </w:p>
    <w:bookmarkStart w:id="83" w:name="page84"/>
    <w:bookmarkEnd w:id="83"/>
    <w:p>
      <w:pPr>
        <w:spacing w:after="0"/>
        <w:tabs>
          <w:tab w:leader="none" w:pos="238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3"/>
          <w:szCs w:val="13"/>
          <w:color w:val="auto"/>
        </w:rPr>
        <w:t>The Toro Company</w:t>
      </w:r>
    </w:p>
    <w:p>
      <w:pPr>
        <w:spacing w:after="0" w:line="321" w:lineRule="exact"/>
        <w:rPr>
          <w:sz w:val="20"/>
          <w:szCs w:val="20"/>
          <w:color w:val="auto"/>
        </w:rPr>
      </w:pPr>
    </w:p>
    <w:p>
      <w:pPr>
        <w:ind w:left="160" w:hanging="155"/>
        <w:spacing w:after="0"/>
        <w:tabs>
          <w:tab w:leader="none" w:pos="160" w:val="left"/>
        </w:tabs>
        <w:numPr>
          <w:ilvl w:val="0"/>
          <w:numId w:val="1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1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2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19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44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4460" w:type="dxa"/>
            <w:vAlign w:val="bottom"/>
          </w:tcPr>
          <w:p>
            <w:pPr>
              <w:ind w:left="160"/>
              <w:spacing w:after="0"/>
              <w:rPr>
                <w:sz w:val="20"/>
                <w:szCs w:val="20"/>
                <w:color w:val="auto"/>
              </w:rPr>
            </w:pPr>
            <w:r>
              <w:rPr>
                <w:rFonts w:ascii="Courier New" w:cs="Courier New" w:eastAsia="Courier New" w:hAnsi="Courier New"/>
                <w:sz w:val="14"/>
                <w:szCs w:val="14"/>
                <w:color w:val="auto"/>
              </w:rPr>
              <w:t>Cash and cash equivalents</w:t>
            </w:r>
          </w:p>
        </w:tc>
        <w:tc>
          <w:tcPr>
            <w:tcW w:w="2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7,702</w:t>
            </w:r>
          </w:p>
        </w:tc>
      </w:tr>
      <w:tr>
        <w:trPr>
          <w:trHeight w:val="159"/>
        </w:trPr>
        <w:tc>
          <w:tcPr>
            <w:tcW w:w="4460" w:type="dxa"/>
            <w:vAlign w:val="bottom"/>
          </w:tcPr>
          <w:p>
            <w:pPr>
              <w:jc w:val="right"/>
              <w:ind w:right="3231"/>
              <w:spacing w:after="0"/>
              <w:rPr>
                <w:sz w:val="20"/>
                <w:szCs w:val="20"/>
                <w:color w:val="auto"/>
              </w:rPr>
            </w:pPr>
            <w:r>
              <w:rPr>
                <w:rFonts w:ascii="Courier New" w:cs="Courier New" w:eastAsia="Courier New" w:hAnsi="Courier New"/>
                <w:sz w:val="14"/>
                <w:szCs w:val="14"/>
                <w:color w:val="auto"/>
              </w:rPr>
              <w:t>Receivables:</w:t>
            </w:r>
          </w:p>
        </w:tc>
        <w:tc>
          <w:tcPr>
            <w:tcW w:w="2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4460" w:type="dxa"/>
            <w:vAlign w:val="bottom"/>
          </w:tcPr>
          <w:p>
            <w:pPr>
              <w:jc w:val="right"/>
              <w:ind w:right="3231"/>
              <w:spacing w:after="0"/>
              <w:rPr>
                <w:sz w:val="20"/>
                <w:szCs w:val="20"/>
                <w:color w:val="auto"/>
              </w:rPr>
            </w:pPr>
            <w:r>
              <w:rPr>
                <w:rFonts w:ascii="Courier New" w:cs="Courier New" w:eastAsia="Courier New" w:hAnsi="Courier New"/>
                <w:sz w:val="14"/>
                <w:szCs w:val="14"/>
                <w:color w:val="auto"/>
              </w:rPr>
              <w:t>Customers</w:t>
            </w:r>
          </w:p>
        </w:tc>
        <w:tc>
          <w:tcPr>
            <w:tcW w:w="2300" w:type="dxa"/>
            <w:vAlign w:val="bottom"/>
          </w:tcPr>
          <w:p>
            <w:pPr>
              <w:spacing w:after="0"/>
              <w:rPr>
                <w:sz w:val="13"/>
                <w:szCs w:val="13"/>
                <w:color w:val="auto"/>
              </w:rPr>
            </w:pPr>
          </w:p>
        </w:tc>
        <w:tc>
          <w:tcPr>
            <w:tcW w:w="880" w:type="dxa"/>
            <w:vAlign w:val="bottom"/>
          </w:tcPr>
          <w:p>
            <w:pPr>
              <w:jc w:val="right"/>
              <w:ind w:right="231"/>
              <w:spacing w:after="0"/>
              <w:rPr>
                <w:sz w:val="20"/>
                <w:szCs w:val="20"/>
                <w:color w:val="auto"/>
              </w:rPr>
            </w:pPr>
            <w:r>
              <w:rPr>
                <w:rFonts w:ascii="Courier New" w:cs="Courier New" w:eastAsia="Courier New" w:hAnsi="Courier New"/>
                <w:sz w:val="14"/>
                <w:szCs w:val="14"/>
                <w:color w:val="auto"/>
                <w:w w:val="95"/>
              </w:rPr>
              <w:t>244,434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201,571</w:t>
            </w:r>
          </w:p>
        </w:tc>
      </w:tr>
      <w:tr>
        <w:trPr>
          <w:trHeight w:val="159"/>
        </w:trPr>
        <w:tc>
          <w:tcPr>
            <w:tcW w:w="446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2300" w:type="dxa"/>
            <w:vAlign w:val="bottom"/>
          </w:tcPr>
          <w:p>
            <w:pPr>
              <w:spacing w:after="0"/>
              <w:rPr>
                <w:sz w:val="13"/>
                <w:szCs w:val="13"/>
                <w:color w:val="auto"/>
              </w:rPr>
            </w:pPr>
          </w:p>
        </w:tc>
        <w:tc>
          <w:tcPr>
            <w:tcW w:w="8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5,208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45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4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249,642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206,358</w:t>
            </w:r>
          </w:p>
        </w:tc>
      </w:tr>
      <w:tr>
        <w:trPr>
          <w:trHeight w:val="159"/>
        </w:trPr>
        <w:tc>
          <w:tcPr>
            <w:tcW w:w="454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4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10,005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2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239,637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159"/>
        </w:trPr>
        <w:tc>
          <w:tcPr>
            <w:tcW w:w="44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0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130,288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145,862</w:t>
            </w:r>
          </w:p>
        </w:tc>
      </w:tr>
      <w:tr>
        <w:trPr>
          <w:trHeight w:val="159"/>
        </w:trPr>
        <w:tc>
          <w:tcPr>
            <w:tcW w:w="44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0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5,133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59"/>
        </w:trPr>
        <w:tc>
          <w:tcPr>
            <w:tcW w:w="44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0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29,877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1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405,001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spacing w:after="0" w:line="4" w:lineRule="exact"/>
        <w:rPr>
          <w:sz w:val="20"/>
          <w:szCs w:val="20"/>
          <w:color w:val="auto"/>
        </w:rPr>
      </w:pPr>
    </w:p>
    <w:p>
      <w:pPr>
        <w:ind w:left="160" w:hanging="155"/>
        <w:spacing w:after="0"/>
        <w:tabs>
          <w:tab w:leader="none" w:pos="160" w:val="left"/>
        </w:tabs>
        <w:numPr>
          <w:ilvl w:val="0"/>
          <w:numId w:val="12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Property, plant and equipment:</w:t>
      </w:r>
    </w:p>
    <w:tbl>
      <w:tblPr>
        <w:tblLayout w:type="fixed"/>
        <w:tblInd w:w="160" w:type="dxa"/>
        <w:tblCellMar>
          <w:top w:w="0" w:type="dxa"/>
          <w:left w:w="0" w:type="dxa"/>
          <w:bottom w:w="0" w:type="dxa"/>
          <w:right w:w="0" w:type="dxa"/>
        </w:tblCellMar>
      </w:tblPr>
      <w:tr>
        <w:trPr>
          <w:trHeight w:val="159"/>
        </w:trPr>
        <w:tc>
          <w:tcPr>
            <w:tcW w:w="4800" w:type="dxa"/>
            <w:vAlign w:val="bottom"/>
          </w:tcPr>
          <w:p>
            <w:pPr>
              <w:spacing w:after="0"/>
              <w:rPr>
                <w:sz w:val="20"/>
                <w:szCs w:val="20"/>
                <w:color w:val="auto"/>
              </w:rPr>
            </w:pPr>
            <w:r>
              <w:rPr>
                <w:rFonts w:ascii="Courier New" w:cs="Courier New" w:eastAsia="Courier New" w:hAnsi="Courier New"/>
                <w:sz w:val="14"/>
                <w:szCs w:val="14"/>
                <w:color w:val="auto"/>
              </w:rPr>
              <w:t>Land and land improvements</w:t>
            </w:r>
          </w:p>
        </w:tc>
        <w:tc>
          <w:tcPr>
            <w:tcW w:w="27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6,816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6,569</w:t>
            </w:r>
          </w:p>
        </w:tc>
      </w:tr>
      <w:tr>
        <w:trPr>
          <w:trHeight w:val="159"/>
        </w:trPr>
        <w:tc>
          <w:tcPr>
            <w:tcW w:w="4800" w:type="dxa"/>
            <w:vAlign w:val="bottom"/>
          </w:tcPr>
          <w:p>
            <w:pPr>
              <w:spacing w:after="0"/>
              <w:rPr>
                <w:sz w:val="20"/>
                <w:szCs w:val="20"/>
                <w:color w:val="auto"/>
              </w:rPr>
            </w:pPr>
            <w:r>
              <w:rPr>
                <w:rFonts w:ascii="Courier New" w:cs="Courier New" w:eastAsia="Courier New" w:hAnsi="Courier New"/>
                <w:sz w:val="14"/>
                <w:szCs w:val="14"/>
                <w:color w:val="auto"/>
              </w:rPr>
              <w:t>Buildings and leasehold improvements</w:t>
            </w:r>
          </w:p>
        </w:tc>
        <w:tc>
          <w:tcPr>
            <w:tcW w:w="27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46,107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59"/>
        </w:trPr>
        <w:tc>
          <w:tcPr>
            <w:tcW w:w="480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27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176,157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49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0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229,080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211,681</w:t>
            </w:r>
          </w:p>
        </w:tc>
      </w:tr>
      <w:tr>
        <w:trPr>
          <w:trHeight w:val="159"/>
        </w:trPr>
        <w:tc>
          <w:tcPr>
            <w:tcW w:w="49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0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155,270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6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73,810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2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1,600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2,384</w:t>
            </w:r>
          </w:p>
        </w:tc>
      </w:tr>
      <w:tr>
        <w:trPr>
          <w:trHeight w:val="159"/>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2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16,466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14,055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4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$496,877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$472,653</w:t>
            </w:r>
          </w:p>
        </w:tc>
      </w:tr>
    </w:tbl>
    <w:p>
      <w:pPr>
        <w:spacing w:after="0" w:line="4" w:lineRule="exact"/>
        <w:rPr>
          <w:sz w:val="20"/>
          <w:szCs w:val="20"/>
          <w:color w:val="auto"/>
        </w:rPr>
      </w:pPr>
    </w:p>
    <w:p>
      <w:pPr>
        <w:ind w:left="160" w:hanging="155"/>
        <w:spacing w:after="0"/>
        <w:tabs>
          <w:tab w:leader="none" w:pos="160" w:val="left"/>
        </w:tabs>
        <w:numPr>
          <w:ilvl w:val="0"/>
          <w:numId w:val="1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ourier New" w:cs="Courier New" w:eastAsia="Courier New" w:hAnsi="Courier New"/>
                <w:sz w:val="14"/>
                <w:szCs w:val="14"/>
                <w:color w:val="auto"/>
              </w:rPr>
              <w:t>LIABILITIES AND COMMON STOCKHOLDERS' EQUITY</w:t>
            </w:r>
          </w:p>
        </w:tc>
        <w:tc>
          <w:tcPr>
            <w:tcW w:w="1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51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5120" w:type="dxa"/>
            <w:vAlign w:val="bottom"/>
          </w:tcPr>
          <w:p>
            <w:pPr>
              <w:ind w:left="160"/>
              <w:spacing w:after="0"/>
              <w:rPr>
                <w:sz w:val="20"/>
                <w:szCs w:val="20"/>
                <w:color w:val="auto"/>
              </w:rPr>
            </w:pPr>
            <w:r>
              <w:rPr>
                <w:rFonts w:ascii="Courier New" w:cs="Courier New" w:eastAsia="Courier New" w:hAnsi="Courier New"/>
                <w:sz w:val="14"/>
                <w:szCs w:val="14"/>
                <w:color w:val="auto"/>
              </w:rPr>
              <w:t>Current portion of long-term debt</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$ 15,334</w:t>
            </w:r>
          </w:p>
        </w:tc>
      </w:tr>
      <w:tr>
        <w:trPr>
          <w:trHeight w:val="159"/>
        </w:trPr>
        <w:tc>
          <w:tcPr>
            <w:tcW w:w="5120" w:type="dxa"/>
            <w:vAlign w:val="bottom"/>
          </w:tcPr>
          <w:p>
            <w:pPr>
              <w:ind w:left="160"/>
              <w:spacing w:after="0"/>
              <w:rPr>
                <w:sz w:val="20"/>
                <w:szCs w:val="20"/>
                <w:color w:val="auto"/>
              </w:rPr>
            </w:pPr>
            <w:r>
              <w:rPr>
                <w:rFonts w:ascii="Courier New" w:cs="Courier New" w:eastAsia="Courier New" w:hAnsi="Courier New"/>
                <w:sz w:val="14"/>
                <w:szCs w:val="14"/>
                <w:color w:val="auto"/>
              </w:rPr>
              <w:t>Short-term borrowing</w:t>
            </w:r>
          </w:p>
        </w:tc>
        <w:tc>
          <w:tcPr>
            <w:tcW w:w="168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41,025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59"/>
        </w:trPr>
        <w:tc>
          <w:tcPr>
            <w:tcW w:w="5120" w:type="dxa"/>
            <w:vAlign w:val="bottom"/>
          </w:tcPr>
          <w:p>
            <w:pPr>
              <w:ind w:left="160"/>
              <w:spacing w:after="0"/>
              <w:rPr>
                <w:sz w:val="20"/>
                <w:szCs w:val="20"/>
                <w:color w:val="auto"/>
              </w:rPr>
            </w:pPr>
            <w:r>
              <w:rPr>
                <w:rFonts w:ascii="Courier New" w:cs="Courier New" w:eastAsia="Courier New" w:hAnsi="Courier New"/>
                <w:sz w:val="14"/>
                <w:szCs w:val="14"/>
                <w:color w:val="auto"/>
              </w:rPr>
              <w:t>Accounts payable</w:t>
            </w:r>
          </w:p>
        </w:tc>
        <w:tc>
          <w:tcPr>
            <w:tcW w:w="168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43,524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59"/>
        </w:trPr>
        <w:tc>
          <w:tcPr>
            <w:tcW w:w="5120" w:type="dxa"/>
            <w:vAlign w:val="bottom"/>
          </w:tcPr>
          <w:p>
            <w:pPr>
              <w:ind w:left="160"/>
              <w:spacing w:after="0"/>
              <w:rPr>
                <w:sz w:val="20"/>
                <w:szCs w:val="20"/>
                <w:color w:val="auto"/>
              </w:rPr>
            </w:pPr>
            <w:r>
              <w:rPr>
                <w:rFonts w:ascii="Courier New" w:cs="Courier New" w:eastAsia="Courier New" w:hAnsi="Courier New"/>
                <w:sz w:val="14"/>
                <w:szCs w:val="14"/>
                <w:color w:val="auto"/>
              </w:rPr>
              <w:t>Accrued warranty</w:t>
            </w:r>
          </w:p>
        </w:tc>
        <w:tc>
          <w:tcPr>
            <w:tcW w:w="168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34,722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59"/>
        </w:trPr>
        <w:tc>
          <w:tcPr>
            <w:tcW w:w="5120" w:type="dxa"/>
            <w:vAlign w:val="bottom"/>
          </w:tcPr>
          <w:p>
            <w:pPr>
              <w:ind w:left="160"/>
              <w:spacing w:after="0"/>
              <w:rPr>
                <w:sz w:val="20"/>
                <w:szCs w:val="20"/>
                <w:color w:val="auto"/>
              </w:rPr>
            </w:pPr>
            <w:r>
              <w:rPr>
                <w:rFonts w:ascii="Courier New" w:cs="Courier New" w:eastAsia="Courier New" w:hAnsi="Courier New"/>
                <w:sz w:val="14"/>
                <w:szCs w:val="14"/>
                <w:color w:val="auto"/>
              </w:rPr>
              <w:t>Accrued marketing programs</w:t>
            </w:r>
          </w:p>
        </w:tc>
        <w:tc>
          <w:tcPr>
            <w:tcW w:w="168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22,600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59"/>
        </w:trPr>
        <w:tc>
          <w:tcPr>
            <w:tcW w:w="5120" w:type="dxa"/>
            <w:vAlign w:val="bottom"/>
          </w:tcPr>
          <w:p>
            <w:pPr>
              <w:ind w:left="160"/>
              <w:spacing w:after="0"/>
              <w:rPr>
                <w:sz w:val="20"/>
                <w:szCs w:val="20"/>
                <w:color w:val="auto"/>
              </w:rPr>
            </w:pPr>
            <w:r>
              <w:rPr>
                <w:rFonts w:ascii="Courier New" w:cs="Courier New" w:eastAsia="Courier New" w:hAnsi="Courier New"/>
                <w:sz w:val="14"/>
                <w:szCs w:val="14"/>
                <w:color w:val="auto"/>
              </w:rPr>
              <w:t>Other accrued liabilities</w:t>
            </w:r>
          </w:p>
        </w:tc>
        <w:tc>
          <w:tcPr>
            <w:tcW w:w="168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65,636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9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207,857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0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53,015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r>
        <w:trPr>
          <w:trHeight w:val="159"/>
        </w:trPr>
        <w:tc>
          <w:tcPr>
            <w:tcW w:w="66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0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22,438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r>
      <w:tr>
        <w:trPr>
          <w:trHeight w:val="159"/>
        </w:trPr>
        <w:tc>
          <w:tcPr>
            <w:tcW w:w="66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9"/>
        </w:trPr>
        <w:tc>
          <w:tcPr>
            <w:tcW w:w="6640" w:type="dxa"/>
            <w:vAlign w:val="bottom"/>
          </w:tcPr>
          <w:p>
            <w:pPr>
              <w:ind w:left="16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9"/>
        </w:trPr>
        <w:tc>
          <w:tcPr>
            <w:tcW w:w="6640" w:type="dxa"/>
            <w:vAlign w:val="bottom"/>
          </w:tcPr>
          <w:p>
            <w:pPr>
              <w:ind w:left="420"/>
              <w:spacing w:after="0"/>
              <w:rPr>
                <w:sz w:val="20"/>
                <w:szCs w:val="20"/>
                <w:color w:val="auto"/>
              </w:rPr>
            </w:pPr>
            <w:r>
              <w:rPr>
                <w:rFonts w:ascii="Courier New" w:cs="Courier New" w:eastAsia="Courier New" w:hAnsi="Courier New"/>
                <w:sz w:val="14"/>
                <w:szCs w:val="14"/>
                <w:color w:val="auto"/>
                <w:w w:val="99"/>
              </w:rPr>
              <w:t>and outstanding 12,032,143 shares in 1996 (net of 877,861 treasury shares)</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9"/>
        </w:trPr>
        <w:tc>
          <w:tcPr>
            <w:tcW w:w="6640" w:type="dxa"/>
            <w:vAlign w:val="bottom"/>
          </w:tcPr>
          <w:p>
            <w:pPr>
              <w:ind w:left="42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0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12,032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12,168</w:t>
            </w:r>
          </w:p>
        </w:tc>
      </w:tr>
      <w:tr>
        <w:trPr>
          <w:trHeight w:val="159"/>
        </w:trPr>
        <w:tc>
          <w:tcPr>
            <w:tcW w:w="6640" w:type="dxa"/>
            <w:vAlign w:val="bottom"/>
          </w:tcPr>
          <w:p>
            <w:pPr>
              <w:ind w:left="160"/>
              <w:spacing w:after="0"/>
              <w:rPr>
                <w:sz w:val="20"/>
                <w:szCs w:val="20"/>
                <w:color w:val="auto"/>
              </w:rPr>
            </w:pPr>
            <w:r>
              <w:rPr>
                <w:rFonts w:ascii="Courier New" w:cs="Courier New" w:eastAsia="Courier New" w:hAnsi="Courier New"/>
                <w:sz w:val="14"/>
                <w:szCs w:val="14"/>
                <w:color w:val="auto"/>
              </w:rPr>
              <w:t>Additional paid-in capital</w:t>
            </w:r>
          </w:p>
        </w:tc>
        <w:tc>
          <w:tcPr>
            <w:tcW w:w="10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28,462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r>
      <w:tr>
        <w:trPr>
          <w:trHeight w:val="159"/>
        </w:trPr>
        <w:tc>
          <w:tcPr>
            <w:tcW w:w="6640" w:type="dxa"/>
            <w:vAlign w:val="bottom"/>
          </w:tcPr>
          <w:p>
            <w:pPr>
              <w:ind w:left="160"/>
              <w:spacing w:after="0"/>
              <w:rPr>
                <w:sz w:val="20"/>
                <w:szCs w:val="20"/>
                <w:color w:val="auto"/>
              </w:rPr>
            </w:pPr>
            <w:r>
              <w:rPr>
                <w:rFonts w:ascii="Courier New" w:cs="Courier New" w:eastAsia="Courier New" w:hAnsi="Courier New"/>
                <w:sz w:val="14"/>
                <w:szCs w:val="14"/>
                <w:color w:val="auto"/>
              </w:rPr>
              <w:t>Retained earnings</w:t>
            </w:r>
          </w:p>
        </w:tc>
        <w:tc>
          <w:tcPr>
            <w:tcW w:w="10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173,630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r>
      <w:tr>
        <w:trPr>
          <w:trHeight w:val="159"/>
        </w:trPr>
        <w:tc>
          <w:tcPr>
            <w:tcW w:w="6640" w:type="dxa"/>
            <w:vAlign w:val="bottom"/>
          </w:tcPr>
          <w:p>
            <w:pPr>
              <w:ind w:left="1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0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4420" w:type="dxa"/>
            <w:vAlign w:val="bottom"/>
          </w:tcPr>
          <w:p>
            <w:pPr>
              <w:spacing w:after="0"/>
              <w:rPr>
                <w:sz w:val="20"/>
                <w:szCs w:val="20"/>
                <w:color w:val="auto"/>
              </w:rPr>
            </w:pPr>
            <w:r>
              <w:rPr>
                <w:rFonts w:ascii="Courier New" w:cs="Courier New" w:eastAsia="Courier New" w:hAnsi="Courier New"/>
                <w:sz w:val="14"/>
                <w:szCs w:val="14"/>
                <w:color w:val="auto"/>
              </w:rPr>
              <w:t>Total common stockholders' equity</w:t>
            </w:r>
          </w:p>
        </w:tc>
        <w:tc>
          <w:tcPr>
            <w:tcW w:w="26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213,567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190,892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660" w:type="dxa"/>
        <w:tblCellMar>
          <w:top w:w="0" w:type="dxa"/>
          <w:left w:w="0" w:type="dxa"/>
          <w:bottom w:w="0" w:type="dxa"/>
          <w:right w:w="0" w:type="dxa"/>
        </w:tblCellMar>
      </w:tblPr>
      <w:tr>
        <w:trPr>
          <w:trHeight w:val="159"/>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liabilities and common stockholders' equity</w:t>
            </w:r>
          </w:p>
        </w:tc>
        <w:tc>
          <w:tcPr>
            <w:tcW w:w="19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$496,877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$472,653</w:t>
            </w:r>
          </w:p>
        </w:tc>
      </w:tr>
    </w:tbl>
    <w:p>
      <w:pPr>
        <w:spacing w:after="0" w:line="4" w:lineRule="exact"/>
        <w:rPr>
          <w:sz w:val="20"/>
          <w:szCs w:val="20"/>
          <w:color w:val="auto"/>
        </w:rPr>
      </w:pPr>
    </w:p>
    <w:p>
      <w:pPr>
        <w:ind w:left="160" w:hanging="155"/>
        <w:spacing w:after="0"/>
        <w:tabs>
          <w:tab w:leader="none" w:pos="160"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592" w:right="1440" w:bottom="1440" w:gutter="0" w:footer="0" w:header="0"/>
        </w:sectPr>
      </w:pPr>
    </w:p>
    <w:bookmarkStart w:id="84" w:name="page85"/>
    <w:bookmarkEnd w:id="84"/>
    <w:p>
      <w:pPr>
        <w:spacing w:after="0"/>
        <w:tabs>
          <w:tab w:leader="none" w:pos="3200" w:val="left"/>
        </w:tabs>
        <w:rPr>
          <w:sz w:val="20"/>
          <w:szCs w:val="20"/>
          <w:color w:val="auto"/>
        </w:rPr>
      </w:pPr>
      <w:r>
        <w:rPr>
          <w:rFonts w:ascii="Courier New" w:cs="Courier New" w:eastAsia="Courier New" w:hAnsi="Courier New"/>
          <w:sz w:val="14"/>
          <w:szCs w:val="14"/>
          <w:color w:val="auto"/>
        </w:rPr>
        <w:t>CONSOLIDATED STATEMENTS OF CASH FLOWS</w:t>
      </w:r>
      <w:r>
        <w:rPr>
          <w:sz w:val="20"/>
          <w:szCs w:val="20"/>
          <w:color w:val="auto"/>
        </w:rPr>
        <w:tab/>
      </w:r>
      <w:r>
        <w:rPr>
          <w:rFonts w:ascii="Courier New" w:cs="Courier New" w:eastAsia="Courier New" w:hAnsi="Courier New"/>
          <w:sz w:val="13"/>
          <w:szCs w:val="13"/>
          <w:color w:val="auto"/>
        </w:rPr>
        <w:t>The Toro Company</w:t>
      </w:r>
    </w:p>
    <w:p>
      <w:pPr>
        <w:spacing w:after="0" w:line="321" w:lineRule="exact"/>
        <w:rPr>
          <w:sz w:val="20"/>
          <w:szCs w:val="20"/>
          <w:color w:val="auto"/>
        </w:rPr>
      </w:pPr>
    </w:p>
    <w:p>
      <w:pPr>
        <w:ind w:left="160" w:hanging="155"/>
        <w:spacing w:after="0"/>
        <w:tabs>
          <w:tab w:leader="none" w:pos="160"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60" w:type="dxa"/>
            <w:vAlign w:val="bottom"/>
          </w:tcPr>
          <w:p>
            <w:pPr>
              <w:spacing w:after="0"/>
              <w:rPr>
                <w:sz w:val="13"/>
                <w:szCs w:val="13"/>
                <w:color w:val="auto"/>
              </w:rPr>
            </w:pPr>
          </w:p>
        </w:tc>
        <w:tc>
          <w:tcPr>
            <w:tcW w:w="27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YEAR ENDED</w:t>
            </w:r>
          </w:p>
        </w:tc>
        <w:tc>
          <w:tcPr>
            <w:tcW w:w="12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3560" w:type="dxa"/>
            <w:vAlign w:val="bottom"/>
          </w:tcPr>
          <w:p>
            <w:pPr>
              <w:spacing w:after="0"/>
              <w:rPr>
                <w:sz w:val="13"/>
                <w:szCs w:val="13"/>
                <w:color w:val="auto"/>
              </w:rPr>
            </w:pPr>
          </w:p>
        </w:tc>
        <w:tc>
          <w:tcPr>
            <w:tcW w:w="27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OCTOBER 31</w:t>
            </w:r>
          </w:p>
        </w:tc>
        <w:tc>
          <w:tcPr>
            <w:tcW w:w="12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October 31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59"/>
        </w:trPr>
        <w:tc>
          <w:tcPr>
            <w:tcW w:w="3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76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1996</w:t>
            </w:r>
          </w:p>
        </w:tc>
        <w:tc>
          <w:tcPr>
            <w:tcW w:w="12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20"/>
                <w:szCs w:val="20"/>
                <w:color w:val="auto"/>
              </w:rPr>
            </w:pPr>
            <w:r>
              <w:rPr>
                <w:rFonts w:ascii="Courier New" w:cs="Courier New" w:eastAsia="Courier New" w:hAnsi="Courier New"/>
                <w:sz w:val="14"/>
                <w:szCs w:val="14"/>
                <w:color w:val="auto"/>
                <w:w w:val="99"/>
              </w:rPr>
              <w:t>CASH FLOWS FROM OPERATING</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2100" w:type="dxa"/>
            <w:vAlign w:val="bottom"/>
          </w:tcPr>
          <w:p>
            <w:pPr>
              <w:ind w:left="160"/>
              <w:spacing w:after="0"/>
              <w:rPr>
                <w:sz w:val="20"/>
                <w:szCs w:val="20"/>
                <w:color w:val="auto"/>
              </w:rPr>
            </w:pPr>
            <w:r>
              <w:rPr>
                <w:rFonts w:ascii="Courier New" w:cs="Courier New" w:eastAsia="Courier New" w:hAnsi="Courier New"/>
                <w:sz w:val="14"/>
                <w:szCs w:val="14"/>
                <w:color w:val="auto"/>
              </w:rPr>
              <w:t>Net earnings</w:t>
            </w:r>
          </w:p>
        </w:tc>
        <w:tc>
          <w:tcPr>
            <w:tcW w:w="3020" w:type="dxa"/>
            <w:vAlign w:val="bottom"/>
          </w:tcPr>
          <w:p>
            <w:pPr>
              <w:spacing w:after="0"/>
              <w:rPr>
                <w:sz w:val="13"/>
                <w:szCs w:val="13"/>
                <w:color w:val="auto"/>
              </w:rPr>
            </w:pP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36,409</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32,362</w:t>
            </w:r>
          </w:p>
        </w:tc>
        <w:tc>
          <w:tcPr>
            <w:tcW w:w="1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32,426</w:t>
            </w:r>
          </w:p>
        </w:tc>
      </w:tr>
      <w:tr>
        <w:trPr>
          <w:trHeight w:val="159"/>
        </w:trPr>
        <w:tc>
          <w:tcPr>
            <w:tcW w:w="5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51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cash provided by operating activities:</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5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18,170</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17,115</w:t>
            </w:r>
          </w:p>
        </w:tc>
        <w:tc>
          <w:tcPr>
            <w:tcW w:w="1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18,646</w:t>
            </w:r>
          </w:p>
        </w:tc>
      </w:tr>
      <w:tr>
        <w:trPr>
          <w:trHeight w:val="159"/>
        </w:trPr>
        <w:tc>
          <w:tcPr>
            <w:tcW w:w="2100" w:type="dxa"/>
            <w:vAlign w:val="bottom"/>
          </w:tcPr>
          <w:p>
            <w:pPr>
              <w:ind w:left="160"/>
              <w:spacing w:after="0"/>
              <w:rPr>
                <w:sz w:val="20"/>
                <w:szCs w:val="20"/>
                <w:color w:val="auto"/>
              </w:rPr>
            </w:pPr>
            <w:r>
              <w:rPr>
                <w:rFonts w:ascii="Courier New" w:cs="Courier New" w:eastAsia="Courier New" w:hAnsi="Courier New"/>
                <w:sz w:val="14"/>
                <w:szCs w:val="14"/>
                <w:color w:val="auto"/>
                <w:w w:val="99"/>
              </w:rPr>
              <w:t>(Gain) loss on disposal</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of property, plant and equipment</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(260)</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(147)</w:t>
            </w:r>
          </w:p>
        </w:tc>
        <w:tc>
          <w:tcPr>
            <w:tcW w:w="1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1,244</w:t>
            </w:r>
          </w:p>
        </w:tc>
      </w:tr>
      <w:tr>
        <w:trPr>
          <w:trHeight w:val="159"/>
        </w:trPr>
        <w:tc>
          <w:tcPr>
            <w:tcW w:w="2100" w:type="dxa"/>
            <w:vAlign w:val="bottom"/>
          </w:tcPr>
          <w:p>
            <w:pPr>
              <w:ind w:left="160"/>
              <w:spacing w:after="0"/>
              <w:rPr>
                <w:sz w:val="20"/>
                <w:szCs w:val="20"/>
                <w:color w:val="auto"/>
              </w:rPr>
            </w:pPr>
            <w:r>
              <w:rPr>
                <w:rFonts w:ascii="Courier New" w:cs="Courier New" w:eastAsia="Courier New" w:hAnsi="Courier New"/>
                <w:sz w:val="14"/>
                <w:szCs w:val="14"/>
                <w:color w:val="auto"/>
              </w:rPr>
              <w:t>Deferred income taxes</w:t>
            </w:r>
          </w:p>
        </w:tc>
        <w:tc>
          <w:tcPr>
            <w:tcW w:w="3020" w:type="dxa"/>
            <w:vAlign w:val="bottom"/>
          </w:tcPr>
          <w:p>
            <w:pPr>
              <w:spacing w:after="0"/>
              <w:rPr>
                <w:sz w:val="13"/>
                <w:szCs w:val="13"/>
                <w:color w:val="auto"/>
              </w:rPr>
            </w:pP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784</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(1,089)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(2,667)</w:t>
            </w:r>
          </w:p>
        </w:tc>
      </w:tr>
      <w:tr>
        <w:trPr>
          <w:trHeight w:val="159"/>
        </w:trPr>
        <w:tc>
          <w:tcPr>
            <w:tcW w:w="2100" w:type="dxa"/>
            <w:vAlign w:val="bottom"/>
          </w:tcPr>
          <w:p>
            <w:pPr>
              <w:ind w:left="160"/>
              <w:spacing w:after="0"/>
              <w:rPr>
                <w:sz w:val="20"/>
                <w:szCs w:val="20"/>
                <w:color w:val="auto"/>
              </w:rPr>
            </w:pPr>
            <w:r>
              <w:rPr>
                <w:rFonts w:ascii="Courier New" w:cs="Courier New" w:eastAsia="Courier New" w:hAnsi="Courier New"/>
                <w:sz w:val="14"/>
                <w:szCs w:val="14"/>
                <w:color w:val="auto"/>
                <w:w w:val="99"/>
              </w:rPr>
              <w:t>Tax benefits related to</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employee stock option transactions</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1,490</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1,178</w:t>
            </w:r>
          </w:p>
        </w:tc>
        <w:tc>
          <w:tcPr>
            <w:tcW w:w="1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953</w:t>
            </w:r>
          </w:p>
        </w:tc>
      </w:tr>
      <w:tr>
        <w:trPr>
          <w:trHeight w:val="159"/>
        </w:trPr>
        <w:tc>
          <w:tcPr>
            <w:tcW w:w="51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Net receivables</w:t>
            </w:r>
          </w:p>
        </w:tc>
        <w:tc>
          <w:tcPr>
            <w:tcW w:w="3020" w:type="dxa"/>
            <w:vAlign w:val="bottom"/>
          </w:tcPr>
          <w:p>
            <w:pPr>
              <w:spacing w:after="0"/>
              <w:rPr>
                <w:sz w:val="13"/>
                <w:szCs w:val="13"/>
                <w:color w:val="auto"/>
              </w:rPr>
            </w:pP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(40,821)</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1,094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(39,115)</w:t>
            </w:r>
          </w:p>
        </w:tc>
      </w:tr>
      <w:tr>
        <w:trPr>
          <w:trHeight w:val="159"/>
        </w:trPr>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rPr>
              <w:t>Inventories</w:t>
            </w:r>
          </w:p>
        </w:tc>
        <w:tc>
          <w:tcPr>
            <w:tcW w:w="3020" w:type="dxa"/>
            <w:vAlign w:val="bottom"/>
          </w:tcPr>
          <w:p>
            <w:pPr>
              <w:spacing w:after="0"/>
              <w:rPr>
                <w:sz w:val="13"/>
                <w:szCs w:val="13"/>
                <w:color w:val="auto"/>
              </w:rPr>
            </w:pP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15,574</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(13,008)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(20,041)</w:t>
            </w:r>
          </w:p>
        </w:tc>
      </w:tr>
      <w:tr>
        <w:trPr>
          <w:trHeight w:val="159"/>
        </w:trPr>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w w:val="98"/>
              </w:rPr>
              <w:t>Prepaid expenses and</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deferred income tax benefits</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(1,131)</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(5,660)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(3,918)</w:t>
            </w:r>
          </w:p>
        </w:tc>
      </w:tr>
      <w:tr>
        <w:trPr>
          <w:trHeight w:val="0"/>
        </w:trPr>
        <w:tc>
          <w:tcPr>
            <w:tcW w:w="2100" w:type="dxa"/>
            <w:vAlign w:val="bottom"/>
          </w:tcPr>
          <w:p>
            <w:pPr>
              <w:ind w:left="420"/>
              <w:spacing w:after="0"/>
              <w:rPr>
                <w:sz w:val="20"/>
                <w:szCs w:val="20"/>
                <w:color w:val="auto"/>
              </w:rPr>
            </w:pPr>
            <w:r>
              <w:rPr>
                <w:rFonts w:ascii="Courier New" w:cs="Courier New" w:eastAsia="Courier New" w:hAnsi="Courier New"/>
                <w:sz w:val="14"/>
                <w:szCs w:val="14"/>
                <w:color w:val="auto"/>
                <w:w w:val="98"/>
              </w:rPr>
              <w:t>Accounts payable and</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accrued expenses</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2,218</w:t>
            </w:r>
          </w:p>
        </w:tc>
        <w:tc>
          <w:tcPr>
            <w:tcW w:w="124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(11,868)</w:t>
            </w:r>
          </w:p>
        </w:tc>
        <w:tc>
          <w:tcPr>
            <w:tcW w:w="1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43,117</w:t>
            </w:r>
          </w:p>
        </w:tc>
      </w:tr>
    </w:tbl>
    <w:p>
      <w:pPr>
        <w:spacing w:after="0" w:line="163" w:lineRule="exact"/>
        <w:rPr>
          <w:sz w:val="20"/>
          <w:szCs w:val="20"/>
          <w:color w:val="auto"/>
        </w:rPr>
      </w:pPr>
    </w:p>
    <w:p>
      <w:pPr>
        <w:ind w:left="160" w:right="839" w:hanging="164"/>
        <w:spacing w:after="0" w:line="236" w:lineRule="auto"/>
        <w:rPr>
          <w:sz w:val="20"/>
          <w:szCs w:val="20"/>
          <w:color w:val="auto"/>
        </w:rPr>
      </w:pPr>
      <w:r>
        <w:rPr>
          <w:rFonts w:ascii="Courier New" w:cs="Courier New" w:eastAsia="Courier New" w:hAnsi="Courier New"/>
          <w:sz w:val="14"/>
          <w:szCs w:val="14"/>
          <w:color w:val="auto"/>
        </w:rPr>
        <w:t>- - - - ---------------------------------------------------------------------------------------------------------- Net cash provided by operating activities 32,433 19,977 30,645</w:t>
      </w:r>
    </w:p>
    <w:p>
      <w:pPr>
        <w:spacing w:after="0" w:line="5" w:lineRule="exact"/>
        <w:rPr>
          <w:sz w:val="20"/>
          <w:szCs w:val="20"/>
          <w:color w:val="auto"/>
        </w:rPr>
      </w:pPr>
    </w:p>
    <w:p>
      <w:pPr>
        <w:ind w:left="160" w:hanging="155"/>
        <w:spacing w:after="0"/>
        <w:tabs>
          <w:tab w:leader="none" w:pos="160" w:val="left"/>
        </w:tabs>
        <w:numPr>
          <w:ilvl w:val="0"/>
          <w:numId w:val="12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CASH FLOWS FROM INVESTING ACTIVITIES:</w:t>
      </w:r>
    </w:p>
    <w:tbl>
      <w:tblPr>
        <w:tblLayout w:type="fixed"/>
        <w:tblInd w:w="160" w:type="dxa"/>
        <w:tblCellMar>
          <w:top w:w="0" w:type="dxa"/>
          <w:left w:w="0" w:type="dxa"/>
          <w:bottom w:w="0" w:type="dxa"/>
          <w:right w:w="0" w:type="dxa"/>
        </w:tblCellMar>
      </w:tblPr>
      <w:tr>
        <w:trPr>
          <w:trHeight w:val="159"/>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7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(21,389)</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(26,987)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(21,036)</w:t>
            </w:r>
          </w:p>
        </w:tc>
      </w:tr>
      <w:tr>
        <w:trPr>
          <w:trHeight w:val="159"/>
        </w:trPr>
        <w:tc>
          <w:tcPr>
            <w:tcW w:w="1620" w:type="dxa"/>
            <w:vAlign w:val="bottom"/>
          </w:tcPr>
          <w:p>
            <w:pPr>
              <w:spacing w:after="0"/>
              <w:rPr>
                <w:sz w:val="20"/>
                <w:szCs w:val="20"/>
                <w:color w:val="auto"/>
              </w:rPr>
            </w:pPr>
            <w:r>
              <w:rPr>
                <w:rFonts w:ascii="Courier New" w:cs="Courier New" w:eastAsia="Courier New" w:hAnsi="Courier New"/>
                <w:sz w:val="14"/>
                <w:szCs w:val="14"/>
                <w:color w:val="auto"/>
              </w:rPr>
              <w:t>Proceeds from asset</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disposals</w:t>
            </w:r>
          </w:p>
        </w:tc>
        <w:tc>
          <w:tcPr>
            <w:tcW w:w="17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543</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850</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303</w:t>
            </w:r>
          </w:p>
        </w:tc>
      </w:tr>
      <w:tr>
        <w:trPr>
          <w:trHeight w:val="0"/>
        </w:trPr>
        <w:tc>
          <w:tcPr>
            <w:tcW w:w="1620" w:type="dxa"/>
            <w:vAlign w:val="bottom"/>
          </w:tcPr>
          <w:p>
            <w:pPr>
              <w:spacing w:after="0"/>
              <w:rPr>
                <w:sz w:val="20"/>
                <w:szCs w:val="20"/>
                <w:color w:val="auto"/>
              </w:rPr>
            </w:pPr>
            <w:r>
              <w:rPr>
                <w:rFonts w:ascii="Courier New" w:cs="Courier New" w:eastAsia="Courier New" w:hAnsi="Courier New"/>
                <w:sz w:val="14"/>
                <w:szCs w:val="14"/>
                <w:color w:val="auto"/>
              </w:rPr>
              <w:t>(Increase) decrease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 other assets/liabilities</w:t>
            </w:r>
          </w:p>
        </w:tc>
        <w:tc>
          <w:tcPr>
            <w:tcW w:w="17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(857)</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4,017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(2,326)</w:t>
            </w:r>
          </w:p>
        </w:tc>
      </w:tr>
    </w:tbl>
    <w:p>
      <w:pPr>
        <w:spacing w:after="0" w:line="163" w:lineRule="exact"/>
        <w:rPr>
          <w:sz w:val="20"/>
          <w:szCs w:val="20"/>
          <w:color w:val="auto"/>
        </w:rPr>
      </w:pPr>
    </w:p>
    <w:p>
      <w:pPr>
        <w:ind w:left="160" w:right="839" w:hanging="164"/>
        <w:spacing w:after="0" w:line="236" w:lineRule="auto"/>
        <w:rPr>
          <w:sz w:val="20"/>
          <w:szCs w:val="20"/>
          <w:color w:val="auto"/>
        </w:rPr>
      </w:pPr>
      <w:r>
        <w:rPr>
          <w:rFonts w:ascii="Courier New" w:cs="Courier New" w:eastAsia="Courier New" w:hAnsi="Courier New"/>
          <w:sz w:val="14"/>
          <w:szCs w:val="14"/>
          <w:color w:val="auto"/>
        </w:rPr>
        <w:t>- - - - ---------------------------------------------------------------------------------------------------------- Net cash used in investing activities (21,703) (22,120) (23,059)</w:t>
      </w:r>
    </w:p>
    <w:p>
      <w:pPr>
        <w:spacing w:after="0" w:line="5" w:lineRule="exact"/>
        <w:rPr>
          <w:sz w:val="20"/>
          <w:szCs w:val="20"/>
          <w:color w:val="auto"/>
        </w:rPr>
      </w:pPr>
    </w:p>
    <w:p>
      <w:pPr>
        <w:ind w:left="160" w:hanging="155"/>
        <w:spacing w:after="0"/>
        <w:tabs>
          <w:tab w:leader="none" w:pos="160" w:val="left"/>
        </w:tabs>
        <w:numPr>
          <w:ilvl w:val="0"/>
          <w:numId w:val="12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CASH FLOWS FROM FINANCING ACTIVITIES:</w:t>
      </w:r>
    </w:p>
    <w:tbl>
      <w:tblPr>
        <w:tblLayout w:type="fixed"/>
        <w:tblInd w:w="160" w:type="dxa"/>
        <w:tblCellMar>
          <w:top w:w="0" w:type="dxa"/>
          <w:left w:w="0" w:type="dxa"/>
          <w:bottom w:w="0" w:type="dxa"/>
          <w:right w:w="0" w:type="dxa"/>
        </w:tblCellMar>
      </w:tblPr>
      <w:tr>
        <w:trPr>
          <w:trHeight w:val="159"/>
        </w:trPr>
        <w:tc>
          <w:tcPr>
            <w:tcW w:w="1860" w:type="dxa"/>
            <w:vAlign w:val="bottom"/>
          </w:tcPr>
          <w:p>
            <w:pPr>
              <w:spacing w:after="0"/>
              <w:rPr>
                <w:sz w:val="20"/>
                <w:szCs w:val="20"/>
                <w:color w:val="auto"/>
              </w:rPr>
            </w:pPr>
            <w:r>
              <w:rPr>
                <w:rFonts w:ascii="Courier New" w:cs="Courier New" w:eastAsia="Courier New" w:hAnsi="Courier New"/>
                <w:sz w:val="14"/>
                <w:szCs w:val="14"/>
                <w:color w:val="auto"/>
                <w:w w:val="99"/>
              </w:rPr>
              <w:t>(Decrease) increase in</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w:t>
            </w:r>
          </w:p>
        </w:tc>
        <w:tc>
          <w:tcPr>
            <w:tcW w:w="18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(550)</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41,575</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1860" w:type="dxa"/>
            <w:vAlign w:val="bottom"/>
          </w:tcPr>
          <w:p>
            <w:pPr>
              <w:spacing w:after="0"/>
              <w:rPr>
                <w:sz w:val="20"/>
                <w:szCs w:val="20"/>
                <w:color w:val="auto"/>
              </w:rPr>
            </w:pPr>
            <w:r>
              <w:rPr>
                <w:rFonts w:ascii="Courier New" w:cs="Courier New" w:eastAsia="Courier New" w:hAnsi="Courier New"/>
                <w:sz w:val="14"/>
                <w:szCs w:val="14"/>
                <w:color w:val="auto"/>
                <w:w w:val="99"/>
              </w:rPr>
              <w:t>Proceeds from issuance</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4,000</w:t>
            </w: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Repayments of long-term debt</w:t>
            </w:r>
          </w:p>
        </w:tc>
        <w:tc>
          <w:tcPr>
            <w:tcW w:w="18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(15,334)</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(22,755)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(36,077)</w:t>
            </w: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deferred income</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12,742</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5,250</w:t>
            </w: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4,627</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7,632</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8,518</w:t>
            </w: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common stock</w:t>
            </w:r>
          </w:p>
        </w:tc>
        <w:tc>
          <w:tcPr>
            <w:tcW w:w="18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(13,339)</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(26,024)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(2,814)</w:t>
            </w:r>
          </w:p>
        </w:tc>
      </w:tr>
      <w:tr>
        <w:trPr>
          <w:trHeight w:val="159"/>
        </w:trPr>
        <w:tc>
          <w:tcPr>
            <w:tcW w:w="446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common stock</w:t>
            </w:r>
          </w:p>
        </w:tc>
        <w:tc>
          <w:tcPr>
            <w:tcW w:w="18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(5,834)</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(5,953)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(6,022)</w:t>
            </w:r>
          </w:p>
        </w:tc>
      </w:tr>
      <w:tr>
        <w:trPr>
          <w:trHeight w:val="159"/>
        </w:trPr>
        <w:tc>
          <w:tcPr>
            <w:tcW w:w="1860" w:type="dxa"/>
            <w:vAlign w:val="bottom"/>
          </w:tcPr>
          <w:p>
            <w:pPr>
              <w:spacing w:after="0"/>
              <w:rPr>
                <w:sz w:val="20"/>
                <w:szCs w:val="20"/>
                <w:color w:val="auto"/>
              </w:rPr>
            </w:pPr>
            <w:r>
              <w:rPr>
                <w:rFonts w:ascii="Courier New" w:cs="Courier New" w:eastAsia="Courier New" w:hAnsi="Courier New"/>
                <w:sz w:val="14"/>
                <w:szCs w:val="14"/>
                <w:color w:val="auto"/>
              </w:rPr>
              <w:t>Repayments from ESOP</w:t>
            </w:r>
          </w:p>
        </w:tc>
        <w:tc>
          <w:tcPr>
            <w:tcW w:w="2600" w:type="dxa"/>
            <w:vAlign w:val="bottom"/>
          </w:tcPr>
          <w:p>
            <w:pPr>
              <w:spacing w:after="0"/>
              <w:rPr>
                <w:sz w:val="13"/>
                <w:szCs w:val="13"/>
                <w:color w:val="auto"/>
              </w:rPr>
            </w:pP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2,612</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0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(17,688)</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(2,913)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(24,534)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1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(678)</w:t>
            </w:r>
          </w:p>
        </w:tc>
        <w:tc>
          <w:tcPr>
            <w:tcW w:w="11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8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(7,636)</w:t>
            </w:r>
          </w:p>
        </w:tc>
        <w:tc>
          <w:tcPr>
            <w:tcW w:w="1200" w:type="dxa"/>
            <w:vAlign w:val="bottom"/>
          </w:tcPr>
          <w:p>
            <w:pPr>
              <w:ind w:left="320"/>
              <w:spacing w:after="0"/>
              <w:rPr>
                <w:sz w:val="20"/>
                <w:szCs w:val="20"/>
                <w:color w:val="auto"/>
              </w:rPr>
            </w:pPr>
            <w:r>
              <w:rPr>
                <w:rFonts w:ascii="Courier New" w:cs="Courier New" w:eastAsia="Courier New" w:hAnsi="Courier New"/>
                <w:sz w:val="14"/>
                <w:szCs w:val="14"/>
                <w:color w:val="auto"/>
              </w:rPr>
              <w:t>(4,700)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(15,797)</w:t>
            </w:r>
          </w:p>
        </w:tc>
      </w:t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8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7,702</w:t>
            </w:r>
          </w:p>
        </w:tc>
        <w:tc>
          <w:tcPr>
            <w:tcW w:w="1200" w:type="dxa"/>
            <w:vAlign w:val="bottom"/>
          </w:tcPr>
          <w:p>
            <w:pPr>
              <w:ind w:left="320"/>
              <w:spacing w:after="0"/>
              <w:rPr>
                <w:sz w:val="20"/>
                <w:szCs w:val="20"/>
                <w:color w:val="auto"/>
              </w:rPr>
            </w:pPr>
            <w:r>
              <w:rPr>
                <w:rFonts w:ascii="Courier New" w:cs="Courier New" w:eastAsia="Courier New" w:hAnsi="Courier New"/>
                <w:sz w:val="14"/>
                <w:szCs w:val="14"/>
                <w:color w:val="auto"/>
              </w:rPr>
              <w:t>12,402</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28,199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spacing w:after="0"/>
        <w:tabs>
          <w:tab w:leader="none" w:pos="5260" w:val="left"/>
          <w:tab w:leader="none" w:pos="5920" w:val="left"/>
          <w:tab w:leader="none" w:pos="6500" w:val="left"/>
          <w:tab w:leader="none" w:pos="6920" w:val="left"/>
          <w:tab w:leader="none" w:pos="7740" w:val="left"/>
          <w:tab w:leader="none" w:pos="8060" w:val="left"/>
        </w:tabs>
        <w:rPr>
          <w:sz w:val="20"/>
          <w:szCs w:val="20"/>
          <w:color w:val="auto"/>
        </w:rPr>
      </w:pPr>
      <w:r>
        <w:rPr>
          <w:rFonts w:ascii="Courier New" w:cs="Courier New" w:eastAsia="Courier New" w:hAnsi="Courier New"/>
          <w:sz w:val="14"/>
          <w:szCs w:val="14"/>
          <w:color w:val="auto"/>
        </w:rPr>
        <w:t>Cash and cash equivalents at end of year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7,702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12,402</w:t>
      </w:r>
    </w:p>
    <w:p>
      <w:pPr>
        <w:spacing w:after="0" w:line="4" w:lineRule="exact"/>
        <w:rPr>
          <w:sz w:val="20"/>
          <w:szCs w:val="20"/>
          <w:color w:val="auto"/>
        </w:rPr>
      </w:pPr>
    </w:p>
    <w:p>
      <w:pPr>
        <w:ind w:left="160" w:hanging="155"/>
        <w:spacing w:after="0"/>
        <w:tabs>
          <w:tab w:leader="none" w:pos="160" w:val="left"/>
        </w:tabs>
        <w:numPr>
          <w:ilvl w:val="0"/>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592" w:right="1440" w:bottom="1440" w:gutter="0" w:footer="0" w:header="0"/>
        </w:sectPr>
      </w:pPr>
    </w:p>
    <w:bookmarkStart w:id="85" w:name="page86"/>
    <w:bookmarkEnd w:id="85"/>
    <w:p>
      <w:pPr>
        <w:spacing w:after="0"/>
        <w:tabs>
          <w:tab w:leader="none" w:pos="2040" w:val="left"/>
        </w:tabs>
        <w:rPr>
          <w:sz w:val="20"/>
          <w:szCs w:val="20"/>
          <w:color w:val="auto"/>
        </w:rPr>
      </w:pP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3"/>
          <w:szCs w:val="13"/>
          <w:color w:val="auto"/>
        </w:rPr>
        <w:t>The Toro Company</w:t>
      </w:r>
    </w:p>
    <w:p>
      <w:pPr>
        <w:spacing w:after="0" w:line="321" w:lineRule="exact"/>
        <w:rPr>
          <w:sz w:val="20"/>
          <w:szCs w:val="20"/>
          <w:color w:val="auto"/>
        </w:rPr>
      </w:pPr>
    </w:p>
    <w:p>
      <w:pPr>
        <w:ind w:left="160" w:hanging="155"/>
        <w:spacing w:after="0"/>
        <w:tabs>
          <w:tab w:leader="none" w:pos="160"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3 Months</w:t>
            </w:r>
          </w:p>
        </w:tc>
        <w:tc>
          <w:tcPr>
            <w:tcW w:w="1740" w:type="dxa"/>
            <w:vAlign w:val="bottom"/>
          </w:tcPr>
          <w:p>
            <w:pPr>
              <w:spacing w:after="0"/>
              <w:rPr>
                <w:sz w:val="13"/>
                <w:szCs w:val="13"/>
                <w:color w:val="auto"/>
              </w:rPr>
            </w:pPr>
          </w:p>
        </w:tc>
        <w:tc>
          <w:tcPr>
            <w:tcW w:w="2140" w:type="dxa"/>
            <w:vAlign w:val="bottom"/>
            <w:gridSpan w:val="2"/>
          </w:tcPr>
          <w:p>
            <w:pPr>
              <w:jc w:val="right"/>
              <w:ind w:right="751"/>
              <w:spacing w:after="0"/>
              <w:rPr>
                <w:sz w:val="20"/>
                <w:szCs w:val="20"/>
                <w:color w:val="auto"/>
              </w:rPr>
            </w:pPr>
            <w:r>
              <w:rPr>
                <w:rFonts w:ascii="Courier New" w:cs="Courier New" w:eastAsia="Courier New" w:hAnsi="Courier New"/>
                <w:sz w:val="14"/>
                <w:szCs w:val="14"/>
                <w:color w:val="auto"/>
              </w:rPr>
              <w:t>Years Ended</w:t>
            </w:r>
          </w:p>
        </w:tc>
        <w:tc>
          <w:tcPr>
            <w:tcW w:w="1000" w:type="dxa"/>
            <w:vAlign w:val="bottom"/>
          </w:tcPr>
          <w:p>
            <w:pPr>
              <w:spacing w:after="0"/>
              <w:rPr>
                <w:sz w:val="13"/>
                <w:szCs w:val="13"/>
                <w:color w:val="auto"/>
              </w:rPr>
            </w:pPr>
          </w:p>
        </w:tc>
      </w:tr>
      <w:tr>
        <w:trPr>
          <w:trHeight w:val="159"/>
        </w:trPr>
        <w:tc>
          <w:tcPr>
            <w:tcW w:w="2520" w:type="dxa"/>
            <w:vAlign w:val="bottom"/>
          </w:tcPr>
          <w:p>
            <w:pPr>
              <w:spacing w:after="0"/>
              <w:rPr>
                <w:sz w:val="13"/>
                <w:szCs w:val="13"/>
                <w:color w:val="auto"/>
              </w:rPr>
            </w:pPr>
          </w:p>
        </w:tc>
        <w:tc>
          <w:tcPr>
            <w:tcW w:w="17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YEAR ENDED</w:t>
            </w:r>
          </w:p>
        </w:tc>
        <w:tc>
          <w:tcPr>
            <w:tcW w:w="11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Ended</w:t>
            </w:r>
          </w:p>
        </w:tc>
        <w:tc>
          <w:tcPr>
            <w:tcW w:w="26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7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OCTOBER 31</w:t>
            </w:r>
          </w:p>
        </w:tc>
        <w:tc>
          <w:tcPr>
            <w:tcW w:w="11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October 31</w:t>
            </w:r>
          </w:p>
        </w:tc>
        <w:tc>
          <w:tcPr>
            <w:tcW w:w="1740" w:type="dxa"/>
            <w:vAlign w:val="bottom"/>
          </w:tcPr>
          <w:p>
            <w:pPr>
              <w:jc w:val="right"/>
              <w:ind w:right="597"/>
              <w:spacing w:after="0"/>
              <w:rPr>
                <w:sz w:val="20"/>
                <w:szCs w:val="20"/>
                <w:color w:val="auto"/>
              </w:rPr>
            </w:pPr>
            <w:r>
              <w:rPr>
                <w:rFonts w:ascii="Courier New" w:cs="Courier New" w:eastAsia="Courier New" w:hAnsi="Courier New"/>
                <w:sz w:val="14"/>
                <w:szCs w:val="14"/>
                <w:color w:val="auto"/>
              </w:rPr>
              <w:t>July 31</w:t>
            </w:r>
          </w:p>
        </w:tc>
        <w:tc>
          <w:tcPr>
            <w:tcW w:w="900" w:type="dxa"/>
            <w:vAlign w:val="bottom"/>
          </w:tcPr>
          <w:p>
            <w:pPr>
              <w:jc w:val="right"/>
              <w:ind w:right="251"/>
              <w:spacing w:after="0"/>
              <w:rPr>
                <w:sz w:val="20"/>
                <w:szCs w:val="20"/>
                <w:color w:val="auto"/>
              </w:rPr>
            </w:pPr>
            <w:r>
              <w:rPr>
                <w:rFonts w:ascii="Courier New" w:cs="Courier New" w:eastAsia="Courier New" w:hAnsi="Courier New"/>
                <w:sz w:val="14"/>
                <w:szCs w:val="14"/>
                <w:color w:val="auto"/>
                <w:w w:val="95"/>
              </w:rPr>
              <w:t>July 31</w:t>
            </w:r>
          </w:p>
        </w:tc>
        <w:tc>
          <w:tcPr>
            <w:tcW w:w="12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July 31</w:t>
            </w:r>
          </w:p>
        </w:tc>
        <w:tc>
          <w:tcPr>
            <w:tcW w:w="1000" w:type="dxa"/>
            <w:vAlign w:val="bottom"/>
          </w:tcPr>
          <w:p>
            <w:pPr>
              <w:jc w:val="right"/>
              <w:ind w:right="31"/>
              <w:spacing w:after="0"/>
              <w:rPr>
                <w:sz w:val="20"/>
                <w:szCs w:val="20"/>
                <w:color w:val="auto"/>
              </w:rPr>
            </w:pPr>
            <w:r>
              <w:rPr>
                <w:rFonts w:ascii="Courier New" w:cs="Courier New" w:eastAsia="Courier New" w:hAnsi="Courier New"/>
                <w:sz w:val="14"/>
                <w:szCs w:val="14"/>
                <w:color w:val="auto"/>
              </w:rPr>
              <w:t>July 31</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174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1996</w:t>
            </w:r>
          </w:p>
        </w:tc>
        <w:tc>
          <w:tcPr>
            <w:tcW w:w="11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1995</w:t>
            </w:r>
          </w:p>
        </w:tc>
        <w:tc>
          <w:tcPr>
            <w:tcW w:w="1740" w:type="dxa"/>
            <w:vAlign w:val="bottom"/>
          </w:tcPr>
          <w:p>
            <w:pPr>
              <w:jc w:val="right"/>
              <w:ind w:right="597"/>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1994</w:t>
            </w:r>
          </w:p>
        </w:tc>
        <w:tc>
          <w:tcPr>
            <w:tcW w:w="12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1993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930,909</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192,278</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932,853</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794,341</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684,324</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643,748</w:t>
            </w:r>
          </w:p>
        </w:tc>
        <w:tc>
          <w:tcPr>
            <w:tcW w:w="240" w:type="dxa"/>
            <w:vAlign w:val="bottom"/>
          </w:tcPr>
          <w:p>
            <w:pPr>
              <w:spacing w:after="0"/>
              <w:rPr>
                <w:sz w:val="13"/>
                <w:szCs w:val="13"/>
                <w:color w:val="auto"/>
              </w:rPr>
            </w:pPr>
          </w:p>
        </w:tc>
      </w:tr>
      <w:tr>
        <w:trPr>
          <w:trHeight w:val="317"/>
        </w:trPr>
        <w:tc>
          <w:tcPr>
            <w:tcW w:w="29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36,409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3,997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36,667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22,230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13,040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5"/>
              </w:rPr>
              <w:t>(23,753)</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5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91"/>
              <w:spacing w:after="0"/>
              <w:rPr>
                <w:sz w:val="20"/>
                <w:szCs w:val="20"/>
                <w:color w:val="auto"/>
              </w:rPr>
            </w:pPr>
            <w:r>
              <w:rPr>
                <w:rFonts w:ascii="Courier New" w:cs="Courier New" w:eastAsia="Courier New" w:hAnsi="Courier New"/>
                <w:sz w:val="14"/>
                <w:szCs w:val="14"/>
                <w:color w:val="auto"/>
              </w:rPr>
              <w:t>(3.7)%</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common stock equivalent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0.32</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2.81</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1.71</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1.05</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c>
          <w:tcPr>
            <w:tcW w:w="240" w:type="dxa"/>
            <w:vAlign w:val="bottom"/>
          </w:tcPr>
          <w:p>
            <w:pPr>
              <w:spacing w:after="0"/>
              <w:rPr>
                <w:sz w:val="13"/>
                <w:szCs w:val="13"/>
                <w:color w:val="auto"/>
              </w:rPr>
            </w:pPr>
          </w:p>
        </w:tc>
      </w:tr>
      <w:tr>
        <w:trPr>
          <w:trHeight w:val="317"/>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5,834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1,459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6,002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5,993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5,824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5,753</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Per share of common</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stock outstanding</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0.12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0.48</w:t>
            </w:r>
          </w:p>
        </w:tc>
        <w:tc>
          <w:tcPr>
            <w:tcW w:w="240" w:type="dxa"/>
            <w:vAlign w:val="bottom"/>
          </w:tcPr>
          <w:p>
            <w:pPr>
              <w:spacing w:after="0"/>
              <w:rPr>
                <w:sz w:val="13"/>
                <w:szCs w:val="13"/>
                <w:color w:val="auto"/>
              </w:rPr>
            </w:pPr>
          </w:p>
        </w:tc>
      </w:tr>
      <w:tr>
        <w:trPr>
          <w:trHeight w:val="317"/>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Beginning common</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91"/>
              <w:spacing w:after="0"/>
              <w:rPr>
                <w:sz w:val="20"/>
                <w:szCs w:val="20"/>
                <w:color w:val="auto"/>
              </w:rPr>
            </w:pPr>
            <w:r>
              <w:rPr>
                <w:rFonts w:ascii="Courier New" w:cs="Courier New" w:eastAsia="Courier New" w:hAnsi="Courier New"/>
                <w:sz w:val="14"/>
                <w:szCs w:val="14"/>
                <w:color w:val="auto"/>
              </w:rPr>
              <w:t>(14.8)%</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stockholders' equity</w:t>
            </w:r>
          </w:p>
        </w:tc>
        <w:tc>
          <w:tcPr>
            <w:tcW w:w="5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91"/>
              <w:spacing w:after="0"/>
              <w:rPr>
                <w:sz w:val="20"/>
                <w:szCs w:val="20"/>
                <w:color w:val="auto"/>
              </w:rPr>
            </w:pPr>
            <w:r>
              <w:rPr>
                <w:rFonts w:ascii="Courier New" w:cs="Courier New" w:eastAsia="Courier New" w:hAnsi="Courier New"/>
                <w:sz w:val="14"/>
                <w:szCs w:val="14"/>
                <w:color w:val="auto"/>
              </w:rPr>
              <w:t>(16.2)%</w:t>
            </w:r>
          </w:p>
        </w:tc>
      </w:tr>
      <w:tr>
        <w:trPr>
          <w:trHeight w:val="317"/>
        </w:trPr>
        <w:tc>
          <w:tcPr>
            <w:tcW w:w="294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405,001</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386,259</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381,610</w:t>
            </w:r>
          </w:p>
        </w:tc>
        <w:tc>
          <w:tcPr>
            <w:tcW w:w="3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364,495</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344,130</w:t>
            </w:r>
          </w:p>
        </w:tc>
        <w:tc>
          <w:tcPr>
            <w:tcW w:w="3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332,517</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207,857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221,173</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212,659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188,712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150,260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122,087</w:t>
            </w: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Working capital</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197,144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165,086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168,951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175,783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193,870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210,430</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91,876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86,394</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86,705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79,144</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75,073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88,793</w:t>
            </w: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496,877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472,653</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468,315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443,639</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419,203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421,310</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excluding long-term debt</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22,438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7,223</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5,250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1,372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2,509</w:t>
            </w:r>
          </w:p>
        </w:tc>
        <w:tc>
          <w:tcPr>
            <w:tcW w:w="240" w:type="dxa"/>
            <w:vAlign w:val="bottom"/>
          </w:tcPr>
          <w:p>
            <w:pPr>
              <w:spacing w:after="0"/>
              <w:rPr>
                <w:sz w:val="13"/>
                <w:szCs w:val="13"/>
                <w:color w:val="auto"/>
              </w:rPr>
            </w:pPr>
          </w:p>
        </w:tc>
      </w:tr>
      <w:tr>
        <w:trPr>
          <w:trHeight w:val="317"/>
        </w:trPr>
        <w:tc>
          <w:tcPr>
            <w:tcW w:w="294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less current portion</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53,015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53,365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64,935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81,025</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122,970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164,100</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213,567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190,892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185,471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168,652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144,601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132,614</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266,582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244,257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250,406</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249,677</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w w:val="95"/>
              </w:rPr>
              <w:t>267,571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w w:val="91"/>
              </w:rPr>
              <w:t>296,714</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15.40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13.43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11.78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11.01</w:t>
            </w:r>
          </w:p>
        </w:tc>
        <w:tc>
          <w:tcPr>
            <w:tcW w:w="240" w:type="dxa"/>
            <w:vAlign w:val="bottom"/>
          </w:tcPr>
          <w:p>
            <w:pPr>
              <w:spacing w:after="0"/>
              <w:rPr>
                <w:sz w:val="13"/>
                <w:szCs w:val="13"/>
                <w:color w:val="auto"/>
              </w:rPr>
            </w:pPr>
          </w:p>
        </w:tc>
      </w:tr>
      <w:tr>
        <w:trPr>
          <w:trHeight w:val="317"/>
        </w:trPr>
        <w:tc>
          <w:tcPr>
            <w:tcW w:w="294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of common stock</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outstanding (in thousands)</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12,032</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12,168</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12,040</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12,561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12,270</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12,042</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Number of common</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59"/>
        </w:trPr>
        <w:tc>
          <w:tcPr>
            <w:tcW w:w="2940" w:type="dxa"/>
            <w:vAlign w:val="bottom"/>
          </w:tcPr>
          <w:p>
            <w:pPr>
              <w:ind w:left="160"/>
              <w:spacing w:after="0"/>
              <w:rPr>
                <w:sz w:val="20"/>
                <w:szCs w:val="20"/>
                <w:color w:val="auto"/>
              </w:rPr>
            </w:pPr>
            <w:r>
              <w:rPr>
                <w:rFonts w:ascii="Courier New" w:cs="Courier New" w:eastAsia="Courier New" w:hAnsi="Courier New"/>
                <w:sz w:val="14"/>
                <w:szCs w:val="14"/>
                <w:color w:val="auto"/>
              </w:rPr>
              <w:t>stockholders</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6,841</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7,243</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7,347</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7,541</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7,968</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8,386</w:t>
            </w:r>
          </w:p>
        </w:tc>
        <w:tc>
          <w:tcPr>
            <w:tcW w:w="240" w:type="dxa"/>
            <w:vAlign w:val="bottom"/>
          </w:tcPr>
          <w:p>
            <w:pPr>
              <w:spacing w:after="0"/>
              <w:rPr>
                <w:sz w:val="13"/>
                <w:szCs w:val="13"/>
                <w:color w:val="auto"/>
              </w:rPr>
            </w:pP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51"/>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51"/>
              <w:spacing w:after="0"/>
              <w:rPr>
                <w:sz w:val="20"/>
                <w:szCs w:val="20"/>
                <w:color w:val="auto"/>
              </w:rPr>
            </w:pPr>
            <w:r>
              <w:rPr>
                <w:rFonts w:ascii="Courier New" w:cs="Courier New" w:eastAsia="Courier New" w:hAnsi="Courier New"/>
                <w:sz w:val="14"/>
                <w:szCs w:val="14"/>
                <w:color w:val="auto"/>
                <w:w w:val="95"/>
              </w:rPr>
              <w:t>1/8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5/8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1/8</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ind w:right="51"/>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51"/>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3/8</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30</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1/2</w:t>
            </w: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21</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7/8</w:t>
            </w: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17</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1/2</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5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51"/>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51"/>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71"/>
              <w:spacing w:after="0"/>
              <w:rPr>
                <w:sz w:val="20"/>
                <w:szCs w:val="20"/>
                <w:color w:val="auto"/>
              </w:rPr>
            </w:pPr>
            <w:r>
              <w:rPr>
                <w:rFonts w:ascii="Courier New" w:cs="Courier New" w:eastAsia="Courier New" w:hAnsi="Courier New"/>
                <w:sz w:val="14"/>
                <w:szCs w:val="14"/>
                <w:color w:val="auto"/>
                <w:w w:val="87"/>
              </w:rPr>
              <w:t>5/8</w:t>
            </w:r>
          </w:p>
        </w:tc>
        <w:tc>
          <w:tcPr>
            <w:tcW w:w="20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22</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w:t>
            </w:r>
          </w:p>
        </w:tc>
        <w:tc>
          <w:tcPr>
            <w:tcW w:w="360" w:type="dxa"/>
            <w:vAlign w:val="bottom"/>
          </w:tcPr>
          <w:p>
            <w:pPr>
              <w:jc w:val="right"/>
              <w:ind w:right="51"/>
              <w:spacing w:after="0"/>
              <w:rPr>
                <w:sz w:val="20"/>
                <w:szCs w:val="20"/>
                <w:color w:val="auto"/>
              </w:rPr>
            </w:pPr>
            <w:r>
              <w:rPr>
                <w:rFonts w:ascii="Courier New" w:cs="Courier New" w:eastAsia="Courier New" w:hAnsi="Courier New"/>
                <w:sz w:val="14"/>
                <w:szCs w:val="14"/>
                <w:color w:val="auto"/>
                <w:w w:val="87"/>
              </w:rPr>
              <w:t>3/4</w:t>
            </w:r>
          </w:p>
        </w:tc>
        <w:tc>
          <w:tcPr>
            <w:tcW w:w="220" w:type="dxa"/>
            <w:vAlign w:val="bottom"/>
          </w:tcPr>
          <w:p>
            <w:pPr>
              <w:spacing w:after="0"/>
              <w:rPr>
                <w:sz w:val="13"/>
                <w:szCs w:val="13"/>
                <w:color w:val="auto"/>
              </w:rPr>
            </w:pPr>
          </w:p>
        </w:tc>
        <w:tc>
          <w:tcPr>
            <w:tcW w:w="66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13</w:t>
            </w:r>
          </w:p>
        </w:tc>
        <w:tc>
          <w:tcPr>
            <w:tcW w:w="240" w:type="dxa"/>
            <w:vAlign w:val="bottom"/>
          </w:tcPr>
          <w:p>
            <w:pPr>
              <w:spacing w:after="0"/>
              <w:rPr>
                <w:sz w:val="13"/>
                <w:szCs w:val="13"/>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*Includes restructuring costs of $24.9 million, or $1.41 per share.</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80"/>
          </w:cols>
          <w:pgMar w:left="220" w:top="592" w:right="299"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tabs>
          <w:tab w:leader="none" w:pos="4100" w:val="left"/>
        </w:tabs>
        <w:rPr>
          <w:sz w:val="20"/>
          <w:szCs w:val="20"/>
          <w:color w:val="auto"/>
        </w:rPr>
      </w:pPr>
      <w:r>
        <w:rPr>
          <w:rFonts w:ascii="Courier New" w:cs="Courier New" w:eastAsia="Courier New" w:hAnsi="Courier New"/>
          <w:sz w:val="14"/>
          <w:szCs w:val="14"/>
          <w:color w:val="auto"/>
        </w:rPr>
        <w:t>OF FINANCIAL CONDITION AND RESULTS OF OPERATIONS</w:t>
      </w:r>
      <w:r>
        <w:rPr>
          <w:sz w:val="20"/>
          <w:szCs w:val="20"/>
          <w:color w:val="auto"/>
        </w:rPr>
        <w:tab/>
      </w:r>
      <w:r>
        <w:rPr>
          <w:rFonts w:ascii="Courier New" w:cs="Courier New" w:eastAsia="Courier New" w:hAnsi="Courier New"/>
          <w:sz w:val="13"/>
          <w:szCs w:val="13"/>
          <w:color w:val="auto"/>
        </w:rPr>
        <w:t>The Toro Company</w:t>
      </w:r>
    </w:p>
    <w:p>
      <w:pPr>
        <w:spacing w:after="0" w:line="163" w:lineRule="exact"/>
        <w:rPr>
          <w:sz w:val="20"/>
          <w:szCs w:val="20"/>
          <w:color w:val="auto"/>
        </w:rPr>
      </w:pPr>
    </w:p>
    <w:p>
      <w:pPr>
        <w:ind w:right="4940"/>
        <w:spacing w:after="0" w:line="239"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A comparison of the year ended October 31, 1996 to the year ended October 31, 1995 is presented beginning on page 16. The 3 month transition period ended October 31, 1995 bridges the gap between the company's old and new fiscal year ends. A comparison of this transition period to the same period in 1994 is presented below. In addition, a comparison of the years ended July 31, 1995 and 1994 is also presented below.</w:t>
      </w:r>
    </w:p>
    <w:p>
      <w:pPr>
        <w:spacing w:after="0" w:line="163" w:lineRule="exact"/>
        <w:rPr>
          <w:sz w:val="20"/>
          <w:szCs w:val="20"/>
          <w:color w:val="auto"/>
        </w:rPr>
      </w:pPr>
    </w:p>
    <w:p>
      <w:pPr>
        <w:ind w:right="5100" w:firstLine="165"/>
        <w:spacing w:after="0" w:line="238" w:lineRule="auto"/>
        <w:rPr>
          <w:sz w:val="20"/>
          <w:szCs w:val="20"/>
          <w:color w:val="auto"/>
        </w:rPr>
      </w:pPr>
      <w:r>
        <w:rPr>
          <w:rFonts w:ascii="Courier New" w:cs="Courier New" w:eastAsia="Courier New" w:hAnsi="Courier New"/>
          <w:sz w:val="14"/>
          <w:szCs w:val="14"/>
          <w:color w:val="auto"/>
        </w:rPr>
        <w:t>Financial information related to the 3 month transition period ended October 31, 1995, and the years ended July 31, 1995 and 1994 has been derived from the audited financial statements. Financial information related to the 3 month period ended October 28, 1994 is unaudited.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63" w:lineRule="exact"/>
        <w:rPr>
          <w:sz w:val="20"/>
          <w:szCs w:val="20"/>
          <w:color w:val="auto"/>
        </w:rPr>
      </w:pPr>
    </w:p>
    <w:p>
      <w:pPr>
        <w:ind w:right="5020"/>
        <w:spacing w:after="0" w:line="238" w:lineRule="auto"/>
        <w:rPr>
          <w:sz w:val="20"/>
          <w:szCs w:val="20"/>
          <w:color w:val="auto"/>
        </w:rPr>
      </w:pPr>
      <w:r>
        <w:rPr>
          <w:rFonts w:ascii="Courier New" w:cs="Courier New" w:eastAsia="Courier New" w:hAnsi="Courier New"/>
          <w:sz w:val="14"/>
          <w:szCs w:val="14"/>
          <w:color w:val="auto"/>
        </w:rPr>
        <w:t>The sales for the 3 month transition period ended October 31, 1995 were $192.3 million versus $205.7 million in the same period of the prior year. The decline was due to extraordinary snow product sales in 1994. Earnings for the period were $4.0 million versus $8.3 million in the prior year.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4" w:lineRule="exact"/>
        <w:rPr>
          <w:sz w:val="20"/>
          <w:szCs w:val="20"/>
          <w:color w:val="auto"/>
        </w:rPr>
      </w:pPr>
    </w:p>
    <w:p>
      <w:pPr>
        <w:ind w:left="160" w:hanging="155"/>
        <w:spacing w:after="0"/>
        <w:tabs>
          <w:tab w:leader="none" w:pos="160"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80" w:type="dxa"/>
            <w:vAlign w:val="bottom"/>
          </w:tcPr>
          <w:p>
            <w:pPr>
              <w:spacing w:after="0"/>
              <w:rPr>
                <w:sz w:val="13"/>
                <w:szCs w:val="13"/>
                <w:color w:val="auto"/>
              </w:rPr>
            </w:pPr>
          </w:p>
        </w:tc>
        <w:tc>
          <w:tcPr>
            <w:tcW w:w="148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 Months Ended</w:t>
            </w:r>
          </w:p>
        </w:tc>
        <w:tc>
          <w:tcPr>
            <w:tcW w:w="940" w:type="dxa"/>
            <w:vAlign w:val="bottom"/>
          </w:tcPr>
          <w:p>
            <w:pPr>
              <w:spacing w:after="0"/>
              <w:rPr>
                <w:sz w:val="13"/>
                <w:szCs w:val="13"/>
                <w:color w:val="auto"/>
              </w:rPr>
            </w:pPr>
          </w:p>
        </w:tc>
        <w:tc>
          <w:tcPr>
            <w:tcW w:w="13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3 Months Ended</w:t>
            </w:r>
          </w:p>
        </w:tc>
        <w:tc>
          <w:tcPr>
            <w:tcW w:w="12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3680" w:type="dxa"/>
            <w:vAlign w:val="bottom"/>
          </w:tcPr>
          <w:p>
            <w:pPr>
              <w:spacing w:after="0"/>
              <w:rPr>
                <w:sz w:val="13"/>
                <w:szCs w:val="13"/>
                <w:color w:val="auto"/>
              </w:rPr>
            </w:pPr>
          </w:p>
        </w:tc>
        <w:tc>
          <w:tcPr>
            <w:tcW w:w="148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October 31</w:t>
            </w:r>
          </w:p>
        </w:tc>
        <w:tc>
          <w:tcPr>
            <w:tcW w:w="940" w:type="dxa"/>
            <w:vAlign w:val="bottom"/>
          </w:tcPr>
          <w:p>
            <w:pPr>
              <w:spacing w:after="0"/>
              <w:rPr>
                <w:sz w:val="13"/>
                <w:szCs w:val="13"/>
                <w:color w:val="auto"/>
              </w:rPr>
            </w:pPr>
          </w:p>
        </w:tc>
        <w:tc>
          <w:tcPr>
            <w:tcW w:w="13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October 28</w:t>
            </w:r>
          </w:p>
        </w:tc>
        <w:tc>
          <w:tcPr>
            <w:tcW w:w="12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July 31</w:t>
            </w:r>
          </w:p>
        </w:tc>
        <w:tc>
          <w:tcPr>
            <w:tcW w:w="10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59"/>
        </w:trPr>
        <w:tc>
          <w:tcPr>
            <w:tcW w:w="368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48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 Change</w:t>
            </w:r>
          </w:p>
        </w:tc>
        <w:tc>
          <w:tcPr>
            <w:tcW w:w="13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ind w:left="240"/>
              <w:spacing w:after="0"/>
              <w:rPr>
                <w:sz w:val="20"/>
                <w:szCs w:val="20"/>
                <w:color w:val="auto"/>
              </w:rPr>
            </w:pPr>
            <w:r>
              <w:rPr>
                <w:rFonts w:ascii="Courier New" w:cs="Courier New" w:eastAsia="Courier New" w:hAnsi="Courier New"/>
                <w:sz w:val="14"/>
                <w:szCs w:val="14"/>
                <w:color w:val="auto"/>
              </w:rPr>
              <w:t>% Change</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4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$192.3</w:t>
            </w:r>
          </w:p>
        </w:tc>
        <w:tc>
          <w:tcPr>
            <w:tcW w:w="1200" w:type="dxa"/>
            <w:vAlign w:val="bottom"/>
          </w:tcPr>
          <w:p>
            <w:pPr>
              <w:ind w:left="280"/>
              <w:spacing w:after="0"/>
              <w:rPr>
                <w:sz w:val="20"/>
                <w:szCs w:val="20"/>
                <w:color w:val="auto"/>
              </w:rPr>
            </w:pPr>
            <w:r>
              <w:rPr>
                <w:rFonts w:ascii="Courier New" w:cs="Courier New" w:eastAsia="Courier New" w:hAnsi="Courier New"/>
                <w:sz w:val="14"/>
                <w:szCs w:val="14"/>
                <w:color w:val="auto"/>
              </w:rPr>
              <w:t>(6.5)%</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$205.7</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$932.9</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17.4%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4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120.6</w:t>
            </w:r>
          </w:p>
        </w:tc>
        <w:tc>
          <w:tcPr>
            <w:tcW w:w="1200" w:type="dxa"/>
            <w:vAlign w:val="bottom"/>
          </w:tcPr>
          <w:p>
            <w:pPr>
              <w:ind w:left="280"/>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129.6</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598.3</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18.1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Gross</w:t>
            </w:r>
          </w:p>
        </w:tc>
        <w:tc>
          <w:tcPr>
            <w:tcW w:w="338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11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71.7</w:t>
            </w: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(5.8)</w:t>
            </w:r>
          </w:p>
        </w:tc>
        <w:tc>
          <w:tcPr>
            <w:tcW w:w="12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76.1</w:t>
            </w:r>
          </w:p>
        </w:tc>
        <w:tc>
          <w:tcPr>
            <w:tcW w:w="11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334.6</w:t>
            </w:r>
          </w:p>
        </w:tc>
        <w:tc>
          <w:tcPr>
            <w:tcW w:w="11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287.5</w:t>
            </w:r>
          </w:p>
        </w:tc>
      </w:tr>
      <w:tr>
        <w:trPr>
          <w:trHeight w:val="159"/>
        </w:trPr>
        <w:tc>
          <w:tcPr>
            <w:tcW w:w="700" w:type="dxa"/>
            <w:vAlign w:val="bottom"/>
          </w:tcPr>
          <w:p>
            <w:pPr>
              <w:jc w:val="right"/>
              <w:spacing w:after="0"/>
              <w:rPr>
                <w:sz w:val="20"/>
                <w:szCs w:val="20"/>
                <w:color w:val="auto"/>
              </w:rPr>
            </w:pPr>
            <w:r>
              <w:rPr>
                <w:rFonts w:ascii="Courier New" w:cs="Courier New" w:eastAsia="Courier New" w:hAnsi="Courier New"/>
                <w:sz w:val="14"/>
                <w:szCs w:val="14"/>
                <w:color w:val="auto"/>
                <w:w w:val="95"/>
              </w:rPr>
              <w:t>Selling,</w:t>
            </w:r>
          </w:p>
        </w:tc>
        <w:tc>
          <w:tcPr>
            <w:tcW w:w="338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 expense</w:t>
            </w:r>
          </w:p>
        </w:tc>
        <w:tc>
          <w:tcPr>
            <w:tcW w:w="11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65.0</w:t>
            </w:r>
          </w:p>
        </w:tc>
        <w:tc>
          <w:tcPr>
            <w:tcW w:w="12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3.7</w:t>
            </w:r>
          </w:p>
        </w:tc>
        <w:tc>
          <w:tcPr>
            <w:tcW w:w="12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62.7</w:t>
            </w:r>
          </w:p>
        </w:tc>
        <w:tc>
          <w:tcPr>
            <w:tcW w:w="11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269.8</w:t>
            </w:r>
          </w:p>
        </w:tc>
        <w:tc>
          <w:tcPr>
            <w:tcW w:w="112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20" w:type="dxa"/>
            <w:vAlign w:val="bottom"/>
          </w:tcPr>
          <w:p>
            <w:pPr>
              <w:ind w:left="260"/>
              <w:spacing w:after="0"/>
              <w:rPr>
                <w:sz w:val="20"/>
                <w:szCs w:val="20"/>
                <w:color w:val="auto"/>
              </w:rPr>
            </w:pPr>
            <w:r>
              <w:rPr>
                <w:rFonts w:ascii="Courier New" w:cs="Courier New" w:eastAsia="Courier New" w:hAnsi="Courier New"/>
                <w:sz w:val="14"/>
                <w:szCs w:val="14"/>
                <w:color w:val="auto"/>
              </w:rPr>
              <w:t>Earnings from operations</w:t>
            </w:r>
          </w:p>
        </w:tc>
        <w:tc>
          <w:tcPr>
            <w:tcW w:w="18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6.7</w:t>
            </w: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(50.0)</w:t>
            </w:r>
          </w:p>
        </w:tc>
        <w:tc>
          <w:tcPr>
            <w:tcW w:w="12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13.4</w:t>
            </w:r>
          </w:p>
        </w:tc>
        <w:tc>
          <w:tcPr>
            <w:tcW w:w="1020" w:type="dxa"/>
            <w:vAlign w:val="bottom"/>
          </w:tcPr>
          <w:p>
            <w:pPr>
              <w:ind w:left="320"/>
              <w:spacing w:after="0"/>
              <w:rPr>
                <w:sz w:val="20"/>
                <w:szCs w:val="20"/>
                <w:color w:val="auto"/>
              </w:rPr>
            </w:pPr>
            <w:r>
              <w:rPr>
                <w:rFonts w:ascii="Courier New" w:cs="Courier New" w:eastAsia="Courier New" w:hAnsi="Courier New"/>
                <w:sz w:val="14"/>
                <w:szCs w:val="14"/>
                <w:color w:val="auto"/>
              </w:rPr>
              <w:t>64.8</w:t>
            </w: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52.1</w:t>
            </w:r>
          </w:p>
        </w:tc>
        <w:tc>
          <w:tcPr>
            <w:tcW w:w="820" w:type="dxa"/>
            <w:vAlign w:val="bottom"/>
          </w:tcPr>
          <w:p>
            <w:pPr>
              <w:ind w:left="420"/>
              <w:spacing w:after="0"/>
              <w:rPr>
                <w:sz w:val="20"/>
                <w:szCs w:val="20"/>
                <w:color w:val="auto"/>
              </w:rPr>
            </w:pPr>
            <w:r>
              <w:rPr>
                <w:rFonts w:ascii="Courier New" w:cs="Courier New" w:eastAsia="Courier New" w:hAnsi="Courier New"/>
                <w:sz w:val="14"/>
                <w:szCs w:val="14"/>
                <w:color w:val="auto"/>
              </w:rPr>
              <w:t>42.6</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8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2.5</w:t>
            </w:r>
          </w:p>
        </w:tc>
        <w:tc>
          <w:tcPr>
            <w:tcW w:w="1240" w:type="dxa"/>
            <w:vAlign w:val="bottom"/>
          </w:tcPr>
          <w:p>
            <w:pPr>
              <w:jc w:val="right"/>
              <w:ind w:right="711"/>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2.5</w:t>
            </w:r>
          </w:p>
        </w:tc>
        <w:tc>
          <w:tcPr>
            <w:tcW w:w="1020" w:type="dxa"/>
            <w:vAlign w:val="bottom"/>
          </w:tcPr>
          <w:p>
            <w:pPr>
              <w:ind w:left="320"/>
              <w:spacing w:after="0"/>
              <w:rPr>
                <w:sz w:val="20"/>
                <w:szCs w:val="20"/>
                <w:color w:val="auto"/>
              </w:rPr>
            </w:pPr>
            <w:r>
              <w:rPr>
                <w:rFonts w:ascii="Courier New" w:cs="Courier New" w:eastAsia="Courier New" w:hAnsi="Courier New"/>
                <w:sz w:val="14"/>
                <w:szCs w:val="14"/>
                <w:color w:val="auto"/>
              </w:rPr>
              <w:t>11.9</w:t>
            </w: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(12.5)</w:t>
            </w:r>
          </w:p>
        </w:tc>
        <w:tc>
          <w:tcPr>
            <w:tcW w:w="820" w:type="dxa"/>
            <w:vAlign w:val="bottom"/>
          </w:tcPr>
          <w:p>
            <w:pPr>
              <w:ind w:left="420"/>
              <w:spacing w:after="0"/>
              <w:rPr>
                <w:sz w:val="20"/>
                <w:szCs w:val="20"/>
                <w:color w:val="auto"/>
              </w:rPr>
            </w:pPr>
            <w:r>
              <w:rPr>
                <w:rFonts w:ascii="Courier New" w:cs="Courier New" w:eastAsia="Courier New" w:hAnsi="Courier New"/>
                <w:sz w:val="14"/>
                <w:szCs w:val="14"/>
                <w:color w:val="auto"/>
              </w:rPr>
              <w:t>13.6</w:t>
            </w:r>
          </w:p>
        </w:tc>
      </w:tr>
      <w:tr>
        <w:trPr>
          <w:trHeight w:val="159"/>
        </w:trPr>
        <w:tc>
          <w:tcPr>
            <w:tcW w:w="342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1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(2.4)</w:t>
            </w: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(17.2)</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(2.9)</w:t>
            </w:r>
          </w:p>
        </w:tc>
        <w:tc>
          <w:tcPr>
            <w:tcW w:w="1020" w:type="dxa"/>
            <w:vAlign w:val="bottom"/>
          </w:tcPr>
          <w:p>
            <w:pPr>
              <w:ind w:left="320"/>
              <w:spacing w:after="0"/>
              <w:rPr>
                <w:sz w:val="20"/>
                <w:szCs w:val="20"/>
                <w:color w:val="auto"/>
              </w:rPr>
            </w:pPr>
            <w:r>
              <w:rPr>
                <w:rFonts w:ascii="Courier New" w:cs="Courier New" w:eastAsia="Courier New" w:hAnsi="Courier New"/>
                <w:sz w:val="14"/>
                <w:szCs w:val="14"/>
                <w:color w:val="auto"/>
              </w:rPr>
              <w:t>(8.2)</w:t>
            </w: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ind w:left="420"/>
              <w:spacing w:after="0"/>
              <w:rPr>
                <w:sz w:val="20"/>
                <w:szCs w:val="20"/>
                <w:color w:val="auto"/>
              </w:rPr>
            </w:pPr>
            <w:r>
              <w:rPr>
                <w:rFonts w:ascii="Courier New" w:cs="Courier New" w:eastAsia="Courier New" w:hAnsi="Courier New"/>
                <w:sz w:val="14"/>
                <w:szCs w:val="14"/>
                <w:color w:val="auto"/>
                <w:w w:val="90"/>
              </w:rPr>
              <w:t>(8.0)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80" w:type="dxa"/>
            <w:vAlign w:val="bottom"/>
            <w:gridSpan w:val="8"/>
          </w:tcPr>
          <w:p>
            <w:pPr>
              <w:jc w:val="right"/>
              <w:spacing w:after="0"/>
              <w:rPr>
                <w:sz w:val="20"/>
                <w:szCs w:val="20"/>
                <w:color w:val="auto"/>
              </w:rPr>
            </w:pPr>
            <w:r>
              <w:rPr>
                <w:rFonts w:ascii="Courier New" w:cs="Courier New" w:eastAsia="Courier New" w:hAnsi="Courier New"/>
                <w:sz w:val="14"/>
                <w:szCs w:val="14"/>
                <w:color w:val="auto"/>
                <w:w w:val="98"/>
              </w:rPr>
              <w:t>- ------------------------------------------------------------------------------------------------------------------------------------</w:t>
            </w:r>
          </w:p>
        </w:tc>
      </w:tr>
      <w:tr>
        <w:trPr>
          <w:trHeight w:val="159"/>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120" w:type="dxa"/>
            <w:vAlign w:val="bottom"/>
          </w:tcPr>
          <w:p>
            <w:pPr>
              <w:spacing w:after="0"/>
              <w:rPr>
                <w:sz w:val="13"/>
                <w:szCs w:val="13"/>
                <w:color w:val="auto"/>
              </w:rPr>
            </w:pPr>
          </w:p>
        </w:tc>
        <w:tc>
          <w:tcPr>
            <w:tcW w:w="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6.6</w:t>
            </w:r>
          </w:p>
        </w:tc>
        <w:tc>
          <w:tcPr>
            <w:tcW w:w="1320" w:type="dxa"/>
            <w:vAlign w:val="bottom"/>
          </w:tcPr>
          <w:p>
            <w:pPr>
              <w:ind w:left="240"/>
              <w:spacing w:after="0"/>
              <w:rPr>
                <w:sz w:val="20"/>
                <w:szCs w:val="20"/>
                <w:color w:val="auto"/>
              </w:rPr>
            </w:pPr>
            <w:r>
              <w:rPr>
                <w:rFonts w:ascii="Courier New" w:cs="Courier New" w:eastAsia="Courier New" w:hAnsi="Courier New"/>
                <w:sz w:val="14"/>
                <w:szCs w:val="14"/>
                <w:color w:val="auto"/>
              </w:rPr>
              <w:t>(52.2)</w:t>
            </w:r>
          </w:p>
        </w:tc>
        <w:tc>
          <w:tcPr>
            <w:tcW w:w="112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13.8</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61.1</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65.1</w:t>
            </w:r>
          </w:p>
        </w:tc>
        <w:tc>
          <w:tcPr>
            <w:tcW w:w="168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37.0</w:t>
            </w:r>
          </w:p>
        </w:tc>
      </w:tr>
      <w:tr>
        <w:trPr>
          <w:trHeight w:val="159"/>
        </w:trPr>
        <w:tc>
          <w:tcPr>
            <w:tcW w:w="3420" w:type="dxa"/>
            <w:vAlign w:val="bottom"/>
            <w:gridSpan w:val="4"/>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20" w:type="dxa"/>
            <w:vAlign w:val="bottom"/>
          </w:tcPr>
          <w:p>
            <w:pPr>
              <w:spacing w:after="0"/>
              <w:rPr>
                <w:sz w:val="13"/>
                <w:szCs w:val="13"/>
                <w:color w:val="auto"/>
              </w:rPr>
            </w:pPr>
          </w:p>
        </w:tc>
        <w:tc>
          <w:tcPr>
            <w:tcW w:w="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2.6</w:t>
            </w:r>
          </w:p>
        </w:tc>
        <w:tc>
          <w:tcPr>
            <w:tcW w:w="1320" w:type="dxa"/>
            <w:vAlign w:val="bottom"/>
          </w:tcPr>
          <w:p>
            <w:pPr>
              <w:ind w:left="240"/>
              <w:spacing w:after="0"/>
              <w:rPr>
                <w:sz w:val="20"/>
                <w:szCs w:val="20"/>
                <w:color w:val="auto"/>
              </w:rPr>
            </w:pPr>
            <w:r>
              <w:rPr>
                <w:rFonts w:ascii="Courier New" w:cs="Courier New" w:eastAsia="Courier New" w:hAnsi="Courier New"/>
                <w:sz w:val="14"/>
                <w:szCs w:val="14"/>
                <w:color w:val="auto"/>
              </w:rPr>
              <w:t>(52.7)</w:t>
            </w:r>
          </w:p>
        </w:tc>
        <w:tc>
          <w:tcPr>
            <w:tcW w:w="112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5.5</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24.4</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64.9</w:t>
            </w:r>
          </w:p>
        </w:tc>
        <w:tc>
          <w:tcPr>
            <w:tcW w:w="168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14.8</w:t>
            </w:r>
          </w:p>
        </w:tc>
      </w:tr>
      <w:tr>
        <w:trPr>
          <w:trHeight w:val="159"/>
        </w:trPr>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80" w:type="dxa"/>
            <w:vAlign w:val="bottom"/>
            <w:gridSpan w:val="8"/>
          </w:tcPr>
          <w:p>
            <w:pPr>
              <w:jc w:val="right"/>
              <w:spacing w:after="0"/>
              <w:rPr>
                <w:sz w:val="20"/>
                <w:szCs w:val="20"/>
                <w:color w:val="auto"/>
              </w:rPr>
            </w:pPr>
            <w:r>
              <w:rPr>
                <w:rFonts w:ascii="Courier New" w:cs="Courier New" w:eastAsia="Courier New" w:hAnsi="Courier New"/>
                <w:sz w:val="14"/>
                <w:szCs w:val="14"/>
                <w:color w:val="auto"/>
                <w:w w:val="98"/>
              </w:rPr>
              <w:t>- ------------------------------------------------------------------------------------------------------------------------------------</w:t>
            </w:r>
          </w:p>
        </w:tc>
      </w:tr>
      <w:tr>
        <w:trPr>
          <w:trHeight w:val="159"/>
        </w:trPr>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4.0</w:t>
            </w:r>
          </w:p>
        </w:tc>
        <w:tc>
          <w:tcPr>
            <w:tcW w:w="1320" w:type="dxa"/>
            <w:vAlign w:val="bottom"/>
          </w:tcPr>
          <w:p>
            <w:pPr>
              <w:ind w:left="240"/>
              <w:spacing w:after="0"/>
              <w:rPr>
                <w:sz w:val="20"/>
                <w:szCs w:val="20"/>
                <w:color w:val="auto"/>
              </w:rPr>
            </w:pPr>
            <w:r>
              <w:rPr>
                <w:rFonts w:ascii="Courier New" w:cs="Courier New" w:eastAsia="Courier New" w:hAnsi="Courier New"/>
                <w:sz w:val="14"/>
                <w:szCs w:val="14"/>
                <w:color w:val="auto"/>
              </w:rPr>
              <w:t>(51.8)%</w:t>
            </w:r>
          </w:p>
        </w:tc>
        <w:tc>
          <w:tcPr>
            <w:tcW w:w="112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8.3</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$ 36.7</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65.3%</w:t>
            </w:r>
          </w:p>
        </w:tc>
        <w:tc>
          <w:tcPr>
            <w:tcW w:w="1680" w:type="dxa"/>
            <w:vAlign w:val="bottom"/>
          </w:tcPr>
          <w:p>
            <w:pPr>
              <w:jc w:val="right"/>
              <w:ind w:right="751"/>
              <w:spacing w:after="0"/>
              <w:rPr>
                <w:sz w:val="20"/>
                <w:szCs w:val="20"/>
                <w:color w:val="auto"/>
              </w:rPr>
            </w:pPr>
            <w:r>
              <w:rPr>
                <w:rFonts w:ascii="Courier New" w:cs="Courier New" w:eastAsia="Courier New" w:hAnsi="Courier New"/>
                <w:sz w:val="14"/>
                <w:szCs w:val="14"/>
                <w:color w:val="auto"/>
              </w:rPr>
              <w:t>$  22.2</w:t>
            </w:r>
          </w:p>
        </w:tc>
      </w:tr>
    </w:tbl>
    <w:p>
      <w:pPr>
        <w:spacing w:after="0" w:line="4" w:lineRule="exact"/>
        <w:rPr>
          <w:sz w:val="20"/>
          <w:szCs w:val="20"/>
          <w:color w:val="auto"/>
        </w:rPr>
      </w:pPr>
    </w:p>
    <w:p>
      <w:pPr>
        <w:ind w:left="160" w:hanging="155"/>
        <w:spacing w:after="0"/>
        <w:tabs>
          <w:tab w:leader="none" w:pos="160"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2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Net earnings per share of common stock</w:t>
      </w:r>
    </w:p>
    <w:tbl>
      <w:tblPr>
        <w:tblLayout w:type="fixed"/>
        <w:tblInd w:w="340" w:type="dxa"/>
        <w:tblCellMar>
          <w:top w:w="0" w:type="dxa"/>
          <w:left w:w="0" w:type="dxa"/>
          <w:bottom w:w="0" w:type="dxa"/>
          <w:right w:w="0" w:type="dxa"/>
        </w:tblCellMar>
      </w:tblPr>
      <w:tr>
        <w:trPr>
          <w:trHeight w:val="159"/>
        </w:trPr>
        <w:tc>
          <w:tcPr>
            <w:tcW w:w="316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1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  0.32</w:t>
            </w: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(50.0)%</w:t>
            </w:r>
          </w:p>
        </w:tc>
        <w:tc>
          <w:tcPr>
            <w:tcW w:w="124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0.64</w:t>
            </w:r>
          </w:p>
        </w:tc>
        <w:tc>
          <w:tcPr>
            <w:tcW w:w="11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  2.81</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64.3%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4" w:lineRule="exact"/>
        <w:rPr>
          <w:sz w:val="20"/>
          <w:szCs w:val="20"/>
          <w:color w:val="auto"/>
        </w:rPr>
      </w:pPr>
    </w:p>
    <w:p>
      <w:pPr>
        <w:ind w:left="160" w:hanging="155"/>
        <w:spacing w:after="0"/>
        <w:tabs>
          <w:tab w:leader="none" w:pos="16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BY PRODUCT LINE</w:t>
      </w:r>
    </w:p>
    <w:p>
      <w:pPr>
        <w:spacing w:after="0" w:line="4" w:lineRule="exact"/>
        <w:rPr>
          <w:sz w:val="20"/>
          <w:szCs w:val="20"/>
          <w:color w:val="auto"/>
        </w:rPr>
      </w:pPr>
    </w:p>
    <w:p>
      <w:pPr>
        <w:ind w:left="160" w:hanging="155"/>
        <w:spacing w:after="0"/>
        <w:tabs>
          <w:tab w:leader="none" w:pos="160" w:val="left"/>
        </w:tabs>
        <w:numPr>
          <w:ilvl w:val="0"/>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60" w:type="dxa"/>
            <w:vAlign w:val="bottom"/>
          </w:tcPr>
          <w:p>
            <w:pPr>
              <w:spacing w:after="0"/>
              <w:rPr>
                <w:sz w:val="13"/>
                <w:szCs w:val="13"/>
                <w:color w:val="auto"/>
              </w:rPr>
            </w:pPr>
          </w:p>
        </w:tc>
        <w:tc>
          <w:tcPr>
            <w:tcW w:w="24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 Months Ended</w:t>
            </w:r>
          </w:p>
        </w:tc>
        <w:tc>
          <w:tcPr>
            <w:tcW w:w="940" w:type="dxa"/>
            <w:vAlign w:val="bottom"/>
          </w:tcPr>
          <w:p>
            <w:pPr>
              <w:spacing w:after="0"/>
              <w:rPr>
                <w:sz w:val="13"/>
                <w:szCs w:val="13"/>
                <w:color w:val="auto"/>
              </w:rPr>
            </w:pPr>
          </w:p>
        </w:tc>
        <w:tc>
          <w:tcPr>
            <w:tcW w:w="13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3 Months Ended</w:t>
            </w:r>
          </w:p>
        </w:tc>
        <w:tc>
          <w:tcPr>
            <w:tcW w:w="12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Year Ended</w:t>
            </w:r>
          </w:p>
        </w:tc>
        <w:tc>
          <w:tcPr>
            <w:tcW w:w="10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4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October 31</w:t>
            </w:r>
          </w:p>
        </w:tc>
        <w:tc>
          <w:tcPr>
            <w:tcW w:w="940" w:type="dxa"/>
            <w:vAlign w:val="bottom"/>
          </w:tcPr>
          <w:p>
            <w:pPr>
              <w:spacing w:after="0"/>
              <w:rPr>
                <w:sz w:val="13"/>
                <w:szCs w:val="13"/>
                <w:color w:val="auto"/>
              </w:rPr>
            </w:pPr>
          </w:p>
        </w:tc>
        <w:tc>
          <w:tcPr>
            <w:tcW w:w="13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October 28</w:t>
            </w:r>
          </w:p>
        </w:tc>
        <w:tc>
          <w:tcPr>
            <w:tcW w:w="12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July 31</w:t>
            </w:r>
          </w:p>
        </w:tc>
        <w:tc>
          <w:tcPr>
            <w:tcW w:w="10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59"/>
        </w:trPr>
        <w:tc>
          <w:tcPr>
            <w:tcW w:w="276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240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ind w:left="200"/>
              <w:spacing w:after="0"/>
              <w:rPr>
                <w:sz w:val="20"/>
                <w:szCs w:val="20"/>
                <w:color w:val="auto"/>
              </w:rPr>
            </w:pPr>
            <w:r>
              <w:rPr>
                <w:rFonts w:ascii="Courier New" w:cs="Courier New" w:eastAsia="Courier New" w:hAnsi="Courier New"/>
                <w:sz w:val="14"/>
                <w:szCs w:val="14"/>
                <w:color w:val="auto"/>
              </w:rPr>
              <w:t>% Change</w:t>
            </w:r>
          </w:p>
        </w:tc>
        <w:tc>
          <w:tcPr>
            <w:tcW w:w="1360" w:type="dxa"/>
            <w:vAlign w:val="bottom"/>
          </w:tcPr>
          <w:p>
            <w:pPr>
              <w:jc w:val="right"/>
              <w:ind w:right="51"/>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ind w:left="240"/>
              <w:spacing w:after="0"/>
              <w:rPr>
                <w:sz w:val="20"/>
                <w:szCs w:val="20"/>
                <w:color w:val="auto"/>
              </w:rPr>
            </w:pPr>
            <w:r>
              <w:rPr>
                <w:rFonts w:ascii="Courier New" w:cs="Courier New" w:eastAsia="Courier New" w:hAnsi="Courier New"/>
                <w:sz w:val="14"/>
                <w:szCs w:val="14"/>
                <w:color w:val="auto"/>
              </w:rPr>
              <w:t>% Change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5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$105.9</w:t>
            </w:r>
          </w:p>
        </w:tc>
        <w:tc>
          <w:tcPr>
            <w:tcW w:w="124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(16.4)%</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$126.7</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$488.1</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14.6%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$425.8</w:t>
            </w:r>
          </w:p>
        </w:tc>
      </w:tr>
      <w:tr>
        <w:trPr>
          <w:trHeight w:val="159"/>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5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54.1</w:t>
            </w:r>
          </w:p>
        </w:tc>
        <w:tc>
          <w:tcPr>
            <w:tcW w:w="12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11.1</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48.7</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305.3</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r>
        <w:trPr>
          <w:trHeight w:val="159"/>
        </w:trPr>
        <w:tc>
          <w:tcPr>
            <w:tcW w:w="264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5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32.3</w:t>
            </w:r>
          </w:p>
        </w:tc>
        <w:tc>
          <w:tcPr>
            <w:tcW w:w="12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30.3</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139.5</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21.0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23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$192.3</w:t>
            </w: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(6.5)%</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$205.7</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$932.9</w:t>
            </w:r>
          </w:p>
        </w:tc>
        <w:tc>
          <w:tcPr>
            <w:tcW w:w="11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bl>
    <w:p>
      <w:pPr>
        <w:spacing w:after="0" w:line="4" w:lineRule="exact"/>
        <w:rPr>
          <w:sz w:val="20"/>
          <w:szCs w:val="20"/>
          <w:color w:val="auto"/>
        </w:rPr>
      </w:pPr>
    </w:p>
    <w:p>
      <w:pPr>
        <w:ind w:left="160" w:hanging="155"/>
        <w:spacing w:after="0"/>
        <w:tabs>
          <w:tab w:leader="none" w:pos="160" w:val="left"/>
        </w:tabs>
        <w:numPr>
          <w:ilvl w:val="0"/>
          <w:numId w:val="1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17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  20.9</w:t>
            </w:r>
          </w:p>
        </w:tc>
        <w:tc>
          <w:tcPr>
            <w:tcW w:w="1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(11.8)%</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  23.7</w:t>
            </w:r>
          </w:p>
        </w:tc>
        <w:tc>
          <w:tcPr>
            <w:tcW w:w="114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$152.4</w:t>
            </w:r>
          </w:p>
        </w:tc>
        <w:tc>
          <w:tcPr>
            <w:tcW w:w="11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$130.1</w:t>
            </w:r>
          </w:p>
        </w:tc>
      </w:tr>
    </w:tbl>
    <w:p>
      <w:pPr>
        <w:spacing w:after="0" w:line="4" w:lineRule="exact"/>
        <w:rPr>
          <w:sz w:val="20"/>
          <w:szCs w:val="20"/>
          <w:color w:val="auto"/>
        </w:rPr>
      </w:pPr>
    </w:p>
    <w:p>
      <w:pPr>
        <w:ind w:left="160" w:hanging="155"/>
        <w:spacing w:after="0"/>
        <w:tabs>
          <w:tab w:leader="none" w:pos="160"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592" w:right="139"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4" w:lineRule="exact"/>
        <w:rPr>
          <w:sz w:val="20"/>
          <w:szCs w:val="20"/>
          <w:color w:val="auto"/>
        </w:rPr>
      </w:pPr>
    </w:p>
    <w:p>
      <w:pPr>
        <w:ind w:left="160" w:hanging="155"/>
        <w:spacing w:after="0"/>
        <w:tabs>
          <w:tab w:leader="none" w:pos="160" w:val="left"/>
        </w:tabs>
        <w:numPr>
          <w:ilvl w:val="0"/>
          <w:numId w:val="13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3639"/>
        <w:spacing w:after="0" w:line="239"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Worldwide net sales for the 3 months ended October 31, 1995, of $192.3 million decreased by $13.4 million from the prior year primarily as a result of decreased sales of snow removal equipment. The decline in the quarter was offset partially by an increase in commercial and irrigation product sales. The increase in commercial product sales was the result of new product introductions, golf course openings, increased sales of equipment to landscape contractors and increased sales in the municipal markets. Irrigation sales increased because of new product introductions and increased demand for do-it-yourself products. International sales included in the table on the previous page declined from the prior year because of a temporary business interruption in the irrigation product line as a result of distribution changes as well as decreased sales of snow removal equipment.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4" w:lineRule="exact"/>
        <w:rPr>
          <w:sz w:val="20"/>
          <w:szCs w:val="20"/>
          <w:color w:val="auto"/>
        </w:rPr>
      </w:pPr>
    </w:p>
    <w:p>
      <w:pPr>
        <w:ind w:left="160" w:hanging="155"/>
        <w:spacing w:after="0"/>
        <w:tabs>
          <w:tab w:leader="none" w:pos="160" w:val="left"/>
        </w:tabs>
        <w:numPr>
          <w:ilvl w:val="0"/>
          <w:numId w:val="13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3799"/>
        <w:spacing w:after="0" w:line="236"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Worldwide sales increased $138.6 million in fiscal 1995 to $932.9 million with increases in all product lines as discussed below:</w:t>
      </w:r>
    </w:p>
    <w:p>
      <w:pPr>
        <w:spacing w:after="0" w:line="159"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r>
        <w:rPr>
          <w:rFonts w:ascii="Courier New" w:cs="Courier New" w:eastAsia="Courier New" w:hAnsi="Courier New"/>
          <w:sz w:val="13"/>
          <w:szCs w:val="13"/>
          <w:color w:val="auto"/>
        </w:rPr>
        <w:t>CONSUMER</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Worldwide consumer product sales rose 14.6% to $488.1 million in 1995. Consumer product sales represented 52.3% and 53.6% of consolidated net sales for 1995 and 1994, respectively. International sales included in consumer product sales increased $5.6 million from the prior year.</w:t>
      </w:r>
    </w:p>
    <w:p>
      <w:pPr>
        <w:spacing w:after="0" w:line="164"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4"/>
          <w:szCs w:val="14"/>
          <w:color w:val="auto"/>
        </w:rPr>
        <w:t>Exceptional sales of snow removal equipment as well as increased sales of riding products and Toro-Registered Trademark-brand walk power mowers contributed to the increase over the prior year. This increase was offset partially by a decline in Lawn-Boy-Registered Trademark- walk power mower sales as a result of reduced shipments in response to a delayed spring season as well as actions to reduce excess retail inventory.</w:t>
      </w:r>
    </w:p>
    <w:p>
      <w:pPr>
        <w:spacing w:after="0" w:line="162"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COMMERCIAL</w:t>
      </w:r>
    </w:p>
    <w:p>
      <w:pPr>
        <w:spacing w:after="0" w:line="163" w:lineRule="exact"/>
        <w:rPr>
          <w:sz w:val="20"/>
          <w:szCs w:val="20"/>
          <w:color w:val="auto"/>
        </w:rPr>
      </w:pPr>
    </w:p>
    <w:p>
      <w:pPr>
        <w:jc w:val="both"/>
        <w:ind w:right="3719"/>
        <w:spacing w:after="0" w:line="237" w:lineRule="auto"/>
        <w:rPr>
          <w:sz w:val="20"/>
          <w:szCs w:val="20"/>
          <w:color w:val="auto"/>
        </w:rPr>
      </w:pPr>
      <w:r>
        <w:rPr>
          <w:rFonts w:ascii="Courier New" w:cs="Courier New" w:eastAsia="Courier New" w:hAnsi="Courier New"/>
          <w:sz w:val="14"/>
          <w:szCs w:val="14"/>
          <w:color w:val="auto"/>
        </w:rPr>
        <w:t>Worldwide commercial product sales increased $52.1 million over the prior year. International sales included in commercial product sales increased $9.0 million from the prior year.</w:t>
      </w:r>
    </w:p>
    <w:p>
      <w:pPr>
        <w:spacing w:after="0" w:line="164" w:lineRule="exact"/>
        <w:rPr>
          <w:sz w:val="20"/>
          <w:szCs w:val="20"/>
          <w:color w:val="auto"/>
        </w:rPr>
      </w:pPr>
    </w:p>
    <w:p>
      <w:pPr>
        <w:ind w:right="3959"/>
        <w:spacing w:after="0" w:line="238" w:lineRule="auto"/>
        <w:rPr>
          <w:sz w:val="20"/>
          <w:szCs w:val="20"/>
          <w:color w:val="auto"/>
        </w:rPr>
      </w:pPr>
      <w:r>
        <w:rPr>
          <w:rFonts w:ascii="Courier New" w:cs="Courier New" w:eastAsia="Courier New" w:hAnsi="Courier New"/>
          <w:sz w:val="14"/>
          <w:szCs w:val="14"/>
          <w:color w:val="auto"/>
        </w:rPr>
        <w:t>Sales were strong in both the golf and municipal markets because of new golf course openings and increased spending in the municipal market. Sales of equipment to landscape contractors and sales of recycling equipment products also contributed to the increase.</w:t>
      </w:r>
    </w:p>
    <w:p>
      <w:pPr>
        <w:spacing w:after="0" w:line="16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IRRIGATION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irrigation product sales increased 21.0% to $139.5 million in 1995.</w:t>
      </w:r>
    </w:p>
    <w:p>
      <w:pPr>
        <w:spacing w:after="0"/>
        <w:rPr>
          <w:sz w:val="20"/>
          <w:szCs w:val="20"/>
          <w:color w:val="auto"/>
        </w:rPr>
      </w:pPr>
      <w:r>
        <w:rPr>
          <w:rFonts w:ascii="Courier New" w:cs="Courier New" w:eastAsia="Courier New" w:hAnsi="Courier New"/>
          <w:sz w:val="14"/>
          <w:szCs w:val="14"/>
          <w:color w:val="auto"/>
        </w:rPr>
        <w:t>International sales included in irrigation product sales increased $6.0 million.</w:t>
      </w:r>
    </w:p>
    <w:p>
      <w:pPr>
        <w:spacing w:after="0" w:line="163"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Increased sales of irrigation products in the golf industry as well as an improved market share for do-it-yourself products contributed to the sales increase. The company's change to direct distribution through irrigation product wholesale dealers in the California and Texas markets, made in 1994 to better respond to customer needs, was favorably received in the marketplace. Improved international economies and weather conditions also resulted in increased sales.</w:t>
      </w:r>
    </w:p>
    <w:p>
      <w:pPr>
        <w:spacing w:after="0" w:line="149"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4"/>
          <w:szCs w:val="14"/>
          <w:color w:val="auto"/>
        </w:rPr>
        <w:t>- - - - -</w:t>
      </w:r>
      <w:r>
        <w:rPr>
          <w:sz w:val="20"/>
          <w:szCs w:val="20"/>
          <w:color w:val="auto"/>
        </w:rPr>
        <w:tab/>
      </w:r>
      <w:r>
        <w:rPr>
          <w:rFonts w:ascii="Courier New" w:cs="Courier New" w:eastAsia="Courier New" w:hAnsi="Courier New"/>
          <w:sz w:val="13"/>
          <w:szCs w:val="13"/>
          <w:color w:val="auto"/>
        </w:rPr>
        <w:t>INTERNATIONAL MARKETS</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International sales are included in the preceding net sales table. International sales increased 17.1% to $152.4 million in 1995. Sales in Canada improved over the prior year because of the strengthened economy. The drought in Australia curtailed sales slightly, but was offset by increased sales in Europe because of the weak U.S. dollar.</w:t>
      </w: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592"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rPr>
          <w:sz w:val="20"/>
          <w:szCs w:val="20"/>
          <w:color w:val="auto"/>
        </w:rPr>
      </w:pPr>
      <w:r>
        <w:rPr>
          <w:rFonts w:ascii="Courier New" w:cs="Courier New" w:eastAsia="Courier New" w:hAnsi="Courier New"/>
          <w:sz w:val="14"/>
          <w:szCs w:val="14"/>
          <w:color w:val="auto"/>
        </w:rPr>
        <w:t>- - - - -----------------------------------------------------------------------------------------------------------------</w:t>
      </w:r>
    </w:p>
    <w:tbl>
      <w:tblPr>
        <w:tblLayout w:type="fixed"/>
        <w:tblInd w:w="0" w:type="dxa"/>
        <w:tblCellMar>
          <w:top w:w="0" w:type="dxa"/>
          <w:left w:w="0" w:type="dxa"/>
          <w:bottom w:w="0" w:type="dxa"/>
          <w:right w:w="0" w:type="dxa"/>
        </w:tblCellMar>
      </w:tblPr>
      <w:tr>
        <w:trPr>
          <w:trHeight w:val="159"/>
        </w:trPr>
        <w:tc>
          <w:tcPr>
            <w:tcW w:w="2600" w:type="dxa"/>
            <w:vAlign w:val="bottom"/>
          </w:tcPr>
          <w:p>
            <w:pPr>
              <w:spacing w:after="0"/>
              <w:rPr>
                <w:sz w:val="13"/>
                <w:szCs w:val="13"/>
                <w:color w:val="auto"/>
              </w:rPr>
            </w:pPr>
          </w:p>
        </w:tc>
        <w:tc>
          <w:tcPr>
            <w:tcW w:w="15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 Months Ended</w:t>
            </w:r>
          </w:p>
        </w:tc>
        <w:tc>
          <w:tcPr>
            <w:tcW w:w="17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 Months Ended</w:t>
            </w:r>
          </w:p>
        </w:tc>
        <w:tc>
          <w:tcPr>
            <w:tcW w:w="16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2600" w:type="dxa"/>
            <w:vAlign w:val="bottom"/>
          </w:tcPr>
          <w:p>
            <w:pPr>
              <w:spacing w:after="0"/>
              <w:rPr>
                <w:sz w:val="13"/>
                <w:szCs w:val="13"/>
                <w:color w:val="auto"/>
              </w:rPr>
            </w:pPr>
          </w:p>
        </w:tc>
        <w:tc>
          <w:tcPr>
            <w:tcW w:w="15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October 31</w:t>
            </w:r>
          </w:p>
        </w:tc>
        <w:tc>
          <w:tcPr>
            <w:tcW w:w="17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October 28</w:t>
            </w:r>
          </w:p>
        </w:tc>
        <w:tc>
          <w:tcPr>
            <w:tcW w:w="16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July 31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Margins (Percent of net sales)</w:t>
            </w:r>
          </w:p>
        </w:tc>
        <w:tc>
          <w:tcPr>
            <w:tcW w:w="15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1995</w:t>
            </w:r>
          </w:p>
        </w:tc>
        <w:tc>
          <w:tcPr>
            <w:tcW w:w="178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1994</w:t>
            </w:r>
          </w:p>
        </w:tc>
        <w:tc>
          <w:tcPr>
            <w:tcW w:w="16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1995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10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37.3%</w:t>
            </w:r>
          </w:p>
        </w:tc>
        <w:tc>
          <w:tcPr>
            <w:tcW w:w="16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37.0%</w:t>
            </w:r>
          </w:p>
        </w:tc>
        <w:tc>
          <w:tcPr>
            <w:tcW w:w="166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35.9%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59"/>
        </w:trPr>
        <w:tc>
          <w:tcPr>
            <w:tcW w:w="240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10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3.5</w:t>
            </w:r>
          </w:p>
        </w:tc>
        <w:tc>
          <w:tcPr>
            <w:tcW w:w="164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6.5</w:t>
            </w:r>
          </w:p>
        </w:tc>
        <w:tc>
          <w:tcPr>
            <w:tcW w:w="166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6.9</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5.4</w:t>
            </w:r>
          </w:p>
        </w:tc>
      </w:tr>
      <w:tr>
        <w:trPr>
          <w:trHeight w:val="159"/>
        </w:trPr>
        <w:tc>
          <w:tcPr>
            <w:tcW w:w="240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10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3.4</w:t>
            </w:r>
          </w:p>
        </w:tc>
        <w:tc>
          <w:tcPr>
            <w:tcW w:w="164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6.7</w:t>
            </w:r>
          </w:p>
        </w:tc>
        <w:tc>
          <w:tcPr>
            <w:tcW w:w="166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6.5</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4.7</w:t>
            </w:r>
          </w:p>
        </w:tc>
      </w:tr>
      <w:tr>
        <w:trPr>
          <w:trHeight w:val="159"/>
        </w:trPr>
        <w:tc>
          <w:tcPr>
            <w:tcW w:w="24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10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2.1</w:t>
            </w:r>
          </w:p>
        </w:tc>
        <w:tc>
          <w:tcPr>
            <w:tcW w:w="164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4.0</w:t>
            </w:r>
          </w:p>
        </w:tc>
        <w:tc>
          <w:tcPr>
            <w:tcW w:w="166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3.9</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2.8</w:t>
            </w:r>
          </w:p>
        </w:tc>
      </w:tr>
    </w:tbl>
    <w:p>
      <w:pPr>
        <w:spacing w:after="0"/>
        <w:rPr>
          <w:sz w:val="20"/>
          <w:szCs w:val="20"/>
          <w:color w:val="auto"/>
        </w:rPr>
      </w:pPr>
      <w:r>
        <w:rPr>
          <w:rFonts w:ascii="Courier New" w:cs="Courier New" w:eastAsia="Courier New" w:hAnsi="Courier New"/>
          <w:sz w:val="14"/>
          <w:szCs w:val="14"/>
          <w:color w:val="auto"/>
        </w:rPr>
        <w:t>- - - - -----------------------------------------------------------------------------------------------------------------</w:t>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ind w:left="160" w:hanging="155"/>
        <w:spacing w:after="0"/>
        <w:tabs>
          <w:tab w:leader="none" w:pos="1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4860"/>
        <w:spacing w:after="0" w:line="261"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Gross profit of $71.7 million decreased $4.4 million from the prior year because of the decline in sales. As a percent of sales, gross profit for the period ended October 31, 1995 was 37.3% compared with 37.0% for the period ended October 28, 1994 primarily due to increased sales of commercial and irrigation products, offset partially by reduced sales of snow removal equipment.</w:t>
      </w: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ind w:left="160" w:hanging="155"/>
        <w:spacing w:after="0"/>
        <w:tabs>
          <w:tab w:leader="none" w:pos="16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4940"/>
        <w:spacing w:after="0" w:line="23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$334.6 million increased 16.4% over the $287.5 million in 1994. As a percent of net sales, gross profit decreased slightly to 35.9% for 1995 compared with 36.2% in 1994. The percentage decrease resulted from the mix of product sales and increased costs of raw material. Gross profit increased $47.1 million to $334.6 million. This was the result of the increased sales volume which was offset by the items mentioned above.</w:t>
      </w:r>
    </w:p>
    <w:p>
      <w:pPr>
        <w:spacing w:after="0" w:line="166" w:lineRule="exact"/>
        <w:rPr>
          <w:sz w:val="20"/>
          <w:szCs w:val="20"/>
          <w:color w:val="auto"/>
        </w:rPr>
      </w:pPr>
    </w:p>
    <w:p>
      <w:pPr>
        <w:ind w:right="5020" w:firstLine="412"/>
        <w:spacing w:after="0" w:line="236" w:lineRule="auto"/>
        <w:rPr>
          <w:sz w:val="20"/>
          <w:szCs w:val="20"/>
          <w:color w:val="auto"/>
        </w:rPr>
      </w:pPr>
      <w:r>
        <w:rPr>
          <w:rFonts w:ascii="Courier New" w:cs="Courier New" w:eastAsia="Courier New" w:hAnsi="Courier New"/>
          <w:sz w:val="14"/>
          <w:szCs w:val="14"/>
          <w:color w:val="auto"/>
        </w:rPr>
        <w:t>Operating profit improved from the prior year by $22.2 million because of improved operating leverage as a result of increased sales.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4" w:lineRule="exact"/>
        <w:rPr>
          <w:sz w:val="20"/>
          <w:szCs w:val="20"/>
          <w:color w:val="auto"/>
        </w:rPr>
      </w:pPr>
    </w:p>
    <w:p>
      <w:pPr>
        <w:ind w:left="160" w:hanging="155"/>
        <w:spacing w:after="0"/>
        <w:tabs>
          <w:tab w:leader="none" w:pos="160"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40" w:type="dxa"/>
            <w:vAlign w:val="bottom"/>
          </w:tcPr>
          <w:p>
            <w:pPr>
              <w:spacing w:after="0"/>
              <w:rPr>
                <w:sz w:val="13"/>
                <w:szCs w:val="13"/>
                <w:color w:val="auto"/>
              </w:rPr>
            </w:pPr>
          </w:p>
        </w:tc>
        <w:tc>
          <w:tcPr>
            <w:tcW w:w="16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 Months Ended</w:t>
            </w:r>
          </w:p>
        </w:tc>
        <w:tc>
          <w:tcPr>
            <w:tcW w:w="780" w:type="dxa"/>
            <w:vAlign w:val="bottom"/>
          </w:tcPr>
          <w:p>
            <w:pPr>
              <w:jc w:val="right"/>
              <w:ind w:right="71"/>
              <w:spacing w:after="0"/>
              <w:rPr>
                <w:sz w:val="20"/>
                <w:szCs w:val="20"/>
                <w:color w:val="auto"/>
              </w:rPr>
            </w:pPr>
            <w:r>
              <w:rPr>
                <w:rFonts w:ascii="Courier New" w:cs="Courier New" w:eastAsia="Courier New" w:hAnsi="Courier New"/>
                <w:sz w:val="14"/>
                <w:szCs w:val="14"/>
                <w:color w:val="auto"/>
              </w:rPr>
              <w:t>% of</w:t>
            </w:r>
          </w:p>
        </w:tc>
        <w:tc>
          <w:tcPr>
            <w:tcW w:w="15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3 Months Ended</w:t>
            </w:r>
          </w:p>
        </w:tc>
        <w:tc>
          <w:tcPr>
            <w:tcW w:w="9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 of</w:t>
            </w:r>
          </w:p>
        </w:tc>
        <w:tc>
          <w:tcPr>
            <w:tcW w:w="13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Year Ended</w:t>
            </w:r>
          </w:p>
        </w:tc>
        <w:tc>
          <w:tcPr>
            <w:tcW w:w="840" w:type="dxa"/>
            <w:vAlign w:val="bottom"/>
          </w:tcPr>
          <w:p>
            <w:pPr>
              <w:ind w:left="300"/>
              <w:spacing w:after="0"/>
              <w:rPr>
                <w:sz w:val="20"/>
                <w:szCs w:val="20"/>
                <w:color w:val="auto"/>
              </w:rPr>
            </w:pPr>
            <w:r>
              <w:rPr>
                <w:rFonts w:ascii="Courier New" w:cs="Courier New" w:eastAsia="Courier New" w:hAnsi="Courier New"/>
                <w:sz w:val="14"/>
                <w:szCs w:val="14"/>
                <w:color w:val="auto"/>
              </w:rPr>
              <w:t>% of</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Year Ended</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59"/>
        </w:trPr>
        <w:tc>
          <w:tcPr>
            <w:tcW w:w="1940" w:type="dxa"/>
            <w:vAlign w:val="bottom"/>
          </w:tcPr>
          <w:p>
            <w:pPr>
              <w:spacing w:after="0"/>
              <w:rPr>
                <w:sz w:val="20"/>
                <w:szCs w:val="20"/>
                <w:color w:val="auto"/>
              </w:rPr>
            </w:pPr>
            <w:r>
              <w:rPr>
                <w:rFonts w:ascii="Courier New" w:cs="Courier New" w:eastAsia="Courier New" w:hAnsi="Courier New"/>
                <w:sz w:val="14"/>
                <w:szCs w:val="14"/>
                <w:color w:val="auto"/>
              </w:rPr>
              <w:t>SG&amp;A Expense</w:t>
            </w:r>
          </w:p>
        </w:tc>
        <w:tc>
          <w:tcPr>
            <w:tcW w:w="16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October 31</w:t>
            </w:r>
          </w:p>
        </w:tc>
        <w:tc>
          <w:tcPr>
            <w:tcW w:w="780" w:type="dxa"/>
            <w:vAlign w:val="bottom"/>
          </w:tcPr>
          <w:p>
            <w:pPr>
              <w:jc w:val="right"/>
              <w:ind w:right="71"/>
              <w:spacing w:after="0"/>
              <w:rPr>
                <w:sz w:val="20"/>
                <w:szCs w:val="20"/>
                <w:color w:val="auto"/>
              </w:rPr>
            </w:pPr>
            <w:r>
              <w:rPr>
                <w:rFonts w:ascii="Courier New" w:cs="Courier New" w:eastAsia="Courier New" w:hAnsi="Courier New"/>
                <w:sz w:val="14"/>
                <w:szCs w:val="14"/>
                <w:color w:val="auto"/>
              </w:rPr>
              <w:t>Net</w:t>
            </w:r>
          </w:p>
        </w:tc>
        <w:tc>
          <w:tcPr>
            <w:tcW w:w="15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October 28</w:t>
            </w:r>
          </w:p>
        </w:tc>
        <w:tc>
          <w:tcPr>
            <w:tcW w:w="9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Net</w:t>
            </w:r>
          </w:p>
        </w:tc>
        <w:tc>
          <w:tcPr>
            <w:tcW w:w="13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July 31</w:t>
            </w:r>
          </w:p>
        </w:tc>
        <w:tc>
          <w:tcPr>
            <w:tcW w:w="840" w:type="dxa"/>
            <w:vAlign w:val="bottom"/>
          </w:tcPr>
          <w:p>
            <w:pPr>
              <w:ind w:left="380"/>
              <w:spacing w:after="0"/>
              <w:rPr>
                <w:sz w:val="20"/>
                <w:szCs w:val="20"/>
                <w:color w:val="auto"/>
              </w:rPr>
            </w:pPr>
            <w:r>
              <w:rPr>
                <w:rFonts w:ascii="Courier New" w:cs="Courier New" w:eastAsia="Courier New" w:hAnsi="Courier New"/>
                <w:sz w:val="14"/>
                <w:szCs w:val="14"/>
                <w:color w:val="auto"/>
              </w:rPr>
              <w:t>Net</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July 31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r>
      <w:tr>
        <w:trPr>
          <w:trHeight w:val="159"/>
        </w:trPr>
        <w:tc>
          <w:tcPr>
            <w:tcW w:w="194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6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71"/>
              <w:spacing w:after="0"/>
              <w:rPr>
                <w:sz w:val="20"/>
                <w:szCs w:val="20"/>
                <w:color w:val="auto"/>
              </w:rPr>
            </w:pPr>
            <w:r>
              <w:rPr>
                <w:rFonts w:ascii="Courier New" w:cs="Courier New" w:eastAsia="Courier New" w:hAnsi="Courier New"/>
                <w:sz w:val="14"/>
                <w:szCs w:val="14"/>
                <w:color w:val="auto"/>
              </w:rPr>
              <w:t>Sales</w:t>
            </w:r>
          </w:p>
        </w:tc>
        <w:tc>
          <w:tcPr>
            <w:tcW w:w="152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Sales</w:t>
            </w:r>
          </w:p>
        </w:tc>
        <w:tc>
          <w:tcPr>
            <w:tcW w:w="13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1995</w:t>
            </w:r>
          </w:p>
        </w:tc>
        <w:tc>
          <w:tcPr>
            <w:tcW w:w="840" w:type="dxa"/>
            <w:vAlign w:val="bottom"/>
          </w:tcPr>
          <w:p>
            <w:pPr>
              <w:ind w:left="300"/>
              <w:spacing w:after="0"/>
              <w:rPr>
                <w:sz w:val="20"/>
                <w:szCs w:val="20"/>
                <w:color w:val="auto"/>
              </w:rPr>
            </w:pPr>
            <w:r>
              <w:rPr>
                <w:rFonts w:ascii="Courier New" w:cs="Courier New" w:eastAsia="Courier New" w:hAnsi="Courier New"/>
                <w:sz w:val="14"/>
                <w:szCs w:val="14"/>
                <w:color w:val="auto"/>
              </w:rPr>
              <w:t>Sales</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1994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$24.0</w:t>
            </w:r>
          </w:p>
        </w:tc>
        <w:tc>
          <w:tcPr>
            <w:tcW w:w="11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12.5%</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$20.8</w:t>
            </w:r>
          </w:p>
        </w:tc>
        <w:tc>
          <w:tcPr>
            <w:tcW w:w="10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10.1%</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  89.5</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9.6%</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  80.2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20.6</w:t>
            </w:r>
          </w:p>
        </w:tc>
        <w:tc>
          <w:tcPr>
            <w:tcW w:w="11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10.7</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23.8</w:t>
            </w:r>
          </w:p>
        </w:tc>
        <w:tc>
          <w:tcPr>
            <w:tcW w:w="10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11.6</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92.1</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84.4</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10.6</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6.6</w:t>
            </w:r>
          </w:p>
        </w:tc>
        <w:tc>
          <w:tcPr>
            <w:tcW w:w="11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3.4</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5.7</w:t>
            </w:r>
          </w:p>
        </w:tc>
        <w:tc>
          <w:tcPr>
            <w:tcW w:w="10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2.8</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31.0</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29.0</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3.6</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2.1</w:t>
            </w:r>
          </w:p>
        </w:tc>
        <w:tc>
          <w:tcPr>
            <w:tcW w:w="11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1.1</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2.0</w:t>
            </w:r>
          </w:p>
        </w:tc>
        <w:tc>
          <w:tcPr>
            <w:tcW w:w="10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1.0</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9.7</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8.6</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1.1</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6.9</w:t>
            </w:r>
          </w:p>
        </w:tc>
        <w:tc>
          <w:tcPr>
            <w:tcW w:w="11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3.6</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6.0</w:t>
            </w:r>
          </w:p>
        </w:tc>
        <w:tc>
          <w:tcPr>
            <w:tcW w:w="10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2.9</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26.5</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2.8</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24.6</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3.1</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3.2</w:t>
            </w:r>
          </w:p>
        </w:tc>
        <w:tc>
          <w:tcPr>
            <w:tcW w:w="11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1.7</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2.9</w:t>
            </w:r>
          </w:p>
        </w:tc>
        <w:tc>
          <w:tcPr>
            <w:tcW w:w="10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1.4</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14.5</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11.8</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1.5</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9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1.6</w:t>
            </w:r>
          </w:p>
        </w:tc>
        <w:tc>
          <w:tcPr>
            <w:tcW w:w="11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0.8</w:t>
            </w:r>
          </w:p>
        </w:tc>
        <w:tc>
          <w:tcPr>
            <w:tcW w:w="11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1.5</w:t>
            </w:r>
          </w:p>
        </w:tc>
        <w:tc>
          <w:tcPr>
            <w:tcW w:w="10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0.7</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6.5</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0.7</w:t>
            </w:r>
          </w:p>
        </w:tc>
        <w:tc>
          <w:tcPr>
            <w:tcW w:w="106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6.3</w:t>
            </w:r>
          </w:p>
        </w:tc>
        <w:tc>
          <w:tcPr>
            <w:tcW w:w="6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ind w:right="80"/>
        <w:spacing w:after="0" w:line="236" w:lineRule="auto"/>
        <w:rPr>
          <w:sz w:val="20"/>
          <w:szCs w:val="20"/>
          <w:color w:val="auto"/>
        </w:rPr>
      </w:pPr>
      <w:r>
        <w:rPr>
          <w:rFonts w:ascii="Courier New" w:cs="Courier New" w:eastAsia="Courier New" w:hAnsi="Courier New"/>
          <w:sz w:val="14"/>
          <w:szCs w:val="14"/>
          <w:color w:val="auto"/>
        </w:rPr>
        <w:t>- - - - ---------------------------------------------------------------------------------------------------------------------------------- Total $65.0 33.8% $62.7 30.5% $269.8 28.9% $244.9 30.8%</w:t>
      </w:r>
    </w:p>
    <w:p>
      <w:pPr>
        <w:spacing w:after="0" w:line="5" w:lineRule="exact"/>
        <w:rPr>
          <w:sz w:val="20"/>
          <w:szCs w:val="20"/>
          <w:color w:val="auto"/>
        </w:rPr>
      </w:pPr>
    </w:p>
    <w:p>
      <w:pPr>
        <w:ind w:left="160" w:hanging="155"/>
        <w:spacing w:after="0"/>
        <w:tabs>
          <w:tab w:leader="none" w:pos="160"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3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ind w:left="160" w:hanging="155"/>
        <w:spacing w:after="0"/>
        <w:tabs>
          <w:tab w:leader="none" w:pos="16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4940"/>
        <w:spacing w:after="0" w:line="260" w:lineRule="auto"/>
        <w:rPr>
          <w:rFonts w:ascii="Courier New" w:cs="Courier New" w:eastAsia="Courier New" w:hAnsi="Courier New"/>
          <w:sz w:val="14"/>
          <w:szCs w:val="14"/>
          <w:color w:val="auto"/>
        </w:rPr>
      </w:pPr>
      <w:r>
        <w:rPr>
          <w:rFonts w:ascii="Courier New" w:cs="Courier New" w:eastAsia="Courier New" w:hAnsi="Courier New"/>
          <w:sz w:val="13"/>
          <w:szCs w:val="13"/>
          <w:color w:val="auto"/>
        </w:rPr>
        <w:t>SG&amp;A increased $2.3 million from the prior year and as a percent of sales increased to 33.8%. Administrative expense increased from the prior year as the company continued its implementation of a company-wide information system as well as an overall increase in spending. Warranty increased from the prior year as a result of a change in the sales mix of products. Research and development expenditures were above the prior year reflecting the company's continued commitment to product innovation. These increases were offset partially by a decrease in sales and marketing expense primarily because of reduced sales.</w:t>
      </w: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460"/>
          </w:cols>
          <w:pgMar w:left="220" w:top="909" w:right="219"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ind w:left="160" w:hanging="155"/>
        <w:spacing w:after="0"/>
        <w:tabs>
          <w:tab w:leader="none" w:pos="1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3879"/>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was up $24.9 million from 1994 and was 28.9% of net sales in 1995 compared with 30.8% in 1994. The decline as a percent of sales was the result of improved leverage and expense control. The increase in administrative expense of $9.3 million occurred principally as a result of a company-wide initiative to replace existing information systems, increased payouts in various employee incentive and profit sharing plans, the addition of a joint venture with a distributor, the addition of dealer direct financing through Toro Credit Company, and distribution support.</w:t>
      </w:r>
    </w:p>
    <w:p>
      <w:pPr>
        <w:spacing w:after="0" w:line="164" w:lineRule="exact"/>
        <w:rPr>
          <w:sz w:val="20"/>
          <w:szCs w:val="20"/>
          <w:color w:val="auto"/>
        </w:rPr>
      </w:pPr>
    </w:p>
    <w:p>
      <w:pPr>
        <w:ind w:right="3959"/>
        <w:spacing w:after="0" w:line="238" w:lineRule="auto"/>
        <w:rPr>
          <w:sz w:val="20"/>
          <w:szCs w:val="20"/>
          <w:color w:val="auto"/>
        </w:rPr>
      </w:pPr>
      <w:r>
        <w:rPr>
          <w:rFonts w:ascii="Courier New" w:cs="Courier New" w:eastAsia="Courier New" w:hAnsi="Courier New"/>
          <w:sz w:val="14"/>
          <w:szCs w:val="14"/>
          <w:color w:val="auto"/>
        </w:rPr>
        <w:t>Sales and marketing expense was up $7.7 million from the prior year. As a percent of net sales, sales and marketing was 9.9%, a decrease from 10.6% in 1994. The dollar increase reflected the company's increased sales volume as well as an increase in brand advertising.</w:t>
      </w:r>
    </w:p>
    <w:p>
      <w:pPr>
        <w:spacing w:after="0" w:line="164" w:lineRule="exact"/>
        <w:rPr>
          <w:sz w:val="20"/>
          <w:szCs w:val="20"/>
          <w:color w:val="auto"/>
        </w:rPr>
      </w:pPr>
    </w:p>
    <w:p>
      <w:pPr>
        <w:ind w:right="3799"/>
        <w:spacing w:after="0" w:line="264" w:lineRule="auto"/>
        <w:rPr>
          <w:sz w:val="20"/>
          <w:szCs w:val="20"/>
          <w:color w:val="auto"/>
        </w:rPr>
      </w:pPr>
      <w:r>
        <w:rPr>
          <w:rFonts w:ascii="Courier New" w:cs="Courier New" w:eastAsia="Courier New" w:hAnsi="Courier New"/>
          <w:sz w:val="13"/>
          <w:szCs w:val="13"/>
          <w:color w:val="auto"/>
        </w:rPr>
        <w:t>Warranty expense increased by $2.0 million and as a percent of net sales was 3.3% in 1995 compared with 3.6% in 1994. The $2.0 million increase was primarily the result of increased sales volume, and new product introductions.</w:t>
      </w:r>
    </w:p>
    <w:p>
      <w:pPr>
        <w:spacing w:after="0" w:line="148" w:lineRule="exact"/>
        <w:rPr>
          <w:sz w:val="20"/>
          <w:szCs w:val="20"/>
          <w:color w:val="auto"/>
        </w:rPr>
      </w:pPr>
    </w:p>
    <w:p>
      <w:pPr>
        <w:ind w:right="3879"/>
        <w:spacing w:after="0" w:line="239" w:lineRule="auto"/>
        <w:rPr>
          <w:sz w:val="20"/>
          <w:szCs w:val="20"/>
          <w:color w:val="auto"/>
        </w:rPr>
      </w:pPr>
      <w:r>
        <w:rPr>
          <w:rFonts w:ascii="Courier New" w:cs="Courier New" w:eastAsia="Courier New" w:hAnsi="Courier New"/>
          <w:sz w:val="14"/>
          <w:szCs w:val="14"/>
          <w:color w:val="auto"/>
        </w:rPr>
        <w:t>Distributor/dealer financing expense represents the cost incurred by the company to contract with a third party financing source to finance dealer inventory purchases. The $9.7 million charge reflected in SG&amp;A represents credit facility origination costs and interest charges for a pre-established length of time. Interest is charged at market rates based on prime plus a negotiated mark-up. These financing arrangements are used by the company as a marketing tool to enable customers to buy inventory. This expense increased $1.1 million in 1995 because of the increased sales volume and was offset partially by the reduction of third party financing expense which was taken on through the addition of dealer direct financing through Toro Credit Company.</w:t>
      </w:r>
    </w:p>
    <w:p>
      <w:pPr>
        <w:spacing w:after="0" w:line="165" w:lineRule="exact"/>
        <w:rPr>
          <w:sz w:val="20"/>
          <w:szCs w:val="20"/>
          <w:color w:val="auto"/>
        </w:rPr>
      </w:pPr>
    </w:p>
    <w:p>
      <w:pPr>
        <w:ind w:right="3959"/>
        <w:spacing w:after="0" w:line="236" w:lineRule="auto"/>
        <w:rPr>
          <w:sz w:val="20"/>
          <w:szCs w:val="20"/>
          <w:color w:val="auto"/>
        </w:rPr>
      </w:pPr>
      <w:r>
        <w:rPr>
          <w:rFonts w:ascii="Courier New" w:cs="Courier New" w:eastAsia="Courier New" w:hAnsi="Courier New"/>
          <w:sz w:val="14"/>
          <w:szCs w:val="14"/>
          <w:color w:val="auto"/>
        </w:rPr>
        <w:t>Research and development expense was up $1.9 million primarily as the result of continued investment in product innovation.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4" w:lineRule="exact"/>
        <w:rPr>
          <w:sz w:val="20"/>
          <w:szCs w:val="20"/>
          <w:color w:val="auto"/>
        </w:rPr>
      </w:pPr>
    </w:p>
    <w:p>
      <w:pPr>
        <w:ind w:left="160" w:hanging="155"/>
        <w:spacing w:after="0"/>
        <w:tabs>
          <w:tab w:leader="none" w:pos="160" w:val="left"/>
        </w:tabs>
        <w:numPr>
          <w:ilvl w:val="0"/>
          <w:numId w:val="14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3719"/>
        <w:spacing w:after="0" w:line="236"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Interest expense for the 3 months ended October 31, 1995 was $2.5 million which was unchanged from the amount reported in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4" w:lineRule="exact"/>
        <w:rPr>
          <w:sz w:val="20"/>
          <w:szCs w:val="20"/>
          <w:color w:val="auto"/>
        </w:rPr>
      </w:pPr>
    </w:p>
    <w:p>
      <w:pPr>
        <w:ind w:left="160" w:hanging="155"/>
        <w:spacing w:after="0"/>
        <w:tabs>
          <w:tab w:leader="none" w:pos="160" w:val="left"/>
        </w:tabs>
        <w:numPr>
          <w:ilvl w:val="0"/>
          <w:numId w:val="14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3639"/>
        <w:spacing w:after="0" w:line="237"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Interest expense for 1995 decreased to $11.9 million from the $13.6 million reported in 1994 as the result of the company's continued reduction in long-term debt and utilization of short-term borrowing at lower interest rates.</w:t>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4" w:lineRule="exact"/>
        <w:rPr>
          <w:sz w:val="20"/>
          <w:szCs w:val="20"/>
          <w:color w:val="auto"/>
        </w:rPr>
      </w:pPr>
    </w:p>
    <w:p>
      <w:pPr>
        <w:ind w:left="160" w:hanging="155"/>
        <w:spacing w:after="0"/>
        <w:tabs>
          <w:tab w:leader="none" w:pos="160" w:val="left"/>
        </w:tabs>
        <w:numPr>
          <w:ilvl w:val="0"/>
          <w:numId w:val="14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3879"/>
        <w:spacing w:after="0" w:line="237"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Other income, net at October 31, 1995 was $2.4 million versus $2.9 million in 1994. The decrease in other income, net was due to a decline in financing revenue for the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4" w:lineRule="exact"/>
        <w:rPr>
          <w:sz w:val="20"/>
          <w:szCs w:val="20"/>
          <w:color w:val="auto"/>
        </w:rPr>
      </w:pPr>
    </w:p>
    <w:p>
      <w:pPr>
        <w:ind w:left="160" w:hanging="155"/>
        <w:spacing w:after="0"/>
        <w:tabs>
          <w:tab w:leader="none" w:pos="160" w:val="left"/>
        </w:tabs>
        <w:numPr>
          <w:ilvl w:val="0"/>
          <w:numId w:val="14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3879"/>
        <w:spacing w:after="0" w:line="261"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Other income, net was $0.2 million greater than the $8.0 million reported in 1994. Excluding the effect of two lawsuit settlements and the sale of the portable heater business in the prior year, other income increased because of gains on fixed asset disposals versus losses in the prior year, favorable foreign currency activity, and income resulting from joint venture activity.</w:t>
      </w:r>
    </w:p>
    <w:p>
      <w:pPr>
        <w:spacing w:after="0" w:line="30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592"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PROVISION FOR TAXES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719"/>
        <w:spacing w:after="0" w:line="236" w:lineRule="auto"/>
        <w:rPr>
          <w:sz w:val="20"/>
          <w:szCs w:val="20"/>
          <w:color w:val="auto"/>
        </w:rPr>
      </w:pPr>
      <w:r>
        <w:rPr>
          <w:rFonts w:ascii="Courier New" w:cs="Courier New" w:eastAsia="Courier New" w:hAnsi="Courier New"/>
          <w:sz w:val="14"/>
          <w:szCs w:val="14"/>
          <w:color w:val="auto"/>
        </w:rPr>
        <w:t>The effective tax rate for the period ended October 31, 1995 was 39.5% compared to 40.0% for the 3 month period ended October 28,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The effective tax rate remained at 40% of pretax earnings in 1995. In accordance with Financial Accounting Standards No. 109, the company has determined that it is not necessary to establish a valuation reserve for the deferred income tax benefit because it is more likely than not that the net deferred income tax benefit of $30.9 million will be principally realized through carry back to taxable income in prior years, and future reversals of existing taxable temporary differences, and, to a lesser extent, future taxable income.</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for the 3 months ended October 31, 1995 was $4.0 million versus</w:t>
      </w:r>
    </w:p>
    <w:p>
      <w:pPr>
        <w:spacing w:after="0" w:line="4" w:lineRule="exact"/>
        <w:rPr>
          <w:sz w:val="20"/>
          <w:szCs w:val="20"/>
          <w:color w:val="auto"/>
        </w:rPr>
      </w:pPr>
    </w:p>
    <w:p>
      <w:pPr>
        <w:ind w:right="3719"/>
        <w:spacing w:after="0" w:line="236" w:lineRule="auto"/>
        <w:rPr>
          <w:sz w:val="20"/>
          <w:szCs w:val="20"/>
          <w:color w:val="auto"/>
        </w:rPr>
      </w:pPr>
      <w:r>
        <w:rPr>
          <w:rFonts w:ascii="Courier New" w:cs="Courier New" w:eastAsia="Courier New" w:hAnsi="Courier New"/>
          <w:sz w:val="14"/>
          <w:szCs w:val="14"/>
          <w:color w:val="auto"/>
        </w:rPr>
        <w:t>$8.3 million a year prior. The decrease in earnings was primarily the result of extraordinary snow product sales in the prior 3 month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4"/>
          <w:szCs w:val="14"/>
          <w:color w:val="auto"/>
        </w:rPr>
        <w:t>Net earnings for 1995 were $36.7 million or $2.81 per share, as compared with net earnings of $22.2 million or $1.71 per share in 1994. The increase in earnings was primarily the result of increased sales, improved operating leverage, and cost control measures such as lower borrowing costs.</w:t>
      </w:r>
    </w:p>
    <w:p>
      <w:pPr>
        <w:spacing w:after="0" w:line="200" w:lineRule="exact"/>
        <w:rPr>
          <w:sz w:val="20"/>
          <w:szCs w:val="20"/>
          <w:color w:val="auto"/>
        </w:rPr>
      </w:pPr>
    </w:p>
    <w:p>
      <w:pPr>
        <w:spacing w:after="0" w:line="2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59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rPr>
          <w:sz w:val="20"/>
          <w:szCs w:val="20"/>
          <w:color w:val="auto"/>
        </w:rPr>
      </w:pPr>
      <w:r>
        <w:rPr>
          <w:rFonts w:ascii="Courier New" w:cs="Courier New" w:eastAsia="Courier New" w:hAnsi="Courier New"/>
          <w:sz w:val="14"/>
          <w:szCs w:val="14"/>
          <w:color w:val="auto"/>
        </w:rPr>
        <w:t>The Toro Company:</w:t>
      </w:r>
    </w:p>
    <w:p>
      <w:pPr>
        <w:spacing w:after="0" w:line="163" w:lineRule="exact"/>
        <w:rPr>
          <w:sz w:val="20"/>
          <w:szCs w:val="20"/>
          <w:color w:val="auto"/>
        </w:rPr>
      </w:pPr>
    </w:p>
    <w:p>
      <w:pPr>
        <w:ind w:right="4040" w:firstLine="330"/>
        <w:spacing w:after="0" w:line="239"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1996 and 1995, and the related consolidated statements of earnings and cash flows for the year ended October 31, 1996, the three month period ended October 31, 1995 and the years ended July 31, 1995 and 1994. These consolidated financial statements are the responsibility of the company's management. Our responsibility is to express an opinion on these consolidated financial statements based on our audits.</w:t>
      </w:r>
    </w:p>
    <w:p>
      <w:pPr>
        <w:spacing w:after="0" w:line="163" w:lineRule="exact"/>
        <w:rPr>
          <w:sz w:val="20"/>
          <w:szCs w:val="20"/>
          <w:color w:val="auto"/>
        </w:rPr>
      </w:pPr>
    </w:p>
    <w:p>
      <w:pPr>
        <w:ind w:right="4040" w:firstLine="330"/>
        <w:spacing w:after="0" w:line="260" w:lineRule="auto"/>
        <w:rPr>
          <w:sz w:val="20"/>
          <w:szCs w:val="20"/>
          <w:color w:val="auto"/>
        </w:rPr>
      </w:pPr>
      <w:r>
        <w:rPr>
          <w:rFonts w:ascii="Courier New" w:cs="Courier New" w:eastAsia="Courier New" w:hAnsi="Courier New"/>
          <w:sz w:val="13"/>
          <w:szCs w:val="13"/>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1" w:lineRule="exact"/>
        <w:rPr>
          <w:sz w:val="20"/>
          <w:szCs w:val="20"/>
          <w:color w:val="auto"/>
        </w:rPr>
      </w:pPr>
    </w:p>
    <w:p>
      <w:pPr>
        <w:ind w:right="4120" w:firstLine="330"/>
        <w:spacing w:after="0" w:line="238"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1996 and 1995, and the results of their operations and their cash flows for the year ended October 31, 1996, the three month period ended October 31, 1995 and the years ended July 31, 1995 and 1994 in conformity with generally accepted accounting principles.</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KPMG Peat Marwick LLP</w:t>
      </w:r>
    </w:p>
    <w:p>
      <w:pPr>
        <w:spacing w:after="0"/>
        <w:rPr>
          <w:sz w:val="20"/>
          <w:szCs w:val="20"/>
          <w:color w:val="auto"/>
        </w:rPr>
      </w:pPr>
      <w:r>
        <w:rPr>
          <w:rFonts w:ascii="Courier New" w:cs="Courier New" w:eastAsia="Courier New" w:hAnsi="Courier New"/>
          <w:sz w:val="14"/>
          <w:szCs w:val="14"/>
          <w:color w:val="auto"/>
        </w:rPr>
        <w:t>Minneapolis, Minnesota</w:t>
      </w:r>
    </w:p>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276"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CONSOLIDATED STATEMENTS OF EARNINGS</w:t>
      </w:r>
      <w:r>
        <w:rPr>
          <w:sz w:val="20"/>
          <w:szCs w:val="20"/>
          <w:color w:val="auto"/>
        </w:rPr>
        <w:tab/>
      </w:r>
      <w:r>
        <w:rPr>
          <w:rFonts w:ascii="Courier New" w:cs="Courier New" w:eastAsia="Courier New" w:hAnsi="Courier New"/>
          <w:sz w:val="13"/>
          <w:szCs w:val="13"/>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hanging="155"/>
        <w:spacing w:after="0"/>
        <w:tabs>
          <w:tab w:leader="none" w:pos="160" w:val="left"/>
        </w:tabs>
        <w:numPr>
          <w:ilvl w:val="0"/>
          <w:numId w:val="1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4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ind w:left="8580"/>
        <w:spacing w:after="0"/>
        <w:rPr>
          <w:sz w:val="20"/>
          <w:szCs w:val="20"/>
          <w:color w:val="auto"/>
        </w:rPr>
      </w:pPr>
      <w:r>
        <w:rPr>
          <w:rFonts w:ascii="Courier New" w:cs="Courier New" w:eastAsia="Courier New" w:hAnsi="Courier New"/>
          <w:sz w:val="14"/>
          <w:szCs w:val="14"/>
          <w:color w:val="auto"/>
        </w:rPr>
        <w:t>Year Ended</w:t>
      </w:r>
    </w:p>
    <w:p>
      <w:pPr>
        <w:ind w:left="5280"/>
        <w:spacing w:after="0"/>
        <w:tabs>
          <w:tab w:leader="none" w:pos="6260" w:val="left"/>
          <w:tab w:leader="none" w:pos="7580" w:val="left"/>
        </w:tabs>
        <w:rPr>
          <w:sz w:val="20"/>
          <w:szCs w:val="20"/>
          <w:color w:val="auto"/>
        </w:rPr>
      </w:pPr>
      <w:r>
        <w:rPr>
          <w:rFonts w:ascii="Courier New" w:cs="Courier New" w:eastAsia="Courier New" w:hAnsi="Courier New"/>
          <w:sz w:val="14"/>
          <w:szCs w:val="14"/>
          <w:color w:val="auto"/>
        </w:rPr>
        <w:t>YEAR ENDED</w:t>
        <w:tab/>
        <w:t>3 Months Ended</w:t>
      </w:r>
      <w:r>
        <w:rPr>
          <w:sz w:val="20"/>
          <w:szCs w:val="20"/>
          <w:color w:val="auto"/>
        </w:rPr>
        <w:tab/>
      </w:r>
      <w:r>
        <w:rPr>
          <w:rFonts w:ascii="Courier New" w:cs="Courier New" w:eastAsia="Courier New" w:hAnsi="Courier New"/>
          <w:sz w:val="13"/>
          <w:szCs w:val="13"/>
          <w:color w:val="auto"/>
        </w:rPr>
        <w:t>----------------------------</w:t>
      </w:r>
    </w:p>
    <w:p>
      <w:pPr>
        <w:ind w:left="5280"/>
        <w:spacing w:after="0"/>
        <w:tabs>
          <w:tab w:leader="none" w:pos="6500" w:val="left"/>
          <w:tab w:leader="none" w:pos="7980" w:val="left"/>
          <w:tab w:leader="none" w:pos="922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3"/>
          <w:szCs w:val="13"/>
          <w:color w:val="auto"/>
        </w:rPr>
        <w:t>July 31</w:t>
      </w:r>
    </w:p>
    <w:p>
      <w:pPr>
        <w:spacing w:after="0"/>
        <w:tabs>
          <w:tab w:leader="none" w:pos="5760" w:val="left"/>
          <w:tab w:leader="none" w:pos="7000" w:val="left"/>
          <w:tab w:leader="none" w:pos="8220" w:val="left"/>
          <w:tab w:leader="none" w:pos="946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1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$ 930,909</w:t>
            </w:r>
          </w:p>
        </w:tc>
        <w:tc>
          <w:tcPr>
            <w:tcW w:w="12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$192,278</w:t>
            </w:r>
          </w:p>
        </w:tc>
        <w:tc>
          <w:tcPr>
            <w:tcW w:w="12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$ 932,853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$794,341</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1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589,186</w:t>
            </w:r>
          </w:p>
        </w:tc>
        <w:tc>
          <w:tcPr>
            <w:tcW w:w="12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120,575</w:t>
            </w:r>
          </w:p>
        </w:tc>
        <w:tc>
          <w:tcPr>
            <w:tcW w:w="126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598,275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506,816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40" w:type="dxa"/>
            <w:vAlign w:val="bottom"/>
          </w:tcPr>
          <w:p>
            <w:pPr>
              <w:ind w:left="340"/>
              <w:spacing w:after="0"/>
              <w:rPr>
                <w:sz w:val="20"/>
                <w:szCs w:val="20"/>
                <w:color w:val="auto"/>
              </w:rPr>
            </w:pPr>
            <w:r>
              <w:rPr>
                <w:rFonts w:ascii="Courier New" w:cs="Courier New" w:eastAsia="Courier New" w:hAnsi="Courier New"/>
                <w:sz w:val="14"/>
                <w:szCs w:val="14"/>
                <w:color w:val="auto"/>
              </w:rPr>
              <w:t>Gross profit</w:t>
            </w:r>
          </w:p>
        </w:tc>
        <w:tc>
          <w:tcPr>
            <w:tcW w:w="19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341,723</w:t>
            </w:r>
          </w:p>
        </w:tc>
        <w:tc>
          <w:tcPr>
            <w:tcW w:w="12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71,703</w:t>
            </w:r>
          </w:p>
        </w:tc>
        <w:tc>
          <w:tcPr>
            <w:tcW w:w="12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334,578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287,525</w:t>
            </w:r>
          </w:p>
        </w:tc>
      </w:tr>
      <w:tr>
        <w:trPr>
          <w:trHeight w:val="159"/>
        </w:trPr>
        <w:tc>
          <w:tcPr>
            <w:tcW w:w="45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9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278,284</w:t>
            </w:r>
          </w:p>
        </w:tc>
        <w:tc>
          <w:tcPr>
            <w:tcW w:w="12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65,048</w:t>
            </w:r>
          </w:p>
        </w:tc>
        <w:tc>
          <w:tcPr>
            <w:tcW w:w="122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269,757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244,943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20" w:type="dxa"/>
            <w:vAlign w:val="bottom"/>
          </w:tcPr>
          <w:p>
            <w:pPr>
              <w:ind w:left="340"/>
              <w:spacing w:after="0"/>
              <w:rPr>
                <w:sz w:val="20"/>
                <w:szCs w:val="20"/>
                <w:color w:val="auto"/>
              </w:rPr>
            </w:pPr>
            <w:r>
              <w:rPr>
                <w:rFonts w:ascii="Courier New" w:cs="Courier New" w:eastAsia="Courier New" w:hAnsi="Courier New"/>
                <w:sz w:val="14"/>
                <w:szCs w:val="14"/>
                <w:color w:val="auto"/>
              </w:rPr>
              <w:t>Earnings from operations</w:t>
            </w:r>
          </w:p>
        </w:tc>
        <w:tc>
          <w:tcPr>
            <w:tcW w:w="26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63,439</w:t>
            </w:r>
          </w:p>
        </w:tc>
        <w:tc>
          <w:tcPr>
            <w:tcW w:w="124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6,655</w:t>
            </w: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64,821</w:t>
            </w:r>
          </w:p>
        </w:tc>
        <w:tc>
          <w:tcPr>
            <w:tcW w:w="900" w:type="dxa"/>
            <w:vAlign w:val="bottom"/>
          </w:tcPr>
          <w:p>
            <w:pPr>
              <w:ind w:left="320"/>
              <w:spacing w:after="0"/>
              <w:rPr>
                <w:sz w:val="20"/>
                <w:szCs w:val="20"/>
                <w:color w:val="auto"/>
              </w:rPr>
            </w:pPr>
            <w:r>
              <w:rPr>
                <w:rFonts w:ascii="Courier New" w:cs="Courier New" w:eastAsia="Courier New" w:hAnsi="Courier New"/>
                <w:sz w:val="14"/>
                <w:szCs w:val="14"/>
                <w:color w:val="auto"/>
              </w:rPr>
              <w:t>42,582</w:t>
            </w:r>
          </w:p>
        </w:tc>
      </w:tr>
      <w:tr>
        <w:trPr>
          <w:trHeight w:val="159"/>
        </w:trPr>
        <w:tc>
          <w:tcPr>
            <w:tcW w:w="39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13,590</w:t>
            </w:r>
          </w:p>
        </w:tc>
        <w:tc>
          <w:tcPr>
            <w:tcW w:w="124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2,532</w:t>
            </w: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11,902</w:t>
            </w:r>
          </w:p>
        </w:tc>
        <w:tc>
          <w:tcPr>
            <w:tcW w:w="900" w:type="dxa"/>
            <w:vAlign w:val="bottom"/>
          </w:tcPr>
          <w:p>
            <w:pPr>
              <w:ind w:left="320"/>
              <w:spacing w:after="0"/>
              <w:rPr>
                <w:sz w:val="20"/>
                <w:szCs w:val="20"/>
                <w:color w:val="auto"/>
              </w:rPr>
            </w:pPr>
            <w:r>
              <w:rPr>
                <w:rFonts w:ascii="Courier New" w:cs="Courier New" w:eastAsia="Courier New" w:hAnsi="Courier New"/>
                <w:sz w:val="14"/>
                <w:szCs w:val="14"/>
                <w:color w:val="auto"/>
              </w:rPr>
              <w:t>13,562</w:t>
            </w:r>
          </w:p>
        </w:tc>
      </w:tr>
      <w:tr>
        <w:trPr>
          <w:trHeight w:val="159"/>
        </w:trPr>
        <w:tc>
          <w:tcPr>
            <w:tcW w:w="392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6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(10,331)</w:t>
            </w:r>
          </w:p>
        </w:tc>
        <w:tc>
          <w:tcPr>
            <w:tcW w:w="12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(2,483)</w:t>
            </w:r>
          </w:p>
        </w:tc>
        <w:tc>
          <w:tcPr>
            <w:tcW w:w="1240" w:type="dxa"/>
            <w:vAlign w:val="bottom"/>
          </w:tcPr>
          <w:p>
            <w:pPr>
              <w:ind w:left="320"/>
              <w:spacing w:after="0"/>
              <w:rPr>
                <w:sz w:val="20"/>
                <w:szCs w:val="20"/>
                <w:color w:val="auto"/>
              </w:rPr>
            </w:pPr>
            <w:r>
              <w:rPr>
                <w:rFonts w:ascii="Courier New" w:cs="Courier New" w:eastAsia="Courier New" w:hAnsi="Courier New"/>
                <w:sz w:val="14"/>
                <w:szCs w:val="14"/>
                <w:color w:val="auto"/>
              </w:rPr>
              <w:t>(8,193)</w:t>
            </w:r>
          </w:p>
        </w:tc>
        <w:tc>
          <w:tcPr>
            <w:tcW w:w="900" w:type="dxa"/>
            <w:vAlign w:val="bottom"/>
          </w:tcPr>
          <w:p>
            <w:pPr>
              <w:ind w:left="320"/>
              <w:spacing w:after="0"/>
              <w:rPr>
                <w:sz w:val="20"/>
                <w:szCs w:val="20"/>
                <w:color w:val="auto"/>
              </w:rPr>
            </w:pPr>
            <w:r>
              <w:rPr>
                <w:rFonts w:ascii="Courier New" w:cs="Courier New" w:eastAsia="Courier New" w:hAnsi="Courier New"/>
                <w:sz w:val="14"/>
                <w:szCs w:val="14"/>
                <w:color w:val="auto"/>
                <w:w w:val="95"/>
              </w:rPr>
              <w:t>(8,030)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378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24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60,180</w:t>
            </w:r>
          </w:p>
        </w:tc>
        <w:tc>
          <w:tcPr>
            <w:tcW w:w="1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6,606</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61,112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64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23,771</w:t>
            </w:r>
          </w:p>
        </w:tc>
        <w:tc>
          <w:tcPr>
            <w:tcW w:w="1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2,609</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24,445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14,820</w:t>
            </w:r>
          </w:p>
        </w:tc>
      </w:tr>
    </w:tbl>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p>
      <w:pPr>
        <w:ind w:left="340"/>
        <w:spacing w:after="0"/>
        <w:tabs>
          <w:tab w:leader="none" w:pos="5340" w:val="left"/>
          <w:tab w:leader="none" w:pos="5600" w:val="left"/>
          <w:tab w:leader="none" w:pos="6660" w:val="left"/>
          <w:tab w:leader="none" w:pos="6920" w:val="left"/>
          <w:tab w:leader="none" w:pos="7820" w:val="left"/>
          <w:tab w:leader="none" w:pos="8060" w:val="left"/>
          <w:tab w:leader="none" w:pos="9140" w:val="left"/>
        </w:tabs>
        <w:rPr>
          <w:sz w:val="20"/>
          <w:szCs w:val="20"/>
          <w:color w:val="auto"/>
        </w:rPr>
      </w:pPr>
      <w:r>
        <w:rPr>
          <w:rFonts w:ascii="Courier New" w:cs="Courier New" w:eastAsia="Courier New" w:hAnsi="Courier New"/>
          <w:sz w:val="14"/>
          <w:szCs w:val="14"/>
          <w:color w:val="auto"/>
        </w:rPr>
        <w:t>Net earnings</w:t>
      </w:r>
      <w:r>
        <w:rPr>
          <w:sz w:val="20"/>
          <w:szCs w:val="20"/>
          <w:color w:val="auto"/>
        </w:rPr>
        <w:tab/>
      </w:r>
      <w:r>
        <w:rPr>
          <w:rFonts w:ascii="Courier New" w:cs="Courier New" w:eastAsia="Courier New" w:hAnsi="Courier New"/>
          <w:sz w:val="14"/>
          <w:szCs w:val="14"/>
          <w:color w:val="auto"/>
        </w:rPr>
        <w:t>$</w:t>
        <w:tab/>
        <w:t>36,409</w:t>
      </w:r>
      <w:r>
        <w:rPr>
          <w:sz w:val="20"/>
          <w:szCs w:val="20"/>
          <w:color w:val="auto"/>
        </w:rPr>
        <w:tab/>
      </w:r>
      <w:r>
        <w:rPr>
          <w:rFonts w:ascii="Courier New" w:cs="Courier New" w:eastAsia="Courier New" w:hAnsi="Courier New"/>
          <w:sz w:val="14"/>
          <w:szCs w:val="14"/>
          <w:color w:val="auto"/>
        </w:rPr>
        <w:t>$</w:t>
        <w:tab/>
        <w:t>3,997</w:t>
      </w:r>
      <w:r>
        <w:rPr>
          <w:sz w:val="20"/>
          <w:szCs w:val="20"/>
          <w:color w:val="auto"/>
        </w:rPr>
        <w:tab/>
      </w:r>
      <w:r>
        <w:rPr>
          <w:rFonts w:ascii="Courier New" w:cs="Courier New" w:eastAsia="Courier New" w:hAnsi="Courier New"/>
          <w:sz w:val="14"/>
          <w:szCs w:val="14"/>
          <w:color w:val="auto"/>
        </w:rPr>
        <w:t>$</w:t>
        <w:tab/>
        <w:t>36,667</w:t>
      </w:r>
      <w:r>
        <w:rPr>
          <w:sz w:val="20"/>
          <w:szCs w:val="20"/>
          <w:color w:val="auto"/>
        </w:rPr>
        <w:tab/>
      </w:r>
      <w:r>
        <w:rPr>
          <w:rFonts w:ascii="Courier New" w:cs="Courier New" w:eastAsia="Courier New" w:hAnsi="Courier New"/>
          <w:sz w:val="13"/>
          <w:szCs w:val="13"/>
          <w:color w:val="auto"/>
        </w:rPr>
        <w:t>$ 22,230</w:t>
      </w:r>
    </w:p>
    <w:p>
      <w:pPr>
        <w:spacing w:after="0" w:line="4" w:lineRule="exact"/>
        <w:rPr>
          <w:sz w:val="20"/>
          <w:szCs w:val="20"/>
          <w:color w:val="auto"/>
        </w:rPr>
      </w:pPr>
    </w:p>
    <w:p>
      <w:pPr>
        <w:ind w:left="160" w:hanging="155"/>
        <w:spacing w:after="0"/>
        <w:tabs>
          <w:tab w:leader="none" w:pos="160" w:val="left"/>
        </w:tabs>
        <w:numPr>
          <w:ilvl w:val="0"/>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4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w w:val="96"/>
              </w:rPr>
              <w:t>Net earnings per</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 and</w:t>
            </w: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equivalent</w:t>
            </w:r>
          </w:p>
        </w:tc>
        <w:tc>
          <w:tcPr>
            <w:tcW w:w="120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2.90</w:t>
            </w:r>
          </w:p>
        </w:tc>
        <w:tc>
          <w:tcPr>
            <w:tcW w:w="12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0.32</w:t>
            </w:r>
          </w:p>
        </w:tc>
        <w:tc>
          <w:tcPr>
            <w:tcW w:w="4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2.81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163" w:lineRule="exact"/>
        <w:rPr>
          <w:sz w:val="20"/>
          <w:szCs w:val="20"/>
          <w:color w:val="auto"/>
        </w:rPr>
      </w:pPr>
    </w:p>
    <w:p>
      <w:pPr>
        <w:ind w:left="160" w:hanging="155"/>
        <w:spacing w:after="0"/>
        <w:tabs>
          <w:tab w:leader="none" w:pos="160"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4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700"/>
        <w:spacing w:after="0" w:line="236"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640"/>
          </w:cols>
          <w:pgMar w:left="220" w:top="592" w:right="1039" w:bottom="1440" w:gutter="0" w:footer="0" w:header="0"/>
        </w:sectPr>
      </w:pPr>
    </w:p>
    <w:bookmarkStart w:id="92" w:name="page93"/>
    <w:bookmarkEnd w:id="92"/>
    <w:p>
      <w:pPr>
        <w:spacing w:after="0"/>
        <w:tabs>
          <w:tab w:leader="none" w:pos="2380" w:val="left"/>
        </w:tabs>
        <w:rPr>
          <w:sz w:val="20"/>
          <w:szCs w:val="20"/>
          <w:color w:val="auto"/>
        </w:rPr>
      </w:pPr>
      <w:r>
        <w:rPr>
          <w:rFonts w:ascii="Courier New" w:cs="Courier New" w:eastAsia="Courier New" w:hAnsi="Courier New"/>
          <w:sz w:val="14"/>
          <w:szCs w:val="14"/>
          <w:color w:val="auto"/>
        </w:rPr>
        <w:t>CONSOLIDATED BALANCE SHEETS</w:t>
      </w:r>
      <w:r>
        <w:rPr>
          <w:sz w:val="20"/>
          <w:szCs w:val="20"/>
          <w:color w:val="auto"/>
        </w:rPr>
        <w:tab/>
      </w:r>
      <w:r>
        <w:rPr>
          <w:rFonts w:ascii="Courier New" w:cs="Courier New" w:eastAsia="Courier New" w:hAnsi="Courier New"/>
          <w:sz w:val="13"/>
          <w:szCs w:val="13"/>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hanging="155"/>
        <w:spacing w:after="0"/>
        <w:tabs>
          <w:tab w:leader="none" w:pos="160" w:val="left"/>
        </w:tabs>
        <w:numPr>
          <w:ilvl w:val="0"/>
          <w:numId w:val="1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4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0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180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45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4500" w:type="dxa"/>
            <w:vAlign w:val="bottom"/>
          </w:tcPr>
          <w:p>
            <w:pPr>
              <w:ind w:left="340"/>
              <w:spacing w:after="0"/>
              <w:rPr>
                <w:sz w:val="20"/>
                <w:szCs w:val="20"/>
                <w:color w:val="auto"/>
              </w:rPr>
            </w:pPr>
            <w:r>
              <w:rPr>
                <w:rFonts w:ascii="Courier New" w:cs="Courier New" w:eastAsia="Courier New" w:hAnsi="Courier New"/>
                <w:sz w:val="14"/>
                <w:szCs w:val="14"/>
                <w:color w:val="auto"/>
              </w:rPr>
              <w:t>Cash and cash equivalents</w:t>
            </w:r>
          </w:p>
        </w:tc>
        <w:tc>
          <w:tcPr>
            <w:tcW w:w="2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66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7,702</w:t>
            </w:r>
          </w:p>
        </w:tc>
      </w:tr>
      <w:tr>
        <w:trPr>
          <w:trHeight w:val="159"/>
        </w:trPr>
        <w:tc>
          <w:tcPr>
            <w:tcW w:w="4500" w:type="dxa"/>
            <w:vAlign w:val="bottom"/>
          </w:tcPr>
          <w:p>
            <w:pPr>
              <w:ind w:left="340"/>
              <w:spacing w:after="0"/>
              <w:rPr>
                <w:sz w:val="20"/>
                <w:szCs w:val="20"/>
                <w:color w:val="auto"/>
              </w:rPr>
            </w:pPr>
            <w:r>
              <w:rPr>
                <w:rFonts w:ascii="Courier New" w:cs="Courier New" w:eastAsia="Courier New" w:hAnsi="Courier New"/>
                <w:sz w:val="14"/>
                <w:szCs w:val="14"/>
                <w:color w:val="auto"/>
              </w:rPr>
              <w:t>Receivables:</w:t>
            </w:r>
          </w:p>
        </w:tc>
        <w:tc>
          <w:tcPr>
            <w:tcW w:w="2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4500" w:type="dxa"/>
            <w:vAlign w:val="bottom"/>
          </w:tcPr>
          <w:p>
            <w:pPr>
              <w:ind w:left="740"/>
              <w:spacing w:after="0"/>
              <w:rPr>
                <w:sz w:val="20"/>
                <w:szCs w:val="20"/>
                <w:color w:val="auto"/>
              </w:rPr>
            </w:pPr>
            <w:r>
              <w:rPr>
                <w:rFonts w:ascii="Courier New" w:cs="Courier New" w:eastAsia="Courier New" w:hAnsi="Courier New"/>
                <w:sz w:val="14"/>
                <w:szCs w:val="14"/>
                <w:color w:val="auto"/>
              </w:rPr>
              <w:t>Customers</w:t>
            </w:r>
          </w:p>
        </w:tc>
        <w:tc>
          <w:tcPr>
            <w:tcW w:w="2220" w:type="dxa"/>
            <w:vAlign w:val="bottom"/>
          </w:tcPr>
          <w:p>
            <w:pPr>
              <w:spacing w:after="0"/>
              <w:rPr>
                <w:sz w:val="13"/>
                <w:szCs w:val="13"/>
                <w:color w:val="auto"/>
              </w:rPr>
            </w:pPr>
          </w:p>
        </w:tc>
        <w:tc>
          <w:tcPr>
            <w:tcW w:w="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244,434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201,571</w:t>
            </w:r>
          </w:p>
        </w:tc>
      </w:tr>
      <w:tr>
        <w:trPr>
          <w:trHeight w:val="159"/>
        </w:trPr>
        <w:tc>
          <w:tcPr>
            <w:tcW w:w="4500" w:type="dxa"/>
            <w:vAlign w:val="bottom"/>
          </w:tcPr>
          <w:p>
            <w:pPr>
              <w:ind w:left="740"/>
              <w:spacing w:after="0"/>
              <w:rPr>
                <w:sz w:val="20"/>
                <w:szCs w:val="20"/>
                <w:color w:val="auto"/>
              </w:rPr>
            </w:pPr>
            <w:r>
              <w:rPr>
                <w:rFonts w:ascii="Courier New" w:cs="Courier New" w:eastAsia="Courier New" w:hAnsi="Courier New"/>
                <w:sz w:val="14"/>
                <w:szCs w:val="14"/>
                <w:color w:val="auto"/>
              </w:rPr>
              <w:t>Other</w:t>
            </w:r>
          </w:p>
        </w:tc>
        <w:tc>
          <w:tcPr>
            <w:tcW w:w="2220" w:type="dxa"/>
            <w:vAlign w:val="bottom"/>
          </w:tcPr>
          <w:p>
            <w:pPr>
              <w:spacing w:after="0"/>
              <w:rPr>
                <w:sz w:val="13"/>
                <w:szCs w:val="13"/>
                <w:color w:val="auto"/>
              </w:rPr>
            </w:pPr>
          </w:p>
        </w:tc>
        <w:tc>
          <w:tcPr>
            <w:tcW w:w="8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5,208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2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249,642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206,358</w:t>
            </w:r>
          </w:p>
        </w:tc>
      </w:tr>
      <w:tr>
        <w:trPr>
          <w:trHeight w:val="159"/>
        </w:trPr>
        <w:tc>
          <w:tcPr>
            <w:tcW w:w="428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10,005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29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239,637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9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130,288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145,862</w:t>
            </w:r>
          </w:p>
        </w:tc>
      </w:tr>
      <w:tr>
        <w:trPr>
          <w:trHeight w:val="159"/>
        </w:trPr>
        <w:tc>
          <w:tcPr>
            <w:tcW w:w="43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29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5,133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59"/>
        </w:trPr>
        <w:tc>
          <w:tcPr>
            <w:tcW w:w="43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29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29,877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8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405,001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spacing w:after="0" w:line="4" w:lineRule="exact"/>
        <w:rPr>
          <w:sz w:val="20"/>
          <w:szCs w:val="20"/>
          <w:color w:val="auto"/>
        </w:rPr>
      </w:pPr>
    </w:p>
    <w:p>
      <w:pPr>
        <w:ind w:left="160" w:hanging="155"/>
        <w:spacing w:after="0"/>
        <w:tabs>
          <w:tab w:leader="none" w:pos="160" w:val="left"/>
        </w:tabs>
        <w:numPr>
          <w:ilvl w:val="0"/>
          <w:numId w:val="15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Property, plant and equipment:</w:t>
      </w:r>
    </w:p>
    <w:tbl>
      <w:tblPr>
        <w:tblLayout w:type="fixed"/>
        <w:tblInd w:w="340" w:type="dxa"/>
        <w:tblCellMar>
          <w:top w:w="0" w:type="dxa"/>
          <w:left w:w="0" w:type="dxa"/>
          <w:bottom w:w="0" w:type="dxa"/>
          <w:right w:w="0" w:type="dxa"/>
        </w:tblCellMar>
      </w:tblPr>
      <w:tr>
        <w:trPr>
          <w:trHeight w:val="159"/>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w w:val="98"/>
              </w:rPr>
              <w:t>Land and land</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26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6,816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6,569</w:t>
            </w:r>
          </w:p>
        </w:tc>
      </w:tr>
      <w:tr>
        <w:trPr>
          <w:trHeight w:val="159"/>
        </w:trPr>
        <w:tc>
          <w:tcPr>
            <w:tcW w:w="7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2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600" w:type="dxa"/>
            <w:vAlign w:val="bottom"/>
          </w:tcPr>
          <w:p>
            <w:pPr>
              <w:ind w:left="40"/>
              <w:spacing w:after="0"/>
              <w:rPr>
                <w:sz w:val="20"/>
                <w:szCs w:val="20"/>
                <w:color w:val="auto"/>
              </w:rPr>
            </w:pPr>
            <w:r>
              <w:rPr>
                <w:rFonts w:ascii="Courier New" w:cs="Courier New" w:eastAsia="Courier New" w:hAnsi="Courier New"/>
                <w:sz w:val="14"/>
                <w:szCs w:val="14"/>
                <w:color w:val="auto"/>
              </w:rPr>
              <w:t>leasehold improvements</w:t>
            </w:r>
          </w:p>
        </w:tc>
        <w:tc>
          <w:tcPr>
            <w:tcW w:w="26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46,107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59"/>
        </w:trPr>
        <w:tc>
          <w:tcPr>
            <w:tcW w:w="78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6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176,157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7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229,080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211,681</w:t>
            </w:r>
          </w:p>
        </w:tc>
      </w:t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7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155,270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24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73,810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3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1,600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2,384</w:t>
            </w:r>
          </w:p>
        </w:tc>
      </w:tr>
      <w:tr>
        <w:trPr>
          <w:trHeight w:val="159"/>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3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16,466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14,055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12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$496,877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$ 472,653</w:t>
            </w:r>
          </w:p>
        </w:tc>
      </w:tr>
    </w:tbl>
    <w:p>
      <w:pPr>
        <w:spacing w:after="0" w:line="4" w:lineRule="exact"/>
        <w:rPr>
          <w:sz w:val="20"/>
          <w:szCs w:val="20"/>
          <w:color w:val="auto"/>
        </w:rPr>
      </w:pPr>
    </w:p>
    <w:p>
      <w:pPr>
        <w:ind w:left="160" w:hanging="155"/>
        <w:spacing w:after="0"/>
        <w:tabs>
          <w:tab w:leader="none" w:pos="160" w:val="left"/>
        </w:tabs>
        <w:numPr>
          <w:ilvl w:val="0"/>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5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right="6679"/>
        <w:spacing w:after="0" w:line="236" w:lineRule="auto"/>
        <w:rPr>
          <w:rFonts w:ascii="Courier New" w:cs="Courier New" w:eastAsia="Courier New" w:hAnsi="Courier New"/>
          <w:sz w:val="13"/>
          <w:szCs w:val="13"/>
          <w:color w:val="auto"/>
        </w:rPr>
      </w:pPr>
      <w:r>
        <w:rPr>
          <w:rFonts w:ascii="Courier New" w:cs="Courier New" w:eastAsia="Courier New" w:hAnsi="Courier New"/>
          <w:sz w:val="14"/>
          <w:szCs w:val="14"/>
          <w:color w:val="auto"/>
        </w:rPr>
        <w:t>LIABILITIES AND COMMON STOCKHOLDERS' EQUITY Current liabilities: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15,334</w:t>
            </w:r>
          </w:p>
        </w:tc>
      </w:tr>
      <w:tr>
        <w:trPr>
          <w:trHeight w:val="159"/>
        </w:trPr>
        <w:tc>
          <w:tcPr>
            <w:tcW w:w="452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1940" w:type="dxa"/>
            <w:vAlign w:val="bottom"/>
          </w:tcPr>
          <w:p>
            <w:pPr>
              <w:spacing w:after="0"/>
              <w:rPr>
                <w:sz w:val="13"/>
                <w:szCs w:val="13"/>
                <w:color w:val="auto"/>
              </w:rPr>
            </w:pP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41,025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59"/>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1940" w:type="dxa"/>
            <w:vAlign w:val="bottom"/>
          </w:tcPr>
          <w:p>
            <w:pPr>
              <w:spacing w:after="0"/>
              <w:rPr>
                <w:sz w:val="13"/>
                <w:szCs w:val="13"/>
                <w:color w:val="auto"/>
              </w:rPr>
            </w:pP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43,524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59"/>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Accrued warranty</w:t>
            </w:r>
          </w:p>
        </w:tc>
        <w:tc>
          <w:tcPr>
            <w:tcW w:w="1940" w:type="dxa"/>
            <w:vAlign w:val="bottom"/>
          </w:tcPr>
          <w:p>
            <w:pPr>
              <w:spacing w:after="0"/>
              <w:rPr>
                <w:sz w:val="13"/>
                <w:szCs w:val="13"/>
                <w:color w:val="auto"/>
              </w:rPr>
            </w:pP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34,722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59"/>
        </w:trPr>
        <w:tc>
          <w:tcPr>
            <w:tcW w:w="4520" w:type="dxa"/>
            <w:vAlign w:val="bottom"/>
          </w:tcPr>
          <w:p>
            <w:pPr>
              <w:spacing w:after="0"/>
              <w:rPr>
                <w:sz w:val="20"/>
                <w:szCs w:val="20"/>
                <w:color w:val="auto"/>
              </w:rPr>
            </w:pPr>
            <w:r>
              <w:rPr>
                <w:rFonts w:ascii="Courier New" w:cs="Courier New" w:eastAsia="Courier New" w:hAnsi="Courier New"/>
                <w:sz w:val="14"/>
                <w:szCs w:val="14"/>
                <w:color w:val="auto"/>
              </w:rPr>
              <w:t>Accrued marketing programs</w:t>
            </w:r>
          </w:p>
        </w:tc>
        <w:tc>
          <w:tcPr>
            <w:tcW w:w="1940" w:type="dxa"/>
            <w:vAlign w:val="bottom"/>
          </w:tcPr>
          <w:p>
            <w:pPr>
              <w:spacing w:after="0"/>
              <w:rPr>
                <w:sz w:val="13"/>
                <w:szCs w:val="13"/>
                <w:color w:val="auto"/>
              </w:rPr>
            </w:pP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22,600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59"/>
        </w:trPr>
        <w:tc>
          <w:tcPr>
            <w:tcW w:w="452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1940" w:type="dxa"/>
            <w:vAlign w:val="bottom"/>
          </w:tcPr>
          <w:p>
            <w:pPr>
              <w:spacing w:after="0"/>
              <w:rPr>
                <w:sz w:val="13"/>
                <w:szCs w:val="13"/>
                <w:color w:val="auto"/>
              </w:rPr>
            </w:pPr>
          </w:p>
        </w:tc>
        <w:tc>
          <w:tcPr>
            <w:tcW w:w="7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65,636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6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207,857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53,015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r>
        <w:trPr>
          <w:trHeight w:val="159"/>
        </w:trPr>
        <w:tc>
          <w:tcPr>
            <w:tcW w:w="660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22,438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r>
      <w:tr>
        <w:trPr>
          <w:trHeight w:val="159"/>
        </w:trPr>
        <w:tc>
          <w:tcPr>
            <w:tcW w:w="66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6600" w:type="dxa"/>
            <w:vAlign w:val="bottom"/>
          </w:tcPr>
          <w:p>
            <w:pPr>
              <w:ind w:left="34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6600" w:type="dxa"/>
            <w:vAlign w:val="bottom"/>
          </w:tcPr>
          <w:p>
            <w:pPr>
              <w:ind w:left="340"/>
              <w:spacing w:after="0"/>
              <w:rPr>
                <w:sz w:val="20"/>
                <w:szCs w:val="20"/>
                <w:color w:val="auto"/>
              </w:rPr>
            </w:pPr>
            <w:r>
              <w:rPr>
                <w:rFonts w:ascii="Courier New" w:cs="Courier New" w:eastAsia="Courier New" w:hAnsi="Courier New"/>
                <w:sz w:val="14"/>
                <w:szCs w:val="14"/>
                <w:color w:val="auto"/>
              </w:rPr>
              <w:t>and outstanding 12,032,143 shares in 1996 (net of 877,861 treasury shares)</w:t>
            </w: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6600" w:type="dxa"/>
            <w:vAlign w:val="bottom"/>
          </w:tcPr>
          <w:p>
            <w:pPr>
              <w:ind w:left="34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12,032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12,168</w:t>
            </w:r>
          </w:p>
        </w:tc>
      </w:tr>
      <w:tr>
        <w:trPr>
          <w:trHeight w:val="159"/>
        </w:trPr>
        <w:tc>
          <w:tcPr>
            <w:tcW w:w="6600" w:type="dxa"/>
            <w:vAlign w:val="bottom"/>
          </w:tcPr>
          <w:p>
            <w:pPr>
              <w:ind w:left="340"/>
              <w:spacing w:after="0"/>
              <w:rPr>
                <w:sz w:val="20"/>
                <w:szCs w:val="20"/>
                <w:color w:val="auto"/>
              </w:rPr>
            </w:pPr>
            <w:r>
              <w:rPr>
                <w:rFonts w:ascii="Courier New" w:cs="Courier New" w:eastAsia="Courier New" w:hAnsi="Courier New"/>
                <w:sz w:val="14"/>
                <w:szCs w:val="14"/>
                <w:color w:val="auto"/>
              </w:rPr>
              <w:t>Additional paid-in capital</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28,462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r>
      <w:tr>
        <w:trPr>
          <w:trHeight w:val="159"/>
        </w:trPr>
        <w:tc>
          <w:tcPr>
            <w:tcW w:w="6600" w:type="dxa"/>
            <w:vAlign w:val="bottom"/>
          </w:tcPr>
          <w:p>
            <w:pPr>
              <w:ind w:left="340"/>
              <w:spacing w:after="0"/>
              <w:rPr>
                <w:sz w:val="20"/>
                <w:szCs w:val="20"/>
                <w:color w:val="auto"/>
              </w:rPr>
            </w:pPr>
            <w:r>
              <w:rPr>
                <w:rFonts w:ascii="Courier New" w:cs="Courier New" w:eastAsia="Courier New" w:hAnsi="Courier New"/>
                <w:sz w:val="14"/>
                <w:szCs w:val="14"/>
                <w:color w:val="auto"/>
              </w:rPr>
              <w:t>Retained earnings</w:t>
            </w:r>
          </w:p>
        </w:tc>
        <w:tc>
          <w:tcPr>
            <w:tcW w:w="10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173,630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r>
      <w:tr>
        <w:trPr>
          <w:trHeight w:val="159"/>
        </w:trPr>
        <w:tc>
          <w:tcPr>
            <w:tcW w:w="6600" w:type="dxa"/>
            <w:vAlign w:val="bottom"/>
          </w:tcPr>
          <w:p>
            <w:pPr>
              <w:ind w:left="3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0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(557)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160" w:type="dxa"/>
            <w:vAlign w:val="bottom"/>
          </w:tcPr>
          <w:p>
            <w:pPr>
              <w:spacing w:after="0"/>
              <w:rPr>
                <w:sz w:val="20"/>
                <w:szCs w:val="20"/>
                <w:color w:val="auto"/>
              </w:rPr>
            </w:pPr>
            <w:r>
              <w:rPr>
                <w:rFonts w:ascii="Courier New" w:cs="Courier New" w:eastAsia="Courier New" w:hAnsi="Courier New"/>
                <w:sz w:val="14"/>
                <w:szCs w:val="14"/>
                <w:color w:val="auto"/>
              </w:rPr>
              <w:t>Total common stockholders' equity</w:t>
            </w:r>
          </w:p>
        </w:tc>
        <w:tc>
          <w:tcPr>
            <w:tcW w:w="232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213,567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190,892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liabilities and common stockholders' equity</w:t>
            </w:r>
          </w:p>
        </w:tc>
        <w:tc>
          <w:tcPr>
            <w:tcW w:w="16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$496,877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$472,653</w:t>
            </w:r>
          </w:p>
        </w:tc>
      </w:tr>
    </w:tbl>
    <w:p>
      <w:pPr>
        <w:spacing w:after="0" w:line="4" w:lineRule="exact"/>
        <w:rPr>
          <w:sz w:val="20"/>
          <w:szCs w:val="20"/>
          <w:color w:val="auto"/>
        </w:rPr>
      </w:pPr>
    </w:p>
    <w:p>
      <w:pPr>
        <w:ind w:left="160" w:hanging="155"/>
        <w:spacing w:after="0"/>
        <w:tabs>
          <w:tab w:leader="none" w:pos="160"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5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299"/>
        <w:spacing w:after="0" w:line="236"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592" w:right="1440" w:bottom="1440" w:gutter="0" w:footer="0" w:header="0"/>
        </w:sectPr>
      </w:pPr>
    </w:p>
    <w:bookmarkStart w:id="93" w:name="page94"/>
    <w:bookmarkEnd w:id="93"/>
    <w:p>
      <w:pPr>
        <w:spacing w:after="0" w:line="266" w:lineRule="exact"/>
        <w:rPr>
          <w:sz w:val="20"/>
          <w:szCs w:val="20"/>
          <w:color w:val="auto"/>
        </w:rPr>
      </w:pPr>
    </w:p>
    <w:p>
      <w:pPr>
        <w:ind w:left="160" w:hanging="155"/>
        <w:spacing w:after="0"/>
        <w:tabs>
          <w:tab w:leader="none" w:pos="16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5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940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Year Ended</w:t>
      </w: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3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ENDED</w:t>
            </w:r>
          </w:p>
        </w:tc>
        <w:tc>
          <w:tcPr>
            <w:tcW w:w="13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3 Months Ended</w:t>
            </w: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960" w:type="dxa"/>
            <w:vAlign w:val="bottom"/>
          </w:tcPr>
          <w:p>
            <w:pPr>
              <w:spacing w:after="0"/>
              <w:rPr>
                <w:sz w:val="13"/>
                <w:szCs w:val="13"/>
                <w:color w:val="auto"/>
              </w:rPr>
            </w:pPr>
          </w:p>
        </w:tc>
        <w:tc>
          <w:tcPr>
            <w:tcW w:w="3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OCTOBER 31</w:t>
            </w:r>
          </w:p>
        </w:tc>
        <w:tc>
          <w:tcPr>
            <w:tcW w:w="13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October 31</w:t>
            </w:r>
          </w:p>
        </w:tc>
        <w:tc>
          <w:tcPr>
            <w:tcW w:w="1800" w:type="dxa"/>
            <w:vAlign w:val="bottom"/>
          </w:tcPr>
          <w:p>
            <w:pPr>
              <w:jc w:val="right"/>
              <w:ind w:right="671"/>
              <w:spacing w:after="0"/>
              <w:rPr>
                <w:sz w:val="20"/>
                <w:szCs w:val="20"/>
                <w:color w:val="auto"/>
              </w:rPr>
            </w:pPr>
            <w:r>
              <w:rPr>
                <w:rFonts w:ascii="Courier New" w:cs="Courier New" w:eastAsia="Courier New" w:hAnsi="Courier New"/>
                <w:sz w:val="14"/>
                <w:szCs w:val="14"/>
                <w:color w:val="auto"/>
              </w:rPr>
              <w:t>July 31</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95"/>
              </w:rPr>
              <w:t>July 31</w:t>
            </w:r>
          </w:p>
        </w:tc>
      </w:tr>
      <w:tr>
        <w:trPr>
          <w:trHeight w:val="159"/>
        </w:trPr>
        <w:tc>
          <w:tcPr>
            <w:tcW w:w="39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0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1996</w:t>
            </w:r>
          </w:p>
        </w:tc>
        <w:tc>
          <w:tcPr>
            <w:tcW w:w="1320" w:type="dxa"/>
            <w:vAlign w:val="bottom"/>
          </w:tcPr>
          <w:p>
            <w:pPr>
              <w:jc w:val="right"/>
              <w:ind w:right="31"/>
              <w:spacing w:after="0"/>
              <w:rPr>
                <w:sz w:val="20"/>
                <w:szCs w:val="20"/>
                <w:color w:val="auto"/>
              </w:rPr>
            </w:pPr>
            <w:r>
              <w:rPr>
                <w:rFonts w:ascii="Courier New" w:cs="Courier New" w:eastAsia="Courier New" w:hAnsi="Courier New"/>
                <w:sz w:val="14"/>
                <w:szCs w:val="14"/>
                <w:color w:val="auto"/>
              </w:rPr>
              <w:t>1995</w:t>
            </w:r>
          </w:p>
        </w:tc>
        <w:tc>
          <w:tcPr>
            <w:tcW w:w="1800" w:type="dxa"/>
            <w:vAlign w:val="bottom"/>
          </w:tcPr>
          <w:p>
            <w:pPr>
              <w:jc w:val="right"/>
              <w:ind w:right="671"/>
              <w:spacing w:after="0"/>
              <w:rPr>
                <w:sz w:val="20"/>
                <w:szCs w:val="20"/>
                <w:color w:val="auto"/>
              </w:rPr>
            </w:pPr>
            <w:r>
              <w:rPr>
                <w:rFonts w:ascii="Courier New" w:cs="Courier New" w:eastAsia="Courier New" w:hAnsi="Courier New"/>
                <w:sz w:val="14"/>
                <w:szCs w:val="14"/>
                <w:color w:val="auto"/>
              </w:rPr>
              <w:t>1995</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20"/>
                <w:szCs w:val="20"/>
                <w:color w:val="auto"/>
              </w:rPr>
            </w:pPr>
            <w:r>
              <w:rPr>
                <w:rFonts w:ascii="Courier New" w:cs="Courier New" w:eastAsia="Courier New" w:hAnsi="Courier New"/>
                <w:sz w:val="14"/>
                <w:szCs w:val="14"/>
                <w:color w:val="auto"/>
                <w:w w:val="99"/>
              </w:rPr>
              <w:t>CASH FLOWS FROM OPERATING</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Net earnings</w:t>
            </w:r>
          </w:p>
        </w:tc>
        <w:tc>
          <w:tcPr>
            <w:tcW w:w="3640" w:type="dxa"/>
            <w:vAlign w:val="bottom"/>
          </w:tcPr>
          <w:p>
            <w:pPr>
              <w:spacing w:after="0"/>
              <w:rPr>
                <w:sz w:val="13"/>
                <w:szCs w:val="13"/>
                <w:color w:val="auto"/>
              </w:rPr>
            </w:pPr>
          </w:p>
        </w:tc>
        <w:tc>
          <w:tcPr>
            <w:tcW w:w="14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  36,409</w:t>
            </w:r>
          </w:p>
        </w:tc>
        <w:tc>
          <w:tcPr>
            <w:tcW w:w="3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3,997</w:t>
            </w:r>
          </w:p>
        </w:tc>
        <w:tc>
          <w:tcPr>
            <w:tcW w:w="12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   36,667</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22,230</w:t>
            </w:r>
          </w:p>
        </w:tc>
      </w:tr>
      <w:tr>
        <w:trPr>
          <w:trHeight w:val="159"/>
        </w:trPr>
        <w:tc>
          <w:tcPr>
            <w:tcW w:w="5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2100" w:type="dxa"/>
            <w:vAlign w:val="bottom"/>
          </w:tcPr>
          <w:p>
            <w:pPr>
              <w:ind w:left="740"/>
              <w:spacing w:after="0"/>
              <w:rPr>
                <w:sz w:val="20"/>
                <w:szCs w:val="20"/>
                <w:color w:val="auto"/>
              </w:rPr>
            </w:pPr>
            <w:r>
              <w:rPr>
                <w:rFonts w:ascii="Courier New" w:cs="Courier New" w:eastAsia="Courier New" w:hAnsi="Courier New"/>
                <w:sz w:val="14"/>
                <w:szCs w:val="14"/>
                <w:color w:val="auto"/>
                <w:w w:val="99"/>
              </w:rPr>
              <w:t>cash provided by</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(used in) operating activities:</w:t>
            </w: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5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4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18,170</w:t>
            </w:r>
          </w:p>
        </w:tc>
        <w:tc>
          <w:tcPr>
            <w:tcW w:w="320" w:type="dxa"/>
            <w:vAlign w:val="bottom"/>
          </w:tcPr>
          <w:p>
            <w:pPr>
              <w:spacing w:after="0"/>
              <w:rPr>
                <w:sz w:val="13"/>
                <w:szCs w:val="13"/>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3,590</w:t>
            </w:r>
          </w:p>
        </w:tc>
        <w:tc>
          <w:tcPr>
            <w:tcW w:w="12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17,240</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18,839</w:t>
            </w:r>
          </w:p>
        </w:tc>
      </w:tr>
      <w:tr>
        <w:trPr>
          <w:trHeight w:val="159"/>
        </w:trPr>
        <w:tc>
          <w:tcPr>
            <w:tcW w:w="574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(Gain) loss on disposal of property, plant and equipment</w:t>
            </w:r>
          </w:p>
        </w:tc>
        <w:tc>
          <w:tcPr>
            <w:tcW w:w="14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(260)</w:t>
            </w:r>
          </w:p>
        </w:tc>
        <w:tc>
          <w:tcPr>
            <w:tcW w:w="320" w:type="dxa"/>
            <w:vAlign w:val="bottom"/>
          </w:tcPr>
          <w:p>
            <w:pPr>
              <w:spacing w:after="0"/>
              <w:rPr>
                <w:sz w:val="13"/>
                <w:szCs w:val="13"/>
                <w:color w:val="auto"/>
              </w:rPr>
            </w:pPr>
          </w:p>
        </w:tc>
        <w:tc>
          <w:tcPr>
            <w:tcW w:w="9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(34)</w:t>
            </w:r>
          </w:p>
        </w:tc>
        <w:tc>
          <w:tcPr>
            <w:tcW w:w="12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(135)</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1,265</w:t>
            </w:r>
          </w:p>
        </w:tc>
      </w:tr>
      <w:tr>
        <w:trPr>
          <w:trHeight w:val="159"/>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w w:val="98"/>
              </w:rPr>
              <w:t>Deferred income taxes</w:t>
            </w:r>
          </w:p>
        </w:tc>
        <w:tc>
          <w:tcPr>
            <w:tcW w:w="3640" w:type="dxa"/>
            <w:vAlign w:val="bottom"/>
          </w:tcPr>
          <w:p>
            <w:pPr>
              <w:spacing w:after="0"/>
              <w:rPr>
                <w:sz w:val="13"/>
                <w:szCs w:val="13"/>
                <w:color w:val="auto"/>
              </w:rPr>
            </w:pPr>
          </w:p>
        </w:tc>
        <w:tc>
          <w:tcPr>
            <w:tcW w:w="14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784</w:t>
            </w:r>
          </w:p>
        </w:tc>
        <w:tc>
          <w:tcPr>
            <w:tcW w:w="320" w:type="dxa"/>
            <w:vAlign w:val="bottom"/>
          </w:tcPr>
          <w:p>
            <w:pPr>
              <w:spacing w:after="0"/>
              <w:rPr>
                <w:sz w:val="13"/>
                <w:szCs w:val="13"/>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194</w:t>
            </w:r>
          </w:p>
        </w:tc>
        <w:tc>
          <w:tcPr>
            <w:tcW w:w="12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(1,282)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(2,668)</w:t>
            </w:r>
          </w:p>
        </w:tc>
      </w:tr>
      <w:tr>
        <w:trPr>
          <w:trHeight w:val="159"/>
        </w:trPr>
        <w:tc>
          <w:tcPr>
            <w:tcW w:w="5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4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1,490</w:t>
            </w:r>
          </w:p>
        </w:tc>
        <w:tc>
          <w:tcPr>
            <w:tcW w:w="320" w:type="dxa"/>
            <w:vAlign w:val="bottom"/>
          </w:tcPr>
          <w:p>
            <w:pPr>
              <w:spacing w:after="0"/>
              <w:rPr>
                <w:sz w:val="13"/>
                <w:szCs w:val="13"/>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1,178</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953</w:t>
            </w:r>
          </w:p>
        </w:tc>
      </w:tr>
      <w:tr>
        <w:trPr>
          <w:trHeight w:val="159"/>
        </w:trPr>
        <w:tc>
          <w:tcPr>
            <w:tcW w:w="5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2100" w:type="dxa"/>
            <w:vAlign w:val="bottom"/>
          </w:tcPr>
          <w:p>
            <w:pPr>
              <w:ind w:left="740"/>
              <w:spacing w:after="0"/>
              <w:rPr>
                <w:sz w:val="20"/>
                <w:szCs w:val="20"/>
                <w:color w:val="auto"/>
              </w:rPr>
            </w:pPr>
            <w:r>
              <w:rPr>
                <w:rFonts w:ascii="Courier New" w:cs="Courier New" w:eastAsia="Courier New" w:hAnsi="Courier New"/>
                <w:sz w:val="14"/>
                <w:szCs w:val="14"/>
                <w:color w:val="auto"/>
              </w:rPr>
              <w:t>Net receivables</w:t>
            </w:r>
          </w:p>
        </w:tc>
        <w:tc>
          <w:tcPr>
            <w:tcW w:w="3640" w:type="dxa"/>
            <w:vAlign w:val="bottom"/>
          </w:tcPr>
          <w:p>
            <w:pPr>
              <w:spacing w:after="0"/>
              <w:rPr>
                <w:sz w:val="13"/>
                <w:szCs w:val="13"/>
                <w:color w:val="auto"/>
              </w:rPr>
            </w:pPr>
          </w:p>
        </w:tc>
        <w:tc>
          <w:tcPr>
            <w:tcW w:w="14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(40,821)</w:t>
            </w:r>
          </w:p>
        </w:tc>
        <w:tc>
          <w:tcPr>
            <w:tcW w:w="320" w:type="dxa"/>
            <w:vAlign w:val="bottom"/>
          </w:tcPr>
          <w:p>
            <w:pPr>
              <w:spacing w:after="0"/>
              <w:rPr>
                <w:sz w:val="13"/>
                <w:szCs w:val="13"/>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13,640</w:t>
            </w:r>
          </w:p>
        </w:tc>
        <w:tc>
          <w:tcPr>
            <w:tcW w:w="12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(28,773)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(3,320)</w:t>
            </w:r>
          </w:p>
        </w:tc>
      </w:tr>
      <w:tr>
        <w:trPr>
          <w:trHeight w:val="159"/>
        </w:trPr>
        <w:tc>
          <w:tcPr>
            <w:tcW w:w="2100" w:type="dxa"/>
            <w:vAlign w:val="bottom"/>
          </w:tcPr>
          <w:p>
            <w:pPr>
              <w:ind w:left="740"/>
              <w:spacing w:after="0"/>
              <w:rPr>
                <w:sz w:val="20"/>
                <w:szCs w:val="20"/>
                <w:color w:val="auto"/>
              </w:rPr>
            </w:pPr>
            <w:r>
              <w:rPr>
                <w:rFonts w:ascii="Courier New" w:cs="Courier New" w:eastAsia="Courier New" w:hAnsi="Courier New"/>
                <w:sz w:val="14"/>
                <w:szCs w:val="14"/>
                <w:color w:val="auto"/>
              </w:rPr>
              <w:t>Inventories</w:t>
            </w:r>
          </w:p>
        </w:tc>
        <w:tc>
          <w:tcPr>
            <w:tcW w:w="3640" w:type="dxa"/>
            <w:vAlign w:val="bottom"/>
          </w:tcPr>
          <w:p>
            <w:pPr>
              <w:spacing w:after="0"/>
              <w:rPr>
                <w:sz w:val="13"/>
                <w:szCs w:val="13"/>
                <w:color w:val="auto"/>
              </w:rPr>
            </w:pPr>
          </w:p>
        </w:tc>
        <w:tc>
          <w:tcPr>
            <w:tcW w:w="14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15,574</w:t>
            </w:r>
          </w:p>
        </w:tc>
        <w:tc>
          <w:tcPr>
            <w:tcW w:w="320" w:type="dxa"/>
            <w:vAlign w:val="bottom"/>
          </w:tcPr>
          <w:p>
            <w:pPr>
              <w:spacing w:after="0"/>
              <w:rPr>
                <w:sz w:val="13"/>
                <w:szCs w:val="13"/>
                <w:color w:val="auto"/>
              </w:rPr>
            </w:pPr>
          </w:p>
        </w:tc>
        <w:tc>
          <w:tcPr>
            <w:tcW w:w="9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(22,142)</w:t>
            </w:r>
          </w:p>
        </w:tc>
        <w:tc>
          <w:tcPr>
            <w:tcW w:w="12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(4,956)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(40,056)</w:t>
            </w:r>
          </w:p>
        </w:tc>
      </w:tr>
      <w:tr>
        <w:trPr>
          <w:trHeight w:val="159"/>
        </w:trPr>
        <w:tc>
          <w:tcPr>
            <w:tcW w:w="2100" w:type="dxa"/>
            <w:vAlign w:val="bottom"/>
          </w:tcPr>
          <w:p>
            <w:pPr>
              <w:ind w:left="740"/>
              <w:spacing w:after="0"/>
              <w:rPr>
                <w:sz w:val="20"/>
                <w:szCs w:val="20"/>
                <w:color w:val="auto"/>
              </w:rPr>
            </w:pPr>
            <w:r>
              <w:rPr>
                <w:rFonts w:ascii="Courier New" w:cs="Courier New" w:eastAsia="Courier New" w:hAnsi="Courier New"/>
                <w:sz w:val="14"/>
                <w:szCs w:val="14"/>
                <w:color w:val="auto"/>
                <w:w w:val="99"/>
              </w:rPr>
              <w:t>Prepaid expenses</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and deferred income tax benefits</w:t>
            </w:r>
          </w:p>
        </w:tc>
        <w:tc>
          <w:tcPr>
            <w:tcW w:w="144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(1,131)</w:t>
            </w:r>
          </w:p>
        </w:tc>
        <w:tc>
          <w:tcPr>
            <w:tcW w:w="320" w:type="dxa"/>
            <w:vAlign w:val="bottom"/>
          </w:tcPr>
          <w:p>
            <w:pPr>
              <w:spacing w:after="0"/>
              <w:rPr>
                <w:sz w:val="13"/>
                <w:szCs w:val="13"/>
                <w:color w:val="auto"/>
              </w:rPr>
            </w:pPr>
          </w:p>
        </w:tc>
        <w:tc>
          <w:tcPr>
            <w:tcW w:w="92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1,962</w:t>
            </w:r>
          </w:p>
        </w:tc>
        <w:tc>
          <w:tcPr>
            <w:tcW w:w="12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(10,024)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(2,551)</w:t>
            </w:r>
          </w:p>
        </w:tc>
      </w:tr>
      <w:tr>
        <w:trPr>
          <w:trHeight w:val="159"/>
        </w:trPr>
        <w:tc>
          <w:tcPr>
            <w:tcW w:w="2100" w:type="dxa"/>
            <w:vAlign w:val="bottom"/>
          </w:tcPr>
          <w:p>
            <w:pPr>
              <w:ind w:left="740"/>
              <w:spacing w:after="0"/>
              <w:rPr>
                <w:sz w:val="20"/>
                <w:szCs w:val="20"/>
                <w:color w:val="auto"/>
              </w:rPr>
            </w:pPr>
            <w:r>
              <w:rPr>
                <w:rFonts w:ascii="Courier New" w:cs="Courier New" w:eastAsia="Courier New" w:hAnsi="Courier New"/>
                <w:sz w:val="14"/>
                <w:szCs w:val="14"/>
                <w:color w:val="auto"/>
                <w:w w:val="99"/>
              </w:rPr>
              <w:t>Accounts payable</w:t>
            </w:r>
          </w:p>
        </w:tc>
        <w:tc>
          <w:tcPr>
            <w:tcW w:w="3640" w:type="dxa"/>
            <w:vAlign w:val="bottom"/>
          </w:tcPr>
          <w:p>
            <w:pPr>
              <w:ind w:left="40"/>
              <w:spacing w:after="0"/>
              <w:rPr>
                <w:sz w:val="20"/>
                <w:szCs w:val="20"/>
                <w:color w:val="auto"/>
              </w:rPr>
            </w:pPr>
            <w:r>
              <w:rPr>
                <w:rFonts w:ascii="Courier New" w:cs="Courier New" w:eastAsia="Courier New" w:hAnsi="Courier New"/>
                <w:sz w:val="14"/>
                <w:szCs w:val="14"/>
                <w:color w:val="auto"/>
              </w:rPr>
              <w:t>and accrued expenses</w:t>
            </w:r>
          </w:p>
        </w:tc>
        <w:tc>
          <w:tcPr>
            <w:tcW w:w="144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2,218</w:t>
            </w:r>
          </w:p>
        </w:tc>
        <w:tc>
          <w:tcPr>
            <w:tcW w:w="320" w:type="dxa"/>
            <w:vAlign w:val="bottom"/>
          </w:tcPr>
          <w:p>
            <w:pPr>
              <w:spacing w:after="0"/>
              <w:rPr>
                <w:sz w:val="13"/>
                <w:szCs w:val="13"/>
                <w:color w:val="auto"/>
              </w:rPr>
            </w:pPr>
          </w:p>
        </w:tc>
        <w:tc>
          <w:tcPr>
            <w:tcW w:w="920" w:type="dxa"/>
            <w:vAlign w:val="bottom"/>
          </w:tcPr>
          <w:p>
            <w:pPr>
              <w:jc w:val="right"/>
              <w:ind w:right="111"/>
              <w:spacing w:after="0"/>
              <w:rPr>
                <w:sz w:val="20"/>
                <w:szCs w:val="20"/>
                <w:color w:val="auto"/>
              </w:rPr>
            </w:pPr>
            <w:r>
              <w:rPr>
                <w:rFonts w:ascii="Courier New" w:cs="Courier New" w:eastAsia="Courier New" w:hAnsi="Courier New"/>
                <w:sz w:val="14"/>
                <w:szCs w:val="14"/>
                <w:color w:val="auto"/>
              </w:rPr>
              <w:t>(9,770)</w:t>
            </w:r>
          </w:p>
        </w:tc>
        <w:tc>
          <w:tcPr>
            <w:tcW w:w="12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5,622</w:t>
            </w:r>
          </w:p>
        </w:tc>
        <w:tc>
          <w:tcPr>
            <w:tcW w:w="102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33,152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14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32,433</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(8,563)</w:t>
            </w:r>
          </w:p>
        </w:tc>
        <w:tc>
          <w:tcPr>
            <w:tcW w:w="1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15,537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80" w:type="dxa"/>
            <w:vAlign w:val="bottom"/>
            <w:gridSpan w:val="2"/>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Purchases of property, plant</w:t>
            </w:r>
          </w:p>
        </w:tc>
        <w:tc>
          <w:tcPr>
            <w:tcW w:w="2560" w:type="dxa"/>
            <w:vAlign w:val="bottom"/>
          </w:tcPr>
          <w:p>
            <w:pPr>
              <w:spacing w:after="0"/>
              <w:rPr>
                <w:sz w:val="20"/>
                <w:szCs w:val="20"/>
                <w:color w:val="auto"/>
              </w:rPr>
            </w:pPr>
            <w:r>
              <w:rPr>
                <w:rFonts w:ascii="Courier New" w:cs="Courier New" w:eastAsia="Courier New" w:hAnsi="Courier New"/>
                <w:sz w:val="14"/>
                <w:szCs w:val="14"/>
                <w:color w:val="auto"/>
              </w:rPr>
              <w:t>and equipment</w:t>
            </w:r>
          </w:p>
        </w:tc>
        <w:tc>
          <w:tcPr>
            <w:tcW w:w="20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(21,389)</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(3,302)</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(28,162)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(18,173)</w:t>
            </w:r>
          </w:p>
        </w:tc>
      </w:tr>
      <w:tr>
        <w:trPr>
          <w:trHeight w:val="159"/>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w w:val="96"/>
              </w:rPr>
              <w:t>Proceeds from asset disposals</w:t>
            </w:r>
          </w:p>
        </w:tc>
        <w:tc>
          <w:tcPr>
            <w:tcW w:w="2560" w:type="dxa"/>
            <w:vAlign w:val="bottom"/>
          </w:tcPr>
          <w:p>
            <w:pPr>
              <w:spacing w:after="0"/>
              <w:rPr>
                <w:sz w:val="13"/>
                <w:szCs w:val="13"/>
                <w:color w:val="auto"/>
              </w:rPr>
            </w:pPr>
          </w:p>
        </w:tc>
        <w:tc>
          <w:tcPr>
            <w:tcW w:w="20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543</w:t>
            </w:r>
          </w:p>
        </w:tc>
        <w:tc>
          <w:tcPr>
            <w:tcW w:w="1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43</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843</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267</w:t>
            </w:r>
          </w:p>
        </w:tc>
      </w:tr>
      <w:tr>
        <w:trPr>
          <w:trHeight w:val="159"/>
        </w:trPr>
        <w:tc>
          <w:tcPr>
            <w:tcW w:w="2720" w:type="dxa"/>
            <w:vAlign w:val="bottom"/>
          </w:tcPr>
          <w:p>
            <w:pPr>
              <w:ind w:left="340"/>
              <w:spacing w:after="0"/>
              <w:rPr>
                <w:sz w:val="20"/>
                <w:szCs w:val="20"/>
                <w:color w:val="auto"/>
              </w:rPr>
            </w:pPr>
            <w:r>
              <w:rPr>
                <w:rFonts w:ascii="Courier New" w:cs="Courier New" w:eastAsia="Courier New" w:hAnsi="Courier New"/>
                <w:sz w:val="14"/>
                <w:szCs w:val="14"/>
                <w:color w:val="auto"/>
              </w:rPr>
              <w:t>(Increase) decrease in other</w:t>
            </w:r>
          </w:p>
        </w:tc>
        <w:tc>
          <w:tcPr>
            <w:tcW w:w="2560" w:type="dxa"/>
            <w:vAlign w:val="bottom"/>
          </w:tcPr>
          <w:p>
            <w:pPr>
              <w:spacing w:after="0"/>
              <w:rPr>
                <w:sz w:val="20"/>
                <w:szCs w:val="20"/>
                <w:color w:val="auto"/>
              </w:rPr>
            </w:pPr>
            <w:r>
              <w:rPr>
                <w:rFonts w:ascii="Courier New" w:cs="Courier New" w:eastAsia="Courier New" w:hAnsi="Courier New"/>
                <w:sz w:val="14"/>
                <w:szCs w:val="14"/>
                <w:color w:val="auto"/>
              </w:rPr>
              <w:t>assets/liabilities</w:t>
            </w:r>
          </w:p>
        </w:tc>
        <w:tc>
          <w:tcPr>
            <w:tcW w:w="20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(857)</w:t>
            </w:r>
          </w:p>
        </w:tc>
        <w:tc>
          <w:tcPr>
            <w:tcW w:w="12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1,793</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3,935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12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06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(21,703)</w:t>
            </w:r>
          </w:p>
        </w:tc>
        <w:tc>
          <w:tcPr>
            <w:tcW w:w="12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(1,466)</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(23,384)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(22,879)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Increase (decrease) in sale of receivables</w:t>
            </w:r>
          </w:p>
        </w:tc>
        <w:tc>
          <w:tcPr>
            <w:tcW w:w="2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(2,331)</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2,331</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(Decrease) increase in short-term borrowing</w:t>
            </w:r>
          </w:p>
        </w:tc>
        <w:tc>
          <w:tcPr>
            <w:tcW w:w="21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(550)</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19,040</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22,535</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Proceeds from issuance of long-term debt</w:t>
            </w:r>
          </w:p>
        </w:tc>
        <w:tc>
          <w:tcPr>
            <w:tcW w:w="2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4,000</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Repayments of long-term debt</w:t>
            </w:r>
          </w:p>
        </w:tc>
        <w:tc>
          <w:tcPr>
            <w:tcW w:w="21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(15,334)</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(12,326)</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(20,300)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(40,645)</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Proceeds from deferred income</w:t>
            </w:r>
          </w:p>
        </w:tc>
        <w:tc>
          <w:tcPr>
            <w:tcW w:w="2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12,742</w:t>
            </w:r>
          </w:p>
        </w:tc>
        <w:tc>
          <w:tcPr>
            <w:tcW w:w="1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5,250</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Proceeds from exercise of stock options</w:t>
            </w:r>
          </w:p>
        </w:tc>
        <w:tc>
          <w:tcPr>
            <w:tcW w:w="2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4,627</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3,586</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8,251</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6,144</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Purchases of common stock</w:t>
            </w:r>
          </w:p>
        </w:tc>
        <w:tc>
          <w:tcPr>
            <w:tcW w:w="21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(13,339)</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(891)</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(26,225)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Dividends on common stock</w:t>
            </w:r>
          </w:p>
        </w:tc>
        <w:tc>
          <w:tcPr>
            <w:tcW w:w="21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(5,834)</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(1,459)</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(6,002)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(5,993)</w:t>
            </w:r>
          </w:p>
        </w:tc>
      </w:tr>
      <w:tr>
        <w:trPr>
          <w:trHeight w:val="159"/>
        </w:trPr>
        <w:tc>
          <w:tcPr>
            <w:tcW w:w="5120" w:type="dxa"/>
            <w:vAlign w:val="bottom"/>
          </w:tcPr>
          <w:p>
            <w:pPr>
              <w:ind w:left="340"/>
              <w:spacing w:after="0"/>
              <w:rPr>
                <w:sz w:val="20"/>
                <w:szCs w:val="20"/>
                <w:color w:val="auto"/>
              </w:rPr>
            </w:pPr>
            <w:r>
              <w:rPr>
                <w:rFonts w:ascii="Courier New" w:cs="Courier New" w:eastAsia="Courier New" w:hAnsi="Courier New"/>
                <w:sz w:val="14"/>
                <w:szCs w:val="14"/>
                <w:color w:val="auto"/>
              </w:rPr>
              <w:t>Repayments from ESOP</w:t>
            </w:r>
          </w:p>
        </w:tc>
        <w:tc>
          <w:tcPr>
            <w:tcW w:w="21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2,612</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1160" w:type="dxa"/>
        <w:tblCellMar>
          <w:top w:w="0" w:type="dxa"/>
          <w:left w:w="0" w:type="dxa"/>
          <w:bottom w:w="0" w:type="dxa"/>
          <w:right w:w="0" w:type="dxa"/>
        </w:tblCellMar>
      </w:tblP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5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(17,688)</w:t>
            </w:r>
          </w:p>
        </w:tc>
        <w:tc>
          <w:tcPr>
            <w:tcW w:w="112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5,619</w:t>
            </w:r>
          </w:p>
        </w:tc>
        <w:tc>
          <w:tcPr>
            <w:tcW w:w="12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(16,798)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(30,917)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54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(678)</w:t>
            </w:r>
          </w:p>
        </w:tc>
        <w:tc>
          <w:tcPr>
            <w:tcW w:w="120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188</w:t>
            </w:r>
          </w:p>
        </w:tc>
        <w:tc>
          <w:tcPr>
            <w:tcW w:w="12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338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00" w:type="dxa"/>
            <w:vAlign w:val="bottom"/>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21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(7,636)</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(4,222)</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(24,307)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(25,562)</w:t>
            </w:r>
          </w:p>
        </w:tc>
      </w:tr>
      <w:tr>
        <w:trPr>
          <w:trHeight w:val="159"/>
        </w:trPr>
        <w:tc>
          <w:tcPr>
            <w:tcW w:w="52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14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7,702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11,924</w:t>
            </w:r>
          </w:p>
        </w:tc>
        <w:tc>
          <w:tcPr>
            <w:tcW w:w="12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36,231</w:t>
            </w:r>
          </w:p>
        </w:tc>
        <w:tc>
          <w:tcPr>
            <w:tcW w:w="9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61,793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spacing w:after="0"/>
        <w:tabs>
          <w:tab w:leader="none" w:pos="6260" w:val="left"/>
          <w:tab w:leader="none" w:pos="6740" w:val="left"/>
          <w:tab w:leader="none" w:pos="7320" w:val="left"/>
          <w:tab w:leader="none" w:pos="7740" w:val="left"/>
          <w:tab w:leader="none" w:pos="8640" w:val="left"/>
          <w:tab w:leader="none" w:pos="8880" w:val="left"/>
          <w:tab w:leader="none" w:pos="9880" w:val="left"/>
          <w:tab w:leader="none" w:pos="10120" w:val="left"/>
        </w:tabs>
        <w:rPr>
          <w:sz w:val="20"/>
          <w:szCs w:val="20"/>
          <w:color w:val="auto"/>
        </w:rPr>
      </w:pPr>
      <w:r>
        <w:rPr>
          <w:rFonts w:ascii="Courier New" w:cs="Courier New" w:eastAsia="Courier New" w:hAnsi="Courier New"/>
          <w:sz w:val="14"/>
          <w:szCs w:val="14"/>
          <w:color w:val="auto"/>
        </w:rPr>
        <w:t>Cash and cash equivalents at end of period</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7,702</w:t>
      </w:r>
      <w:r>
        <w:rPr>
          <w:sz w:val="20"/>
          <w:szCs w:val="20"/>
          <w:color w:val="auto"/>
        </w:rPr>
        <w:tab/>
      </w:r>
      <w:r>
        <w:rPr>
          <w:rFonts w:ascii="Courier New" w:cs="Courier New" w:eastAsia="Courier New" w:hAnsi="Courier New"/>
          <w:sz w:val="14"/>
          <w:szCs w:val="14"/>
          <w:color w:val="auto"/>
        </w:rPr>
        <w:t>$</w:t>
        <w:tab/>
        <w:t>11,924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36,231</w:t>
      </w:r>
    </w:p>
    <w:p>
      <w:pPr>
        <w:spacing w:after="0" w:line="4" w:lineRule="exact"/>
        <w:rPr>
          <w:sz w:val="20"/>
          <w:szCs w:val="20"/>
          <w:color w:val="auto"/>
        </w:rPr>
      </w:pPr>
    </w:p>
    <w:p>
      <w:pPr>
        <w:ind w:left="160" w:hanging="155"/>
        <w:spacing w:after="0"/>
        <w:tabs>
          <w:tab w:leader="none" w:pos="160" w:val="left"/>
        </w:tabs>
        <w:numPr>
          <w:ilvl w:val="0"/>
          <w:numId w:val="1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5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340" w:right="7340" w:hanging="330"/>
        <w:spacing w:after="0" w:line="258" w:lineRule="auto"/>
        <w:rPr>
          <w:rFonts w:ascii="Courier New" w:cs="Courier New" w:eastAsia="Courier New" w:hAnsi="Courier New"/>
          <w:sz w:val="13"/>
          <w:szCs w:val="13"/>
          <w:color w:val="auto"/>
        </w:rPr>
      </w:pPr>
      <w:r>
        <w:rPr>
          <w:rFonts w:ascii="Courier New" w:cs="Courier New" w:eastAsia="Courier New" w:hAnsi="Courier New"/>
          <w:sz w:val="13"/>
          <w:szCs w:val="13"/>
          <w:color w:val="auto"/>
        </w:rPr>
        <w:t>Supplemental disclosures of cash flow information: Cash paid during the period for:</w:t>
      </w:r>
    </w:p>
    <w:tbl>
      <w:tblPr>
        <w:tblLayout w:type="fixed"/>
        <w:tblInd w:w="740" w:type="dxa"/>
        <w:tblCellMar>
          <w:top w:w="0" w:type="dxa"/>
          <w:left w:w="0" w:type="dxa"/>
          <w:bottom w:w="0" w:type="dxa"/>
          <w:right w:w="0" w:type="dxa"/>
        </w:tblCellMar>
      </w:tblPr>
      <w:tr>
        <w:trPr>
          <w:trHeight w:val="155"/>
        </w:trPr>
        <w:tc>
          <w:tcPr>
            <w:tcW w:w="3220" w:type="dxa"/>
            <w:vAlign w:val="bottom"/>
          </w:tcPr>
          <w:p>
            <w:pPr>
              <w:spacing w:after="0" w:line="155" w:lineRule="exact"/>
              <w:rPr>
                <w:sz w:val="20"/>
                <w:szCs w:val="20"/>
                <w:color w:val="auto"/>
              </w:rPr>
            </w:pPr>
            <w:r>
              <w:rPr>
                <w:rFonts w:ascii="Courier New" w:cs="Courier New" w:eastAsia="Courier New" w:hAnsi="Courier New"/>
                <w:sz w:val="14"/>
                <w:szCs w:val="14"/>
                <w:color w:val="auto"/>
              </w:rPr>
              <w:t>Interest</w:t>
            </w:r>
          </w:p>
        </w:tc>
        <w:tc>
          <w:tcPr>
            <w:tcW w:w="3180" w:type="dxa"/>
            <w:vAlign w:val="bottom"/>
          </w:tcPr>
          <w:p>
            <w:pPr>
              <w:jc w:val="right"/>
              <w:ind w:right="131"/>
              <w:spacing w:after="0" w:line="155" w:lineRule="exact"/>
              <w:rPr>
                <w:sz w:val="20"/>
                <w:szCs w:val="20"/>
                <w:color w:val="auto"/>
              </w:rPr>
            </w:pPr>
            <w:r>
              <w:rPr>
                <w:rFonts w:ascii="Courier New" w:cs="Courier New" w:eastAsia="Courier New" w:hAnsi="Courier New"/>
                <w:sz w:val="14"/>
                <w:szCs w:val="14"/>
                <w:color w:val="auto"/>
              </w:rPr>
              <w:t>$  15,335</w:t>
            </w:r>
          </w:p>
        </w:tc>
        <w:tc>
          <w:tcPr>
            <w:tcW w:w="460" w:type="dxa"/>
            <w:vAlign w:val="bottom"/>
          </w:tcPr>
          <w:p>
            <w:pPr>
              <w:jc w:val="right"/>
              <w:ind w:right="111"/>
              <w:spacing w:after="0" w:line="155" w:lineRule="exact"/>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51"/>
              <w:spacing w:after="0" w:line="155" w:lineRule="exact"/>
              <w:rPr>
                <w:sz w:val="20"/>
                <w:szCs w:val="20"/>
                <w:color w:val="auto"/>
              </w:rPr>
            </w:pPr>
            <w:r>
              <w:rPr>
                <w:rFonts w:ascii="Courier New" w:cs="Courier New" w:eastAsia="Courier New" w:hAnsi="Courier New"/>
                <w:sz w:val="14"/>
                <w:szCs w:val="14"/>
                <w:color w:val="auto"/>
              </w:rPr>
              <w:t>4,694</w:t>
            </w:r>
          </w:p>
        </w:tc>
        <w:tc>
          <w:tcPr>
            <w:tcW w:w="400" w:type="dxa"/>
            <w:vAlign w:val="bottom"/>
          </w:tcPr>
          <w:p>
            <w:pPr>
              <w:jc w:val="right"/>
              <w:ind w:right="51"/>
              <w:spacing w:after="0" w:line="155" w:lineRule="exact"/>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91"/>
              <w:spacing w:after="0" w:line="155" w:lineRule="exact"/>
              <w:rPr>
                <w:sz w:val="20"/>
                <w:szCs w:val="20"/>
                <w:color w:val="auto"/>
              </w:rPr>
            </w:pPr>
            <w:r>
              <w:rPr>
                <w:rFonts w:ascii="Courier New" w:cs="Courier New" w:eastAsia="Courier New" w:hAnsi="Courier New"/>
                <w:sz w:val="14"/>
                <w:szCs w:val="14"/>
                <w:color w:val="auto"/>
              </w:rPr>
              <w:t>9,567</w:t>
            </w:r>
          </w:p>
        </w:tc>
        <w:tc>
          <w:tcPr>
            <w:tcW w:w="980" w:type="dxa"/>
            <w:vAlign w:val="bottom"/>
          </w:tcPr>
          <w:p>
            <w:pPr>
              <w:jc w:val="right"/>
              <w:spacing w:after="0" w:line="155" w:lineRule="exact"/>
              <w:rPr>
                <w:sz w:val="20"/>
                <w:szCs w:val="20"/>
                <w:color w:val="auto"/>
              </w:rPr>
            </w:pPr>
            <w:r>
              <w:rPr>
                <w:rFonts w:ascii="Courier New" w:cs="Courier New" w:eastAsia="Courier New" w:hAnsi="Courier New"/>
                <w:sz w:val="14"/>
                <w:szCs w:val="14"/>
                <w:color w:val="auto"/>
              </w:rPr>
              <w:t>$  14,092</w:t>
            </w:r>
          </w:p>
        </w:tc>
      </w:tr>
      <w:tr>
        <w:trPr>
          <w:trHeight w:val="159"/>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18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20,447</w:t>
            </w:r>
          </w:p>
        </w:tc>
        <w:tc>
          <w:tcPr>
            <w:tcW w:w="460" w:type="dxa"/>
            <w:vAlign w:val="bottom"/>
          </w:tcPr>
          <w:p>
            <w:pPr>
              <w:spacing w:after="0"/>
              <w:rPr>
                <w:sz w:val="13"/>
                <w:szCs w:val="13"/>
                <w:color w:val="auto"/>
              </w:rPr>
            </w:pPr>
          </w:p>
        </w:tc>
        <w:tc>
          <w:tcPr>
            <w:tcW w:w="780" w:type="dxa"/>
            <w:vAlign w:val="bottom"/>
          </w:tcPr>
          <w:p>
            <w:pPr>
              <w:jc w:val="right"/>
              <w:ind w:right="151"/>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spacing w:after="0"/>
              <w:rPr>
                <w:sz w:val="13"/>
                <w:szCs w:val="13"/>
                <w:color w:val="auto"/>
              </w:rPr>
            </w:pPr>
          </w:p>
        </w:tc>
        <w:tc>
          <w:tcPr>
            <w:tcW w:w="8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34,936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19,498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520"/>
        <w:spacing w:after="0" w:line="236"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460"/>
          </w:cols>
          <w:pgMar w:left="220" w:top="1440" w:right="219" w:bottom="1440" w:gutter="0" w:footer="0" w:header="0"/>
        </w:sectPr>
      </w:pPr>
    </w:p>
    <w:bookmarkStart w:id="94" w:name="page95"/>
    <w:bookmarkEnd w:id="94"/>
    <w:p>
      <w:pPr>
        <w:spacing w:after="0"/>
        <w:tabs>
          <w:tab w:leader="none" w:pos="362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3"/>
          <w:szCs w:val="13"/>
          <w:color w:val="auto"/>
        </w:rPr>
        <w:t>The Toro Company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p>
      <w:pPr>
        <w:ind w:left="340" w:hanging="253"/>
        <w:spacing w:after="0"/>
        <w:tabs>
          <w:tab w:leader="none" w:pos="34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AND RELATED DATA</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4" w:lineRule="exact"/>
        <w:rPr>
          <w:sz w:val="20"/>
          <w:szCs w:val="20"/>
          <w:color w:val="auto"/>
        </w:rPr>
      </w:pPr>
    </w:p>
    <w:p>
      <w:pPr>
        <w:ind w:right="3719"/>
        <w:spacing w:after="0" w:line="237" w:lineRule="auto"/>
        <w:rPr>
          <w:sz w:val="20"/>
          <w:szCs w:val="20"/>
          <w:color w:val="auto"/>
        </w:rPr>
      </w:pPr>
      <w:r>
        <w:rPr>
          <w:rFonts w:ascii="Courier New" w:cs="Courier New" w:eastAsia="Courier New" w:hAnsi="Courier New"/>
          <w:sz w:val="14"/>
          <w:szCs w:val="14"/>
          <w:color w:val="auto"/>
        </w:rPr>
        <w:t>Effective November 1995, the company changed its fiscal year ended July 31 to a fiscal year ended October 31. The 3 month transition period ended October 31, 1995 bridges the gap between the company's old and new fiscal year ends.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63"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wholly-owned and majority-owned domestic and foreign subsidiaries (the company). Investments in 50% or less owned companies are accounted for by the equity method. The accounts of foreign subsidiaries, which are not material, have been adjusted to conform to U.S. accounting principles and practices and have been translated to appropriate U.S. dollar equivalents. All material intercompany accounts and transactions have been eliminated from the consolidated financial statements.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The company considers all highly liquid investments purchased with a maturity of three months or less to be cash equivalents. At October 31, 1996 the Company had $4,908,000 included in trade payables that represented the reclassification of outstanding checks in excess of related bank balances.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doubtful accounts included in selling, general and</w:t>
      </w:r>
    </w:p>
    <w:p>
      <w:pPr>
        <w:spacing w:after="0"/>
        <w:rPr>
          <w:sz w:val="20"/>
          <w:szCs w:val="20"/>
          <w:color w:val="auto"/>
        </w:rPr>
      </w:pPr>
      <w:r>
        <w:rPr>
          <w:rFonts w:ascii="Courier New" w:cs="Courier New" w:eastAsia="Courier New" w:hAnsi="Courier New"/>
          <w:sz w:val="14"/>
          <w:szCs w:val="14"/>
          <w:color w:val="auto"/>
        </w:rPr>
        <w:t>administrative expense was $3,358,000 for the year ended October 31, 1996,</w:t>
      </w:r>
    </w:p>
    <w:p>
      <w:pPr>
        <w:spacing w:after="0"/>
        <w:rPr>
          <w:sz w:val="20"/>
          <w:szCs w:val="20"/>
          <w:color w:val="auto"/>
        </w:rPr>
      </w:pPr>
      <w:r>
        <w:rPr>
          <w:rFonts w:ascii="Courier New" w:cs="Courier New" w:eastAsia="Courier New" w:hAnsi="Courier New"/>
          <w:sz w:val="14"/>
          <w:szCs w:val="14"/>
          <w:color w:val="auto"/>
        </w:rPr>
        <w:t>$720,000 for the 3 months ended October 31, 1995, $1,543,000 for the year ended</w:t>
      </w:r>
    </w:p>
    <w:p>
      <w:pPr>
        <w:spacing w:after="0"/>
        <w:rPr>
          <w:sz w:val="20"/>
          <w:szCs w:val="20"/>
          <w:color w:val="auto"/>
        </w:rPr>
      </w:pPr>
      <w:r>
        <w:rPr>
          <w:rFonts w:ascii="Courier New" w:cs="Courier New" w:eastAsia="Courier New" w:hAnsi="Courier New"/>
          <w:sz w:val="14"/>
          <w:szCs w:val="14"/>
          <w:color w:val="auto"/>
        </w:rPr>
        <w:t>July 31, 1995, and $3,032,000 for the year ended July 31, 1994.</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63"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The majority of all inventories are valued at the lower of cost or net realizable value with cost determined by the last-in, first-out (LIFO) method. Had the first-in, first-out (FIFO) method of cost determination been used, inventories would have been $25,642,000 and $24,841,000 higher than reported at October 31, 1996, and 1995, respectively. Under the FIFO method, work-in-process inventories were $69,182,000 and $86,285,000 and finished goods inventories were $86,748,000 and $84,418,000 at October 31, 1996 and 1995, respectively.</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163" w:lineRule="exact"/>
        <w:rPr>
          <w:sz w:val="20"/>
          <w:szCs w:val="20"/>
          <w:color w:val="auto"/>
        </w:rPr>
      </w:pPr>
    </w:p>
    <w:p>
      <w:pPr>
        <w:ind w:right="3719"/>
        <w:spacing w:after="0" w:line="239" w:lineRule="auto"/>
        <w:rPr>
          <w:sz w:val="20"/>
          <w:szCs w:val="20"/>
          <w:color w:val="auto"/>
        </w:rPr>
      </w:pPr>
      <w:r>
        <w:rPr>
          <w:rFonts w:ascii="Courier New" w:cs="Courier New" w:eastAsia="Courier New" w:hAnsi="Courier New"/>
          <w:sz w:val="14"/>
          <w:szCs w:val="14"/>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The cost and related accumulated depreciation of all plant and equipment disposed of are removed from the accounts, and any gain or loss from such disposal is included in current period earnings.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WARRANTY</w:t>
      </w:r>
    </w:p>
    <w:p>
      <w:pPr>
        <w:spacing w:after="0" w:line="163" w:lineRule="exact"/>
        <w:rPr>
          <w:sz w:val="20"/>
          <w:szCs w:val="20"/>
          <w:color w:val="auto"/>
        </w:rPr>
      </w:pPr>
    </w:p>
    <w:p>
      <w:pPr>
        <w:ind w:right="3799"/>
        <w:spacing w:after="0" w:line="236"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w:t>
      </w:r>
    </w:p>
    <w:p>
      <w:pPr>
        <w:spacing w:after="0" w:line="31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750"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DEFERRED INCOME</w:t>
      </w:r>
    </w:p>
    <w:p>
      <w:pPr>
        <w:spacing w:after="0" w:line="163" w:lineRule="exact"/>
        <w:rPr>
          <w:sz w:val="20"/>
          <w:szCs w:val="20"/>
          <w:color w:val="auto"/>
        </w:rPr>
      </w:pPr>
    </w:p>
    <w:p>
      <w:pPr>
        <w:ind w:right="3719"/>
        <w:spacing w:after="0" w:line="238" w:lineRule="auto"/>
        <w:rPr>
          <w:sz w:val="20"/>
          <w:szCs w:val="20"/>
          <w:color w:val="auto"/>
        </w:rPr>
      </w:pPr>
      <w:r>
        <w:rPr>
          <w:rFonts w:ascii="Courier New" w:cs="Courier New" w:eastAsia="Courier New" w:hAnsi="Courier New"/>
          <w:sz w:val="14"/>
          <w:szCs w:val="14"/>
          <w:color w:val="auto"/>
        </w:rPr>
        <w:t>The company has recorded deferred income related to a forward starting interest rate exchange agreement. The deferred income will be recognized commencing August 1, 1997 as an adjustment to interest expense over the term of the agreement. See Note 3 to the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63" w:lineRule="exact"/>
        <w:rPr>
          <w:sz w:val="20"/>
          <w:szCs w:val="20"/>
          <w:color w:val="auto"/>
        </w:rPr>
      </w:pPr>
    </w:p>
    <w:p>
      <w:pPr>
        <w:ind w:right="3799"/>
        <w:spacing w:after="0" w:line="239"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in accordance with Statement of Financial Accounting Standards No. 52, "Foreign Currency Translation" which is performed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foreign currency transactions are included in other income, net.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163" w:lineRule="exact"/>
        <w:rPr>
          <w:sz w:val="20"/>
          <w:szCs w:val="20"/>
          <w:color w:val="auto"/>
        </w:rPr>
      </w:pPr>
    </w:p>
    <w:p>
      <w:pPr>
        <w:ind w:right="3719"/>
        <w:spacing w:after="0" w:line="236" w:lineRule="auto"/>
        <w:rPr>
          <w:sz w:val="20"/>
          <w:szCs w:val="20"/>
          <w:color w:val="auto"/>
        </w:rPr>
      </w:pPr>
      <w:r>
        <w:rPr>
          <w:rFonts w:ascii="Courier New" w:cs="Courier New" w:eastAsia="Courier New" w:hAnsi="Courier New"/>
          <w:sz w:val="14"/>
          <w:szCs w:val="14"/>
          <w:color w:val="auto"/>
        </w:rPr>
        <w:t>Revenue is recognized at the time products are shipped to distributors, dealers or mass merchandisers.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various programs in which the company shares costs of financing distributor and dealer inventories. These costs of $10,252,000 for the year ended October 31, 1996, $2,063,000 for the 3 months ended October 31, 1995, $9,675,000 for the year ended July 31, 1995, and $8,587,000 for the year ended July 31, 1994, are charged against operations as incurred.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63" w:lineRule="exact"/>
        <w:rPr>
          <w:sz w:val="20"/>
          <w:szCs w:val="20"/>
          <w:color w:val="auto"/>
        </w:rPr>
      </w:pPr>
    </w:p>
    <w:p>
      <w:pPr>
        <w:ind w:right="3639"/>
        <w:spacing w:after="0" w:line="262" w:lineRule="auto"/>
        <w:rPr>
          <w:sz w:val="20"/>
          <w:szCs w:val="20"/>
          <w:color w:val="auto"/>
        </w:rPr>
      </w:pPr>
      <w:r>
        <w:rPr>
          <w:rFonts w:ascii="Courier New" w:cs="Courier New" w:eastAsia="Courier New" w:hAnsi="Courier New"/>
          <w:sz w:val="13"/>
          <w:szCs w:val="13"/>
          <w:color w:val="auto"/>
        </w:rPr>
        <w:t>Expenditures for research and development, including engineering, of $31,343,000 for the year ended October 31, 1996, $6,864,000 for the 3 months ended October 31, 1995, $26,513,000 for the year ended July 31, 1995 and $24,581,000 for the year ended July 31, 1994 are charged against operations as incurred.</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63" w:lineRule="exact"/>
        <w:rPr>
          <w:sz w:val="20"/>
          <w:szCs w:val="20"/>
          <w:color w:val="auto"/>
        </w:rPr>
      </w:pPr>
    </w:p>
    <w:p>
      <w:pPr>
        <w:ind w:right="3639"/>
        <w:spacing w:after="0" w:line="260" w:lineRule="auto"/>
        <w:rPr>
          <w:sz w:val="20"/>
          <w:szCs w:val="20"/>
          <w:color w:val="auto"/>
        </w:rPr>
      </w:pPr>
      <w:r>
        <w:rPr>
          <w:rFonts w:ascii="Courier New" w:cs="Courier New" w:eastAsia="Courier New" w:hAnsi="Courier New"/>
          <w:sz w:val="13"/>
          <w:szCs w:val="13"/>
          <w:color w:val="auto"/>
        </w:rPr>
        <w:t>Included in selling, general and administrative expense are costs associated with changes to the company's distribution channels. These costs were $6,682,000 for the year ended October 31, 1996, $823,000 for the 3 months ended October 31, 1995, $3,400,000 for the year ended July 31, 1995 and $4,300,000 for the year ended July 31, 1994. Those costs associated with business changes are accrued on the basis of historical experience, while costs related to specific changes to the company's distribution system are recorded when authorized.</w:t>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63"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3"/>
          <w:szCs w:val="13"/>
          <w:color w:val="auto"/>
        </w:rPr>
        <w:t>In accordance with Statement of Financial Accounting Standards No. 109, "Accounting for Income Taxes," (FAS 109),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w:t>
      </w:r>
    </w:p>
    <w:p>
      <w:pPr>
        <w:spacing w:after="0" w:line="236" w:lineRule="auto"/>
        <w:rPr>
          <w:sz w:val="20"/>
          <w:szCs w:val="20"/>
          <w:color w:val="auto"/>
        </w:rPr>
      </w:pPr>
      <w:r>
        <w:rPr>
          <w:rFonts w:ascii="Courier New" w:cs="Courier New" w:eastAsia="Courier New" w:hAnsi="Courier New"/>
          <w:sz w:val="14"/>
          <w:szCs w:val="14"/>
          <w:color w:val="auto"/>
        </w:rPr>
        <w:t>tax rates is recognized in income in the period that includes the enactment</w:t>
      </w:r>
    </w:p>
    <w:p>
      <w:pPr>
        <w:spacing w:after="0"/>
        <w:rPr>
          <w:sz w:val="20"/>
          <w:szCs w:val="20"/>
          <w:color w:val="auto"/>
        </w:rPr>
      </w:pPr>
      <w:r>
        <w:rPr>
          <w:rFonts w:ascii="Courier New" w:cs="Courier New" w:eastAsia="Courier New" w:hAnsi="Courier New"/>
          <w:sz w:val="14"/>
          <w:szCs w:val="14"/>
          <w:color w:val="auto"/>
        </w:rPr>
        <w:t>date. The company has reflected the necessary deferred tax asset/liability in</w:t>
      </w:r>
    </w:p>
    <w:p>
      <w:pPr>
        <w:spacing w:after="0"/>
        <w:rPr>
          <w:sz w:val="20"/>
          <w:szCs w:val="20"/>
          <w:color w:val="auto"/>
        </w:rPr>
      </w:pPr>
      <w:r>
        <w:rPr>
          <w:rFonts w:ascii="Courier New" w:cs="Courier New" w:eastAsia="Courier New" w:hAnsi="Courier New"/>
          <w:sz w:val="14"/>
          <w:szCs w:val="14"/>
          <w:color w:val="auto"/>
        </w:rPr>
        <w:t>the accompanying balance sheets. Management believes the future tax deductions</w:t>
      </w:r>
    </w:p>
    <w:p>
      <w:pPr>
        <w:spacing w:after="0"/>
        <w:rPr>
          <w:sz w:val="20"/>
          <w:szCs w:val="20"/>
          <w:color w:val="auto"/>
        </w:rPr>
      </w:pPr>
      <w:r>
        <w:rPr>
          <w:rFonts w:ascii="Courier New" w:cs="Courier New" w:eastAsia="Courier New" w:hAnsi="Courier New"/>
          <w:sz w:val="14"/>
          <w:szCs w:val="14"/>
          <w:color w:val="auto"/>
        </w:rPr>
        <w:t>will be realized principally through carry back to taxable income in prior</w:t>
      </w:r>
    </w:p>
    <w:p>
      <w:pPr>
        <w:spacing w:after="0"/>
        <w:rPr>
          <w:sz w:val="20"/>
          <w:szCs w:val="20"/>
          <w:color w:val="auto"/>
        </w:rPr>
      </w:pPr>
      <w:r>
        <w:rPr>
          <w:rFonts w:ascii="Courier New" w:cs="Courier New" w:eastAsia="Courier New" w:hAnsi="Courier New"/>
          <w:sz w:val="14"/>
          <w:szCs w:val="14"/>
          <w:color w:val="auto"/>
        </w:rPr>
        <w:t>years, future reversals of existing taxable temporary differences, and to a</w:t>
      </w:r>
    </w:p>
    <w:p>
      <w:pPr>
        <w:spacing w:after="0"/>
        <w:rPr>
          <w:sz w:val="20"/>
          <w:szCs w:val="20"/>
          <w:color w:val="auto"/>
        </w:rPr>
      </w:pPr>
      <w:r>
        <w:rPr>
          <w:rFonts w:ascii="Courier New" w:cs="Courier New" w:eastAsia="Courier New" w:hAnsi="Courier New"/>
          <w:sz w:val="14"/>
          <w:szCs w:val="14"/>
          <w:color w:val="auto"/>
        </w:rPr>
        <w:t>lesser extent, future</w:t>
      </w:r>
    </w:p>
    <w:p>
      <w:pPr>
        <w:spacing w:after="0"/>
        <w:rPr>
          <w:sz w:val="20"/>
          <w:szCs w:val="20"/>
          <w:color w:val="auto"/>
        </w:rPr>
      </w:pPr>
      <w:r>
        <w:rPr>
          <w:rFonts w:ascii="Courier New" w:cs="Courier New" w:eastAsia="Courier New" w:hAnsi="Courier New"/>
          <w:sz w:val="14"/>
          <w:szCs w:val="14"/>
          <w:color w:val="auto"/>
        </w:rPr>
        <w:t>taxable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592"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4"/>
          <w:szCs w:val="14"/>
          <w:color w:val="auto"/>
        </w:rPr>
        <w:t>NET EARNINGS PER SHARE OF COMMON STOCK AND COMMON STOCK EQUIVALENTS</w:t>
      </w:r>
    </w:p>
    <w:p>
      <w:pPr>
        <w:spacing w:after="0" w:line="163"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Net earnings per share of common stock and common stock equivalents are computed by dividing net earnings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stock was immaterial.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63"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w:t>
      </w:r>
    </w:p>
    <w:p>
      <w:pPr>
        <w:spacing w:after="0" w:line="163" w:lineRule="exact"/>
        <w:rPr>
          <w:sz w:val="20"/>
          <w:szCs w:val="20"/>
          <w:color w:val="auto"/>
        </w:rPr>
      </w:pPr>
    </w:p>
    <w:p>
      <w:pPr>
        <w:ind w:right="3959"/>
        <w:spacing w:after="0" w:line="239" w:lineRule="auto"/>
        <w:rPr>
          <w:sz w:val="20"/>
          <w:szCs w:val="20"/>
          <w:color w:val="auto"/>
        </w:rPr>
      </w:pPr>
      <w:r>
        <w:rPr>
          <w:rFonts w:ascii="Courier New" w:cs="Courier New" w:eastAsia="Courier New" w:hAnsi="Courier New"/>
          <w:sz w:val="14"/>
          <w:szCs w:val="14"/>
          <w:color w:val="auto"/>
        </w:rPr>
        <w:t>In October 1995, the Financial Accounting Standards Board released Statement of Financial Accounting Standard No. 123, "Accounting for Stock-Based Compensation," (FAS 123). The company accounts for its stock options and employee stock ownership plan in accordance with the provisions of the Accounting Principles Board Opinion No. 25, "Accounting for Stock Issued to Employees," (APB 25). FAS 123 provides an alternative to APB 25 and is effective for fiscal years beginning after December 15, 1995. The company expects to continue to account for its employee stock plans in accordance with the provisions of APB 25. Accordingly, FAS 123 is not expected to have any material impact on the company's financial position or results of operations. Effective with the issuance of the company's fiscal 1997 financial statements, the company will disclose proforma net income and per share amounts as if FAS 123 were applied.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63" w:lineRule="exact"/>
        <w:rPr>
          <w:sz w:val="20"/>
          <w:szCs w:val="20"/>
          <w:color w:val="auto"/>
        </w:rPr>
      </w:pPr>
    </w:p>
    <w:p>
      <w:pPr>
        <w:ind w:right="3719"/>
        <w:spacing w:after="0" w:line="236" w:lineRule="auto"/>
        <w:rPr>
          <w:sz w:val="20"/>
          <w:szCs w:val="20"/>
          <w:color w:val="auto"/>
        </w:rPr>
      </w:pPr>
      <w:r>
        <w:rPr>
          <w:rFonts w:ascii="Courier New" w:cs="Courier New" w:eastAsia="Courier New" w:hAnsi="Courier New"/>
          <w:sz w:val="14"/>
          <w:szCs w:val="14"/>
          <w:color w:val="auto"/>
        </w:rPr>
        <w:t>Certain prior period amounts have been reclassified to conform with the current year presentation.</w:t>
      </w:r>
    </w:p>
    <w:p>
      <w:pPr>
        <w:spacing w:after="0" w:line="318" w:lineRule="exact"/>
        <w:rPr>
          <w:sz w:val="20"/>
          <w:szCs w:val="20"/>
          <w:color w:val="auto"/>
        </w:rPr>
      </w:pPr>
    </w:p>
    <w:p>
      <w:pPr>
        <w:ind w:left="340" w:hanging="335"/>
        <w:spacing w:after="0"/>
        <w:tabs>
          <w:tab w:leader="none" w:pos="34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CAPITAL RESOURCES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jc w:val="both"/>
        <w:ind w:right="3879"/>
        <w:spacing w:after="0" w:line="238" w:lineRule="auto"/>
        <w:rPr>
          <w:sz w:val="20"/>
          <w:szCs w:val="20"/>
          <w:color w:val="auto"/>
        </w:rPr>
      </w:pPr>
      <w:r>
        <w:rPr>
          <w:rFonts w:ascii="Courier New" w:cs="Courier New" w:eastAsia="Courier New" w:hAnsi="Courier New"/>
          <w:sz w:val="14"/>
          <w:szCs w:val="14"/>
          <w:color w:val="auto"/>
        </w:rPr>
        <w:t>At October 31, 1996, the company had available unsecured lines of credit with five banks in the aggregate of $194,000,000. Most of these agreements require the company to pay a fee of 0.175% per year on the available lines of credit. This fee is recorded by the company as interest expense.</w:t>
      </w:r>
    </w:p>
    <w:p>
      <w:pPr>
        <w:spacing w:after="0" w:line="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3"/>
          <w:szCs w:val="13"/>
          <w:color w:val="auto"/>
        </w:rPr>
        <w:t>The company had $41,025,000 outstanding at October 31, 1996, and $41,575,000 outstanding at October 31, 1995. The weighted average interest rate on short-term borrowing for 1996 was 6.0% (6.0% for the 3 months ended October 31, 1995, 7.7% for the year ended July 31, 1995 and 6.5% for the year ended July 31, 1994). Interest expense was $7,036,000 in 1996 ($695,000 for the 3 months ended</w:t>
      </w:r>
    </w:p>
    <w:p>
      <w:pPr>
        <w:spacing w:after="0" w:line="235" w:lineRule="auto"/>
        <w:rPr>
          <w:sz w:val="20"/>
          <w:szCs w:val="20"/>
          <w:color w:val="auto"/>
        </w:rPr>
      </w:pPr>
      <w:r>
        <w:rPr>
          <w:rFonts w:ascii="Courier New" w:cs="Courier New" w:eastAsia="Courier New" w:hAnsi="Courier New"/>
          <w:sz w:val="14"/>
          <w:szCs w:val="14"/>
          <w:color w:val="auto"/>
        </w:rPr>
        <w:t>October 31, 1995, $2,498,000 for the year ended July 31, 1995 and $822,000 for</w:t>
      </w:r>
    </w:p>
    <w:p>
      <w:pPr>
        <w:spacing w:after="0"/>
        <w:rPr>
          <w:sz w:val="20"/>
          <w:szCs w:val="20"/>
          <w:color w:val="auto"/>
        </w:rPr>
      </w:pPr>
      <w:r>
        <w:rPr>
          <w:rFonts w:ascii="Courier New" w:cs="Courier New" w:eastAsia="Courier New" w:hAnsi="Courier New"/>
          <w:sz w:val="14"/>
          <w:szCs w:val="14"/>
          <w:color w:val="auto"/>
        </w:rPr>
        <w:t>the year ended July 31, 1994), including facility fees. The weighted average</w:t>
      </w:r>
    </w:p>
    <w:p>
      <w:pPr>
        <w:spacing w:after="0"/>
        <w:rPr>
          <w:sz w:val="20"/>
          <w:szCs w:val="20"/>
          <w:color w:val="auto"/>
        </w:rPr>
      </w:pPr>
      <w:r>
        <w:rPr>
          <w:rFonts w:ascii="Courier New" w:cs="Courier New" w:eastAsia="Courier New" w:hAnsi="Courier New"/>
          <w:sz w:val="14"/>
          <w:szCs w:val="14"/>
          <w:color w:val="auto"/>
        </w:rPr>
        <w:t>short-term borrowing was $117,080,000 for the year ended October 31, 1996</w:t>
      </w:r>
    </w:p>
    <w:p>
      <w:pPr>
        <w:spacing w:after="0"/>
        <w:rPr>
          <w:sz w:val="20"/>
          <w:szCs w:val="20"/>
          <w:color w:val="auto"/>
        </w:rPr>
      </w:pPr>
      <w:r>
        <w:rPr>
          <w:rFonts w:ascii="Courier New" w:cs="Courier New" w:eastAsia="Courier New" w:hAnsi="Courier New"/>
          <w:sz w:val="14"/>
          <w:szCs w:val="14"/>
          <w:color w:val="auto"/>
        </w:rPr>
        <w:t>($11,496,000 for the 3 months ended October 31, 1995, $32,335,000 for the year</w:t>
      </w:r>
    </w:p>
    <w:p>
      <w:pPr>
        <w:spacing w:after="0"/>
        <w:rPr>
          <w:sz w:val="20"/>
          <w:szCs w:val="20"/>
          <w:color w:val="auto"/>
        </w:rPr>
      </w:pPr>
      <w:r>
        <w:rPr>
          <w:rFonts w:ascii="Courier New" w:cs="Courier New" w:eastAsia="Courier New" w:hAnsi="Courier New"/>
          <w:sz w:val="14"/>
          <w:szCs w:val="14"/>
          <w:color w:val="auto"/>
        </w:rPr>
        <w:t>ended July 31, 1995 and $12,755,000 for the year ended July 31, 1994).</w:t>
      </w:r>
    </w:p>
    <w:p>
      <w:pPr>
        <w:spacing w:after="0" w:line="163" w:lineRule="exact"/>
        <w:rPr>
          <w:sz w:val="20"/>
          <w:szCs w:val="20"/>
          <w:color w:val="auto"/>
        </w:rPr>
      </w:pPr>
    </w:p>
    <w:p>
      <w:pPr>
        <w:ind w:right="3879" w:firstLine="412"/>
        <w:spacing w:after="0" w:line="237" w:lineRule="auto"/>
        <w:rPr>
          <w:sz w:val="20"/>
          <w:szCs w:val="20"/>
          <w:color w:val="auto"/>
        </w:rPr>
      </w:pPr>
      <w:r>
        <w:rPr>
          <w:rFonts w:ascii="Courier New" w:cs="Courier New" w:eastAsia="Courier New" w:hAnsi="Courier New"/>
          <w:sz w:val="14"/>
          <w:szCs w:val="14"/>
          <w:color w:val="auto"/>
        </w:rPr>
        <w:t>In addition, the company's capital resources include two $20,000,000 bankers' acceptance financing agreements in 1996 and 1995. The company had no amount outstanding under these agreements at October 31, 1996, and 1995.</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592" w:right="1440" w:bottom="1440" w:gutter="0" w:footer="0" w:header="0"/>
        </w:sectPr>
      </w:pPr>
    </w:p>
    <w:bookmarkStart w:id="97" w:name="page98"/>
    <w:bookmarkEnd w:id="97"/>
    <w:p>
      <w:pPr>
        <w:ind w:left="340" w:hanging="335"/>
        <w:spacing w:after="0"/>
        <w:tabs>
          <w:tab w:leader="none" w:pos="34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4" w:lineRule="exact"/>
        <w:rPr>
          <w:sz w:val="20"/>
          <w:szCs w:val="20"/>
          <w:color w:val="auto"/>
        </w:rPr>
      </w:pPr>
    </w:p>
    <w:p>
      <w:pPr>
        <w:ind w:left="160" w:hanging="155"/>
        <w:spacing w:after="0"/>
        <w:tabs>
          <w:tab w:leader="none" w:pos="1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A summary of long-term debt is as follows:</w:t>
      </w:r>
    </w:p>
    <w:p>
      <w:pPr>
        <w:spacing w:after="0" w:line="162"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5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4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6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20" w:type="dxa"/>
            <w:vAlign w:val="bottom"/>
            <w:gridSpan w:val="2"/>
          </w:tcPr>
          <w:p>
            <w:pPr>
              <w:spacing w:after="0"/>
              <w:rPr>
                <w:sz w:val="20"/>
                <w:szCs w:val="20"/>
                <w:color w:val="auto"/>
              </w:rPr>
            </w:pPr>
            <w:r>
              <w:rPr>
                <w:rFonts w:ascii="Courier New" w:cs="Courier New" w:eastAsia="Courier New" w:hAnsi="Courier New"/>
                <w:sz w:val="14"/>
                <w:szCs w:val="14"/>
                <w:color w:val="auto"/>
              </w:rPr>
              <w:t>11% Sinking Fund Debentures due annually</w:t>
            </w: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4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August 1998-2017 callable August 1, 1997</w:t>
            </w:r>
          </w:p>
        </w:tc>
        <w:tc>
          <w:tcPr>
            <w:tcW w:w="12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$50,000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59"/>
        </w:trPr>
        <w:tc>
          <w:tcPr>
            <w:tcW w:w="4120" w:type="dxa"/>
            <w:vAlign w:val="bottom"/>
            <w:gridSpan w:val="2"/>
          </w:tcPr>
          <w:p>
            <w:pPr>
              <w:spacing w:after="0"/>
              <w:rPr>
                <w:sz w:val="20"/>
                <w:szCs w:val="20"/>
                <w:color w:val="auto"/>
              </w:rPr>
            </w:pPr>
            <w:r>
              <w:rPr>
                <w:rFonts w:ascii="Courier New" w:cs="Courier New" w:eastAsia="Courier New" w:hAnsi="Courier New"/>
                <w:sz w:val="14"/>
                <w:szCs w:val="14"/>
                <w:color w:val="auto"/>
              </w:rPr>
              <w:t>Industrial Revenue Bond due annually</w:t>
            </w: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4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June 1997-2004 with various interest rates</w:t>
            </w:r>
          </w:p>
        </w:tc>
        <w:tc>
          <w:tcPr>
            <w:tcW w:w="12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3,365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r>
        <w:trPr>
          <w:trHeight w:val="159"/>
        </w:trPr>
        <w:tc>
          <w:tcPr>
            <w:tcW w:w="460" w:type="dxa"/>
            <w:vAlign w:val="bottom"/>
          </w:tcPr>
          <w:p>
            <w:pPr>
              <w:spacing w:after="0"/>
              <w:rPr>
                <w:sz w:val="20"/>
                <w:szCs w:val="20"/>
                <w:color w:val="auto"/>
              </w:rPr>
            </w:pPr>
            <w:r>
              <w:rPr>
                <w:rFonts w:ascii="Courier New" w:cs="Courier New" w:eastAsia="Courier New" w:hAnsi="Courier New"/>
                <w:sz w:val="14"/>
                <w:szCs w:val="14"/>
                <w:color w:val="auto"/>
              </w:rPr>
              <w:t>9.57%</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January 1996</w:t>
            </w:r>
          </w:p>
        </w:tc>
        <w:tc>
          <w:tcPr>
            <w:tcW w:w="12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59"/>
        </w:trPr>
        <w:tc>
          <w:tcPr>
            <w:tcW w:w="46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August 1996</w:t>
            </w:r>
          </w:p>
        </w:tc>
        <w:tc>
          <w:tcPr>
            <w:tcW w:w="12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4" w:lineRule="exact"/>
        <w:rPr>
          <w:sz w:val="20"/>
          <w:szCs w:val="20"/>
          <w:color w:val="auto"/>
        </w:rPr>
      </w:pPr>
    </w:p>
    <w:p>
      <w:pPr>
        <w:ind w:left="160" w:hanging="155"/>
        <w:spacing w:after="0"/>
        <w:tabs>
          <w:tab w:leader="none" w:pos="160" w:val="left"/>
        </w:tabs>
        <w:numPr>
          <w:ilvl w:val="0"/>
          <w:numId w:val="15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454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53,365</w:t>
      </w:r>
      <w:r>
        <w:rPr>
          <w:rFonts w:ascii="Courier New" w:cs="Courier New" w:eastAsia="Courier New" w:hAnsi="Courier New"/>
          <w:sz w:val="13"/>
          <w:szCs w:val="13"/>
          <w:color w:val="auto"/>
        </w:rPr>
        <w:t>68,699</w:t>
      </w:r>
    </w:p>
    <w:tbl>
      <w:tblPr>
        <w:tblLayout w:type="fixed"/>
        <w:tblInd w:w="340" w:type="dxa"/>
        <w:tblCellMar>
          <w:top w:w="0" w:type="dxa"/>
          <w:left w:w="0" w:type="dxa"/>
          <w:bottom w:w="0" w:type="dxa"/>
          <w:right w:w="0" w:type="dxa"/>
        </w:tblCellMar>
      </w:tblPr>
      <w:tr>
        <w:trPr>
          <w:trHeight w:val="159"/>
        </w:trPr>
        <w:tc>
          <w:tcPr>
            <w:tcW w:w="304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20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350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64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$53,015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bl>
    <w:p>
      <w:pPr>
        <w:spacing w:after="0" w:line="4" w:lineRule="exact"/>
        <w:rPr>
          <w:sz w:val="20"/>
          <w:szCs w:val="20"/>
          <w:color w:val="auto"/>
        </w:rPr>
      </w:pPr>
    </w:p>
    <w:p>
      <w:pPr>
        <w:ind w:left="160" w:hanging="155"/>
        <w:spacing w:after="0"/>
        <w:tabs>
          <w:tab w:leader="none" w:pos="160" w:val="left"/>
        </w:tabs>
        <w:numPr>
          <w:ilvl w:val="0"/>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6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The weighted average interest rate on long-term debt for 1996 was 10.5%</w:t>
      </w:r>
    </w:p>
    <w:p>
      <w:pPr>
        <w:spacing w:after="0" w:line="4"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(10.5% for the 3 months ended October 31, 1995, 9.9% for the year ended July 31, 1995 and 9.8% for the year ended July 31, 1994). Interest expense was $6,555,000 in 1996 ($1,837,000 for the 3 months ended October 31, 1995, $8,673,000 for the year ended July 31, 1995 and $12,236,000 for the year ended July 31, 1994), including commitment and facility fees. The weighted average long-term debt outstanding was $62,366,000 in 1996 ($17,557,000 for the 3 months ended October 31, 1995, $87,330,000 for the year ended July 31, 1995 and $125,388,000 for the year ended July 31, 1994).</w:t>
      </w:r>
    </w:p>
    <w:p>
      <w:pPr>
        <w:spacing w:after="0" w:line="164" w:lineRule="exact"/>
        <w:rPr>
          <w:sz w:val="20"/>
          <w:szCs w:val="20"/>
          <w:color w:val="auto"/>
        </w:rPr>
      </w:pPr>
    </w:p>
    <w:p>
      <w:pPr>
        <w:ind w:right="3719" w:firstLine="330"/>
        <w:spacing w:after="0" w:line="258" w:lineRule="auto"/>
        <w:rPr>
          <w:sz w:val="20"/>
          <w:szCs w:val="20"/>
          <w:color w:val="auto"/>
        </w:rPr>
      </w:pPr>
      <w:r>
        <w:rPr>
          <w:rFonts w:ascii="Courier New" w:cs="Courier New" w:eastAsia="Courier New" w:hAnsi="Courier New"/>
          <w:sz w:val="13"/>
          <w:szCs w:val="13"/>
          <w:color w:val="auto"/>
        </w:rPr>
        <w:t>The company entered into a forward starting interest rate exchange agreement with a bank on March 6, 1996 to hedge the anticipated refinancing of its $50 million, 11% long-term sinking fund debentures callable August 1, 1997, and to realize the benefit of favorable interest rates. Simultaneously with entering into this interest rate exchange agreement, the company terminated its interest rate exchange agreement entered into during February 1994. The effect of this transaction was to extend the original forward starting interest rate exchange agreement from 5 years to 30 years. As a result of this transaction, the deferred income balance was increased from $5.25 million in 1994 to $17.3 million in March of 1996. The net additional cash received in March 1996 was $12.1 million. In return for the net proceeds, the company will pay the bank</w:t>
      </w:r>
    </w:p>
    <w:p>
      <w:pPr>
        <w:spacing w:after="0" w:line="3" w:lineRule="exact"/>
        <w:rPr>
          <w:sz w:val="20"/>
          <w:szCs w:val="20"/>
          <w:color w:val="auto"/>
        </w:rPr>
      </w:pPr>
    </w:p>
    <w:p>
      <w:pPr>
        <w:jc w:val="both"/>
        <w:ind w:right="3639"/>
        <w:spacing w:after="0" w:line="238" w:lineRule="auto"/>
        <w:rPr>
          <w:sz w:val="20"/>
          <w:szCs w:val="20"/>
          <w:color w:val="auto"/>
        </w:rPr>
      </w:pPr>
      <w:r>
        <w:rPr>
          <w:rFonts w:ascii="Courier New" w:cs="Courier New" w:eastAsia="Courier New" w:hAnsi="Courier New"/>
          <w:sz w:val="14"/>
          <w:szCs w:val="14"/>
          <w:color w:val="auto"/>
        </w:rPr>
        <w:t>10.55% on a notational amount of $50 million from August 1, 1997 through August 2, 2027 and the company will receive payments based on a floating rate equal to the London Interbank Offered Rate (LIBOR) on the notational amount over the same period.</w:t>
      </w:r>
    </w:p>
    <w:p>
      <w:pPr>
        <w:spacing w:after="0" w:line="164" w:lineRule="exact"/>
        <w:rPr>
          <w:sz w:val="20"/>
          <w:szCs w:val="20"/>
          <w:color w:val="auto"/>
        </w:rPr>
      </w:pPr>
    </w:p>
    <w:p>
      <w:pPr>
        <w:ind w:right="4059" w:firstLine="330"/>
        <w:spacing w:after="0"/>
        <w:rPr>
          <w:sz w:val="20"/>
          <w:szCs w:val="20"/>
          <w:color w:val="auto"/>
        </w:rPr>
      </w:pPr>
      <w:r>
        <w:rPr>
          <w:rFonts w:ascii="Courier New" w:cs="Courier New" w:eastAsia="Courier New" w:hAnsi="Courier New"/>
          <w:sz w:val="14"/>
          <w:szCs w:val="14"/>
          <w:color w:val="auto"/>
        </w:rPr>
        <w:t>The net interest rate differential to be received or paid and the $17.3 million deferred income will be recognized commencing August 1, 1997 as an adjustment to interest expense over the term of the agreement.</w:t>
      </w:r>
    </w:p>
    <w:p>
      <w:pPr>
        <w:spacing w:after="0" w:line="317" w:lineRule="exact"/>
        <w:rPr>
          <w:sz w:val="20"/>
          <w:szCs w:val="20"/>
          <w:color w:val="auto"/>
        </w:rPr>
      </w:pPr>
    </w:p>
    <w:p>
      <w:pPr>
        <w:ind w:right="3799" w:firstLine="330"/>
        <w:spacing w:after="0" w:line="238" w:lineRule="auto"/>
        <w:rPr>
          <w:sz w:val="20"/>
          <w:szCs w:val="20"/>
          <w:color w:val="auto"/>
        </w:rPr>
      </w:pPr>
      <w:r>
        <w:rPr>
          <w:rFonts w:ascii="Courier New" w:cs="Courier New" w:eastAsia="Courier New" w:hAnsi="Courier New"/>
          <w:sz w:val="14"/>
          <w:szCs w:val="14"/>
          <w:color w:val="auto"/>
        </w:rPr>
        <w:t>On August 12, 1996 the company entered into another forward starting interest rate exchange agreement with a bank to additionally hedge the anticipated refinancing of the $50 million currently financed under short-term credit agreements. The company received or paid no cash as a result of this transaction.</w:t>
      </w:r>
    </w:p>
    <w:p>
      <w:pPr>
        <w:spacing w:after="0" w:line="165" w:lineRule="exact"/>
        <w:rPr>
          <w:sz w:val="20"/>
          <w:szCs w:val="20"/>
          <w:color w:val="auto"/>
        </w:rPr>
      </w:pPr>
    </w:p>
    <w:p>
      <w:pPr>
        <w:ind w:right="3639" w:firstLine="330"/>
        <w:spacing w:after="0" w:line="237" w:lineRule="auto"/>
        <w:rPr>
          <w:sz w:val="20"/>
          <w:szCs w:val="20"/>
          <w:color w:val="auto"/>
        </w:rPr>
      </w:pPr>
      <w:r>
        <w:rPr>
          <w:rFonts w:ascii="Courier New" w:cs="Courier New" w:eastAsia="Courier New" w:hAnsi="Courier New"/>
          <w:sz w:val="14"/>
          <w:szCs w:val="14"/>
          <w:color w:val="auto"/>
        </w:rPr>
        <w:t>Under the terms of the long-term debt agreements and the interest rate exchange agreements, the company is subject to certain covenants. At October 31, 1996, the company was in compliance with all such covenants.</w:t>
      </w:r>
    </w:p>
    <w:p>
      <w:pPr>
        <w:spacing w:after="0" w:line="164"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The terms of certain agreements of Toro Credit Company restrict the payment of dividends and loans or advances to the parent company. Of the Toro Credit Company's retained earnings of $63,584,000, all were available for distribution to the parent at October 31, 1996.</w:t>
      </w:r>
    </w:p>
    <w:p>
      <w:pPr>
        <w:spacing w:after="0" w:line="164" w:lineRule="exact"/>
        <w:rPr>
          <w:sz w:val="20"/>
          <w:szCs w:val="20"/>
          <w:color w:val="auto"/>
        </w:rPr>
      </w:pPr>
    </w:p>
    <w:p>
      <w:pPr>
        <w:ind w:right="3719" w:firstLine="330"/>
        <w:spacing w:after="0" w:line="264" w:lineRule="auto"/>
        <w:rPr>
          <w:sz w:val="20"/>
          <w:szCs w:val="20"/>
          <w:color w:val="auto"/>
        </w:rPr>
      </w:pPr>
      <w:r>
        <w:rPr>
          <w:rFonts w:ascii="Courier New" w:cs="Courier New" w:eastAsia="Courier New" w:hAnsi="Courier New"/>
          <w:sz w:val="13"/>
          <w:szCs w:val="13"/>
          <w:color w:val="auto"/>
        </w:rPr>
        <w:t>Principal payments required on long-term debt in each of the next five years ending October 31 are as follows: 1997, $350,000; 1998, $2,865,000; 1999, $2,885,000; 2000, $2,905,000; 2001, $2,925,000; and after 2001, $41,435,000.</w:t>
      </w:r>
    </w:p>
    <w:p>
      <w:pPr>
        <w:spacing w:after="0" w:line="30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592" w:right="1440" w:bottom="1440" w:gutter="0" w:footer="0" w:header="0"/>
        </w:sectPr>
      </w:pPr>
    </w:p>
    <w:bookmarkStart w:id="98" w:name="page99"/>
    <w:bookmarkEnd w:id="98"/>
    <w:p>
      <w:pPr>
        <w:ind w:left="340" w:hanging="335"/>
        <w:spacing w:after="0"/>
        <w:tabs>
          <w:tab w:leader="none" w:pos="34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ind w:left="160" w:hanging="155"/>
        <w:spacing w:after="0"/>
        <w:tabs>
          <w:tab w:leader="none" w:pos="1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4880"/>
        <w:spacing w:after="0" w:line="23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98" w:lineRule="exact"/>
        <w:rPr>
          <w:rFonts w:ascii="Courier New" w:cs="Courier New" w:eastAsia="Courier New" w:hAnsi="Courier New"/>
          <w:sz w:val="14"/>
          <w:szCs w:val="14"/>
          <w:color w:val="auto"/>
        </w:rPr>
      </w:pPr>
    </w:p>
    <w:p>
      <w:pPr>
        <w:ind w:left="160" w:hanging="155"/>
        <w:spacing w:after="0"/>
        <w:tabs>
          <w:tab w:leader="none" w:pos="160"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6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jc w:val="right"/>
        <w:ind w:right="1500"/>
        <w:spacing w:after="0"/>
        <w:tabs>
          <w:tab w:leader="none" w:pos="4680" w:val="left"/>
          <w:tab w:leader="none" w:pos="23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3"/>
          <w:szCs w:val="13"/>
          <w:color w:val="auto"/>
        </w:rPr>
        <w:t>Year Ended</w:t>
      </w:r>
    </w:p>
    <w:p>
      <w:pPr>
        <w:jc w:val="right"/>
        <w:ind w:right="760"/>
        <w:spacing w:after="0"/>
        <w:rPr>
          <w:sz w:val="20"/>
          <w:szCs w:val="20"/>
          <w:color w:val="auto"/>
        </w:rPr>
      </w:pPr>
      <w:r>
        <w:rPr>
          <w:rFonts w:ascii="Courier New" w:cs="Courier New" w:eastAsia="Courier New" w:hAnsi="Courier New"/>
          <w:sz w:val="14"/>
          <w:szCs w:val="14"/>
          <w:color w:val="auto"/>
        </w:rPr>
        <w:t>----------------------------</w:t>
      </w:r>
    </w:p>
    <w:p>
      <w:pPr>
        <w:jc w:val="right"/>
        <w:ind w:right="1000"/>
        <w:spacing w:after="0"/>
        <w:tabs>
          <w:tab w:leader="none" w:pos="4520" w:val="left"/>
          <w:tab w:leader="none" w:pos="2800" w:val="left"/>
          <w:tab w:leader="none" w:pos="156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3"/>
          <w:szCs w:val="13"/>
          <w:color w:val="auto"/>
        </w:rPr>
        <w:t>July 31</w:t>
      </w:r>
    </w:p>
    <w:p>
      <w:pPr>
        <w:jc w:val="both"/>
        <w:ind w:left="5280"/>
        <w:spacing w:after="0"/>
        <w:tabs>
          <w:tab w:leader="none" w:pos="6920" w:val="left"/>
          <w:tab w:leader="none" w:pos="8400" w:val="left"/>
          <w:tab w:leader="none" w:pos="96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3"/>
          <w:szCs w:val="13"/>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3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35.0%</w:t>
            </w:r>
          </w:p>
        </w:tc>
        <w:tc>
          <w:tcPr>
            <w:tcW w:w="15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35.0%</w:t>
            </w:r>
          </w:p>
        </w:tc>
        <w:tc>
          <w:tcPr>
            <w:tcW w:w="14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35.0%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59"/>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Increase (reduction) in income taxes resulting from:</w:t>
            </w:r>
          </w:p>
        </w:tc>
        <w:tc>
          <w:tcPr>
            <w:tcW w:w="1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9"/>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Benefits from foreign sales corporation</w:t>
            </w:r>
          </w:p>
        </w:tc>
        <w:tc>
          <w:tcPr>
            <w:tcW w:w="13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(0.8)</w:t>
            </w:r>
          </w:p>
        </w:tc>
        <w:tc>
          <w:tcPr>
            <w:tcW w:w="15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(0.2)</w:t>
            </w:r>
          </w:p>
        </w:tc>
        <w:tc>
          <w:tcPr>
            <w:tcW w:w="14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59"/>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State and local income taxes, net of federal</w:t>
            </w:r>
          </w:p>
        </w:tc>
        <w:tc>
          <w:tcPr>
            <w:tcW w:w="1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9"/>
        </w:trPr>
        <w:tc>
          <w:tcPr>
            <w:tcW w:w="4700" w:type="dxa"/>
            <w:vAlign w:val="bottom"/>
          </w:tcPr>
          <w:p>
            <w:pPr>
              <w:ind w:left="420"/>
              <w:spacing w:after="0"/>
              <w:rPr>
                <w:sz w:val="20"/>
                <w:szCs w:val="20"/>
                <w:color w:val="auto"/>
              </w:rPr>
            </w:pPr>
            <w:r>
              <w:rPr>
                <w:rFonts w:ascii="Courier New" w:cs="Courier New" w:eastAsia="Courier New" w:hAnsi="Courier New"/>
                <w:sz w:val="14"/>
                <w:szCs w:val="14"/>
                <w:color w:val="auto"/>
              </w:rPr>
              <w:t>income tax benefit</w:t>
            </w:r>
          </w:p>
        </w:tc>
        <w:tc>
          <w:tcPr>
            <w:tcW w:w="136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2.5</w:t>
            </w:r>
          </w:p>
        </w:tc>
        <w:tc>
          <w:tcPr>
            <w:tcW w:w="15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4.6</w:t>
            </w:r>
          </w:p>
        </w:tc>
        <w:tc>
          <w:tcPr>
            <w:tcW w:w="14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w:t>
            </w:r>
          </w:p>
        </w:tc>
      </w:tr>
      <w:tr>
        <w:trPr>
          <w:trHeight w:val="159"/>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Effect of foreign source income</w:t>
            </w:r>
          </w:p>
        </w:tc>
        <w:tc>
          <w:tcPr>
            <w:tcW w:w="136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0.0</w:t>
            </w:r>
          </w:p>
        </w:tc>
        <w:tc>
          <w:tcPr>
            <w:tcW w:w="15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1.5</w:t>
            </w:r>
          </w:p>
        </w:tc>
        <w:tc>
          <w:tcPr>
            <w:tcW w:w="14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0.5</w:t>
            </w:r>
          </w:p>
        </w:tc>
        <w:tc>
          <w:tcPr>
            <w:tcW w:w="8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w:t>
            </w:r>
          </w:p>
        </w:tc>
      </w:tr>
      <w:tr>
        <w:trPr>
          <w:trHeight w:val="159"/>
        </w:trPr>
        <w:tc>
          <w:tcPr>
            <w:tcW w:w="4700" w:type="dxa"/>
            <w:vAlign w:val="bottom"/>
          </w:tcPr>
          <w:p>
            <w:pPr>
              <w:ind w:left="340"/>
              <w:spacing w:after="0"/>
              <w:rPr>
                <w:sz w:val="20"/>
                <w:szCs w:val="20"/>
                <w:color w:val="auto"/>
              </w:rPr>
            </w:pPr>
            <w:r>
              <w:rPr>
                <w:rFonts w:ascii="Courier New" w:cs="Courier New" w:eastAsia="Courier New" w:hAnsi="Courier New"/>
                <w:sz w:val="14"/>
                <w:szCs w:val="14"/>
                <w:color w:val="auto"/>
              </w:rPr>
              <w:t>Other, net</w:t>
            </w:r>
          </w:p>
        </w:tc>
        <w:tc>
          <w:tcPr>
            <w:tcW w:w="136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2.8</w:t>
            </w:r>
          </w:p>
        </w:tc>
        <w:tc>
          <w:tcPr>
            <w:tcW w:w="15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(1.4)</w:t>
            </w:r>
          </w:p>
        </w:tc>
        <w:tc>
          <w:tcPr>
            <w:tcW w:w="14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2.9</w:t>
            </w:r>
          </w:p>
        </w:tc>
        <w:tc>
          <w:tcPr>
            <w:tcW w:w="86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Consolidated effective tax rate</w:t>
            </w:r>
          </w:p>
        </w:tc>
        <w:tc>
          <w:tcPr>
            <w:tcW w:w="222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39.5%</w:t>
            </w:r>
          </w:p>
        </w:tc>
        <w:tc>
          <w:tcPr>
            <w:tcW w:w="15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39.5%</w:t>
            </w:r>
          </w:p>
        </w:tc>
        <w:tc>
          <w:tcPr>
            <w:tcW w:w="14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40.0%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ind w:left="160" w:hanging="155"/>
        <w:spacing w:after="0"/>
        <w:tabs>
          <w:tab w:leader="none" w:pos="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6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ind w:left="160" w:hanging="155"/>
        <w:spacing w:after="0"/>
        <w:tabs>
          <w:tab w:leader="none" w:pos="1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8" w:lineRule="exact"/>
        <w:rPr>
          <w:rFonts w:ascii="Courier New" w:cs="Courier New" w:eastAsia="Courier New" w:hAnsi="Courier New"/>
          <w:sz w:val="14"/>
          <w:szCs w:val="14"/>
          <w:color w:val="auto"/>
        </w:rPr>
      </w:pPr>
    </w:p>
    <w:p>
      <w:pPr>
        <w:ind w:left="160" w:hanging="155"/>
        <w:spacing w:after="0"/>
        <w:tabs>
          <w:tab w:leader="none" w:pos="160"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6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jc w:val="right"/>
        <w:ind w:right="1420"/>
        <w:spacing w:after="0"/>
        <w:tabs>
          <w:tab w:leader="none" w:pos="4600" w:val="left"/>
          <w:tab w:leader="none" w:pos="222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3"/>
          <w:szCs w:val="13"/>
          <w:color w:val="auto"/>
        </w:rPr>
        <w:t>Year Ended</w:t>
      </w:r>
    </w:p>
    <w:p>
      <w:pPr>
        <w:jc w:val="right"/>
        <w:ind w:right="660"/>
        <w:spacing w:after="0"/>
        <w:rPr>
          <w:sz w:val="20"/>
          <w:szCs w:val="20"/>
          <w:color w:val="auto"/>
        </w:rPr>
      </w:pPr>
      <w:r>
        <w:rPr>
          <w:rFonts w:ascii="Courier New" w:cs="Courier New" w:eastAsia="Courier New" w:hAnsi="Courier New"/>
          <w:sz w:val="14"/>
          <w:szCs w:val="14"/>
          <w:color w:val="auto"/>
        </w:rPr>
        <w:t>----------------------------</w:t>
      </w:r>
    </w:p>
    <w:p>
      <w:pPr>
        <w:jc w:val="right"/>
        <w:ind w:right="920"/>
        <w:spacing w:after="0"/>
        <w:tabs>
          <w:tab w:leader="none" w:pos="4440" w:val="left"/>
          <w:tab w:leader="none" w:pos="2720" w:val="left"/>
          <w:tab w:leader="none" w:pos="148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3"/>
          <w:szCs w:val="13"/>
          <w:color w:val="auto"/>
        </w:rPr>
        <w:t>July 31</w:t>
      </w:r>
    </w:p>
    <w:p>
      <w:pPr>
        <w:jc w:val="both"/>
        <w:ind w:left="5360"/>
        <w:spacing w:after="0"/>
        <w:tabs>
          <w:tab w:leader="none" w:pos="7000" w:val="left"/>
          <w:tab w:leader="none" w:pos="8480" w:val="left"/>
          <w:tab w:leader="none" w:pos="972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3"/>
          <w:szCs w:val="13"/>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Federal</w:t>
            </w:r>
          </w:p>
        </w:tc>
        <w:tc>
          <w:tcPr>
            <w:tcW w:w="300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$22,479</w:t>
            </w:r>
          </w:p>
        </w:tc>
        <w:tc>
          <w:tcPr>
            <w:tcW w:w="156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   731</w:t>
            </w:r>
          </w:p>
        </w:tc>
        <w:tc>
          <w:tcPr>
            <w:tcW w:w="15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$24,878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$18,487</w:t>
            </w:r>
          </w:p>
        </w:tc>
      </w:tr>
      <w:tr>
        <w:trPr>
          <w:trHeight w:val="159"/>
        </w:trPr>
        <w:tc>
          <w:tcPr>
            <w:tcW w:w="2900" w:type="dxa"/>
            <w:vAlign w:val="bottom"/>
          </w:tcPr>
          <w:p>
            <w:pPr>
              <w:ind w:left="340"/>
              <w:spacing w:after="0"/>
              <w:rPr>
                <w:sz w:val="20"/>
                <w:szCs w:val="20"/>
                <w:color w:val="auto"/>
              </w:rPr>
            </w:pPr>
            <w:r>
              <w:rPr>
                <w:rFonts w:ascii="Courier New" w:cs="Courier New" w:eastAsia="Courier New" w:hAnsi="Courier New"/>
                <w:sz w:val="14"/>
                <w:szCs w:val="14"/>
                <w:color w:val="auto"/>
              </w:rPr>
              <w:t>State</w:t>
            </w:r>
          </w:p>
        </w:tc>
        <w:tc>
          <w:tcPr>
            <w:tcW w:w="300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2,754</w:t>
            </w:r>
          </w:p>
        </w:tc>
        <w:tc>
          <w:tcPr>
            <w:tcW w:w="156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238</w:t>
            </w:r>
          </w:p>
        </w:tc>
        <w:tc>
          <w:tcPr>
            <w:tcW w:w="15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2,942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300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272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25,233</w:t>
            </w:r>
          </w:p>
        </w:tc>
        <w:tc>
          <w:tcPr>
            <w:tcW w:w="1440" w:type="dxa"/>
            <w:vAlign w:val="bottom"/>
          </w:tcPr>
          <w:p>
            <w:pPr>
              <w:jc w:val="right"/>
              <w:ind w:right="491"/>
              <w:spacing w:after="0"/>
              <w:rPr>
                <w:sz w:val="20"/>
                <w:szCs w:val="20"/>
                <w:color w:val="auto"/>
              </w:rPr>
            </w:pPr>
            <w:r>
              <w:rPr>
                <w:rFonts w:ascii="Courier New" w:cs="Courier New" w:eastAsia="Courier New" w:hAnsi="Courier New"/>
                <w:sz w:val="14"/>
                <w:szCs w:val="14"/>
                <w:color w:val="auto"/>
              </w:rPr>
              <w:t>969</w:t>
            </w:r>
          </w:p>
        </w:tc>
        <w:tc>
          <w:tcPr>
            <w:tcW w:w="15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27,820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21,097</w:t>
            </w:r>
          </w:p>
        </w:tc>
      </w:tr>
    </w:tbl>
    <w:p>
      <w:pPr>
        <w:spacing w:after="0" w:line="4" w:lineRule="exact"/>
        <w:rPr>
          <w:sz w:val="20"/>
          <w:szCs w:val="20"/>
          <w:color w:val="auto"/>
        </w:rPr>
      </w:pPr>
    </w:p>
    <w:p>
      <w:pPr>
        <w:ind w:left="160" w:hanging="155"/>
        <w:spacing w:after="0"/>
        <w:tabs>
          <w:tab w:leader="none" w:pos="160" w:val="left"/>
        </w:tabs>
        <w:numPr>
          <w:ilvl w:val="0"/>
          <w:numId w:val="16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Deferred:</w:t>
      </w:r>
    </w:p>
    <w:tbl>
      <w:tblPr>
        <w:tblLayout w:type="fixed"/>
        <w:tblInd w:w="340" w:type="dxa"/>
        <w:tblCellMar>
          <w:top w:w="0" w:type="dxa"/>
          <w:left w:w="0" w:type="dxa"/>
          <w:bottom w:w="0" w:type="dxa"/>
          <w:right w:w="0" w:type="dxa"/>
        </w:tblCellMar>
      </w:tblP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30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(1,051)</w:t>
            </w:r>
          </w:p>
        </w:tc>
        <w:tc>
          <w:tcPr>
            <w:tcW w:w="1480" w:type="dxa"/>
            <w:vAlign w:val="bottom"/>
          </w:tcPr>
          <w:p>
            <w:pPr>
              <w:jc w:val="right"/>
              <w:ind w:right="491"/>
              <w:spacing w:after="0"/>
              <w:rPr>
                <w:sz w:val="20"/>
                <w:szCs w:val="20"/>
                <w:color w:val="auto"/>
              </w:rPr>
            </w:pPr>
            <w:r>
              <w:rPr>
                <w:rFonts w:ascii="Courier New" w:cs="Courier New" w:eastAsia="Courier New" w:hAnsi="Courier New"/>
                <w:sz w:val="14"/>
                <w:szCs w:val="14"/>
                <w:color w:val="auto"/>
              </w:rPr>
              <w:t>1,414</w:t>
            </w:r>
          </w:p>
        </w:tc>
        <w:tc>
          <w:tcPr>
            <w:tcW w:w="15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(2,689)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(5,059)</w:t>
            </w:r>
          </w:p>
        </w:tc>
      </w:tr>
      <w:tr>
        <w:trPr>
          <w:trHeight w:val="159"/>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308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(411)</w:t>
            </w:r>
          </w:p>
        </w:tc>
        <w:tc>
          <w:tcPr>
            <w:tcW w:w="1480" w:type="dxa"/>
            <w:vAlign w:val="bottom"/>
          </w:tcPr>
          <w:p>
            <w:pPr>
              <w:jc w:val="right"/>
              <w:ind w:right="491"/>
              <w:spacing w:after="0"/>
              <w:rPr>
                <w:sz w:val="20"/>
                <w:szCs w:val="20"/>
                <w:color w:val="auto"/>
              </w:rPr>
            </w:pPr>
            <w:r>
              <w:rPr>
                <w:rFonts w:ascii="Courier New" w:cs="Courier New" w:eastAsia="Courier New" w:hAnsi="Courier New"/>
                <w:sz w:val="14"/>
                <w:szCs w:val="14"/>
                <w:color w:val="auto"/>
              </w:rPr>
              <w:t>226</w:t>
            </w:r>
          </w:p>
        </w:tc>
        <w:tc>
          <w:tcPr>
            <w:tcW w:w="15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(686)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3040" w:type="dxa"/>
            <w:vAlign w:val="bottom"/>
          </w:tcPr>
          <w:p>
            <w:pPr>
              <w:spacing w:after="0"/>
              <w:rPr>
                <w:sz w:val="20"/>
                <w:szCs w:val="20"/>
                <w:color w:val="auto"/>
              </w:rPr>
            </w:pPr>
            <w:r>
              <w:rPr>
                <w:rFonts w:ascii="Courier New" w:cs="Courier New" w:eastAsia="Courier New" w:hAnsi="Courier New"/>
                <w:sz w:val="14"/>
                <w:szCs w:val="14"/>
                <w:color w:val="auto"/>
              </w:rPr>
              <w:t>Deferred provision</w:t>
            </w:r>
          </w:p>
        </w:tc>
        <w:tc>
          <w:tcPr>
            <w:tcW w:w="2640" w:type="dxa"/>
            <w:vAlign w:val="bottom"/>
          </w:tcPr>
          <w:p>
            <w:pPr>
              <w:jc w:val="right"/>
              <w:ind w:right="431"/>
              <w:spacing w:after="0"/>
              <w:rPr>
                <w:sz w:val="20"/>
                <w:szCs w:val="20"/>
                <w:color w:val="auto"/>
              </w:rPr>
            </w:pPr>
            <w:r>
              <w:rPr>
                <w:rFonts w:ascii="Courier New" w:cs="Courier New" w:eastAsia="Courier New" w:hAnsi="Courier New"/>
                <w:sz w:val="14"/>
                <w:szCs w:val="14"/>
                <w:color w:val="auto"/>
              </w:rPr>
              <w:t>(1,462)</w:t>
            </w:r>
          </w:p>
        </w:tc>
        <w:tc>
          <w:tcPr>
            <w:tcW w:w="1480" w:type="dxa"/>
            <w:vAlign w:val="bottom"/>
          </w:tcPr>
          <w:p>
            <w:pPr>
              <w:jc w:val="right"/>
              <w:ind w:right="491"/>
              <w:spacing w:after="0"/>
              <w:rPr>
                <w:sz w:val="20"/>
                <w:szCs w:val="20"/>
                <w:color w:val="auto"/>
              </w:rPr>
            </w:pPr>
            <w:r>
              <w:rPr>
                <w:rFonts w:ascii="Courier New" w:cs="Courier New" w:eastAsia="Courier New" w:hAnsi="Courier New"/>
                <w:sz w:val="14"/>
                <w:szCs w:val="14"/>
                <w:color w:val="auto"/>
              </w:rPr>
              <w:t>1,640</w:t>
            </w:r>
          </w:p>
        </w:tc>
        <w:tc>
          <w:tcPr>
            <w:tcW w:w="15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(3,375)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(6,277)</w:t>
            </w:r>
          </w:p>
        </w:tc>
      </w:tr>
    </w:tbl>
    <w:p>
      <w:pPr>
        <w:spacing w:after="0" w:line="4"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 - - - ----------------------------------------------------------------------------------------------------------------------------- Total provision for income taxes $23,771 $2,609 $24,445 $14,820</w:t>
      </w:r>
    </w:p>
    <w:p>
      <w:pPr>
        <w:spacing w:after="0" w:line="5" w:lineRule="exact"/>
        <w:rPr>
          <w:sz w:val="20"/>
          <w:szCs w:val="20"/>
          <w:color w:val="auto"/>
        </w:rPr>
      </w:pPr>
    </w:p>
    <w:p>
      <w:pPr>
        <w:ind w:left="160" w:hanging="155"/>
        <w:spacing w:after="0"/>
        <w:tabs>
          <w:tab w:leader="none" w:pos="160" w:val="left"/>
        </w:tabs>
        <w:numPr>
          <w:ilvl w:val="0"/>
          <w:numId w:val="1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7" w:lineRule="exact"/>
        <w:rPr>
          <w:sz w:val="20"/>
          <w:szCs w:val="20"/>
          <w:color w:val="auto"/>
        </w:rPr>
      </w:pPr>
    </w:p>
    <w:p>
      <w:pPr>
        <w:jc w:val="both"/>
        <w:ind w:right="5280" w:firstLine="247"/>
        <w:spacing w:after="0" w:line="270" w:lineRule="auto"/>
        <w:rPr>
          <w:sz w:val="20"/>
          <w:szCs w:val="20"/>
          <w:color w:val="auto"/>
        </w:rPr>
      </w:pPr>
      <w:r>
        <w:rPr>
          <w:rFonts w:ascii="Courier New" w:cs="Courier New" w:eastAsia="Courier New" w:hAnsi="Courier New"/>
          <w:sz w:val="13"/>
          <w:szCs w:val="13"/>
          <w:color w:val="auto"/>
        </w:rPr>
        <w:t>The tax effects of temporary differences that give rise to the net deferred tax assets at October 31, 1996 and 1995 are presented below.</w:t>
      </w:r>
    </w:p>
    <w:p>
      <w:pPr>
        <w:spacing w:after="0" w:line="140" w:lineRule="exact"/>
        <w:rPr>
          <w:sz w:val="20"/>
          <w:szCs w:val="20"/>
          <w:color w:val="auto"/>
        </w:rPr>
      </w:pPr>
    </w:p>
    <w:p>
      <w:pPr>
        <w:ind w:left="160" w:hanging="155"/>
        <w:spacing w:after="0"/>
        <w:tabs>
          <w:tab w:leader="none" w:pos="1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tbl>
      <w:tblPr>
        <w:tblLayout w:type="fixed"/>
        <w:tblInd w:w="0" w:type="dxa"/>
        <w:tblCellMar>
          <w:top w:w="0" w:type="dxa"/>
          <w:left w:w="0" w:type="dxa"/>
          <w:bottom w:w="0" w:type="dxa"/>
          <w:right w:w="0" w:type="dxa"/>
        </w:tblCellMar>
      </w:tblPr>
      <w:tr>
        <w:trPr>
          <w:trHeight w:val="159"/>
        </w:trPr>
        <w:tc>
          <w:tcPr>
            <w:tcW w:w="27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0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1996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  5,151</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  4,254</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Inventory reserves</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536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Uniform capitalization</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2,252</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2,302</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1,600</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2,384</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12,881</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12,754</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Marketing programs</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2,018</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1,973</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Distributor reserves</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2,603</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2,474</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Restructuring reserves</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1,091</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1,386</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Accrued retirement</w:t>
            </w:r>
          </w:p>
        </w:tc>
        <w:tc>
          <w:tcPr>
            <w:tcW w:w="156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3,410</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2,770</w:t>
            </w:r>
          </w:p>
        </w:tc>
      </w:tr>
      <w:tr>
        <w:trPr>
          <w:trHeight w:val="159"/>
        </w:trPr>
        <w:tc>
          <w:tcPr>
            <w:tcW w:w="29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6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(65)</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8</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0" w:type="dxa"/>
        <w:tblCellMar>
          <w:top w:w="0" w:type="dxa"/>
          <w:left w:w="0" w:type="dxa"/>
          <w:bottom w:w="0" w:type="dxa"/>
          <w:right w:w="0" w:type="dxa"/>
        </w:tblCellMar>
      </w:tblPr>
      <w:tr>
        <w:trPr>
          <w:trHeight w:val="159"/>
        </w:trPr>
        <w:tc>
          <w:tcPr>
            <w:tcW w:w="4500" w:type="dxa"/>
            <w:vAlign w:val="bottom"/>
          </w:tcPr>
          <w:p>
            <w:pPr>
              <w:spacing w:after="0"/>
              <w:rPr>
                <w:sz w:val="20"/>
                <w:szCs w:val="20"/>
                <w:color w:val="auto"/>
              </w:rPr>
            </w:pPr>
            <w:r>
              <w:rPr>
                <w:rFonts w:ascii="Courier New" w:cs="Courier New" w:eastAsia="Courier New" w:hAnsi="Courier New"/>
                <w:sz w:val="14"/>
                <w:szCs w:val="14"/>
                <w:color w:val="auto"/>
              </w:rPr>
              <w:t>Consolidated deferred income tax assets  $31,477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$29,846</w:t>
            </w:r>
          </w:p>
        </w:tc>
      </w:tr>
    </w:tbl>
    <w:p>
      <w:pPr>
        <w:ind w:left="160" w:hanging="155"/>
        <w:spacing w:after="0"/>
        <w:tabs>
          <w:tab w:leader="none" w:pos="1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During the years ended October 31, 1996 and July 31, 1995, respectively,</w:t>
      </w:r>
    </w:p>
    <w:p>
      <w:pPr>
        <w:spacing w:after="0"/>
        <w:rPr>
          <w:sz w:val="20"/>
          <w:szCs w:val="20"/>
          <w:color w:val="auto"/>
        </w:rPr>
      </w:pPr>
      <w:r>
        <w:rPr>
          <w:rFonts w:ascii="Courier New" w:cs="Courier New" w:eastAsia="Courier New" w:hAnsi="Courier New"/>
          <w:sz w:val="14"/>
          <w:szCs w:val="14"/>
          <w:color w:val="auto"/>
        </w:rPr>
        <w:t>$1,490,000 and $1,178,000 was added to additional paid-in capital in accordance</w:t>
      </w:r>
    </w:p>
    <w:p>
      <w:pPr>
        <w:spacing w:after="0"/>
        <w:rPr>
          <w:sz w:val="20"/>
          <w:szCs w:val="20"/>
          <w:color w:val="auto"/>
        </w:rPr>
      </w:pPr>
      <w:r>
        <w:rPr>
          <w:rFonts w:ascii="Courier New" w:cs="Courier New" w:eastAsia="Courier New" w:hAnsi="Courier New"/>
          <w:sz w:val="14"/>
          <w:szCs w:val="14"/>
          <w:color w:val="auto"/>
        </w:rPr>
        <w:t>with Accounting Principal Board opinion 25 reflecting the permanent book to tax</w:t>
      </w:r>
    </w:p>
    <w:p>
      <w:pPr>
        <w:spacing w:after="0"/>
        <w:rPr>
          <w:sz w:val="20"/>
          <w:szCs w:val="20"/>
          <w:color w:val="auto"/>
        </w:rPr>
      </w:pPr>
      <w:r>
        <w:rPr>
          <w:rFonts w:ascii="Courier New" w:cs="Courier New" w:eastAsia="Courier New" w:hAnsi="Courier New"/>
          <w:sz w:val="14"/>
          <w:szCs w:val="14"/>
          <w:color w:val="auto"/>
        </w:rPr>
        <w:t>difference in accounting for tax benefits related to employee stock option</w:t>
      </w:r>
    </w:p>
    <w:p>
      <w:pPr>
        <w:spacing w:after="0"/>
        <w:rPr>
          <w:sz w:val="20"/>
          <w:szCs w:val="20"/>
          <w:color w:val="auto"/>
        </w:rPr>
      </w:pPr>
      <w:r>
        <w:rPr>
          <w:rFonts w:ascii="Courier New" w:cs="Courier New" w:eastAsia="Courier New" w:hAnsi="Courier New"/>
          <w:sz w:val="14"/>
          <w:szCs w:val="14"/>
          <w:color w:val="auto"/>
        </w:rPr>
        <w:t>transactions.</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980"/>
          </w:cols>
          <w:pgMar w:left="220" w:top="750" w:right="699" w:bottom="618" w:gutter="0" w:footer="0" w:header="0"/>
        </w:sectPr>
      </w:pPr>
    </w:p>
    <w:bookmarkStart w:id="99" w:name="page100"/>
    <w:bookmarkEnd w:id="99"/>
    <w:p>
      <w:pPr>
        <w:ind w:left="340" w:hanging="335"/>
        <w:spacing w:after="0"/>
        <w:tabs>
          <w:tab w:leader="none" w:pos="3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STOCKHOLDERS EQUITY</w:t>
      </w:r>
    </w:p>
    <w:p>
      <w:pPr>
        <w:ind w:left="160" w:hanging="155"/>
        <w:spacing w:after="0"/>
        <w:tabs>
          <w:tab w:leader="none" w:pos="16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4860"/>
        <w:spacing w:after="0" w:line="23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components of common stockholders' equity during the fiscal year ended October 31, 1996, the 3 months ended October 31, 1995, and the fiscal years ended July 31, 1995 and 1994 were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0" w:lineRule="exact"/>
        <w:rPr>
          <w:rFonts w:ascii="Courier New" w:cs="Courier New" w:eastAsia="Courier New" w:hAnsi="Courier New"/>
          <w:sz w:val="14"/>
          <w:szCs w:val="14"/>
          <w:color w:val="auto"/>
        </w:rPr>
      </w:pPr>
    </w:p>
    <w:p>
      <w:pPr>
        <w:ind w:left="160" w:hanging="155"/>
        <w:spacing w:after="0"/>
        <w:tabs>
          <w:tab w:leader="none" w:pos="160"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990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Foreign</w:t>
      </w:r>
    </w:p>
    <w:p>
      <w:pPr>
        <w:jc w:val="right"/>
        <w:ind w:right="900"/>
        <w:spacing w:after="0"/>
        <w:rPr>
          <w:sz w:val="20"/>
          <w:szCs w:val="20"/>
          <w:color w:val="auto"/>
        </w:rPr>
      </w:pPr>
      <w:r>
        <w:rPr>
          <w:rFonts w:ascii="Courier New" w:cs="Courier New" w:eastAsia="Courier New" w:hAnsi="Courier New"/>
          <w:sz w:val="14"/>
          <w:szCs w:val="14"/>
          <w:color w:val="auto"/>
        </w:rPr>
        <w:t>Currency</w:t>
      </w:r>
    </w:p>
    <w:p>
      <w:pPr>
        <w:jc w:val="both"/>
        <w:ind w:left="4040"/>
        <w:spacing w:after="0"/>
        <w:tabs>
          <w:tab w:leader="none" w:pos="5420" w:val="left"/>
          <w:tab w:leader="none" w:pos="6920" w:val="left"/>
          <w:tab w:leader="none" w:pos="8140" w:val="left"/>
          <w:tab w:leader="none" w:pos="954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Receivable</w:t>
      </w:r>
      <w:r>
        <w:rPr>
          <w:sz w:val="20"/>
          <w:szCs w:val="20"/>
          <w:color w:val="auto"/>
        </w:rPr>
        <w:tab/>
      </w:r>
      <w:r>
        <w:rPr>
          <w:rFonts w:ascii="Courier New" w:cs="Courier New" w:eastAsia="Courier New" w:hAnsi="Courier New"/>
          <w:sz w:val="13"/>
          <w:szCs w:val="13"/>
          <w:color w:val="auto"/>
        </w:rPr>
        <w:t>Translation</w:t>
      </w:r>
    </w:p>
    <w:p>
      <w:pPr>
        <w:spacing w:after="0" w:line="4" w:lineRule="exact"/>
        <w:rPr>
          <w:sz w:val="20"/>
          <w:szCs w:val="20"/>
          <w:color w:val="auto"/>
        </w:rPr>
      </w:pPr>
    </w:p>
    <w:p>
      <w:pPr>
        <w:jc w:val="right"/>
        <w:ind w:right="900"/>
        <w:spacing w:after="0"/>
        <w:tabs>
          <w:tab w:leader="none" w:pos="7240" w:val="left"/>
          <w:tab w:leader="none" w:pos="6320" w:val="left"/>
          <w:tab w:leader="none" w:pos="4420" w:val="left"/>
          <w:tab w:leader="none" w:pos="3200" w:val="left"/>
          <w:tab w:leader="none" w:pos="17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Paid-In 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from ESOP</w:t>
      </w:r>
      <w:r>
        <w:rPr>
          <w:sz w:val="20"/>
          <w:szCs w:val="20"/>
          <w:color w:val="auto"/>
        </w:rPr>
        <w:tab/>
      </w:r>
      <w:r>
        <w:rPr>
          <w:rFonts w:ascii="Courier New" w:cs="Courier New" w:eastAsia="Courier New" w:hAnsi="Courier New"/>
          <w:sz w:val="13"/>
          <w:szCs w:val="13"/>
          <w:color w:val="auto"/>
        </w:rPr>
        <w:t>Adjustment</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p>
      <w:pPr>
        <w:spacing w:after="0"/>
        <w:tabs>
          <w:tab w:leader="none" w:pos="3940" w:val="left"/>
          <w:tab w:leader="none" w:pos="5500" w:val="left"/>
          <w:tab w:leader="none" w:pos="5760" w:val="left"/>
          <w:tab w:leader="none" w:pos="6820" w:val="left"/>
          <w:tab w:leader="none" w:pos="7080" w:val="left"/>
          <w:tab w:leader="none" w:pos="8320" w:val="left"/>
          <w:tab w:leader="none" w:pos="10040" w:val="left"/>
        </w:tabs>
        <w:rPr>
          <w:sz w:val="20"/>
          <w:szCs w:val="20"/>
          <w:color w:val="auto"/>
        </w:rPr>
      </w:pPr>
      <w:r>
        <w:rPr>
          <w:rFonts w:ascii="Courier New" w:cs="Courier New" w:eastAsia="Courier New" w:hAnsi="Courier New"/>
          <w:sz w:val="14"/>
          <w:szCs w:val="14"/>
          <w:color w:val="auto"/>
        </w:rPr>
        <w:t>Balance at July 31, 1993</w:t>
      </w:r>
      <w:r>
        <w:rPr>
          <w:sz w:val="20"/>
          <w:szCs w:val="20"/>
          <w:color w:val="auto"/>
        </w:rPr>
        <w:tab/>
      </w:r>
      <w:r>
        <w:rPr>
          <w:rFonts w:ascii="Courier New" w:cs="Courier New" w:eastAsia="Courier New" w:hAnsi="Courier New"/>
          <w:sz w:val="14"/>
          <w:szCs w:val="14"/>
          <w:color w:val="auto"/>
        </w:rPr>
        <w:t>$12,270</w:t>
      </w:r>
      <w:r>
        <w:rPr>
          <w:sz w:val="20"/>
          <w:szCs w:val="20"/>
          <w:color w:val="auto"/>
        </w:rPr>
        <w:tab/>
      </w:r>
      <w:r>
        <w:rPr>
          <w:rFonts w:ascii="Courier New" w:cs="Courier New" w:eastAsia="Courier New" w:hAnsi="Courier New"/>
          <w:sz w:val="14"/>
          <w:szCs w:val="14"/>
          <w:color w:val="auto"/>
        </w:rPr>
        <w:t>$</w:t>
        <w:tab/>
        <w:t>44,898</w:t>
      </w:r>
      <w:r>
        <w:rPr>
          <w:sz w:val="20"/>
          <w:szCs w:val="20"/>
          <w:color w:val="auto"/>
        </w:rPr>
        <w:tab/>
      </w:r>
      <w:r>
        <w:rPr>
          <w:rFonts w:ascii="Courier New" w:cs="Courier New" w:eastAsia="Courier New" w:hAnsi="Courier New"/>
          <w:sz w:val="14"/>
          <w:szCs w:val="14"/>
          <w:color w:val="auto"/>
        </w:rPr>
        <w:t>$</w:t>
        <w:tab/>
        <w:t>93,451</w:t>
      </w:r>
      <w:r>
        <w:rPr>
          <w:sz w:val="20"/>
          <w:szCs w:val="20"/>
          <w:color w:val="auto"/>
        </w:rPr>
        <w:tab/>
      </w:r>
      <w:r>
        <w:rPr>
          <w:rFonts w:ascii="Courier New" w:cs="Courier New" w:eastAsia="Courier New" w:hAnsi="Courier New"/>
          <w:sz w:val="14"/>
          <w:szCs w:val="14"/>
          <w:color w:val="auto"/>
        </w:rPr>
        <w:t>$(5,223)</w:t>
      </w:r>
      <w:r>
        <w:rPr>
          <w:sz w:val="20"/>
          <w:szCs w:val="20"/>
          <w:color w:val="auto"/>
        </w:rPr>
        <w:tab/>
      </w:r>
      <w:r>
        <w:rPr>
          <w:rFonts w:ascii="Courier New" w:cs="Courier New" w:eastAsia="Courier New" w:hAnsi="Courier New"/>
          <w:sz w:val="13"/>
          <w:szCs w:val="13"/>
          <w:color w:val="auto"/>
        </w:rPr>
        <w:t>$(795)</w:t>
      </w:r>
    </w:p>
    <w:p>
      <w:pPr>
        <w:spacing w:after="0" w:line="4" w:lineRule="exact"/>
        <w:rPr>
          <w:sz w:val="20"/>
          <w:szCs w:val="20"/>
          <w:color w:val="auto"/>
        </w:rPr>
      </w:pPr>
    </w:p>
    <w:p>
      <w:pPr>
        <w:ind w:left="160" w:hanging="155"/>
        <w:spacing w:after="0"/>
        <w:tabs>
          <w:tab w:leader="none" w:pos="160" w:val="left"/>
        </w:tabs>
        <w:numPr>
          <w:ilvl w:val="0"/>
          <w:numId w:val="1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Common dividends paid ($0.48 per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(5,993)</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Issuance of 388,588 shares under</w:t>
            </w: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stock option plans</w:t>
            </w:r>
          </w:p>
        </w:tc>
        <w:tc>
          <w:tcPr>
            <w:tcW w:w="1080" w:type="dxa"/>
            <w:vAlign w:val="bottom"/>
          </w:tcPr>
          <w:p>
            <w:pPr>
              <w:spacing w:after="0"/>
              <w:rPr>
                <w:sz w:val="13"/>
                <w:szCs w:val="13"/>
                <w:color w:val="auto"/>
              </w:rPr>
            </w:pP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388</w:t>
            </w:r>
          </w:p>
        </w:tc>
        <w:tc>
          <w:tcPr>
            <w:tcW w:w="15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5,756</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Purchase of 97,758 common shares</w:t>
            </w:r>
          </w:p>
        </w:tc>
        <w:tc>
          <w:tcPr>
            <w:tcW w:w="1080" w:type="dxa"/>
            <w:vAlign w:val="bottom"/>
          </w:tcPr>
          <w:p>
            <w:pPr>
              <w:spacing w:after="0"/>
              <w:rPr>
                <w:sz w:val="13"/>
                <w:szCs w:val="13"/>
                <w:color w:val="auto"/>
              </w:rPr>
            </w:pPr>
          </w:p>
        </w:tc>
        <w:tc>
          <w:tcPr>
            <w:tcW w:w="1440" w:type="dxa"/>
            <w:vAlign w:val="bottom"/>
          </w:tcPr>
          <w:p>
            <w:pPr>
              <w:jc w:val="right"/>
              <w:ind w:right="511"/>
              <w:spacing w:after="0"/>
              <w:rPr>
                <w:sz w:val="20"/>
                <w:szCs w:val="20"/>
                <w:color w:val="auto"/>
              </w:rPr>
            </w:pPr>
            <w:r>
              <w:rPr>
                <w:rFonts w:ascii="Courier New" w:cs="Courier New" w:eastAsia="Courier New" w:hAnsi="Courier New"/>
                <w:sz w:val="14"/>
                <w:szCs w:val="14"/>
                <w:color w:val="auto"/>
              </w:rPr>
              <w:t>(97)</w:t>
            </w:r>
          </w:p>
        </w:tc>
        <w:tc>
          <w:tcPr>
            <w:tcW w:w="152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(2,187)</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Payment received from ESOP</w:t>
            </w:r>
          </w:p>
        </w:tc>
        <w:tc>
          <w:tcPr>
            <w:tcW w:w="1080" w:type="dxa"/>
            <w:vAlign w:val="bottom"/>
          </w:tcPr>
          <w:p>
            <w:pPr>
              <w:spacing w:after="0"/>
              <w:rPr>
                <w:sz w:val="13"/>
                <w:szCs w:val="13"/>
                <w:color w:val="auto"/>
              </w:rPr>
            </w:pP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2,611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Tax benefits related to employee</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option transactions</w:t>
            </w:r>
          </w:p>
        </w:tc>
        <w:tc>
          <w:tcPr>
            <w:tcW w:w="1080" w:type="dxa"/>
            <w:vAlign w:val="bottom"/>
          </w:tcPr>
          <w:p>
            <w:pPr>
              <w:spacing w:after="0"/>
              <w:rPr>
                <w:sz w:val="13"/>
                <w:szCs w:val="13"/>
                <w:color w:val="auto"/>
              </w:rPr>
            </w:pP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953</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080" w:type="dxa"/>
            <w:vAlign w:val="bottom"/>
          </w:tcPr>
          <w:p>
            <w:pPr>
              <w:spacing w:after="0" w:line="20" w:lineRule="exact"/>
              <w:rPr>
                <w:sz w:val="1"/>
                <w:szCs w:val="1"/>
                <w:color w:val="auto"/>
              </w:rPr>
            </w:pPr>
          </w:p>
        </w:tc>
        <w:tc>
          <w:tcPr>
            <w:tcW w:w="144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22,230</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3"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 - - - ---------------------------------------------------------------------------------------------------------------------------------- Balance at July 31, 1994 $12,561 $ 49,420 $109,688 $ (2,612) $(405)</w:t>
      </w:r>
    </w:p>
    <w:p>
      <w:pPr>
        <w:spacing w:after="0" w:line="5" w:lineRule="exact"/>
        <w:rPr>
          <w:sz w:val="20"/>
          <w:szCs w:val="20"/>
          <w:color w:val="auto"/>
        </w:rPr>
      </w:pPr>
    </w:p>
    <w:p>
      <w:pPr>
        <w:ind w:left="160" w:hanging="155"/>
        <w:spacing w:after="0"/>
        <w:tabs>
          <w:tab w:leader="none" w:pos="160" w:val="left"/>
        </w:tabs>
        <w:numPr>
          <w:ilvl w:val="0"/>
          <w:numId w:val="1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2"/>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(6,002)</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1660" w:type="dxa"/>
            <w:vAlign w:val="bottom"/>
          </w:tcPr>
          <w:p>
            <w:pPr>
              <w:spacing w:after="0"/>
              <w:rPr>
                <w:sz w:val="20"/>
                <w:szCs w:val="20"/>
                <w:color w:val="auto"/>
              </w:rPr>
            </w:pPr>
            <w:r>
              <w:rPr>
                <w:rFonts w:ascii="Courier New" w:cs="Courier New" w:eastAsia="Courier New" w:hAnsi="Courier New"/>
                <w:sz w:val="14"/>
                <w:szCs w:val="14"/>
                <w:color w:val="auto"/>
              </w:rPr>
              <w:t>Issuance of 444,783</w:t>
            </w: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shares under</w:t>
            </w:r>
          </w:p>
        </w:tc>
        <w:tc>
          <w:tcPr>
            <w:tcW w:w="1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1660" w:type="dxa"/>
            <w:vAlign w:val="bottom"/>
          </w:tcPr>
          <w:p>
            <w:pPr>
              <w:ind w:left="80"/>
              <w:spacing w:after="0"/>
              <w:rPr>
                <w:sz w:val="20"/>
                <w:szCs w:val="20"/>
                <w:color w:val="auto"/>
              </w:rPr>
            </w:pPr>
            <w:r>
              <w:rPr>
                <w:rFonts w:ascii="Courier New" w:cs="Courier New" w:eastAsia="Courier New" w:hAnsi="Courier New"/>
                <w:sz w:val="14"/>
                <w:szCs w:val="14"/>
                <w:color w:val="auto"/>
              </w:rPr>
              <w:t>stock option plans</w:t>
            </w:r>
          </w:p>
        </w:tc>
        <w:tc>
          <w:tcPr>
            <w:tcW w:w="2060" w:type="dxa"/>
            <w:vAlign w:val="bottom"/>
          </w:tcPr>
          <w:p>
            <w:pPr>
              <w:spacing w:after="0"/>
              <w:rPr>
                <w:sz w:val="13"/>
                <w:szCs w:val="13"/>
                <w:color w:val="auto"/>
              </w:rPr>
            </w:pP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445</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7,806</w:t>
            </w:r>
          </w:p>
        </w:tc>
        <w:tc>
          <w:tcPr>
            <w:tcW w:w="1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1660" w:type="dxa"/>
            <w:vAlign w:val="bottom"/>
          </w:tcPr>
          <w:p>
            <w:pPr>
              <w:spacing w:after="0"/>
              <w:rPr>
                <w:sz w:val="20"/>
                <w:szCs w:val="20"/>
                <w:color w:val="auto"/>
              </w:rPr>
            </w:pPr>
            <w:r>
              <w:rPr>
                <w:rFonts w:ascii="Courier New" w:cs="Courier New" w:eastAsia="Courier New" w:hAnsi="Courier New"/>
                <w:sz w:val="14"/>
                <w:szCs w:val="14"/>
                <w:color w:val="auto"/>
              </w:rPr>
              <w:t>Purchase of 965,757</w:t>
            </w:r>
          </w:p>
        </w:tc>
        <w:tc>
          <w:tcPr>
            <w:tcW w:w="20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14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(966)</w:t>
            </w:r>
          </w:p>
        </w:tc>
        <w:tc>
          <w:tcPr>
            <w:tcW w:w="156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(25,259)</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Payment received from ESOP</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2,612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17"/>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59"/>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1660" w:type="dxa"/>
            <w:vAlign w:val="bottom"/>
          </w:tcPr>
          <w:p>
            <w:pPr>
              <w:ind w:left="80"/>
              <w:spacing w:after="0"/>
              <w:rPr>
                <w:sz w:val="20"/>
                <w:szCs w:val="20"/>
                <w:color w:val="auto"/>
              </w:rPr>
            </w:pPr>
            <w:r>
              <w:rPr>
                <w:rFonts w:ascii="Courier New" w:cs="Courier New" w:eastAsia="Courier New" w:hAnsi="Courier New"/>
                <w:sz w:val="14"/>
                <w:szCs w:val="14"/>
                <w:color w:val="auto"/>
                <w:w w:val="97"/>
              </w:rPr>
              <w:t>option transactions</w:t>
            </w:r>
          </w:p>
        </w:tc>
        <w:tc>
          <w:tcPr>
            <w:tcW w:w="2060" w:type="dxa"/>
            <w:vAlign w:val="bottom"/>
          </w:tcPr>
          <w:p>
            <w:pPr>
              <w:spacing w:after="0"/>
              <w:rPr>
                <w:sz w:val="13"/>
                <w:szCs w:val="13"/>
                <w:color w:val="auto"/>
              </w:rPr>
            </w:pP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1,178</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16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060" w:type="dxa"/>
            <w:vAlign w:val="bottom"/>
          </w:tcPr>
          <w:p>
            <w:pPr>
              <w:spacing w:after="0" w:line="20" w:lineRule="exact"/>
              <w:rPr>
                <w:sz w:val="1"/>
                <w:szCs w:val="1"/>
                <w:color w:val="auto"/>
              </w:rPr>
            </w:pP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36,667</w:t>
            </w:r>
          </w:p>
        </w:tc>
        <w:tc>
          <w:tcPr>
            <w:tcW w:w="148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63"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 - - - ---------------------------------------------------------------------------------------------------------------------------------- Balance at July 31, 1995 $12,040 $ 33,145 $140,353 $ 0 $ (67)</w:t>
      </w:r>
    </w:p>
    <w:p>
      <w:pPr>
        <w:spacing w:after="0" w:line="5" w:lineRule="exact"/>
        <w:rPr>
          <w:sz w:val="20"/>
          <w:szCs w:val="20"/>
          <w:color w:val="auto"/>
        </w:rPr>
      </w:pPr>
    </w:p>
    <w:p>
      <w:pPr>
        <w:ind w:left="160" w:hanging="155"/>
        <w:spacing w:after="0"/>
        <w:tabs>
          <w:tab w:leader="none" w:pos="160" w:val="left"/>
        </w:tabs>
        <w:numPr>
          <w:ilvl w:val="0"/>
          <w:numId w:val="1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Common dividends paid ($0.12 per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14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91"/>
              <w:spacing w:after="0"/>
              <w:rPr>
                <w:sz w:val="20"/>
                <w:szCs w:val="20"/>
                <w:color w:val="auto"/>
              </w:rPr>
            </w:pPr>
            <w:r>
              <w:rPr>
                <w:rFonts w:ascii="Courier New" w:cs="Courier New" w:eastAsia="Courier New" w:hAnsi="Courier New"/>
                <w:sz w:val="14"/>
                <w:szCs w:val="14"/>
                <w:color w:val="auto"/>
              </w:rPr>
              <w:t>(1,459)</w:t>
            </w:r>
          </w:p>
        </w:tc>
        <w:tc>
          <w:tcPr>
            <w:tcW w:w="132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Issuance of 156,263 shares under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9"/>
        </w:trPr>
        <w:tc>
          <w:tcPr>
            <w:tcW w:w="2680" w:type="dxa"/>
            <w:vAlign w:val="bottom"/>
          </w:tcPr>
          <w:p>
            <w:pPr>
              <w:ind w:left="80"/>
              <w:spacing w:after="0"/>
              <w:rPr>
                <w:sz w:val="20"/>
                <w:szCs w:val="20"/>
                <w:color w:val="auto"/>
              </w:rPr>
            </w:pPr>
            <w:r>
              <w:rPr>
                <w:rFonts w:ascii="Courier New" w:cs="Courier New" w:eastAsia="Courier New" w:hAnsi="Courier New"/>
                <w:sz w:val="14"/>
                <w:szCs w:val="14"/>
                <w:color w:val="auto"/>
              </w:rPr>
              <w:t>option plans</w:t>
            </w:r>
          </w:p>
        </w:tc>
        <w:tc>
          <w:tcPr>
            <w:tcW w:w="1080" w:type="dxa"/>
            <w:vAlign w:val="bottom"/>
          </w:tcPr>
          <w:p>
            <w:pPr>
              <w:spacing w:after="0"/>
              <w:rPr>
                <w:sz w:val="13"/>
                <w:szCs w:val="13"/>
                <w:color w:val="auto"/>
              </w:rPr>
            </w:pPr>
          </w:p>
        </w:tc>
        <w:tc>
          <w:tcPr>
            <w:tcW w:w="14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156</w:t>
            </w:r>
          </w:p>
        </w:tc>
        <w:tc>
          <w:tcPr>
            <w:tcW w:w="148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3,431</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Purchase of 28,204 common shares</w:t>
            </w:r>
          </w:p>
        </w:tc>
        <w:tc>
          <w:tcPr>
            <w:tcW w:w="1080" w:type="dxa"/>
            <w:vAlign w:val="bottom"/>
          </w:tcPr>
          <w:p>
            <w:pPr>
              <w:spacing w:after="0"/>
              <w:rPr>
                <w:sz w:val="13"/>
                <w:szCs w:val="13"/>
                <w:color w:val="auto"/>
              </w:rPr>
            </w:pPr>
          </w:p>
        </w:tc>
        <w:tc>
          <w:tcPr>
            <w:tcW w:w="14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(28)</w:t>
            </w:r>
          </w:p>
        </w:tc>
        <w:tc>
          <w:tcPr>
            <w:tcW w:w="148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(864)</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4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59"/>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080" w:type="dxa"/>
            <w:vAlign w:val="bottom"/>
          </w:tcPr>
          <w:p>
            <w:pPr>
              <w:spacing w:after="0"/>
              <w:rPr>
                <w:sz w:val="13"/>
                <w:szCs w:val="13"/>
                <w:color w:val="auto"/>
              </w:rPr>
            </w:pPr>
          </w:p>
        </w:tc>
        <w:tc>
          <w:tcPr>
            <w:tcW w:w="1480" w:type="dxa"/>
            <w:vAlign w:val="bottom"/>
          </w:tcPr>
          <w:p>
            <w:pPr>
              <w:jc w:val="right"/>
              <w:ind w:right="631"/>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3,997</w:t>
            </w:r>
          </w:p>
        </w:tc>
        <w:tc>
          <w:tcPr>
            <w:tcW w:w="1320" w:type="dxa"/>
            <w:vAlign w:val="bottom"/>
          </w:tcPr>
          <w:p>
            <w:pPr>
              <w:jc w:val="right"/>
              <w:ind w:right="591"/>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06"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Balance at October 31, 1995 $12,168 $ 35,712 $142,891 $ 0 $ 121 - - - - ----------------------------------------------------------------------------------------------------------------------------------</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91"/>
              <w:spacing w:after="0"/>
              <w:rPr>
                <w:sz w:val="20"/>
                <w:szCs w:val="20"/>
                <w:color w:val="auto"/>
              </w:rPr>
            </w:pPr>
            <w:r>
              <w:rPr>
                <w:rFonts w:ascii="Courier New" w:cs="Courier New" w:eastAsia="Courier New" w:hAnsi="Courier New"/>
                <w:sz w:val="14"/>
                <w:szCs w:val="14"/>
                <w:color w:val="auto"/>
              </w:rPr>
              <w:t>(5,834)</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Issuance of 294,324 shares under stock</w:t>
            </w:r>
          </w:p>
        </w:tc>
        <w:tc>
          <w:tcPr>
            <w:tcW w:w="1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3720" w:type="dxa"/>
            <w:vAlign w:val="bottom"/>
          </w:tcPr>
          <w:p>
            <w:pPr>
              <w:ind w:left="80"/>
              <w:spacing w:after="0"/>
              <w:rPr>
                <w:sz w:val="20"/>
                <w:szCs w:val="20"/>
                <w:color w:val="auto"/>
              </w:rPr>
            </w:pPr>
            <w:r>
              <w:rPr>
                <w:rFonts w:ascii="Courier New" w:cs="Courier New" w:eastAsia="Courier New" w:hAnsi="Courier New"/>
                <w:sz w:val="14"/>
                <w:szCs w:val="14"/>
                <w:color w:val="auto"/>
              </w:rPr>
              <w:t>option plans</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294</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4.333</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Purchase of 429,692 common shares</w:t>
            </w:r>
          </w:p>
        </w:tc>
        <w:tc>
          <w:tcPr>
            <w:tcW w:w="14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(430)</w:t>
            </w:r>
          </w:p>
        </w:tc>
        <w:tc>
          <w:tcPr>
            <w:tcW w:w="156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(13,073)</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3720" w:type="dxa"/>
            <w:vAlign w:val="bottom"/>
          </w:tcPr>
          <w:p>
            <w:pPr>
              <w:ind w:left="80"/>
              <w:spacing w:after="0"/>
              <w:rPr>
                <w:sz w:val="20"/>
                <w:szCs w:val="20"/>
                <w:color w:val="auto"/>
              </w:rPr>
            </w:pPr>
            <w:r>
              <w:rPr>
                <w:rFonts w:ascii="Courier New" w:cs="Courier New" w:eastAsia="Courier New" w:hAnsi="Courier New"/>
                <w:sz w:val="14"/>
                <w:szCs w:val="14"/>
                <w:color w:val="auto"/>
              </w:rPr>
              <w:t>option transactions</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1,490</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159"/>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164</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r>
        <w:trPr>
          <w:trHeight w:val="0"/>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44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571"/>
              <w:spacing w:after="0"/>
              <w:rPr>
                <w:sz w:val="20"/>
                <w:szCs w:val="20"/>
                <w:color w:val="auto"/>
              </w:rPr>
            </w:pPr>
            <w:r>
              <w:rPr>
                <w:rFonts w:ascii="Courier New" w:cs="Courier New" w:eastAsia="Courier New" w:hAnsi="Courier New"/>
                <w:sz w:val="14"/>
                <w:szCs w:val="14"/>
                <w:color w:val="auto"/>
              </w:rPr>
              <w:t>36,409</w:t>
            </w:r>
          </w:p>
        </w:tc>
        <w:tc>
          <w:tcPr>
            <w:tcW w:w="1280" w:type="dxa"/>
            <w:vAlign w:val="bottom"/>
          </w:tcPr>
          <w:p>
            <w:pPr>
              <w:jc w:val="right"/>
              <w:ind w:right="55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1"/>
              <w:spacing w:after="0"/>
              <w:rPr>
                <w:sz w:val="20"/>
                <w:szCs w:val="20"/>
                <w:color w:val="auto"/>
              </w:rPr>
            </w:pPr>
            <w:r>
              <w:rPr>
                <w:rFonts w:ascii="Courier New" w:cs="Courier New" w:eastAsia="Courier New" w:hAnsi="Courier New"/>
                <w:sz w:val="14"/>
                <w:szCs w:val="14"/>
                <w:color w:val="auto"/>
              </w:rPr>
              <w:t>-</w:t>
            </w:r>
          </w:p>
        </w:tc>
      </w:tr>
    </w:tbl>
    <w:p>
      <w:pPr>
        <w:spacing w:after="0" w:line="163"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 - - - ---------------------------------------------------------------------------------------------------------------------------------- BALANCE AT OCTOBER 31, 1996 $12,032 $ 28,462 $173,630 $ 0 $(557)</w:t>
      </w:r>
    </w:p>
    <w:p>
      <w:pPr>
        <w:spacing w:after="0" w:line="5" w:lineRule="exact"/>
        <w:rPr>
          <w:sz w:val="20"/>
          <w:szCs w:val="20"/>
          <w:color w:val="auto"/>
        </w:rPr>
      </w:pPr>
    </w:p>
    <w:p>
      <w:pPr>
        <w:ind w:left="160" w:hanging="155"/>
        <w:spacing w:after="0"/>
        <w:tabs>
          <w:tab w:leader="none" w:pos="160" w:val="left"/>
        </w:tabs>
        <w:numPr>
          <w:ilvl w:val="0"/>
          <w:numId w:val="1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7" w:lineRule="exact"/>
        <w:rPr>
          <w:sz w:val="20"/>
          <w:szCs w:val="20"/>
          <w:color w:val="auto"/>
        </w:rPr>
      </w:pPr>
    </w:p>
    <w:p>
      <w:pPr>
        <w:ind w:right="4780"/>
        <w:spacing w:after="0" w:line="239" w:lineRule="auto"/>
        <w:rPr>
          <w:sz w:val="20"/>
          <w:szCs w:val="20"/>
          <w:color w:val="auto"/>
        </w:rPr>
      </w:pPr>
      <w:r>
        <w:rPr>
          <w:rFonts w:ascii="Courier New" w:cs="Courier New" w:eastAsia="Courier New" w:hAnsi="Courier New"/>
          <w:sz w:val="14"/>
          <w:szCs w:val="14"/>
          <w:color w:val="auto"/>
        </w:rPr>
        <w:t>Under the terms of a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32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380"/>
          </w:cols>
          <w:pgMar w:left="220" w:top="592" w:right="299" w:bottom="1440" w:gutter="0" w:footer="0" w:header="0"/>
        </w:sectPr>
      </w:pPr>
    </w:p>
    <w:bookmarkStart w:id="100" w:name="page101"/>
    <w:bookmarkEnd w:id="100"/>
    <w:p>
      <w:pPr>
        <w:ind w:left="340" w:hanging="335"/>
        <w:spacing w:after="0"/>
        <w:tabs>
          <w:tab w:leader="none" w:pos="34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ind w:left="160" w:hanging="155"/>
        <w:spacing w:after="0"/>
        <w:tabs>
          <w:tab w:leader="none" w:pos="16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4" w:lineRule="exact"/>
        <w:rPr>
          <w:rFonts w:ascii="Courier New" w:cs="Courier New" w:eastAsia="Courier New" w:hAnsi="Courier New"/>
          <w:sz w:val="14"/>
          <w:szCs w:val="14"/>
          <w:color w:val="auto"/>
        </w:rPr>
      </w:pPr>
    </w:p>
    <w:p>
      <w:pPr>
        <w:ind w:right="4380"/>
        <w:spacing w:after="0" w:line="23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and nonqualified options may be granted under the terms of the stockholder approved 1989 Stock Option Plan and the 1993 Stock Option Plan (the "Plans"). Each incentive stock option and nonqualified stock option is granted at an exercise price equal to 100% of the fair market value of the Common Stock on the date of the grant, except for performance based stock options, such as those granted in connection with the Continuous Performance Award Plan for which the exercise price is an average of the closing stock prices for the three months preceding the grant date. Stock options granted under the Plans may be exercised in whole or in part from time to time, not later than 10 years from the date of grant or other period, as specified in the option agreement. Most stock options are subject to cancellation upon termination of the option holder's employment. However, some nonqualified options granted under the Plans can be exercised for up to four years after retirement, at or after age 60, but not beyond the date the option originally expires. Only nonqualified stock options may be granted under the terms of the 1992 Directors Stock Plan (the "Director Plan"). The Director Plan is a formula plan. Each option granted under the Director Plan is granted at an exercise price equal to 100% of the fair market value of the Common Stock on the date of the grant. Stock options granted under the Director Plan may be exercised only while serving as a member of the Board of Directors of the company, except in the event of death or disability. Stock option transactions are summarized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8" w:lineRule="exact"/>
        <w:rPr>
          <w:rFonts w:ascii="Courier New" w:cs="Courier New" w:eastAsia="Courier New" w:hAnsi="Courier New"/>
          <w:sz w:val="14"/>
          <w:szCs w:val="14"/>
          <w:color w:val="auto"/>
        </w:rPr>
      </w:pPr>
    </w:p>
    <w:p>
      <w:pPr>
        <w:ind w:left="160" w:hanging="155"/>
        <w:spacing w:after="0"/>
        <w:tabs>
          <w:tab w:leader="none" w:pos="160" w:val="left"/>
        </w:tabs>
        <w:numPr>
          <w:ilvl w:val="0"/>
          <w:numId w:val="1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jc w:val="right"/>
        <w:ind w:right="1500"/>
        <w:spacing w:after="0"/>
        <w:tabs>
          <w:tab w:leader="none" w:pos="4680" w:val="left"/>
          <w:tab w:leader="none" w:pos="23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3"/>
          <w:szCs w:val="13"/>
          <w:color w:val="auto"/>
        </w:rPr>
        <w:t>Year Ended</w:t>
      </w:r>
    </w:p>
    <w:p>
      <w:pPr>
        <w:jc w:val="right"/>
        <w:ind w:right="760"/>
        <w:spacing w:after="0"/>
        <w:rPr>
          <w:sz w:val="20"/>
          <w:szCs w:val="20"/>
          <w:color w:val="auto"/>
        </w:rPr>
      </w:pPr>
      <w:r>
        <w:rPr>
          <w:rFonts w:ascii="Courier New" w:cs="Courier New" w:eastAsia="Courier New" w:hAnsi="Courier New"/>
          <w:sz w:val="14"/>
          <w:szCs w:val="14"/>
          <w:color w:val="auto"/>
        </w:rPr>
        <w:t>----------------------------</w:t>
      </w:r>
    </w:p>
    <w:p>
      <w:pPr>
        <w:jc w:val="right"/>
        <w:ind w:right="1000"/>
        <w:spacing w:after="0"/>
        <w:tabs>
          <w:tab w:leader="none" w:pos="4520" w:val="left"/>
          <w:tab w:leader="none" w:pos="2800" w:val="left"/>
          <w:tab w:leader="none" w:pos="156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3"/>
          <w:szCs w:val="13"/>
          <w:color w:val="auto"/>
        </w:rPr>
        <w:t>July 31</w:t>
      </w:r>
    </w:p>
    <w:p>
      <w:pPr>
        <w:jc w:val="both"/>
        <w:ind w:left="5280"/>
        <w:spacing w:after="0"/>
        <w:tabs>
          <w:tab w:leader="none" w:pos="6920" w:val="left"/>
          <w:tab w:leader="none" w:pos="8400" w:val="left"/>
          <w:tab w:leader="none" w:pos="964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3"/>
          <w:szCs w:val="13"/>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60" w:type="dxa"/>
            <w:vAlign w:val="bottom"/>
          </w:tcPr>
          <w:p>
            <w:pPr>
              <w:spacing w:after="0"/>
              <w:rPr>
                <w:sz w:val="20"/>
                <w:szCs w:val="20"/>
                <w:color w:val="auto"/>
              </w:rPr>
            </w:pPr>
            <w:r>
              <w:rPr>
                <w:rFonts w:ascii="Courier New" w:cs="Courier New" w:eastAsia="Courier New" w:hAnsi="Courier New"/>
                <w:sz w:val="14"/>
                <w:szCs w:val="14"/>
                <w:color w:val="auto"/>
              </w:rPr>
              <w:t>Outstanding at beginning of period</w:t>
            </w:r>
          </w:p>
        </w:tc>
        <w:tc>
          <w:tcPr>
            <w:tcW w:w="21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1,253,311</w:t>
            </w:r>
          </w:p>
        </w:tc>
        <w:tc>
          <w:tcPr>
            <w:tcW w:w="15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1,166,579</w:t>
            </w:r>
          </w:p>
        </w:tc>
        <w:tc>
          <w:tcPr>
            <w:tcW w:w="14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1,259,509</w:t>
            </w:r>
          </w:p>
        </w:tc>
        <w:tc>
          <w:tcPr>
            <w:tcW w:w="10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1,421,923</w:t>
            </w:r>
          </w:p>
        </w:tc>
      </w:tr>
      <w:tr>
        <w:trPr>
          <w:trHeight w:val="159"/>
        </w:trPr>
        <w:tc>
          <w:tcPr>
            <w:tcW w:w="3760" w:type="dxa"/>
            <w:vAlign w:val="bottom"/>
          </w:tcPr>
          <w:p>
            <w:pPr>
              <w:ind w:left="340"/>
              <w:spacing w:after="0"/>
              <w:rPr>
                <w:sz w:val="20"/>
                <w:szCs w:val="20"/>
                <w:color w:val="auto"/>
              </w:rPr>
            </w:pPr>
            <w:r>
              <w:rPr>
                <w:rFonts w:ascii="Courier New" w:cs="Courier New" w:eastAsia="Courier New" w:hAnsi="Courier New"/>
                <w:sz w:val="14"/>
                <w:szCs w:val="14"/>
                <w:color w:val="auto"/>
              </w:rPr>
              <w:t>Granted</w:t>
            </w:r>
          </w:p>
        </w:tc>
        <w:tc>
          <w:tcPr>
            <w:tcW w:w="21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48,768</w:t>
            </w:r>
          </w:p>
        </w:tc>
        <w:tc>
          <w:tcPr>
            <w:tcW w:w="1560" w:type="dxa"/>
            <w:vAlign w:val="bottom"/>
          </w:tcPr>
          <w:p>
            <w:pPr>
              <w:jc w:val="right"/>
              <w:ind w:right="411"/>
              <w:spacing w:after="0"/>
              <w:rPr>
                <w:sz w:val="20"/>
                <w:szCs w:val="20"/>
                <w:color w:val="auto"/>
              </w:rPr>
            </w:pPr>
            <w:r>
              <w:rPr>
                <w:rFonts w:ascii="Courier New" w:cs="Courier New" w:eastAsia="Courier New" w:hAnsi="Courier New"/>
                <w:sz w:val="14"/>
                <w:szCs w:val="14"/>
                <w:color w:val="auto"/>
              </w:rPr>
              <w:t>256,496</w:t>
            </w:r>
          </w:p>
        </w:tc>
        <w:tc>
          <w:tcPr>
            <w:tcW w:w="1480" w:type="dxa"/>
            <w:vAlign w:val="bottom"/>
          </w:tcPr>
          <w:p>
            <w:pPr>
              <w:jc w:val="right"/>
              <w:ind w:right="251"/>
              <w:spacing w:after="0"/>
              <w:rPr>
                <w:sz w:val="20"/>
                <w:szCs w:val="20"/>
                <w:color w:val="auto"/>
              </w:rPr>
            </w:pPr>
            <w:r>
              <w:rPr>
                <w:rFonts w:ascii="Courier New" w:cs="Courier New" w:eastAsia="Courier New" w:hAnsi="Courier New"/>
                <w:sz w:val="14"/>
                <w:szCs w:val="14"/>
                <w:color w:val="auto"/>
              </w:rPr>
              <w:t>323,474</w:t>
            </w:r>
          </w:p>
        </w:tc>
        <w:tc>
          <w:tcPr>
            <w:tcW w:w="10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264,217</w:t>
            </w:r>
          </w:p>
        </w:tc>
      </w:tr>
      <w:tr>
        <w:trPr>
          <w:trHeight w:val="159"/>
        </w:trPr>
        <w:tc>
          <w:tcPr>
            <w:tcW w:w="3760" w:type="dxa"/>
            <w:vAlign w:val="bottom"/>
          </w:tcPr>
          <w:p>
            <w:pPr>
              <w:ind w:left="340"/>
              <w:spacing w:after="0"/>
              <w:rPr>
                <w:sz w:val="20"/>
                <w:szCs w:val="20"/>
                <w:color w:val="auto"/>
              </w:rPr>
            </w:pPr>
            <w:r>
              <w:rPr>
                <w:rFonts w:ascii="Courier New" w:cs="Courier New" w:eastAsia="Courier New" w:hAnsi="Courier New"/>
                <w:sz w:val="14"/>
                <w:szCs w:val="14"/>
                <w:color w:val="auto"/>
              </w:rPr>
              <w:t>Exercised or cancelled</w:t>
            </w:r>
          </w:p>
        </w:tc>
        <w:tc>
          <w:tcPr>
            <w:tcW w:w="210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(194,221)</w:t>
            </w:r>
          </w:p>
        </w:tc>
        <w:tc>
          <w:tcPr>
            <w:tcW w:w="1560" w:type="dxa"/>
            <w:vAlign w:val="bottom"/>
          </w:tcPr>
          <w:p>
            <w:pPr>
              <w:jc w:val="right"/>
              <w:ind w:right="331"/>
              <w:spacing w:after="0"/>
              <w:rPr>
                <w:sz w:val="20"/>
                <w:szCs w:val="20"/>
                <w:color w:val="auto"/>
              </w:rPr>
            </w:pPr>
            <w:r>
              <w:rPr>
                <w:rFonts w:ascii="Courier New" w:cs="Courier New" w:eastAsia="Courier New" w:hAnsi="Courier New"/>
                <w:sz w:val="14"/>
                <w:szCs w:val="14"/>
                <w:color w:val="auto"/>
              </w:rPr>
              <w:t>(169,764)</w:t>
            </w:r>
          </w:p>
        </w:tc>
        <w:tc>
          <w:tcPr>
            <w:tcW w:w="148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(416,404)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(426,631)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20"/>
                <w:szCs w:val="20"/>
                <w:color w:val="auto"/>
              </w:rPr>
            </w:pPr>
            <w:r>
              <w:rPr>
                <w:rFonts w:ascii="Courier New" w:cs="Courier New" w:eastAsia="Courier New" w:hAnsi="Courier New"/>
                <w:sz w:val="14"/>
                <w:szCs w:val="14"/>
                <w:color w:val="auto"/>
              </w:rPr>
              <w:t>Outstanding at end of period</w:t>
            </w:r>
          </w:p>
        </w:tc>
        <w:tc>
          <w:tcPr>
            <w:tcW w:w="232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1,107,858</w:t>
            </w:r>
          </w:p>
        </w:tc>
        <w:tc>
          <w:tcPr>
            <w:tcW w:w="1560" w:type="dxa"/>
            <w:vAlign w:val="bottom"/>
          </w:tcPr>
          <w:p>
            <w:pPr>
              <w:jc w:val="right"/>
              <w:ind w:right="371"/>
              <w:spacing w:after="0"/>
              <w:rPr>
                <w:sz w:val="20"/>
                <w:szCs w:val="20"/>
                <w:color w:val="auto"/>
              </w:rPr>
            </w:pPr>
            <w:r>
              <w:rPr>
                <w:rFonts w:ascii="Courier New" w:cs="Courier New" w:eastAsia="Courier New" w:hAnsi="Courier New"/>
                <w:sz w:val="14"/>
                <w:szCs w:val="14"/>
                <w:color w:val="auto"/>
              </w:rPr>
              <w:t>1,253,311</w:t>
            </w:r>
          </w:p>
        </w:tc>
        <w:tc>
          <w:tcPr>
            <w:tcW w:w="148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1,166,579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1,259,509</w:t>
            </w:r>
          </w:p>
        </w:tc>
      </w:tr>
    </w:tbl>
    <w:p>
      <w:pPr>
        <w:spacing w:after="0" w:line="4" w:lineRule="exact"/>
        <w:rPr>
          <w:sz w:val="20"/>
          <w:szCs w:val="20"/>
          <w:color w:val="auto"/>
        </w:rPr>
      </w:pPr>
    </w:p>
    <w:p>
      <w:pPr>
        <w:spacing w:after="0" w:line="236" w:lineRule="auto"/>
        <w:rPr>
          <w:sz w:val="20"/>
          <w:szCs w:val="20"/>
          <w:color w:val="auto"/>
        </w:rPr>
      </w:pPr>
      <w:r>
        <w:rPr>
          <w:rFonts w:ascii="Courier New" w:cs="Courier New" w:eastAsia="Courier New" w:hAnsi="Courier New"/>
          <w:sz w:val="14"/>
          <w:szCs w:val="14"/>
          <w:color w:val="auto"/>
        </w:rPr>
        <w:t>- - - - ----------------------------------------------------------------------------------------------------------------------------- Price range of granted options $29.125-32.50 $ 29.00 $ 23.625-29.50 $ 18.75-25.50</w:t>
      </w:r>
    </w:p>
    <w:p>
      <w:pPr>
        <w:spacing w:after="0" w:line="5" w:lineRule="exact"/>
        <w:rPr>
          <w:sz w:val="20"/>
          <w:szCs w:val="20"/>
          <w:color w:val="auto"/>
        </w:rPr>
      </w:pPr>
    </w:p>
    <w:p>
      <w:pPr>
        <w:ind w:left="160" w:hanging="155"/>
        <w:spacing w:after="0"/>
        <w:tabs>
          <w:tab w:leader="none" w:pos="16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Shares reserved for granting future stock</w:t>
      </w:r>
    </w:p>
    <w:tbl>
      <w:tblPr>
        <w:tblLayout w:type="fixed"/>
        <w:tblInd w:w="80" w:type="dxa"/>
        <w:tblCellMar>
          <w:top w:w="0" w:type="dxa"/>
          <w:left w:w="0" w:type="dxa"/>
          <w:bottom w:w="0" w:type="dxa"/>
          <w:right w:w="0" w:type="dxa"/>
        </w:tblCellMar>
      </w:tblPr>
      <w:tr>
        <w:trPr>
          <w:trHeight w:val="159"/>
        </w:trPr>
        <w:tc>
          <w:tcPr>
            <w:tcW w:w="3300" w:type="dxa"/>
            <w:vAlign w:val="bottom"/>
          </w:tcPr>
          <w:p>
            <w:pPr>
              <w:spacing w:after="0"/>
              <w:rPr>
                <w:sz w:val="20"/>
                <w:szCs w:val="20"/>
                <w:color w:val="auto"/>
              </w:rPr>
            </w:pPr>
            <w:r>
              <w:rPr>
                <w:rFonts w:ascii="Courier New" w:cs="Courier New" w:eastAsia="Courier New" w:hAnsi="Courier New"/>
                <w:sz w:val="14"/>
                <w:szCs w:val="14"/>
                <w:color w:val="auto"/>
              </w:rPr>
              <w:t>options at end of period</w:t>
            </w:r>
          </w:p>
        </w:tc>
        <w:tc>
          <w:tcPr>
            <w:tcW w:w="244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1,009,868</w:t>
            </w:r>
          </w:p>
        </w:tc>
        <w:tc>
          <w:tcPr>
            <w:tcW w:w="164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1,040,877</w:t>
            </w:r>
          </w:p>
        </w:tc>
        <w:tc>
          <w:tcPr>
            <w:tcW w:w="15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621,738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923,240</w:t>
            </w:r>
          </w:p>
        </w:tc>
      </w:tr>
    </w:tbl>
    <w:p>
      <w:pPr>
        <w:spacing w:after="0" w:line="4" w:lineRule="exact"/>
        <w:rPr>
          <w:sz w:val="20"/>
          <w:szCs w:val="20"/>
          <w:color w:val="auto"/>
        </w:rPr>
      </w:pPr>
    </w:p>
    <w:p>
      <w:pPr>
        <w:ind w:left="160" w:hanging="155"/>
        <w:spacing w:after="0"/>
        <w:tabs>
          <w:tab w:leader="none" w:pos="16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8"/>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2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period</w:t>
            </w:r>
          </w:p>
        </w:tc>
        <w:tc>
          <w:tcPr>
            <w:tcW w:w="198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882,670</w:t>
            </w:r>
          </w:p>
        </w:tc>
        <w:tc>
          <w:tcPr>
            <w:tcW w:w="1560" w:type="dxa"/>
            <w:vAlign w:val="bottom"/>
          </w:tcPr>
          <w:p>
            <w:pPr>
              <w:jc w:val="right"/>
              <w:ind w:right="451"/>
              <w:spacing w:after="0"/>
              <w:rPr>
                <w:sz w:val="20"/>
                <w:szCs w:val="20"/>
                <w:color w:val="auto"/>
              </w:rPr>
            </w:pPr>
            <w:r>
              <w:rPr>
                <w:rFonts w:ascii="Courier New" w:cs="Courier New" w:eastAsia="Courier New" w:hAnsi="Courier New"/>
                <w:sz w:val="14"/>
                <w:szCs w:val="14"/>
                <w:color w:val="auto"/>
              </w:rPr>
              <w:t>843,476</w:t>
            </w:r>
          </w:p>
        </w:tc>
        <w:tc>
          <w:tcPr>
            <w:tcW w:w="150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780,169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765,510</w:t>
            </w:r>
          </w:p>
        </w:tc>
      </w:tr>
    </w:tbl>
    <w:p>
      <w:pPr>
        <w:spacing w:after="0" w:line="4" w:lineRule="exact"/>
        <w:rPr>
          <w:sz w:val="20"/>
          <w:szCs w:val="20"/>
          <w:color w:val="auto"/>
        </w:rPr>
      </w:pPr>
    </w:p>
    <w:p>
      <w:pPr>
        <w:ind w:left="160" w:hanging="155"/>
        <w:spacing w:after="0"/>
        <w:tabs>
          <w:tab w:leader="none" w:pos="160" w:val="left"/>
        </w:tabs>
        <w:numPr>
          <w:ilvl w:val="0"/>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7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00" w:type="dxa"/>
            <w:vAlign w:val="bottom"/>
          </w:tcPr>
          <w:p>
            <w:pPr>
              <w:spacing w:after="0"/>
              <w:rPr>
                <w:sz w:val="20"/>
                <w:szCs w:val="20"/>
                <w:color w:val="auto"/>
              </w:rPr>
            </w:pPr>
            <w:r>
              <w:rPr>
                <w:rFonts w:ascii="Courier New" w:cs="Courier New" w:eastAsia="Courier New" w:hAnsi="Courier New"/>
                <w:sz w:val="14"/>
                <w:szCs w:val="14"/>
                <w:color w:val="auto"/>
              </w:rPr>
              <w:t>Price range of exercisable options</w:t>
            </w:r>
          </w:p>
        </w:tc>
        <w:tc>
          <w:tcPr>
            <w:tcW w:w="210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$ 10.90-32.50</w:t>
            </w:r>
          </w:p>
        </w:tc>
        <w:tc>
          <w:tcPr>
            <w:tcW w:w="15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$10.90-29.50</w:t>
            </w:r>
          </w:p>
        </w:tc>
        <w:tc>
          <w:tcPr>
            <w:tcW w:w="148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$ 10.70-29.50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$10.70-25.875</w:t>
            </w:r>
          </w:p>
        </w:tc>
      </w:tr>
    </w:tbl>
    <w:p>
      <w:pPr>
        <w:spacing w:after="0" w:line="4" w:lineRule="exact"/>
        <w:rPr>
          <w:sz w:val="20"/>
          <w:szCs w:val="20"/>
          <w:color w:val="auto"/>
        </w:rPr>
      </w:pPr>
    </w:p>
    <w:p>
      <w:pPr>
        <w:ind w:left="160" w:hanging="155"/>
        <w:spacing w:after="0"/>
        <w:tabs>
          <w:tab w:leader="none" w:pos="16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8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sz w:val="20"/>
          <w:szCs w:val="20"/>
          <w:color w:val="auto"/>
        </w:rPr>
      </w:pPr>
    </w:p>
    <w:p>
      <w:pPr>
        <w:spacing w:after="0" w:line="287" w:lineRule="exact"/>
        <w:rPr>
          <w:sz w:val="20"/>
          <w:szCs w:val="20"/>
          <w:color w:val="auto"/>
        </w:rPr>
      </w:pPr>
    </w:p>
    <w:p>
      <w:pPr>
        <w:ind w:right="4380"/>
        <w:spacing w:after="0" w:line="238" w:lineRule="auto"/>
        <w:rPr>
          <w:sz w:val="20"/>
          <w:szCs w:val="20"/>
          <w:color w:val="auto"/>
        </w:rPr>
      </w:pPr>
      <w:r>
        <w:rPr>
          <w:rFonts w:ascii="Courier New" w:cs="Courier New" w:eastAsia="Courier New" w:hAnsi="Courier New"/>
          <w:sz w:val="14"/>
          <w:szCs w:val="14"/>
          <w:color w:val="auto"/>
        </w:rPr>
        <w:t>The options outstanding at October 31, 1996 were granted in 1992 (305,000 shares); 1993 (130,195 shares); 1994 (179,068 shares); and 1995 (209,606 shares); the 3 months ended October 31, 1995 (237,721 shares) and the year ended October 31, 1996 (46,268 shares).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980"/>
          </w:cols>
          <w:pgMar w:left="220" w:top="750" w:right="699" w:bottom="1440" w:gutter="0" w:footer="0" w:header="0"/>
        </w:sectPr>
      </w:pPr>
    </w:p>
    <w:bookmarkStart w:id="101" w:name="page102"/>
    <w:bookmarkEnd w:id="101"/>
    <w:p>
      <w:pPr>
        <w:ind w:left="340" w:hanging="335"/>
        <w:spacing w:after="0"/>
        <w:tabs>
          <w:tab w:leader="none" w:pos="3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PROGRAMS</w:t>
      </w:r>
    </w:p>
    <w:p>
      <w:pPr>
        <w:spacing w:after="0" w:line="163"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3"/>
          <w:szCs w:val="13"/>
          <w:color w:val="auto"/>
        </w:rPr>
        <w:t>The company has an Employee Stock Ownership Plan (ESOP) which covers substantially all employees of the company and its subsidiaries. The plan was a leveraged ESOP which means funds were borrowed to purchase the shares. At July 31, 1995, ESOP indebtedness to the company was paid in full and funding of the ESOP was completed. Principal payments of ESOP debt were $2,612,000 for the year ended July 31, 1995 and $2,611,000 for the year ended July 31, 1994. Interest incurred on ESOP debt and interest received by the company was $258,000 for the year ended July 31, 1995 and $512,000 for the year ended July 31, 1994. Dividends on the ESOP shares used for debt service by the ESOP were $107,000 for the year ended July 31, 1995 and $195,000 for the year ended July 31, 1994.</w:t>
      </w:r>
    </w:p>
    <w:p>
      <w:pPr>
        <w:spacing w:after="0" w:line="2" w:lineRule="exact"/>
        <w:rPr>
          <w:sz w:val="20"/>
          <w:szCs w:val="20"/>
          <w:color w:val="auto"/>
        </w:rPr>
      </w:pPr>
    </w:p>
    <w:p>
      <w:pPr>
        <w:ind w:right="3639"/>
        <w:spacing w:after="0" w:line="238" w:lineRule="auto"/>
        <w:rPr>
          <w:sz w:val="20"/>
          <w:szCs w:val="20"/>
          <w:color w:val="auto"/>
        </w:rPr>
      </w:pPr>
      <w:r>
        <w:rPr>
          <w:rFonts w:ascii="Courier New" w:cs="Courier New" w:eastAsia="Courier New" w:hAnsi="Courier New"/>
          <w:sz w:val="14"/>
          <w:szCs w:val="14"/>
          <w:color w:val="auto"/>
        </w:rPr>
        <w:t>The expenses recognized related to the ESOP were $2,504,000 for the year ended July 31, 1995 and $2,417,000 for the year ended July 31, 1994. There were no principal payments of ESOP debt, interest incurred or received, dividends or expenses related to the ESOP for the year ended October 31, 1996 or the 3 months ended October 31, 1995.</w:t>
      </w:r>
    </w:p>
    <w:p>
      <w:pPr>
        <w:spacing w:after="0" w:line="161"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On August 1, 1995, the ESOP plan year end was changed to December 31. The</w:t>
      </w:r>
    </w:p>
    <w:p>
      <w:pPr>
        <w:spacing w:after="0"/>
        <w:rPr>
          <w:sz w:val="20"/>
          <w:szCs w:val="20"/>
          <w:color w:val="auto"/>
        </w:rPr>
      </w:pPr>
      <w:r>
        <w:rPr>
          <w:rFonts w:ascii="Courier New" w:cs="Courier New" w:eastAsia="Courier New" w:hAnsi="Courier New"/>
          <w:sz w:val="14"/>
          <w:szCs w:val="14"/>
          <w:color w:val="auto"/>
        </w:rPr>
        <w:t>company's contributions to the plan, net of dividends, were $639,000 for the</w:t>
      </w:r>
    </w:p>
    <w:p>
      <w:pPr>
        <w:spacing w:after="0"/>
        <w:rPr>
          <w:sz w:val="20"/>
          <w:szCs w:val="20"/>
          <w:color w:val="auto"/>
        </w:rPr>
      </w:pPr>
      <w:r>
        <w:rPr>
          <w:rFonts w:ascii="Courier New" w:cs="Courier New" w:eastAsia="Courier New" w:hAnsi="Courier New"/>
          <w:sz w:val="14"/>
          <w:szCs w:val="14"/>
          <w:color w:val="auto"/>
        </w:rPr>
        <w:t>year ended October 31, 1996, zero for the 3 months ended October 31, 1995,</w:t>
      </w:r>
    </w:p>
    <w:p>
      <w:pPr>
        <w:spacing w:after="0"/>
        <w:rPr>
          <w:sz w:val="20"/>
          <w:szCs w:val="20"/>
          <w:color w:val="auto"/>
        </w:rPr>
      </w:pPr>
      <w:r>
        <w:rPr>
          <w:rFonts w:ascii="Courier New" w:cs="Courier New" w:eastAsia="Courier New" w:hAnsi="Courier New"/>
          <w:sz w:val="14"/>
          <w:szCs w:val="14"/>
          <w:color w:val="auto"/>
        </w:rPr>
        <w:t>$2,762,000 for the year ended July 31, 1995 and $2,929,000 for the year ended</w:t>
      </w:r>
    </w:p>
    <w:p>
      <w:pPr>
        <w:spacing w:after="0"/>
        <w:rPr>
          <w:sz w:val="20"/>
          <w:szCs w:val="20"/>
          <w:color w:val="auto"/>
        </w:rPr>
      </w:pPr>
      <w:r>
        <w:rPr>
          <w:rFonts w:ascii="Courier New" w:cs="Courier New" w:eastAsia="Courier New" w:hAnsi="Courier New"/>
          <w:sz w:val="14"/>
          <w:szCs w:val="14"/>
          <w:color w:val="auto"/>
        </w:rPr>
        <w:t>July 31, 1994.</w:t>
      </w:r>
    </w:p>
    <w:p>
      <w:pPr>
        <w:spacing w:after="0" w:line="163" w:lineRule="exact"/>
        <w:rPr>
          <w:sz w:val="20"/>
          <w:szCs w:val="20"/>
          <w:color w:val="auto"/>
        </w:rPr>
      </w:pPr>
    </w:p>
    <w:p>
      <w:pPr>
        <w:ind w:right="3639" w:firstLine="330"/>
        <w:spacing w:after="0" w:line="239" w:lineRule="auto"/>
        <w:rPr>
          <w:sz w:val="20"/>
          <w:szCs w:val="20"/>
          <w:color w:val="auto"/>
        </w:rPr>
      </w:pPr>
      <w:r>
        <w:rPr>
          <w:rFonts w:ascii="Courier New" w:cs="Courier New" w:eastAsia="Courier New" w:hAnsi="Courier New"/>
          <w:sz w:val="14"/>
          <w:szCs w:val="14"/>
          <w:color w:val="auto"/>
        </w:rPr>
        <w:t>Effective August 1, 1995, the company adopted a new employee benefit program which replaces the ESOP, profit sharing, and matching stock plans. The current ESOP was replaced with a new Employee Stock Ownership Plan. The employee profit sharing plans and the matching stock plan were merged into the Toro Company Investment and Savings Plan which has a plan year end of December 31. Under this plan, eligible employees receive a pre-established percentage of their salary. Contributions to this plan for the year ended October 31, 1996 were $2,539,000. In addition, this plan includes a 401(k) which provides for company matching contributions of up to two percent of salary. Matching contributions to the Toro 401(k) Employee Savings and Toro Matching Plan for the year ended October 31, 1996 were $1,679,000.</w:t>
      </w:r>
    </w:p>
    <w:p>
      <w:pPr>
        <w:spacing w:after="0" w:line="165" w:lineRule="exact"/>
        <w:rPr>
          <w:sz w:val="20"/>
          <w:szCs w:val="20"/>
          <w:color w:val="auto"/>
        </w:rPr>
      </w:pPr>
    </w:p>
    <w:p>
      <w:pPr>
        <w:ind w:right="3639" w:firstLine="330"/>
        <w:spacing w:after="0" w:line="260" w:lineRule="auto"/>
        <w:rPr>
          <w:sz w:val="20"/>
          <w:szCs w:val="20"/>
          <w:color w:val="auto"/>
        </w:rPr>
      </w:pPr>
      <w:r>
        <w:rPr>
          <w:rFonts w:ascii="Courier New" w:cs="Courier New" w:eastAsia="Courier New" w:hAnsi="Courier New"/>
          <w:sz w:val="13"/>
          <w:szCs w:val="13"/>
          <w:color w:val="auto"/>
        </w:rPr>
        <w:t>Contributions to the company's former employee profit sharing plans which covered substantially all employees of the company and its subsidiaries were made annually, immediately following the fiscal year end. The contribution made in the 3 months ended October 31, 1995, which pertained to the year ended July 31, 1995, was $3,833,000. For the years ended July 31, 1995 and 1994 the contributions paid totaled $4,100,000 and $4,150,000, respectively, and pertained to the preceding fiscal years. Such amounts are based upon annual earnings before income taxes and minimum contributions required under the plans.</w:t>
      </w:r>
    </w:p>
    <w:p>
      <w:pPr>
        <w:spacing w:after="0" w:line="151" w:lineRule="exact"/>
        <w:rPr>
          <w:sz w:val="20"/>
          <w:szCs w:val="20"/>
          <w:color w:val="auto"/>
        </w:rPr>
      </w:pPr>
    </w:p>
    <w:p>
      <w:pPr>
        <w:ind w:right="3719" w:firstLine="330"/>
        <w:spacing w:after="0" w:line="238" w:lineRule="auto"/>
        <w:rPr>
          <w:sz w:val="20"/>
          <w:szCs w:val="20"/>
          <w:color w:val="auto"/>
        </w:rPr>
      </w:pPr>
      <w:r>
        <w:rPr>
          <w:rFonts w:ascii="Courier New" w:cs="Courier New" w:eastAsia="Courier New" w:hAnsi="Courier New"/>
          <w:sz w:val="14"/>
          <w:szCs w:val="14"/>
          <w:color w:val="auto"/>
        </w:rPr>
        <w:t>Under the company's former matching stock plan, shares of common stock were acquired by employees through payroll deductions and employer matching contributions pursuant to the plan. Contributions were $660,000 for the year ended July 31, 1995 and $485,000 for the year ended July 31, 1994.</w:t>
      </w:r>
    </w:p>
    <w:p>
      <w:pPr>
        <w:spacing w:after="0" w:line="164" w:lineRule="exact"/>
        <w:rPr>
          <w:sz w:val="20"/>
          <w:szCs w:val="20"/>
          <w:color w:val="auto"/>
        </w:rPr>
      </w:pPr>
    </w:p>
    <w:p>
      <w:pPr>
        <w:ind w:right="3799" w:firstLine="330"/>
        <w:spacing w:after="0" w:line="237"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Pension expense under these plans in 1996, 1995 and 1994 was not significant.</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592" w:right="1440" w:bottom="1440" w:gutter="0" w:footer="0" w:header="0"/>
        </w:sectPr>
      </w:pPr>
    </w:p>
    <w:bookmarkStart w:id="102" w:name="page103"/>
    <w:bookmarkEnd w:id="102"/>
    <w:p>
      <w:pPr>
        <w:ind w:left="340" w:hanging="335"/>
        <w:spacing w:after="0"/>
        <w:tabs>
          <w:tab w:leader="none" w:pos="34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DATA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879"/>
        <w:spacing w:after="0" w:line="260" w:lineRule="auto"/>
        <w:rPr>
          <w:sz w:val="20"/>
          <w:szCs w:val="20"/>
          <w:color w:val="auto"/>
        </w:rPr>
      </w:pPr>
      <w:r>
        <w:rPr>
          <w:rFonts w:ascii="Courier New" w:cs="Courier New" w:eastAsia="Courier New" w:hAnsi="Courier New"/>
          <w:sz w:val="13"/>
          <w:szCs w:val="13"/>
          <w:color w:val="auto"/>
        </w:rPr>
        <w:t>The company classifies its operations into one industry segment, outdoor maintenance equipment. International sales were $174,249,000 for the year ended October 31, 1996, $20,935,000 for the 3 months ended October 31, 1995, $152,409,000 for the year ended July 31, 1995 and $130,053,000 for the year ended July 31, 1994. Of these amounts, export sales were $154,716,000 for the year ended October 31, 1996, $18,557,000 for the 3 months ended October 31, 1995, $126,560,000 for the year ended July 31, 1995 and $109,344,000 for the year ended July 31, 1994. Export sales by geographic area are as follows:</w:t>
      </w:r>
    </w:p>
    <w:p>
      <w:pPr>
        <w:spacing w:after="0" w:line="151" w:lineRule="exact"/>
        <w:rPr>
          <w:sz w:val="20"/>
          <w:szCs w:val="20"/>
          <w:color w:val="auto"/>
        </w:rPr>
      </w:pPr>
    </w:p>
    <w:p>
      <w:pPr>
        <w:ind w:left="160" w:hanging="155"/>
        <w:spacing w:after="0"/>
        <w:tabs>
          <w:tab w:leader="none" w:pos="160" w:val="left"/>
        </w:tabs>
        <w:numPr>
          <w:ilvl w:val="0"/>
          <w:numId w:val="1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83"/>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Year Ended</w:t>
            </w:r>
          </w:p>
        </w:tc>
        <w:tc>
          <w:tcPr>
            <w:tcW w:w="14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3 Months Ended</w:t>
            </w:r>
          </w:p>
        </w:tc>
        <w:tc>
          <w:tcPr>
            <w:tcW w:w="1820" w:type="dxa"/>
            <w:vAlign w:val="bottom"/>
            <w:gridSpan w:val="2"/>
          </w:tcPr>
          <w:p>
            <w:pPr>
              <w:jc w:val="right"/>
              <w:ind w:right="431"/>
              <w:spacing w:after="0"/>
              <w:rPr>
                <w:sz w:val="20"/>
                <w:szCs w:val="20"/>
                <w:color w:val="auto"/>
              </w:rPr>
            </w:pPr>
            <w:r>
              <w:rPr>
                <w:rFonts w:ascii="Courier New" w:cs="Courier New" w:eastAsia="Courier New" w:hAnsi="Courier New"/>
                <w:sz w:val="14"/>
                <w:szCs w:val="14"/>
                <w:color w:val="auto"/>
              </w:rPr>
              <w:t>Year Ended</w:t>
            </w:r>
          </w:p>
        </w:tc>
      </w:tr>
      <w:tr>
        <w:trPr>
          <w:trHeight w:val="159"/>
        </w:trPr>
        <w:tc>
          <w:tcPr>
            <w:tcW w:w="2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2100" w:type="dxa"/>
            <w:vAlign w:val="bottom"/>
          </w:tcPr>
          <w:p>
            <w:pPr>
              <w:spacing w:after="0"/>
              <w:rPr>
                <w:sz w:val="13"/>
                <w:szCs w:val="13"/>
                <w:color w:val="auto"/>
              </w:rPr>
            </w:pP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October 31</w:t>
            </w:r>
          </w:p>
        </w:tc>
        <w:tc>
          <w:tcPr>
            <w:tcW w:w="14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July 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59"/>
        </w:trPr>
        <w:tc>
          <w:tcPr>
            <w:tcW w:w="21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0" w:type="dxa"/>
            <w:vAlign w:val="bottom"/>
          </w:tcPr>
          <w:p>
            <w:pPr>
              <w:jc w:val="right"/>
              <w:ind w:right="11"/>
              <w:spacing w:after="0"/>
              <w:rPr>
                <w:sz w:val="20"/>
                <w:szCs w:val="20"/>
                <w:color w:val="auto"/>
              </w:rPr>
            </w:pPr>
            <w:r>
              <w:rPr>
                <w:rFonts w:ascii="Courier New" w:cs="Courier New" w:eastAsia="Courier New" w:hAnsi="Courier New"/>
                <w:sz w:val="14"/>
                <w:szCs w:val="14"/>
                <w:color w:val="auto"/>
              </w:rPr>
              <w:t>1996</w:t>
            </w:r>
          </w:p>
        </w:tc>
        <w:tc>
          <w:tcPr>
            <w:tcW w:w="140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4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$ 80,986</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$ 6,098</w:t>
            </w:r>
          </w:p>
        </w:tc>
        <w:tc>
          <w:tcPr>
            <w:tcW w:w="1000" w:type="dxa"/>
            <w:vAlign w:val="bottom"/>
          </w:tcPr>
          <w:p>
            <w:pPr>
              <w:jc w:val="right"/>
              <w:ind w:right="51"/>
              <w:spacing w:after="0"/>
              <w:rPr>
                <w:sz w:val="20"/>
                <w:szCs w:val="20"/>
                <w:color w:val="auto"/>
              </w:rPr>
            </w:pPr>
            <w:r>
              <w:rPr>
                <w:rFonts w:ascii="Courier New" w:cs="Courier New" w:eastAsia="Courier New" w:hAnsi="Courier New"/>
                <w:sz w:val="14"/>
                <w:szCs w:val="14"/>
                <w:color w:val="auto"/>
              </w:rPr>
              <w:t>$ 60,239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$ 48,976</w:t>
            </w:r>
          </w:p>
        </w:tc>
      </w:tr>
      <w:tr>
        <w:trPr>
          <w:trHeight w:val="159"/>
        </w:trPr>
        <w:tc>
          <w:tcPr>
            <w:tcW w:w="174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26,322</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4,848</w:t>
            </w:r>
          </w:p>
        </w:tc>
        <w:tc>
          <w:tcPr>
            <w:tcW w:w="1000" w:type="dxa"/>
            <w:vAlign w:val="bottom"/>
          </w:tcPr>
          <w:p>
            <w:pPr>
              <w:jc w:val="right"/>
              <w:ind w:right="51"/>
              <w:spacing w:after="0"/>
              <w:rPr>
                <w:sz w:val="20"/>
                <w:szCs w:val="20"/>
                <w:color w:val="auto"/>
              </w:rPr>
            </w:pPr>
            <w:r>
              <w:rPr>
                <w:rFonts w:ascii="Courier New" w:cs="Courier New" w:eastAsia="Courier New" w:hAnsi="Courier New"/>
                <w:sz w:val="14"/>
                <w:szCs w:val="14"/>
                <w:color w:val="auto"/>
              </w:rPr>
              <w:t>31,921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28,039</w:t>
            </w:r>
          </w:p>
        </w:tc>
      </w:tr>
      <w:tr>
        <w:trPr>
          <w:trHeight w:val="159"/>
        </w:trPr>
        <w:tc>
          <w:tcPr>
            <w:tcW w:w="1740" w:type="dxa"/>
            <w:vAlign w:val="bottom"/>
          </w:tcPr>
          <w:p>
            <w:pPr>
              <w:spacing w:after="0"/>
              <w:rPr>
                <w:sz w:val="20"/>
                <w:szCs w:val="20"/>
                <w:color w:val="auto"/>
              </w:rPr>
            </w:pPr>
            <w:r>
              <w:rPr>
                <w:rFonts w:ascii="Courier New" w:cs="Courier New" w:eastAsia="Courier New" w:hAnsi="Courier New"/>
                <w:sz w:val="14"/>
                <w:szCs w:val="14"/>
                <w:color w:val="auto"/>
              </w:rPr>
              <w:t>Pacific Rim</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42,976</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6,955</w:t>
            </w:r>
          </w:p>
        </w:tc>
        <w:tc>
          <w:tcPr>
            <w:tcW w:w="1000" w:type="dxa"/>
            <w:vAlign w:val="bottom"/>
          </w:tcPr>
          <w:p>
            <w:pPr>
              <w:jc w:val="right"/>
              <w:ind w:right="51"/>
              <w:spacing w:after="0"/>
              <w:rPr>
                <w:sz w:val="20"/>
                <w:szCs w:val="20"/>
                <w:color w:val="auto"/>
              </w:rPr>
            </w:pPr>
            <w:r>
              <w:rPr>
                <w:rFonts w:ascii="Courier New" w:cs="Courier New" w:eastAsia="Courier New" w:hAnsi="Courier New"/>
                <w:sz w:val="14"/>
                <w:szCs w:val="14"/>
                <w:color w:val="auto"/>
              </w:rPr>
              <w:t>28,979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27,535</w:t>
            </w:r>
          </w:p>
        </w:tc>
      </w:tr>
      <w:tr>
        <w:trPr>
          <w:trHeight w:val="159"/>
        </w:trPr>
        <w:tc>
          <w:tcPr>
            <w:tcW w:w="1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311"/>
              <w:spacing w:after="0"/>
              <w:rPr>
                <w:sz w:val="20"/>
                <w:szCs w:val="20"/>
                <w:color w:val="auto"/>
              </w:rPr>
            </w:pPr>
            <w:r>
              <w:rPr>
                <w:rFonts w:ascii="Courier New" w:cs="Courier New" w:eastAsia="Courier New" w:hAnsi="Courier New"/>
                <w:sz w:val="14"/>
                <w:szCs w:val="14"/>
                <w:color w:val="auto"/>
              </w:rPr>
              <w:t>4,432</w:t>
            </w:r>
          </w:p>
        </w:tc>
        <w:tc>
          <w:tcPr>
            <w:tcW w:w="1140" w:type="dxa"/>
            <w:vAlign w:val="bottom"/>
          </w:tcPr>
          <w:p>
            <w:pPr>
              <w:jc w:val="right"/>
              <w:ind w:right="131"/>
              <w:spacing w:after="0"/>
              <w:rPr>
                <w:sz w:val="20"/>
                <w:szCs w:val="20"/>
                <w:color w:val="auto"/>
              </w:rPr>
            </w:pPr>
            <w:r>
              <w:rPr>
                <w:rFonts w:ascii="Courier New" w:cs="Courier New" w:eastAsia="Courier New" w:hAnsi="Courier New"/>
                <w:sz w:val="14"/>
                <w:szCs w:val="14"/>
                <w:color w:val="auto"/>
              </w:rPr>
              <w:t>656</w:t>
            </w:r>
          </w:p>
        </w:tc>
        <w:tc>
          <w:tcPr>
            <w:tcW w:w="1000" w:type="dxa"/>
            <w:vAlign w:val="bottom"/>
          </w:tcPr>
          <w:p>
            <w:pPr>
              <w:jc w:val="right"/>
              <w:ind w:right="51"/>
              <w:spacing w:after="0"/>
              <w:rPr>
                <w:sz w:val="20"/>
                <w:szCs w:val="20"/>
                <w:color w:val="auto"/>
              </w:rPr>
            </w:pPr>
            <w:r>
              <w:rPr>
                <w:rFonts w:ascii="Courier New" w:cs="Courier New" w:eastAsia="Courier New" w:hAnsi="Courier New"/>
                <w:sz w:val="14"/>
                <w:szCs w:val="14"/>
                <w:color w:val="auto"/>
              </w:rPr>
              <w:t>5,421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4,794</w:t>
            </w:r>
          </w:p>
        </w:tc>
      </w:tr>
    </w:tbl>
    <w:p>
      <w:pPr>
        <w:spacing w:after="0" w:line="4"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4"/>
          <w:szCs w:val="14"/>
          <w:color w:val="auto"/>
        </w:rPr>
        <w:t>- - - - -------------------------------------------------------------------------------- Total export sales $154,716 $18,557 $126,560 $109,344</w:t>
      </w:r>
    </w:p>
    <w:p>
      <w:pPr>
        <w:spacing w:after="0" w:line="5" w:lineRule="exact"/>
        <w:rPr>
          <w:sz w:val="20"/>
          <w:szCs w:val="20"/>
          <w:color w:val="auto"/>
        </w:rPr>
      </w:pPr>
    </w:p>
    <w:p>
      <w:pPr>
        <w:ind w:left="160" w:hanging="155"/>
        <w:spacing w:after="0"/>
        <w:tabs>
          <w:tab w:leader="none" w:pos="160" w:val="left"/>
        </w:tabs>
        <w:numPr>
          <w:ilvl w:val="0"/>
          <w:numId w:val="1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84"/>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Sales to any particular customer were not significant.</w:t>
      </w:r>
    </w:p>
    <w:p>
      <w:pPr>
        <w:spacing w:after="0" w:line="159" w:lineRule="exact"/>
        <w:rPr>
          <w:sz w:val="20"/>
          <w:szCs w:val="20"/>
          <w:color w:val="auto"/>
        </w:rPr>
      </w:pPr>
    </w:p>
    <w:p>
      <w:pPr>
        <w:ind w:left="340" w:hanging="335"/>
        <w:spacing w:after="0"/>
        <w:tabs>
          <w:tab w:leader="none" w:pos="34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3959"/>
        <w:spacing w:after="0" w:line="264" w:lineRule="auto"/>
        <w:rPr>
          <w:sz w:val="20"/>
          <w:szCs w:val="20"/>
          <w:color w:val="auto"/>
        </w:rPr>
      </w:pPr>
      <w:r>
        <w:rPr>
          <w:rFonts w:ascii="Courier New" w:cs="Courier New" w:eastAsia="Courier New" w:hAnsi="Courier New"/>
          <w:sz w:val="13"/>
          <w:szCs w:val="13"/>
          <w:color w:val="auto"/>
        </w:rPr>
        <w:t>Minimum lease commitments in future years under noncancelable operating leases are as follows: 1997, $6,333,000; 1998, $4,147,000; 1999, $2,782,000; 2000, $1,916,000; 2001, $1,457,000; and after 2001, $1,687,000.</w:t>
      </w:r>
    </w:p>
    <w:p>
      <w:pPr>
        <w:spacing w:after="0" w:line="144"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Total lease expense was as follows:</w:t>
      </w:r>
    </w:p>
    <w:p>
      <w:pPr>
        <w:spacing w:after="0" w:line="4" w:lineRule="exact"/>
        <w:rPr>
          <w:sz w:val="20"/>
          <w:szCs w:val="20"/>
          <w:color w:val="auto"/>
        </w:rPr>
      </w:pPr>
    </w:p>
    <w:p>
      <w:pPr>
        <w:ind w:left="160" w:hanging="155"/>
        <w:spacing w:after="0"/>
        <w:tabs>
          <w:tab w:leader="none" w:pos="160" w:val="left"/>
        </w:tabs>
        <w:numPr>
          <w:ilvl w:val="0"/>
          <w:numId w:val="1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8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ind w:left="2400"/>
        <w:spacing w:after="0"/>
        <w:tabs>
          <w:tab w:leader="none" w:pos="3360" w:val="left"/>
          <w:tab w:leader="none" w:pos="5180" w:val="left"/>
        </w:tabs>
        <w:rPr>
          <w:sz w:val="20"/>
          <w:szCs w:val="20"/>
          <w:color w:val="auto"/>
        </w:rPr>
      </w:pPr>
      <w:r>
        <w:rPr>
          <w:rFonts w:ascii="Courier New" w:cs="Courier New" w:eastAsia="Courier New" w:hAnsi="Courier New"/>
          <w:sz w:val="14"/>
          <w:szCs w:val="14"/>
          <w:color w:val="auto"/>
        </w:rPr>
        <w:t>YEAR ENDED</w:t>
        <w:tab/>
        <w:t>3 Months Ended</w:t>
      </w:r>
      <w:r>
        <w:rPr>
          <w:sz w:val="20"/>
          <w:szCs w:val="20"/>
          <w:color w:val="auto"/>
        </w:rPr>
        <w:tab/>
      </w:r>
      <w:r>
        <w:rPr>
          <w:rFonts w:ascii="Courier New" w:cs="Courier New" w:eastAsia="Courier New" w:hAnsi="Courier New"/>
          <w:sz w:val="13"/>
          <w:szCs w:val="13"/>
          <w:color w:val="auto"/>
        </w:rPr>
        <w:t>Year Ended</w:t>
      </w:r>
    </w:p>
    <w:p>
      <w:pPr>
        <w:ind w:left="4780"/>
        <w:spacing w:after="0"/>
        <w:rPr>
          <w:sz w:val="20"/>
          <w:szCs w:val="20"/>
          <w:color w:val="auto"/>
        </w:rPr>
      </w:pPr>
      <w:r>
        <w:rPr>
          <w:rFonts w:ascii="Courier New" w:cs="Courier New" w:eastAsia="Courier New" w:hAnsi="Courier New"/>
          <w:sz w:val="14"/>
          <w:szCs w:val="14"/>
          <w:color w:val="auto"/>
        </w:rPr>
        <w:t>---------------------</w:t>
      </w:r>
    </w:p>
    <w:p>
      <w:pPr>
        <w:ind w:left="2400"/>
        <w:spacing w:after="0"/>
        <w:tabs>
          <w:tab w:leader="none" w:pos="3700" w:val="left"/>
          <w:tab w:leader="none" w:pos="4760" w:val="left"/>
          <w:tab w:leader="none" w:pos="58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tab/>
        <w:t>July 31</w:t>
      </w:r>
      <w:r>
        <w:rPr>
          <w:sz w:val="20"/>
          <w:szCs w:val="20"/>
          <w:color w:val="auto"/>
        </w:rPr>
        <w:tab/>
      </w:r>
      <w:r>
        <w:rPr>
          <w:rFonts w:ascii="Courier New" w:cs="Courier New" w:eastAsia="Courier New" w:hAnsi="Courier New"/>
          <w:sz w:val="13"/>
          <w:szCs w:val="13"/>
          <w:color w:val="auto"/>
        </w:rPr>
        <w:t>July 31</w:t>
      </w:r>
    </w:p>
    <w:p>
      <w:pPr>
        <w:spacing w:after="0"/>
        <w:tabs>
          <w:tab w:leader="none" w:pos="2880" w:val="left"/>
          <w:tab w:leader="none" w:pos="4180" w:val="left"/>
          <w:tab w:leader="none" w:pos="5020" w:val="left"/>
          <w:tab w:leader="none" w:pos="60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40" w:type="dxa"/>
            <w:vAlign w:val="bottom"/>
          </w:tcPr>
          <w:p>
            <w:pPr>
              <w:spacing w:after="0"/>
              <w:rPr>
                <w:sz w:val="20"/>
                <w:szCs w:val="20"/>
                <w:color w:val="auto"/>
              </w:rPr>
            </w:pPr>
            <w:r>
              <w:rPr>
                <w:rFonts w:ascii="Courier New" w:cs="Courier New" w:eastAsia="Courier New" w:hAnsi="Courier New"/>
                <w:sz w:val="14"/>
                <w:szCs w:val="14"/>
                <w:color w:val="auto"/>
              </w:rPr>
              <w:t>Warehouse and office space</w:t>
            </w: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$3,291</w:t>
            </w:r>
          </w:p>
        </w:tc>
        <w:tc>
          <w:tcPr>
            <w:tcW w:w="1060" w:type="dxa"/>
            <w:vAlign w:val="bottom"/>
          </w:tcPr>
          <w:p>
            <w:pPr>
              <w:jc w:val="right"/>
              <w:ind w:right="91"/>
              <w:spacing w:after="0"/>
              <w:rPr>
                <w:sz w:val="20"/>
                <w:szCs w:val="20"/>
                <w:color w:val="auto"/>
              </w:rPr>
            </w:pPr>
            <w:r>
              <w:rPr>
                <w:rFonts w:ascii="Courier New" w:cs="Courier New" w:eastAsia="Courier New" w:hAnsi="Courier New"/>
                <w:sz w:val="14"/>
                <w:szCs w:val="14"/>
                <w:color w:val="auto"/>
              </w:rPr>
              <w:t>$  905</w:t>
            </w:r>
          </w:p>
        </w:tc>
        <w:tc>
          <w:tcPr>
            <w:tcW w:w="9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$3,360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$2,198</w:t>
            </w:r>
          </w:p>
        </w:tc>
      </w:tr>
      <w:tr>
        <w:trPr>
          <w:trHeight w:val="159"/>
        </w:trPr>
        <w:tc>
          <w:tcPr>
            <w:tcW w:w="2440" w:type="dxa"/>
            <w:vAlign w:val="bottom"/>
          </w:tcPr>
          <w:p>
            <w:pPr>
              <w:spacing w:after="0"/>
              <w:rPr>
                <w:sz w:val="20"/>
                <w:szCs w:val="20"/>
                <w:color w:val="auto"/>
              </w:rPr>
            </w:pPr>
            <w:r>
              <w:rPr>
                <w:rFonts w:ascii="Courier New" w:cs="Courier New" w:eastAsia="Courier New" w:hAnsi="Courier New"/>
                <w:sz w:val="14"/>
                <w:szCs w:val="14"/>
                <w:color w:val="auto"/>
              </w:rPr>
              <w:t>Trucks and autos</w:t>
            </w: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2,191</w:t>
            </w:r>
          </w:p>
        </w:tc>
        <w:tc>
          <w:tcPr>
            <w:tcW w:w="1060" w:type="dxa"/>
            <w:vAlign w:val="bottom"/>
          </w:tcPr>
          <w:p>
            <w:pPr>
              <w:jc w:val="right"/>
              <w:ind w:right="91"/>
              <w:spacing w:after="0"/>
              <w:rPr>
                <w:sz w:val="20"/>
                <w:szCs w:val="20"/>
                <w:color w:val="auto"/>
              </w:rPr>
            </w:pPr>
            <w:r>
              <w:rPr>
                <w:rFonts w:ascii="Courier New" w:cs="Courier New" w:eastAsia="Courier New" w:hAnsi="Courier New"/>
                <w:sz w:val="14"/>
                <w:szCs w:val="14"/>
                <w:color w:val="auto"/>
              </w:rPr>
              <w:t>374</w:t>
            </w:r>
          </w:p>
        </w:tc>
        <w:tc>
          <w:tcPr>
            <w:tcW w:w="9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1,890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2,039</w:t>
            </w:r>
          </w:p>
        </w:tc>
      </w:tr>
      <w:tr>
        <w:trPr>
          <w:trHeight w:val="159"/>
        </w:trPr>
        <w:tc>
          <w:tcPr>
            <w:tcW w:w="24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2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3,933</w:t>
            </w:r>
          </w:p>
        </w:tc>
        <w:tc>
          <w:tcPr>
            <w:tcW w:w="1060" w:type="dxa"/>
            <w:vAlign w:val="bottom"/>
          </w:tcPr>
          <w:p>
            <w:pPr>
              <w:jc w:val="right"/>
              <w:ind w:right="91"/>
              <w:spacing w:after="0"/>
              <w:rPr>
                <w:sz w:val="20"/>
                <w:szCs w:val="20"/>
                <w:color w:val="auto"/>
              </w:rPr>
            </w:pPr>
            <w:r>
              <w:rPr>
                <w:rFonts w:ascii="Courier New" w:cs="Courier New" w:eastAsia="Courier New" w:hAnsi="Courier New"/>
                <w:sz w:val="14"/>
                <w:szCs w:val="14"/>
                <w:color w:val="auto"/>
              </w:rPr>
              <w:t>924</w:t>
            </w:r>
          </w:p>
        </w:tc>
        <w:tc>
          <w:tcPr>
            <w:tcW w:w="9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3,721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159"/>
        </w:trPr>
        <w:tc>
          <w:tcPr>
            <w:tcW w:w="14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00" w:type="dxa"/>
            <w:vAlign w:val="bottom"/>
          </w:tcPr>
          <w:p>
            <w:pPr>
              <w:jc w:val="right"/>
              <w:ind w:right="351"/>
              <w:spacing w:after="0"/>
              <w:rPr>
                <w:sz w:val="20"/>
                <w:szCs w:val="20"/>
                <w:color w:val="auto"/>
              </w:rPr>
            </w:pPr>
            <w:r>
              <w:rPr>
                <w:rFonts w:ascii="Courier New" w:cs="Courier New" w:eastAsia="Courier New" w:hAnsi="Courier New"/>
                <w:sz w:val="14"/>
                <w:szCs w:val="14"/>
                <w:color w:val="auto"/>
              </w:rPr>
              <w:t>$9,415</w:t>
            </w:r>
          </w:p>
        </w:tc>
        <w:tc>
          <w:tcPr>
            <w:tcW w:w="106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$2,203</w:t>
            </w:r>
          </w:p>
        </w:tc>
        <w:tc>
          <w:tcPr>
            <w:tcW w:w="96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$8,971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$7,281</w:t>
            </w:r>
          </w:p>
        </w:tc>
      </w:tr>
    </w:tbl>
    <w:p>
      <w:pPr>
        <w:spacing w:after="0" w:line="4" w:lineRule="exact"/>
        <w:rPr>
          <w:sz w:val="20"/>
          <w:szCs w:val="20"/>
          <w:color w:val="auto"/>
        </w:rPr>
      </w:pPr>
    </w:p>
    <w:p>
      <w:pPr>
        <w:ind w:left="160" w:hanging="155"/>
        <w:spacing w:after="0"/>
        <w:tabs>
          <w:tab w:leader="none" w:pos="160"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87"/>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66"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10</w:t>
        <w:tab/>
        <w:t>COMMITMENTS AND CONTINGENT LIABILITIES</w:t>
      </w:r>
    </w:p>
    <w:p>
      <w:pPr>
        <w:spacing w:after="0" w:line="163" w:lineRule="exact"/>
        <w:rPr>
          <w:sz w:val="20"/>
          <w:szCs w:val="20"/>
          <w:color w:val="auto"/>
        </w:rPr>
      </w:pPr>
    </w:p>
    <w:p>
      <w:pPr>
        <w:ind w:right="3879"/>
        <w:spacing w:after="0" w:line="261" w:lineRule="auto"/>
        <w:rPr>
          <w:sz w:val="20"/>
          <w:szCs w:val="20"/>
          <w:color w:val="auto"/>
        </w:rPr>
      </w:pPr>
      <w:r>
        <w:rPr>
          <w:rFonts w:ascii="Courier New" w:cs="Courier New" w:eastAsia="Courier New" w:hAnsi="Courier New"/>
          <w:sz w:val="13"/>
          <w:szCs w:val="13"/>
          <w:color w:val="auto"/>
        </w:rPr>
        <w:t>The company was contingently liable to repurchase $10,578,000 at October 31, 1996 and $10,442,000 at October 31, 1995, of inventory relating to receivables under dealer financing arrangements. Additionally, debts incurred by certain distributors, aggregating $1,008,000 at October 31, 1996, and $1,176,000 at October 31, 1995, have been guaranteed by the company.</w:t>
      </w:r>
    </w:p>
    <w:p>
      <w:pPr>
        <w:spacing w:after="0" w:line="151" w:lineRule="exact"/>
        <w:rPr>
          <w:sz w:val="20"/>
          <w:szCs w:val="20"/>
          <w:color w:val="auto"/>
        </w:rPr>
      </w:pPr>
    </w:p>
    <w:p>
      <w:pPr>
        <w:ind w:right="3879" w:firstLine="330"/>
        <w:spacing w:after="0" w:line="238"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taxes,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592" w:right="1440" w:bottom="1440" w:gutter="0" w:footer="0" w:header="0"/>
        </w:sectPr>
      </w:pPr>
    </w:p>
    <w:bookmarkStart w:id="103" w:name="page104"/>
    <w:bookmarkEnd w:id="103"/>
    <w:p>
      <w:pPr>
        <w:ind w:right="8179" w:firstLine="5"/>
        <w:spacing w:after="0" w:line="516" w:lineRule="auto"/>
        <w:tabs>
          <w:tab w:leader="none" w:pos="330" w:val="left"/>
        </w:tabs>
        <w:numPr>
          <w:ilvl w:val="0"/>
          <w:numId w:val="188"/>
        </w:numPr>
        <w:rPr>
          <w:rFonts w:ascii="Courier New" w:cs="Courier New" w:eastAsia="Courier New" w:hAnsi="Courier New"/>
          <w:sz w:val="13"/>
          <w:szCs w:val="13"/>
          <w:color w:val="auto"/>
        </w:rPr>
      </w:pPr>
      <w:r>
        <w:rPr>
          <w:rFonts w:ascii="Courier New" w:cs="Courier New" w:eastAsia="Courier New" w:hAnsi="Courier New"/>
          <w:sz w:val="13"/>
          <w:szCs w:val="13"/>
          <w:color w:val="auto"/>
        </w:rPr>
        <w:t>FINANCIAL INSTRUMENTS OFF-BALANCE SHEET RISK</w:t>
      </w:r>
    </w:p>
    <w:p>
      <w:pPr>
        <w:spacing w:after="0" w:line="1" w:lineRule="exact"/>
        <w:rPr>
          <w:sz w:val="20"/>
          <w:szCs w:val="20"/>
          <w:color w:val="auto"/>
        </w:rPr>
      </w:pPr>
    </w:p>
    <w:p>
      <w:pPr>
        <w:jc w:val="both"/>
        <w:ind w:right="4219"/>
        <w:spacing w:after="0" w:line="262" w:lineRule="auto"/>
        <w:rPr>
          <w:sz w:val="20"/>
          <w:szCs w:val="20"/>
          <w:color w:val="auto"/>
        </w:rPr>
      </w:pPr>
      <w:r>
        <w:rPr>
          <w:rFonts w:ascii="Courier New" w:cs="Courier New" w:eastAsia="Courier New" w:hAnsi="Courier New"/>
          <w:sz w:val="13"/>
          <w:szCs w:val="13"/>
          <w:color w:val="auto"/>
        </w:rPr>
        <w:t>Letters of credit are issued by the company during the ordinary course of business, as required by certain vendor contracts, through major domestic banks. As of October 31, 1996, and 1995, the company had $19,705,000 and $14,735,000, respectively, in outstanding letters of credit.</w:t>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63"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a single business segment, outdoor maintenance equipment. The credit risk associated with this segment is limited because of the large number of customers in the company's customer base and their geographic dispersion.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163" w:lineRule="exact"/>
        <w:rPr>
          <w:sz w:val="20"/>
          <w:szCs w:val="20"/>
          <w:color w:val="auto"/>
        </w:rPr>
      </w:pPr>
    </w:p>
    <w:p>
      <w:pPr>
        <w:ind w:right="3879"/>
        <w:spacing w:after="0" w:line="238"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anticipated foreign currency transactions.</w:t>
      </w:r>
    </w:p>
    <w:p>
      <w:pPr>
        <w:spacing w:after="0" w:line="166" w:lineRule="exact"/>
        <w:rPr>
          <w:sz w:val="20"/>
          <w:szCs w:val="20"/>
          <w:color w:val="auto"/>
        </w:rPr>
      </w:pPr>
    </w:p>
    <w:p>
      <w:pPr>
        <w:ind w:right="3959" w:firstLine="330"/>
        <w:spacing w:after="0" w:line="238" w:lineRule="auto"/>
        <w:rPr>
          <w:sz w:val="20"/>
          <w:szCs w:val="20"/>
          <w:color w:val="auto"/>
        </w:rPr>
      </w:pPr>
      <w:r>
        <w:rPr>
          <w:rFonts w:ascii="Courier New" w:cs="Courier New" w:eastAsia="Courier New" w:hAnsi="Courier New"/>
          <w:sz w:val="14"/>
          <w:szCs w:val="14"/>
          <w:color w:val="auto"/>
        </w:rPr>
        <w:t>At October 31, 1996, the company had contracts maturing at various dates to purchase $1,196,000 in foreign currencies and to sell $29,198,000 in foreign currencies at the contract rates. In addition, the company had range forward options of $1,343,000 at October 31, 1996.</w:t>
      </w:r>
    </w:p>
    <w:p>
      <w:pPr>
        <w:spacing w:after="0" w:line="164" w:lineRule="exact"/>
        <w:rPr>
          <w:sz w:val="20"/>
          <w:szCs w:val="20"/>
          <w:color w:val="auto"/>
        </w:rPr>
      </w:pPr>
    </w:p>
    <w:p>
      <w:pPr>
        <w:ind w:right="4379" w:firstLine="330"/>
        <w:spacing w:after="0" w:line="237" w:lineRule="auto"/>
        <w:rPr>
          <w:sz w:val="20"/>
          <w:szCs w:val="20"/>
          <w:color w:val="auto"/>
        </w:rPr>
      </w:pPr>
      <w:r>
        <w:rPr>
          <w:rFonts w:ascii="Courier New" w:cs="Courier New" w:eastAsia="Courier New" w:hAnsi="Courier New"/>
          <w:sz w:val="14"/>
          <w:szCs w:val="14"/>
          <w:color w:val="auto"/>
        </w:rPr>
        <w:t>Changes in the market value of the foreign currency instruments are recognized in the financial statements upon settlement of the hedged transaction.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163" w:lineRule="exact"/>
        <w:rPr>
          <w:sz w:val="20"/>
          <w:szCs w:val="20"/>
          <w:color w:val="auto"/>
        </w:rPr>
      </w:pPr>
    </w:p>
    <w:p>
      <w:pPr>
        <w:ind w:right="3799"/>
        <w:spacing w:after="0" w:line="260" w:lineRule="auto"/>
        <w:rPr>
          <w:sz w:val="20"/>
          <w:szCs w:val="20"/>
          <w:color w:val="auto"/>
        </w:rPr>
      </w:pPr>
      <w:r>
        <w:rPr>
          <w:rFonts w:ascii="Courier New" w:cs="Courier New" w:eastAsia="Courier New" w:hAnsi="Courier New"/>
          <w:sz w:val="13"/>
          <w:szCs w:val="13"/>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judgement is required in developing the estimates of fair value, these estimates are not necessarily indicative of the amounts that could be realized in a current market exchange.</w:t>
      </w:r>
    </w:p>
    <w:p>
      <w:pPr>
        <w:spacing w:after="0" w:line="152" w:lineRule="exact"/>
        <w:rPr>
          <w:sz w:val="20"/>
          <w:szCs w:val="20"/>
          <w:color w:val="auto"/>
        </w:rPr>
      </w:pPr>
    </w:p>
    <w:p>
      <w:pPr>
        <w:ind w:right="4539" w:firstLine="330"/>
        <w:spacing w:after="0" w:line="236" w:lineRule="auto"/>
        <w:rPr>
          <w:sz w:val="20"/>
          <w:szCs w:val="20"/>
          <w:color w:val="auto"/>
        </w:rPr>
      </w:pPr>
      <w:r>
        <w:rPr>
          <w:rFonts w:ascii="Courier New" w:cs="Courier New" w:eastAsia="Courier New" w:hAnsi="Courier New"/>
          <w:sz w:val="14"/>
          <w:szCs w:val="14"/>
          <w:color w:val="auto"/>
        </w:rPr>
        <w:t>The carrying and estimated fair values of the company's financial instruments at October 31, 1996, are as follows:</w:t>
      </w:r>
    </w:p>
    <w:p>
      <w:pPr>
        <w:spacing w:after="0" w:line="164" w:lineRule="exact"/>
        <w:rPr>
          <w:sz w:val="20"/>
          <w:szCs w:val="20"/>
          <w:color w:val="auto"/>
        </w:rPr>
      </w:pPr>
    </w:p>
    <w:p>
      <w:pPr>
        <w:ind w:left="160" w:hanging="155"/>
        <w:spacing w:after="0"/>
        <w:tabs>
          <w:tab w:leader="none" w:pos="160" w:val="left"/>
        </w:tabs>
        <w:numPr>
          <w:ilvl w:val="0"/>
          <w:numId w:val="1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89"/>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ind w:left="446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Carrying  Estimated Fair</w:t>
      </w:r>
    </w:p>
    <w:p>
      <w:pPr>
        <w:spacing w:after="0"/>
        <w:tabs>
          <w:tab w:leader="none" w:pos="4680" w:val="left"/>
          <w:tab w:leader="none" w:pos="6000" w:val="left"/>
        </w:tabs>
        <w:rPr>
          <w:sz w:val="20"/>
          <w:szCs w:val="20"/>
          <w:color w:val="auto"/>
        </w:rPr>
      </w:pPr>
      <w:r>
        <w:rPr>
          <w:rFonts w:ascii="Courier New" w:cs="Courier New" w:eastAsia="Courier New" w:hAnsi="Courier New"/>
          <w:sz w:val="14"/>
          <w:szCs w:val="14"/>
          <w:color w:val="auto"/>
        </w:rPr>
        <w:t>(Dollars in millions)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1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$53,365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$62,887</w:t>
            </w:r>
          </w:p>
        </w:tc>
      </w:tr>
      <w:tr>
        <w:trPr>
          <w:trHeight w:val="159"/>
        </w:trPr>
        <w:tc>
          <w:tcPr>
            <w:tcW w:w="4380" w:type="dxa"/>
            <w:vAlign w:val="bottom"/>
          </w:tcPr>
          <w:p>
            <w:pPr>
              <w:spacing w:after="0"/>
              <w:rPr>
                <w:sz w:val="20"/>
                <w:szCs w:val="20"/>
                <w:color w:val="auto"/>
              </w:rPr>
            </w:pPr>
            <w:r>
              <w:rPr>
                <w:rFonts w:ascii="Courier New" w:cs="Courier New" w:eastAsia="Courier New" w:hAnsi="Courier New"/>
                <w:sz w:val="14"/>
                <w:szCs w:val="14"/>
                <w:color w:val="auto"/>
              </w:rPr>
              <w:t>Deferred income (interest rate exchange agreements)</w:t>
            </w:r>
          </w:p>
        </w:tc>
        <w:tc>
          <w:tcPr>
            <w:tcW w:w="1100" w:type="dxa"/>
            <w:vAlign w:val="bottom"/>
          </w:tcPr>
          <w:p>
            <w:pPr>
              <w:jc w:val="right"/>
              <w:ind w:right="291"/>
              <w:spacing w:after="0"/>
              <w:rPr>
                <w:sz w:val="20"/>
                <w:szCs w:val="20"/>
                <w:color w:val="auto"/>
              </w:rPr>
            </w:pPr>
            <w:r>
              <w:rPr>
                <w:rFonts w:ascii="Courier New" w:cs="Courier New" w:eastAsia="Courier New" w:hAnsi="Courier New"/>
                <w:sz w:val="14"/>
                <w:szCs w:val="14"/>
                <w:color w:val="auto"/>
              </w:rPr>
              <w:t>17,992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22,969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70" w:lineRule="exact"/>
        <w:rPr>
          <w:sz w:val="20"/>
          <w:szCs w:val="20"/>
          <w:color w:val="auto"/>
        </w:rPr>
      </w:pPr>
    </w:p>
    <w:p>
      <w:pPr>
        <w:ind w:right="4539" w:firstLine="330"/>
        <w:spacing w:after="0" w:line="236" w:lineRule="auto"/>
        <w:rPr>
          <w:sz w:val="20"/>
          <w:szCs w:val="20"/>
          <w:color w:val="auto"/>
        </w:rPr>
      </w:pPr>
      <w:r>
        <w:rPr>
          <w:rFonts w:ascii="Courier New" w:cs="Courier New" w:eastAsia="Courier New" w:hAnsi="Courier New"/>
          <w:sz w:val="14"/>
          <w:szCs w:val="14"/>
          <w:color w:val="auto"/>
        </w:rPr>
        <w:t>For cash and cash equivalents, receivables, and accounts payable, carrying value is a reasonable estimate of fair value.</w:t>
      </w:r>
    </w:p>
    <w:p>
      <w:pPr>
        <w:spacing w:after="0" w:line="164" w:lineRule="exact"/>
        <w:rPr>
          <w:sz w:val="20"/>
          <w:szCs w:val="20"/>
          <w:color w:val="auto"/>
        </w:rPr>
      </w:pPr>
    </w:p>
    <w:p>
      <w:pPr>
        <w:jc w:val="both"/>
        <w:ind w:right="3959" w:firstLine="330"/>
        <w:spacing w:after="0" w:line="237" w:lineRule="auto"/>
        <w:rPr>
          <w:sz w:val="20"/>
          <w:szCs w:val="20"/>
          <w:color w:val="auto"/>
        </w:rPr>
      </w:pPr>
      <w:r>
        <w:rPr>
          <w:rFonts w:ascii="Courier New" w:cs="Courier New" w:eastAsia="Courier New" w:hAnsi="Courier New"/>
          <w:sz w:val="14"/>
          <w:szCs w:val="14"/>
          <w:color w:val="auto"/>
        </w:rPr>
        <w:t>For long-term debt with fixed interest rates, fair value is estimated by discounting the projected cash flows using the rate at which similar amounts could currently be borrowed.</w:t>
      </w:r>
    </w:p>
    <w:p>
      <w:pPr>
        <w:spacing w:after="0" w:line="164" w:lineRule="exact"/>
        <w:rPr>
          <w:sz w:val="20"/>
          <w:szCs w:val="20"/>
          <w:color w:val="auto"/>
        </w:rPr>
      </w:pPr>
    </w:p>
    <w:p>
      <w:pPr>
        <w:jc w:val="both"/>
        <w:ind w:right="4139" w:firstLine="330"/>
        <w:spacing w:after="0" w:line="237" w:lineRule="auto"/>
        <w:rPr>
          <w:sz w:val="20"/>
          <w:szCs w:val="20"/>
          <w:color w:val="auto"/>
        </w:rPr>
      </w:pPr>
      <w:r>
        <w:rPr>
          <w:rFonts w:ascii="Courier New" w:cs="Courier New" w:eastAsia="Courier New" w:hAnsi="Courier New"/>
          <w:sz w:val="14"/>
          <w:szCs w:val="14"/>
          <w:color w:val="auto"/>
        </w:rPr>
        <w:t>The estimated fair value of the 11% sinking fund debentures represents the amount the company would pay to redeem the notes based on the terms of the debenture.</w:t>
      </w:r>
    </w:p>
    <w:p>
      <w:pPr>
        <w:spacing w:after="0" w:line="164" w:lineRule="exact"/>
        <w:rPr>
          <w:sz w:val="20"/>
          <w:szCs w:val="20"/>
          <w:color w:val="auto"/>
        </w:rPr>
      </w:pPr>
    </w:p>
    <w:p>
      <w:pPr>
        <w:ind w:right="3879" w:firstLine="330"/>
        <w:spacing w:after="0" w:line="237" w:lineRule="auto"/>
        <w:rPr>
          <w:sz w:val="20"/>
          <w:szCs w:val="20"/>
          <w:color w:val="auto"/>
        </w:rPr>
      </w:pPr>
      <w:r>
        <w:rPr>
          <w:rFonts w:ascii="Courier New" w:cs="Courier New" w:eastAsia="Courier New" w:hAnsi="Courier New"/>
          <w:sz w:val="14"/>
          <w:szCs w:val="14"/>
          <w:color w:val="auto"/>
        </w:rPr>
        <w:t>The estimated fair value of the deferred income represents the cost to terminate the interest rate exchange agreements, had management elected to do so, which would have resulted in a loss of approximately $4,977,000.</w:t>
      </w:r>
    </w:p>
    <w:p>
      <w:pPr>
        <w:spacing w:after="0" w:line="31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596" w:right="1440" w:bottom="1440" w:gutter="0" w:footer="0" w:header="0"/>
        </w:sectPr>
      </w:pPr>
    </w:p>
    <w:bookmarkStart w:id="104" w:name="page105"/>
    <w:bookmarkEnd w:id="104"/>
    <w:p>
      <w:pPr>
        <w:spacing w:after="0"/>
        <w:tabs>
          <w:tab w:leader="none" w:pos="320" w:val="left"/>
        </w:tabs>
        <w:rPr>
          <w:sz w:val="20"/>
          <w:szCs w:val="20"/>
          <w:color w:val="auto"/>
        </w:rPr>
      </w:pPr>
      <w:r>
        <w:rPr>
          <w:rFonts w:ascii="Courier New" w:cs="Courier New" w:eastAsia="Courier New" w:hAnsi="Courier New"/>
          <w:sz w:val="14"/>
          <w:szCs w:val="14"/>
          <w:color w:val="auto"/>
        </w:rPr>
        <w:t>12</w:t>
        <w:tab/>
        <w:t>CONSOLIDATED FINANCE SUBSIDIARY - TORO CREDIT COMPANY</w:t>
      </w:r>
    </w:p>
    <w:p>
      <w:pPr>
        <w:spacing w:after="0" w:line="163" w:lineRule="exact"/>
        <w:rPr>
          <w:sz w:val="20"/>
          <w:szCs w:val="20"/>
          <w:color w:val="auto"/>
        </w:rPr>
      </w:pPr>
    </w:p>
    <w:p>
      <w:pPr>
        <w:ind w:right="4059"/>
        <w:spacing w:after="0" w:line="238" w:lineRule="auto"/>
        <w:rPr>
          <w:sz w:val="20"/>
          <w:szCs w:val="20"/>
          <w:color w:val="auto"/>
        </w:rPr>
      </w:pPr>
      <w:r>
        <w:rPr>
          <w:rFonts w:ascii="Courier New" w:cs="Courier New" w:eastAsia="Courier New" w:hAnsi="Courier New"/>
          <w:sz w:val="14"/>
          <w:szCs w:val="14"/>
          <w:color w:val="auto"/>
        </w:rPr>
        <w:t>Toro Credit Company is a consolidated finance subsidiary of the company and operates primarily in the finance industry with wholesale financing of distributor and dealer inventories under various financing arrangements and other programs.</w:t>
      </w:r>
    </w:p>
    <w:p>
      <w:pPr>
        <w:spacing w:after="0" w:line="200" w:lineRule="exact"/>
        <w:rPr>
          <w:sz w:val="20"/>
          <w:szCs w:val="20"/>
          <w:color w:val="auto"/>
        </w:rPr>
      </w:pPr>
    </w:p>
    <w:p>
      <w:pPr>
        <w:spacing w:after="0" w:line="281" w:lineRule="exact"/>
        <w:rPr>
          <w:sz w:val="20"/>
          <w:szCs w:val="20"/>
          <w:color w:val="auto"/>
        </w:rPr>
      </w:pPr>
    </w:p>
    <w:p>
      <w:pPr>
        <w:ind w:left="160" w:hanging="155"/>
        <w:spacing w:after="0"/>
        <w:tabs>
          <w:tab w:leader="none" w:pos="160" w:val="left"/>
        </w:tabs>
        <w:numPr>
          <w:ilvl w:val="0"/>
          <w:numId w:val="1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90"/>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ind w:left="2400"/>
        <w:spacing w:after="0"/>
        <w:tabs>
          <w:tab w:leader="none" w:pos="3540" w:val="left"/>
          <w:tab w:leader="none" w:pos="56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3"/>
          <w:szCs w:val="13"/>
          <w:color w:val="auto"/>
        </w:rPr>
        <w:t>Year Ended</w:t>
      </w:r>
    </w:p>
    <w:p>
      <w:pPr>
        <w:ind w:left="5120"/>
        <w:spacing w:after="0"/>
        <w:rPr>
          <w:sz w:val="20"/>
          <w:szCs w:val="20"/>
          <w:color w:val="auto"/>
        </w:rPr>
      </w:pPr>
      <w:r>
        <w:rPr>
          <w:rFonts w:ascii="Courier New" w:cs="Courier New" w:eastAsia="Courier New" w:hAnsi="Courier New"/>
          <w:sz w:val="14"/>
          <w:szCs w:val="14"/>
          <w:color w:val="auto"/>
        </w:rPr>
        <w:t>--------------------</w:t>
      </w:r>
    </w:p>
    <w:p>
      <w:pPr>
        <w:ind w:left="2400"/>
        <w:spacing w:after="0"/>
        <w:tabs>
          <w:tab w:leader="none" w:pos="3860" w:val="left"/>
          <w:tab w:leader="none" w:pos="5260" w:val="left"/>
          <w:tab w:leader="none" w:pos="608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3"/>
          <w:szCs w:val="13"/>
          <w:color w:val="auto"/>
        </w:rPr>
        <w:t>July 31</w:t>
      </w:r>
    </w:p>
    <w:p>
      <w:pPr>
        <w:spacing w:after="0"/>
        <w:tabs>
          <w:tab w:leader="none" w:pos="2880" w:val="left"/>
          <w:tab w:leader="none" w:pos="4360" w:val="left"/>
          <w:tab w:leader="none" w:pos="5500" w:val="left"/>
          <w:tab w:leader="none" w:pos="63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3"/>
          <w:szCs w:val="13"/>
          <w:color w:val="auto"/>
        </w:rPr>
        <w:t>1994</w:t>
      </w:r>
    </w:p>
    <w:p>
      <w:pPr>
        <w:spacing w:after="0" w:line="163" w:lineRule="exact"/>
        <w:rPr>
          <w:sz w:val="20"/>
          <w:szCs w:val="20"/>
          <w:color w:val="auto"/>
        </w:rPr>
      </w:pPr>
    </w:p>
    <w:p>
      <w:pPr>
        <w:ind w:left="160" w:hanging="155"/>
        <w:spacing w:after="0"/>
        <w:tabs>
          <w:tab w:leader="none" w:pos="160" w:val="left"/>
        </w:tabs>
        <w:numPr>
          <w:ilvl w:val="0"/>
          <w:numId w:val="191"/>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Summary of Earnings</w:t>
      </w: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Finance revenues</w:t>
            </w: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$23,507</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$4,641</w:t>
            </w:r>
          </w:p>
        </w:tc>
        <w:tc>
          <w:tcPr>
            <w:tcW w:w="9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$21,259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$17,436</w:t>
            </w:r>
          </w:p>
        </w:tc>
      </w:tr>
      <w:tr>
        <w:trPr>
          <w:trHeight w:val="159"/>
        </w:trPr>
        <w:tc>
          <w:tcPr>
            <w:tcW w:w="25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9"/>
        </w:trPr>
        <w:tc>
          <w:tcPr>
            <w:tcW w:w="2520" w:type="dxa"/>
            <w:vAlign w:val="bottom"/>
          </w:tcPr>
          <w:p>
            <w:pPr>
              <w:ind w:left="340"/>
              <w:spacing w:after="0"/>
              <w:rPr>
                <w:sz w:val="20"/>
                <w:szCs w:val="20"/>
                <w:color w:val="auto"/>
              </w:rPr>
            </w:pPr>
            <w:r>
              <w:rPr>
                <w:rFonts w:ascii="Courier New" w:cs="Courier New" w:eastAsia="Courier New" w:hAnsi="Courier New"/>
                <w:sz w:val="14"/>
                <w:szCs w:val="14"/>
                <w:color w:val="auto"/>
              </w:rPr>
              <w:t>Operating</w:t>
            </w: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3,371</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827</w:t>
            </w:r>
          </w:p>
        </w:tc>
        <w:tc>
          <w:tcPr>
            <w:tcW w:w="9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3,428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2,068</w:t>
            </w:r>
          </w:p>
        </w:tc>
      </w:tr>
      <w:tr>
        <w:trPr>
          <w:trHeight w:val="159"/>
        </w:trPr>
        <w:tc>
          <w:tcPr>
            <w:tcW w:w="2520" w:type="dxa"/>
            <w:vAlign w:val="bottom"/>
          </w:tcPr>
          <w:p>
            <w:pPr>
              <w:ind w:left="340"/>
              <w:spacing w:after="0"/>
              <w:rPr>
                <w:sz w:val="20"/>
                <w:szCs w:val="20"/>
                <w:color w:val="auto"/>
              </w:rPr>
            </w:pPr>
            <w:r>
              <w:rPr>
                <w:rFonts w:ascii="Courier New" w:cs="Courier New" w:eastAsia="Courier New" w:hAnsi="Courier New"/>
                <w:sz w:val="14"/>
                <w:szCs w:val="14"/>
                <w:color w:val="auto"/>
              </w:rPr>
              <w:t>Interest</w:t>
            </w:r>
          </w:p>
        </w:tc>
        <w:tc>
          <w:tcPr>
            <w:tcW w:w="124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6,248</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737</w:t>
            </w:r>
          </w:p>
        </w:tc>
        <w:tc>
          <w:tcPr>
            <w:tcW w:w="9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4,902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4,737</w:t>
            </w:r>
          </w:p>
        </w:tc>
      </w:tr>
      <w:tr>
        <w:trPr>
          <w:trHeight w:val="159"/>
        </w:trPr>
        <w:tc>
          <w:tcPr>
            <w:tcW w:w="2520" w:type="dxa"/>
            <w:vAlign w:val="bottom"/>
          </w:tcPr>
          <w:p>
            <w:pPr>
              <w:ind w:left="340"/>
              <w:spacing w:after="0"/>
              <w:rPr>
                <w:sz w:val="20"/>
                <w:szCs w:val="20"/>
                <w:color w:val="auto"/>
              </w:rPr>
            </w:pPr>
            <w:r>
              <w:rPr>
                <w:rFonts w:ascii="Courier New" w:cs="Courier New" w:eastAsia="Courier New" w:hAnsi="Courier New"/>
                <w:sz w:val="14"/>
                <w:szCs w:val="14"/>
                <w:color w:val="auto"/>
              </w:rPr>
              <w:t>Foreign currency exchange</w:t>
            </w:r>
          </w:p>
        </w:tc>
        <w:tc>
          <w:tcPr>
            <w:tcW w:w="1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9"/>
        </w:trPr>
        <w:tc>
          <w:tcPr>
            <w:tcW w:w="2520" w:type="dxa"/>
            <w:vAlign w:val="bottom"/>
          </w:tcPr>
          <w:p>
            <w:pPr>
              <w:ind w:left="580"/>
              <w:spacing w:after="0"/>
              <w:rPr>
                <w:sz w:val="20"/>
                <w:szCs w:val="20"/>
                <w:color w:val="auto"/>
              </w:rPr>
            </w:pPr>
            <w:r>
              <w:rPr>
                <w:rFonts w:ascii="Courier New" w:cs="Courier New" w:eastAsia="Courier New" w:hAnsi="Courier New"/>
                <w:sz w:val="14"/>
                <w:szCs w:val="14"/>
                <w:color w:val="auto"/>
              </w:rPr>
              <w:t>net (gains) losses</w:t>
            </w:r>
          </w:p>
        </w:tc>
        <w:tc>
          <w:tcPr>
            <w:tcW w:w="1240" w:type="dxa"/>
            <w:vAlign w:val="bottom"/>
          </w:tcPr>
          <w:p>
            <w:pPr>
              <w:jc w:val="right"/>
              <w:ind w:right="391"/>
              <w:spacing w:after="0"/>
              <w:rPr>
                <w:sz w:val="20"/>
                <w:szCs w:val="20"/>
                <w:color w:val="auto"/>
              </w:rPr>
            </w:pPr>
            <w:r>
              <w:rPr>
                <w:rFonts w:ascii="Courier New" w:cs="Courier New" w:eastAsia="Courier New" w:hAnsi="Courier New"/>
                <w:sz w:val="14"/>
                <w:szCs w:val="14"/>
                <w:color w:val="auto"/>
              </w:rPr>
              <w:t>(10)</w:t>
            </w:r>
          </w:p>
        </w:tc>
        <w:tc>
          <w:tcPr>
            <w:tcW w:w="128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(18)</w:t>
            </w:r>
          </w:p>
        </w:tc>
        <w:tc>
          <w:tcPr>
            <w:tcW w:w="980" w:type="dxa"/>
            <w:vAlign w:val="bottom"/>
          </w:tcPr>
          <w:p>
            <w:pPr>
              <w:jc w:val="right"/>
              <w:ind w:right="11"/>
              <w:spacing w:after="0"/>
              <w:rPr>
                <w:sz w:val="20"/>
                <w:szCs w:val="20"/>
                <w:color w:val="auto"/>
              </w:rPr>
            </w:pPr>
            <w:r>
              <w:rPr>
                <w:rFonts w:ascii="Courier New" w:cs="Courier New" w:eastAsia="Courier New" w:hAnsi="Courier New"/>
                <w:sz w:val="14"/>
                <w:szCs w:val="14"/>
                <w:color w:val="auto"/>
              </w:rPr>
              <w:t>(37)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ind w:left="340"/>
              <w:spacing w:after="0"/>
              <w:rPr>
                <w:sz w:val="20"/>
                <w:szCs w:val="20"/>
                <w:color w:val="auto"/>
              </w:rPr>
            </w:pPr>
            <w:r>
              <w:rPr>
                <w:rFonts w:ascii="Courier New" w:cs="Courier New" w:eastAsia="Courier New" w:hAnsi="Courier New"/>
                <w:sz w:val="14"/>
                <w:szCs w:val="14"/>
                <w:color w:val="auto"/>
              </w:rPr>
              <w:t>Total expenses</w:t>
            </w:r>
          </w:p>
        </w:tc>
        <w:tc>
          <w:tcPr>
            <w:tcW w:w="12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9,609</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1,546</w:t>
            </w:r>
          </w:p>
        </w:tc>
        <w:tc>
          <w:tcPr>
            <w:tcW w:w="9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8,293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6,901</w:t>
            </w:r>
          </w:p>
        </w:tc>
      </w:tr>
      <w:tr>
        <w:trPr>
          <w:trHeight w:val="159"/>
        </w:trPr>
        <w:tc>
          <w:tcPr>
            <w:tcW w:w="3760" w:type="dxa"/>
            <w:vAlign w:val="bottom"/>
            <w:gridSpan w:val="2"/>
          </w:tcPr>
          <w:p>
            <w:pPr>
              <w:jc w:val="right"/>
              <w:ind w:right="471"/>
              <w:spacing w:after="0"/>
              <w:rPr>
                <w:sz w:val="20"/>
                <w:szCs w:val="20"/>
                <w:color w:val="auto"/>
              </w:rPr>
            </w:pPr>
            <w:r>
              <w:rPr>
                <w:rFonts w:ascii="Courier New" w:cs="Courier New" w:eastAsia="Courier New" w:hAnsi="Courier New"/>
                <w:sz w:val="14"/>
                <w:szCs w:val="14"/>
                <w:color w:val="auto"/>
              </w:rPr>
              <w:t>Earnings before income taxes 13,898</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3,095</w:t>
            </w:r>
          </w:p>
        </w:tc>
        <w:tc>
          <w:tcPr>
            <w:tcW w:w="9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12,966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10,535</w:t>
            </w:r>
          </w:p>
        </w:tc>
      </w:tr>
      <w:tr>
        <w:trPr>
          <w:trHeight w:val="159"/>
        </w:trPr>
        <w:tc>
          <w:tcPr>
            <w:tcW w:w="24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280" w:type="dxa"/>
            <w:vAlign w:val="bottom"/>
          </w:tcPr>
          <w:p>
            <w:pPr>
              <w:jc w:val="right"/>
              <w:ind w:right="471"/>
              <w:spacing w:after="0"/>
              <w:rPr>
                <w:sz w:val="20"/>
                <w:szCs w:val="20"/>
                <w:color w:val="auto"/>
              </w:rPr>
            </w:pPr>
            <w:r>
              <w:rPr>
                <w:rFonts w:ascii="Courier New" w:cs="Courier New" w:eastAsia="Courier New" w:hAnsi="Courier New"/>
                <w:sz w:val="14"/>
                <w:szCs w:val="14"/>
                <w:color w:val="auto"/>
              </w:rPr>
              <w:t>5,230</w:t>
            </w:r>
          </w:p>
        </w:tc>
        <w:tc>
          <w:tcPr>
            <w:tcW w:w="128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1,111</w:t>
            </w:r>
          </w:p>
        </w:tc>
        <w:tc>
          <w:tcPr>
            <w:tcW w:w="980" w:type="dxa"/>
            <w:vAlign w:val="bottom"/>
          </w:tcPr>
          <w:p>
            <w:pPr>
              <w:jc w:val="right"/>
              <w:ind w:right="91"/>
              <w:spacing w:after="0"/>
              <w:rPr>
                <w:sz w:val="20"/>
                <w:szCs w:val="20"/>
                <w:color w:val="auto"/>
              </w:rPr>
            </w:pPr>
            <w:r>
              <w:rPr>
                <w:rFonts w:ascii="Courier New" w:cs="Courier New" w:eastAsia="Courier New" w:hAnsi="Courier New"/>
                <w:sz w:val="14"/>
                <w:szCs w:val="14"/>
                <w:color w:val="auto"/>
              </w:rPr>
              <w:t>4,744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7" w:lineRule="exact"/>
        <w:rPr>
          <w:sz w:val="20"/>
          <w:szCs w:val="20"/>
          <w:color w:val="auto"/>
        </w:rPr>
      </w:pPr>
    </w:p>
    <w:p>
      <w:pPr>
        <w:ind w:left="340"/>
        <w:spacing w:after="0"/>
        <w:tabs>
          <w:tab w:leader="none" w:pos="2620" w:val="left"/>
          <w:tab w:leader="none" w:pos="4180" w:val="left"/>
          <w:tab w:leader="none" w:pos="5260" w:val="left"/>
          <w:tab w:leader="none" w:pos="6080" w:val="left"/>
        </w:tabs>
        <w:rPr>
          <w:sz w:val="20"/>
          <w:szCs w:val="20"/>
          <w:color w:val="auto"/>
        </w:rPr>
      </w:pPr>
      <w:r>
        <w:rPr>
          <w:rFonts w:ascii="Courier New" w:cs="Courier New" w:eastAsia="Courier New" w:hAnsi="Courier New"/>
          <w:sz w:val="14"/>
          <w:szCs w:val="14"/>
          <w:color w:val="auto"/>
        </w:rPr>
        <w:t>Net earnings</w:t>
      </w:r>
      <w:r>
        <w:rPr>
          <w:sz w:val="20"/>
          <w:szCs w:val="20"/>
          <w:color w:val="auto"/>
        </w:rPr>
        <w:tab/>
      </w:r>
      <w:r>
        <w:rPr>
          <w:rFonts w:ascii="Courier New" w:cs="Courier New" w:eastAsia="Courier New" w:hAnsi="Courier New"/>
          <w:sz w:val="14"/>
          <w:szCs w:val="14"/>
          <w:color w:val="auto"/>
        </w:rPr>
        <w:t>$ 8,668</w:t>
      </w:r>
      <w:r>
        <w:rPr>
          <w:sz w:val="20"/>
          <w:szCs w:val="20"/>
          <w:color w:val="auto"/>
        </w:rPr>
        <w:tab/>
      </w:r>
      <w:r>
        <w:rPr>
          <w:rFonts w:ascii="Courier New" w:cs="Courier New" w:eastAsia="Courier New" w:hAnsi="Courier New"/>
          <w:sz w:val="14"/>
          <w:szCs w:val="14"/>
          <w:color w:val="auto"/>
        </w:rPr>
        <w:t>$1,984</w:t>
      </w:r>
      <w:r>
        <w:rPr>
          <w:sz w:val="20"/>
          <w:szCs w:val="20"/>
          <w:color w:val="auto"/>
        </w:rPr>
        <w:tab/>
      </w:r>
      <w:r>
        <w:rPr>
          <w:rFonts w:ascii="Courier New" w:cs="Courier New" w:eastAsia="Courier New" w:hAnsi="Courier New"/>
          <w:sz w:val="14"/>
          <w:szCs w:val="14"/>
          <w:color w:val="auto"/>
        </w:rPr>
        <w:t>$ 8,222</w:t>
      </w:r>
      <w:r>
        <w:rPr>
          <w:sz w:val="20"/>
          <w:szCs w:val="20"/>
          <w:color w:val="auto"/>
        </w:rPr>
        <w:tab/>
      </w:r>
      <w:r>
        <w:rPr>
          <w:rFonts w:ascii="Courier New" w:cs="Courier New" w:eastAsia="Courier New" w:hAnsi="Courier New"/>
          <w:sz w:val="13"/>
          <w:szCs w:val="13"/>
          <w:color w:val="auto"/>
        </w:rPr>
        <w:t>$ 6,866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324" w:lineRule="exact"/>
        <w:rPr>
          <w:sz w:val="20"/>
          <w:szCs w:val="20"/>
          <w:color w:val="auto"/>
        </w:rPr>
      </w:pPr>
    </w:p>
    <w:p>
      <w:pPr>
        <w:jc w:val="right"/>
        <w:ind w:right="4959"/>
        <w:spacing w:after="0"/>
        <w:tabs>
          <w:tab w:leader="none" w:pos="312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3"/>
          <w:szCs w:val="13"/>
          <w:color w:val="auto"/>
        </w:rPr>
        <w:t>Year Ended</w:t>
      </w:r>
    </w:p>
    <w:p>
      <w:pPr>
        <w:jc w:val="right"/>
        <w:ind w:right="4959"/>
        <w:spacing w:after="0"/>
        <w:tabs>
          <w:tab w:leader="none" w:pos="312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3"/>
          <w:szCs w:val="13"/>
          <w:color w:val="auto"/>
        </w:rPr>
        <w:t>October 31</w:t>
      </w:r>
    </w:p>
    <w:p>
      <w:pPr>
        <w:jc w:val="right"/>
        <w:ind w:right="4959"/>
        <w:spacing w:after="0"/>
        <w:tabs>
          <w:tab w:leader="none" w:pos="3780" w:val="left"/>
          <w:tab w:leader="none" w:pos="26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3"/>
          <w:szCs w:val="13"/>
          <w:color w:val="auto"/>
        </w:rPr>
        <w:t>1995</w:t>
      </w:r>
    </w:p>
    <w:p>
      <w:pPr>
        <w:spacing w:after="0"/>
        <w:rPr>
          <w:sz w:val="20"/>
          <w:szCs w:val="20"/>
          <w:color w:val="auto"/>
        </w:rPr>
      </w:pPr>
      <w:r>
        <w:rPr>
          <w:rFonts w:ascii="Courier New" w:cs="Courier New" w:eastAsia="Courier New" w:hAnsi="Courier New"/>
          <w:sz w:val="14"/>
          <w:szCs w:val="14"/>
          <w:color w:val="auto"/>
        </w:rPr>
        <w:t>- - - -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Summary Balance Sheets</w:t>
            </w: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  1,053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1,469</w:t>
            </w:r>
          </w:p>
        </w:tc>
      </w:t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Receivables-net</w:t>
            </w:r>
          </w:p>
        </w:tc>
        <w:tc>
          <w:tcPr>
            <w:tcW w:w="15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147,582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131,510</w:t>
            </w:r>
          </w:p>
        </w:tc>
      </w:tr>
      <w:tr>
        <w:trPr>
          <w:trHeight w:val="159"/>
        </w:trPr>
        <w:tc>
          <w:tcPr>
            <w:tcW w:w="2840" w:type="dxa"/>
            <w:vAlign w:val="bottom"/>
          </w:tcPr>
          <w:p>
            <w:pPr>
              <w:spacing w:after="0"/>
              <w:rPr>
                <w:sz w:val="20"/>
                <w:szCs w:val="20"/>
                <w:color w:val="auto"/>
              </w:rPr>
            </w:pPr>
            <w:r>
              <w:rPr>
                <w:rFonts w:ascii="Courier New" w:cs="Courier New" w:eastAsia="Courier New" w:hAnsi="Courier New"/>
                <w:sz w:val="14"/>
                <w:szCs w:val="14"/>
                <w:color w:val="auto"/>
              </w:rPr>
              <w:t>Other receivables and assets</w:t>
            </w:r>
          </w:p>
        </w:tc>
        <w:tc>
          <w:tcPr>
            <w:tcW w:w="150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1,766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1,858</w:t>
            </w:r>
          </w:p>
        </w:tc>
      </w:tr>
    </w:tbl>
    <w:p>
      <w:pPr>
        <w:spacing w:after="0"/>
        <w:rPr>
          <w:sz w:val="20"/>
          <w:szCs w:val="20"/>
          <w:color w:val="auto"/>
        </w:rPr>
      </w:pPr>
      <w:r>
        <w:rPr>
          <w:rFonts w:ascii="Courier New" w:cs="Courier New" w:eastAsia="Courier New" w:hAnsi="Courier New"/>
          <w:sz w:val="14"/>
          <w:szCs w:val="14"/>
          <w:color w:val="auto"/>
        </w:rPr>
        <w:t>- - - - ----------------------------------------------------------------------------</w:t>
      </w:r>
    </w:p>
    <w:tbl>
      <w:tblPr>
        <w:tblLayout w:type="fixed"/>
        <w:tblInd w:w="340" w:type="dxa"/>
        <w:tblCellMar>
          <w:top w:w="0" w:type="dxa"/>
          <w:left w:w="0" w:type="dxa"/>
          <w:bottom w:w="0" w:type="dxa"/>
          <w:right w:w="0" w:type="dxa"/>
        </w:tblCellMar>
      </w:tblPr>
      <w:tr>
        <w:trPr>
          <w:trHeight w:val="159"/>
        </w:trPr>
        <w:tc>
          <w:tcPr>
            <w:tcW w:w="20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$150,401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ind w:left="160" w:hanging="155"/>
        <w:spacing w:after="0"/>
        <w:tabs>
          <w:tab w:leader="none" w:pos="1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tbl>
      <w:tblPr>
        <w:tblLayout w:type="fixed"/>
        <w:tblInd w:w="0" w:type="dxa"/>
        <w:tblCellMar>
          <w:top w:w="0" w:type="dxa"/>
          <w:left w:w="0" w:type="dxa"/>
          <w:bottom w:w="0" w:type="dxa"/>
          <w:right w:w="0" w:type="dxa"/>
        </w:tblCellMar>
      </w:tblP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$ 15,000</w:t>
            </w:r>
          </w:p>
        </w:tc>
      </w:t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2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78,817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56,921</w:t>
            </w:r>
          </w:p>
        </w:tc>
      </w:t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32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59"/>
        </w:trPr>
        <w:tc>
          <w:tcPr>
            <w:tcW w:w="31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20" w:type="dxa"/>
            <w:vAlign w:val="bottom"/>
          </w:tcPr>
          <w:p>
            <w:pPr>
              <w:spacing w:after="0"/>
              <w:rPr>
                <w:sz w:val="13"/>
                <w:szCs w:val="13"/>
                <w:color w:val="auto"/>
              </w:rPr>
            </w:pPr>
          </w:p>
        </w:tc>
        <w:tc>
          <w:tcPr>
            <w:tcW w:w="8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71,584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62,916</w:t>
            </w:r>
          </w:p>
        </w:tc>
      </w:tr>
    </w:tbl>
    <w:p>
      <w:pPr>
        <w:ind w:left="160" w:hanging="155"/>
        <w:spacing w:after="0"/>
        <w:tabs>
          <w:tab w:leader="none" w:pos="1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w:t>
      </w:r>
    </w:p>
    <w:tbl>
      <w:tblPr>
        <w:tblLayout w:type="fixed"/>
        <w:tblInd w:w="580" w:type="dxa"/>
        <w:tblCellMar>
          <w:top w:w="0" w:type="dxa"/>
          <w:left w:w="0" w:type="dxa"/>
          <w:bottom w:w="0" w:type="dxa"/>
          <w:right w:w="0" w:type="dxa"/>
        </w:tblCellMar>
      </w:tblPr>
      <w:tr>
        <w:trPr>
          <w:trHeight w:val="159"/>
        </w:trPr>
        <w:tc>
          <w:tcPr>
            <w:tcW w:w="22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5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$150,401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ind w:left="160" w:hanging="155"/>
        <w:spacing w:after="0"/>
        <w:tabs>
          <w:tab w:leader="none" w:pos="1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ind w:left="160" w:hanging="155"/>
        <w:spacing w:after="0"/>
        <w:tabs>
          <w:tab w:leader="none" w:pos="1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Of the finance revenues presented above, $19,306,000 for the year ended</w:t>
      </w:r>
    </w:p>
    <w:p>
      <w:pPr>
        <w:spacing w:after="0"/>
        <w:rPr>
          <w:sz w:val="20"/>
          <w:szCs w:val="20"/>
          <w:color w:val="auto"/>
        </w:rPr>
      </w:pPr>
      <w:r>
        <w:rPr>
          <w:rFonts w:ascii="Courier New" w:cs="Courier New" w:eastAsia="Courier New" w:hAnsi="Courier New"/>
          <w:sz w:val="14"/>
          <w:szCs w:val="14"/>
          <w:color w:val="auto"/>
        </w:rPr>
        <w:t>October 31, 1996, $3,642,000 for the 3 months ended October 31, 1995,</w:t>
      </w:r>
    </w:p>
    <w:p>
      <w:pPr>
        <w:spacing w:after="0"/>
        <w:rPr>
          <w:sz w:val="20"/>
          <w:szCs w:val="20"/>
          <w:color w:val="auto"/>
        </w:rPr>
      </w:pPr>
      <w:r>
        <w:rPr>
          <w:rFonts w:ascii="Courier New" w:cs="Courier New" w:eastAsia="Courier New" w:hAnsi="Courier New"/>
          <w:sz w:val="14"/>
          <w:szCs w:val="14"/>
          <w:color w:val="auto"/>
        </w:rPr>
        <w:t>$17,114,000 for the year ended July 31, 1995 and $13,272,000 for the year</w:t>
      </w:r>
    </w:p>
    <w:p>
      <w:pPr>
        <w:spacing w:after="0"/>
        <w:rPr>
          <w:sz w:val="20"/>
          <w:szCs w:val="20"/>
          <w:color w:val="auto"/>
        </w:rPr>
      </w:pPr>
      <w:r>
        <w:rPr>
          <w:rFonts w:ascii="Courier New" w:cs="Courier New" w:eastAsia="Courier New" w:hAnsi="Courier New"/>
          <w:sz w:val="14"/>
          <w:szCs w:val="14"/>
          <w:color w:val="auto"/>
        </w:rPr>
        <w:t>ended July 31, 1994, represent transactions with the parent company, The Toro</w:t>
      </w:r>
    </w:p>
    <w:p>
      <w:pPr>
        <w:spacing w:after="0"/>
        <w:rPr>
          <w:sz w:val="20"/>
          <w:szCs w:val="20"/>
          <w:color w:val="auto"/>
        </w:rPr>
      </w:pPr>
      <w:r>
        <w:rPr>
          <w:rFonts w:ascii="Courier New" w:cs="Courier New" w:eastAsia="Courier New" w:hAnsi="Courier New"/>
          <w:sz w:val="14"/>
          <w:szCs w:val="14"/>
          <w:color w:val="auto"/>
        </w:rPr>
        <w:t>Company, which are eliminated in consolidation. The remaining finance</w:t>
      </w:r>
    </w:p>
    <w:p>
      <w:pPr>
        <w:spacing w:after="0"/>
        <w:rPr>
          <w:sz w:val="20"/>
          <w:szCs w:val="20"/>
          <w:color w:val="auto"/>
        </w:rPr>
      </w:pPr>
      <w:r>
        <w:rPr>
          <w:rFonts w:ascii="Courier New" w:cs="Courier New" w:eastAsia="Courier New" w:hAnsi="Courier New"/>
          <w:sz w:val="14"/>
          <w:szCs w:val="14"/>
          <w:color w:val="auto"/>
        </w:rPr>
        <w:t>revenues of $4,201,000 for the year ended October 31, 1996, $999,000 for the</w:t>
      </w:r>
    </w:p>
    <w:p>
      <w:pPr>
        <w:spacing w:after="0"/>
        <w:rPr>
          <w:sz w:val="20"/>
          <w:szCs w:val="20"/>
          <w:color w:val="auto"/>
        </w:rPr>
      </w:pPr>
      <w:r>
        <w:rPr>
          <w:rFonts w:ascii="Courier New" w:cs="Courier New" w:eastAsia="Courier New" w:hAnsi="Courier New"/>
          <w:sz w:val="14"/>
          <w:szCs w:val="14"/>
          <w:color w:val="auto"/>
        </w:rPr>
        <w:t>3 months ended October 31, 1995, $4,145,000 for the year ended July 31, 1995</w:t>
      </w:r>
    </w:p>
    <w:p>
      <w:pPr>
        <w:spacing w:after="0"/>
        <w:rPr>
          <w:sz w:val="20"/>
          <w:szCs w:val="20"/>
          <w:color w:val="auto"/>
        </w:rPr>
      </w:pPr>
      <w:r>
        <w:rPr>
          <w:rFonts w:ascii="Courier New" w:cs="Courier New" w:eastAsia="Courier New" w:hAnsi="Courier New"/>
          <w:sz w:val="14"/>
          <w:szCs w:val="14"/>
          <w:color w:val="auto"/>
        </w:rPr>
        <w:t>and $4,164,000 for the year ended July 31, 1994 are included in other income,</w:t>
      </w:r>
    </w:p>
    <w:p>
      <w:pPr>
        <w:spacing w:after="0"/>
        <w:rPr>
          <w:sz w:val="20"/>
          <w:szCs w:val="20"/>
          <w:color w:val="auto"/>
        </w:rPr>
      </w:pPr>
      <w:r>
        <w:rPr>
          <w:rFonts w:ascii="Courier New" w:cs="Courier New" w:eastAsia="Courier New" w:hAnsi="Courier New"/>
          <w:sz w:val="14"/>
          <w:szCs w:val="14"/>
          <w:color w:val="auto"/>
        </w:rPr>
        <w:t>in The Toro Company's Consolidated Statements of Earnings. The expenses and</w:t>
      </w:r>
    </w:p>
    <w:p>
      <w:pPr>
        <w:spacing w:after="0"/>
        <w:rPr>
          <w:sz w:val="20"/>
          <w:szCs w:val="20"/>
          <w:color w:val="auto"/>
        </w:rPr>
      </w:pPr>
      <w:r>
        <w:rPr>
          <w:rFonts w:ascii="Courier New" w:cs="Courier New" w:eastAsia="Courier New" w:hAnsi="Courier New"/>
          <w:sz w:val="14"/>
          <w:szCs w:val="14"/>
          <w:color w:val="auto"/>
        </w:rPr>
        <w:t>balance sheet items (net of eliminations) are included in the Consolidated</w:t>
      </w:r>
    </w:p>
    <w:p>
      <w:pPr>
        <w:spacing w:after="0"/>
        <w:rPr>
          <w:sz w:val="20"/>
          <w:szCs w:val="20"/>
          <w:color w:val="auto"/>
        </w:rPr>
      </w:pPr>
      <w:r>
        <w:rPr>
          <w:rFonts w:ascii="Courier New" w:cs="Courier New" w:eastAsia="Courier New" w:hAnsi="Courier New"/>
          <w:sz w:val="14"/>
          <w:szCs w:val="14"/>
          <w:color w:val="auto"/>
        </w:rPr>
        <w:t>Statements of Earnings and Consolidated Balance Sheets under the</w:t>
      </w:r>
    </w:p>
    <w:p>
      <w:pPr>
        <w:spacing w:after="0"/>
        <w:rPr>
          <w:sz w:val="20"/>
          <w:szCs w:val="20"/>
          <w:color w:val="auto"/>
        </w:rPr>
      </w:pPr>
      <w:r>
        <w:rPr>
          <w:rFonts w:ascii="Courier New" w:cs="Courier New" w:eastAsia="Courier New" w:hAnsi="Courier New"/>
          <w:sz w:val="14"/>
          <w:szCs w:val="14"/>
          <w:color w:val="auto"/>
        </w:rPr>
        <w:t>corresponding classifications.</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750" w:right="1440" w:bottom="1440" w:gutter="0" w:footer="0" w:header="0"/>
        </w:sectPr>
      </w:pPr>
    </w:p>
    <w:bookmarkStart w:id="105" w:name="page106"/>
    <w:bookmarkEnd w:id="105"/>
    <w:p>
      <w:pPr>
        <w:spacing w:after="0"/>
        <w:tabs>
          <w:tab w:leader="none" w:pos="320" w:val="left"/>
        </w:tabs>
        <w:rPr>
          <w:sz w:val="20"/>
          <w:szCs w:val="20"/>
          <w:color w:val="auto"/>
        </w:rPr>
      </w:pPr>
      <w:r>
        <w:rPr>
          <w:rFonts w:ascii="Courier New" w:cs="Courier New" w:eastAsia="Courier New" w:hAnsi="Courier New"/>
          <w:sz w:val="14"/>
          <w:szCs w:val="14"/>
          <w:color w:val="auto"/>
        </w:rPr>
        <w:t>13</w:t>
        <w:tab/>
        <w:t>QUARTERLY FINANCIAL DATA (UNAUDITED)</w:t>
      </w:r>
    </w:p>
    <w:p>
      <w:pPr>
        <w:ind w:left="160" w:hanging="155"/>
        <w:spacing w:after="0"/>
        <w:tabs>
          <w:tab w:leader="none" w:pos="16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w:t>
      </w:r>
    </w:p>
    <w:p>
      <w:pPr>
        <w:spacing w:after="0" w:line="15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quarterly financial data for 1996 and 1995 is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8" w:lineRule="exact"/>
        <w:rPr>
          <w:rFonts w:ascii="Courier New" w:cs="Courier New" w:eastAsia="Courier New" w:hAnsi="Courier New"/>
          <w:sz w:val="14"/>
          <w:szCs w:val="14"/>
          <w:color w:val="auto"/>
        </w:rPr>
      </w:pPr>
    </w:p>
    <w:p>
      <w:pPr>
        <w:ind w:left="160" w:hanging="155"/>
        <w:spacing w:after="0"/>
        <w:tabs>
          <w:tab w:leader="none" w:pos="160" w:val="left"/>
        </w:tabs>
        <w:numPr>
          <w:ilvl w:val="0"/>
          <w:numId w:val="1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95"/>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7" w:lineRule="exact"/>
        <w:rPr>
          <w:sz w:val="20"/>
          <w:szCs w:val="20"/>
          <w:color w:val="auto"/>
        </w:rPr>
      </w:pPr>
    </w:p>
    <w:p>
      <w:pPr>
        <w:ind w:left="3300"/>
        <w:spacing w:after="0"/>
        <w:tabs>
          <w:tab w:leader="none" w:pos="6340" w:val="left"/>
        </w:tabs>
        <w:rPr>
          <w:sz w:val="20"/>
          <w:szCs w:val="20"/>
          <w:color w:val="auto"/>
        </w:rPr>
      </w:pP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3"/>
          <w:szCs w:val="13"/>
          <w:color w:val="auto"/>
        </w:rPr>
        <w:t>FISCAL YEAR ENDED OCTOBER 31, 1996</w:t>
      </w:r>
    </w:p>
    <w:p>
      <w:pPr>
        <w:spacing w:after="0"/>
        <w:tabs>
          <w:tab w:leader="none" w:pos="4520" w:val="left"/>
        </w:tabs>
        <w:rPr>
          <w:sz w:val="20"/>
          <w:szCs w:val="20"/>
          <w:color w:val="auto"/>
        </w:rPr>
      </w:pPr>
      <w:r>
        <w:rPr>
          <w:rFonts w:ascii="Courier New" w:cs="Courier New" w:eastAsia="Courier New" w:hAnsi="Courier New"/>
          <w:sz w:val="14"/>
          <w:szCs w:val="14"/>
          <w:color w:val="auto"/>
        </w:rPr>
        <w:t>(Dollars in thousands except</w:t>
      </w:r>
      <w:r>
        <w:rPr>
          <w:sz w:val="20"/>
          <w:szCs w:val="20"/>
          <w:color w:val="auto"/>
        </w:rPr>
        <w:tab/>
      </w:r>
      <w:r>
        <w:rPr>
          <w:rFonts w:ascii="Courier New" w:cs="Courier New" w:eastAsia="Courier New" w:hAnsi="Courier New"/>
          <w:sz w:val="13"/>
          <w:szCs w:val="13"/>
          <w:color w:val="auto"/>
        </w:rPr>
        <w:t>---------------------------------------------------------------------------</w:t>
      </w:r>
    </w:p>
    <w:p>
      <w:pPr>
        <w:ind w:left="260"/>
        <w:spacing w:after="0"/>
        <w:tabs>
          <w:tab w:leader="none" w:pos="3200" w:val="left"/>
          <w:tab w:leader="none" w:pos="5340" w:val="left"/>
          <w:tab w:leader="none" w:pos="6500" w:val="left"/>
          <w:tab w:leader="none" w:pos="7820" w:val="left"/>
          <w:tab w:leader="none" w:pos="8980" w:val="left"/>
        </w:tabs>
        <w:rPr>
          <w:sz w:val="20"/>
          <w:szCs w:val="20"/>
          <w:color w:val="auto"/>
        </w:rPr>
      </w:pPr>
      <w:r>
        <w:rPr>
          <w:rFonts w:ascii="Courier New" w:cs="Courier New" w:eastAsia="Courier New" w:hAnsi="Courier New"/>
          <w:sz w:val="14"/>
          <w:szCs w:val="14"/>
          <w:color w:val="auto"/>
        </w:rPr>
        <w:t>per share data)</w:t>
      </w:r>
      <w:r>
        <w:rPr>
          <w:sz w:val="20"/>
          <w:szCs w:val="20"/>
          <w:color w:val="auto"/>
        </w:rPr>
        <w:tab/>
      </w:r>
      <w:r>
        <w:rPr>
          <w:rFonts w:ascii="Courier New" w:cs="Courier New" w:eastAsia="Courier New" w:hAnsi="Courier New"/>
          <w:sz w:val="14"/>
          <w:szCs w:val="14"/>
          <w:color w:val="auto"/>
        </w:rPr>
        <w:t>October 31, 1995</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8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$192,278</w:t>
            </w:r>
          </w:p>
        </w:tc>
        <w:tc>
          <w:tcPr>
            <w:tcW w:w="124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$211,501</w:t>
            </w:r>
          </w:p>
        </w:tc>
        <w:tc>
          <w:tcPr>
            <w:tcW w:w="124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$288,646</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$232,565</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$198,197</w:t>
            </w:r>
          </w:p>
        </w:tc>
      </w:t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28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71,703</w:t>
            </w:r>
          </w:p>
        </w:tc>
        <w:tc>
          <w:tcPr>
            <w:tcW w:w="124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76,329</w:t>
            </w:r>
          </w:p>
        </w:tc>
        <w:tc>
          <w:tcPr>
            <w:tcW w:w="124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103,810</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85,884</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75,700</w:t>
            </w:r>
          </w:p>
        </w:tc>
      </w:t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8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3,997</w:t>
            </w:r>
          </w:p>
        </w:tc>
        <w:tc>
          <w:tcPr>
            <w:tcW w:w="124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8,498</w:t>
            </w:r>
          </w:p>
        </w:tc>
        <w:tc>
          <w:tcPr>
            <w:tcW w:w="124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16,820</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6,465</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4,626</w:t>
            </w:r>
          </w:p>
        </w:tc>
      </w:t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9"/>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and common stock equivalent</w:t>
            </w:r>
          </w:p>
        </w:tc>
        <w:tc>
          <w:tcPr>
            <w:tcW w:w="66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0.32</w:t>
            </w:r>
          </w:p>
        </w:tc>
        <w:tc>
          <w:tcPr>
            <w:tcW w:w="62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0.67</w:t>
            </w:r>
          </w:p>
        </w:tc>
        <w:tc>
          <w:tcPr>
            <w:tcW w:w="62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1.33</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0.52</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89"/>
              </w:rPr>
              <w:t>0.37</w:t>
            </w:r>
          </w:p>
        </w:tc>
      </w:t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66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0.12</w:t>
            </w:r>
          </w:p>
        </w:tc>
        <w:tc>
          <w:tcPr>
            <w:tcW w:w="62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0.12</w:t>
            </w:r>
          </w:p>
        </w:tc>
        <w:tc>
          <w:tcPr>
            <w:tcW w:w="62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0.12</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0.12</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89"/>
              </w:rPr>
              <w:t>0.12</w:t>
            </w:r>
          </w:p>
        </w:tc>
      </w:tr>
      <w:tr>
        <w:trPr>
          <w:trHeight w:val="159"/>
        </w:trPr>
        <w:tc>
          <w:tcPr>
            <w:tcW w:w="346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9"/>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High bid</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1/4</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34 5/8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59"/>
        </w:trPr>
        <w:tc>
          <w:tcPr>
            <w:tcW w:w="3460" w:type="dxa"/>
            <w:vAlign w:val="bottom"/>
          </w:tcPr>
          <w:p>
            <w:pPr>
              <w:ind w:left="340"/>
              <w:spacing w:after="0"/>
              <w:rPr>
                <w:sz w:val="20"/>
                <w:szCs w:val="20"/>
                <w:color w:val="auto"/>
              </w:rPr>
            </w:pPr>
            <w:r>
              <w:rPr>
                <w:rFonts w:ascii="Courier New" w:cs="Courier New" w:eastAsia="Courier New" w:hAnsi="Courier New"/>
                <w:sz w:val="14"/>
                <w:szCs w:val="14"/>
                <w:color w:val="auto"/>
              </w:rPr>
              <w:t>Low bid</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1/8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3/8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5/8</w:t>
            </w:r>
          </w:p>
        </w:tc>
        <w:tc>
          <w:tcPr>
            <w:tcW w:w="124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60" w:hanging="155"/>
        <w:spacing w:after="0"/>
        <w:tabs>
          <w:tab w:leader="none" w:pos="160" w:val="left"/>
        </w:tabs>
        <w:numPr>
          <w:ilvl w:val="0"/>
          <w:numId w:val="1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200" w:lineRule="exact"/>
        <w:rPr>
          <w:rFonts w:ascii="Courier New" w:cs="Courier New" w:eastAsia="Courier New" w:hAnsi="Courier New"/>
          <w:sz w:val="13"/>
          <w:szCs w:val="13"/>
          <w:color w:val="auto"/>
        </w:rPr>
      </w:pPr>
    </w:p>
    <w:p>
      <w:pPr>
        <w:spacing w:after="0" w:line="286"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160" w:hanging="155"/>
        <w:spacing w:after="0"/>
        <w:tabs>
          <w:tab w:leader="none" w:pos="160" w:val="left"/>
        </w:tabs>
        <w:numPr>
          <w:ilvl w:val="0"/>
          <w:numId w:val="196"/>
        </w:numPr>
        <w:rPr>
          <w:rFonts w:ascii="Courier New" w:cs="Courier New" w:eastAsia="Courier New" w:hAnsi="Courier New"/>
          <w:sz w:val="13"/>
          <w:szCs w:val="13"/>
          <w:color w:val="auto"/>
        </w:rPr>
      </w:pPr>
      <w:r>
        <w:rPr>
          <w:rFonts w:ascii="Courier New" w:cs="Courier New" w:eastAsia="Courier New" w:hAnsi="Courier New"/>
          <w:sz w:val="13"/>
          <w:szCs w:val="13"/>
          <w:color w:val="auto"/>
        </w:rPr>
        <w:t>- - - ----------------------------------------------------------------------------------------------------------------------------------</w:t>
      </w:r>
    </w:p>
    <w:p>
      <w:pPr>
        <w:spacing w:after="0" w:line="11" w:lineRule="exact"/>
        <w:rPr>
          <w:rFonts w:ascii="Courier New" w:cs="Courier New" w:eastAsia="Courier New" w:hAnsi="Courier New"/>
          <w:sz w:val="13"/>
          <w:szCs w:val="13"/>
          <w:color w:val="auto"/>
        </w:rPr>
      </w:pPr>
    </w:p>
    <w:p>
      <w:pPr>
        <w:ind w:left="6020"/>
        <w:spacing w:after="0"/>
        <w:rPr>
          <w:rFonts w:ascii="Courier New" w:cs="Courier New" w:eastAsia="Courier New" w:hAnsi="Courier New"/>
          <w:sz w:val="13"/>
          <w:szCs w:val="13"/>
          <w:color w:val="auto"/>
        </w:rPr>
      </w:pPr>
      <w:r>
        <w:rPr>
          <w:rFonts w:ascii="Courier New" w:cs="Courier New" w:eastAsia="Courier New" w:hAnsi="Courier New"/>
          <w:sz w:val="14"/>
          <w:szCs w:val="14"/>
          <w:color w:val="auto"/>
        </w:rPr>
        <w:t>Fiscal Year Ended July 31, 1995</w:t>
      </w:r>
    </w:p>
    <w:p>
      <w:pPr>
        <w:spacing w:after="0" w:line="166" w:lineRule="exact"/>
        <w:rPr>
          <w:sz w:val="20"/>
          <w:szCs w:val="20"/>
          <w:color w:val="auto"/>
        </w:rPr>
      </w:pPr>
    </w:p>
    <w:p>
      <w:pPr>
        <w:ind w:left="4540"/>
        <w:spacing w:after="0"/>
        <w:rPr>
          <w:sz w:val="20"/>
          <w:szCs w:val="20"/>
          <w:color w:val="auto"/>
        </w:rPr>
      </w:pPr>
      <w:r>
        <w:rPr>
          <w:rFonts w:ascii="Courier New" w:cs="Courier New" w:eastAsia="Courier New" w:hAnsi="Courier New"/>
          <w:sz w:val="14"/>
          <w:szCs w:val="14"/>
          <w:color w:val="auto"/>
        </w:rPr>
        <w:t>---------------------------------------------------------------------------</w:t>
      </w:r>
    </w:p>
    <w:p>
      <w:pPr>
        <w:spacing w:after="0" w:line="159" w:lineRule="exact"/>
        <w:rPr>
          <w:sz w:val="20"/>
          <w:szCs w:val="20"/>
          <w:color w:val="auto"/>
        </w:rPr>
      </w:pPr>
    </w:p>
    <w:p>
      <w:pPr>
        <w:spacing w:after="0"/>
        <w:tabs>
          <w:tab w:leader="none" w:pos="5260" w:val="left"/>
          <w:tab w:leader="none" w:pos="6420" w:val="left"/>
          <w:tab w:leader="none" w:pos="7740" w:val="left"/>
          <w:tab w:leader="none" w:pos="88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0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$205,704</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$213,950</w:t>
            </w:r>
          </w:p>
        </w:tc>
        <w:tc>
          <w:tcPr>
            <w:tcW w:w="1240" w:type="dxa"/>
            <w:vAlign w:val="bottom"/>
            <w:gridSpan w:val="2"/>
          </w:tcPr>
          <w:p>
            <w:pPr>
              <w:jc w:val="right"/>
              <w:ind w:right="231"/>
              <w:spacing w:after="0"/>
              <w:rPr>
                <w:sz w:val="20"/>
                <w:szCs w:val="20"/>
                <w:color w:val="auto"/>
              </w:rPr>
            </w:pPr>
            <w:r>
              <w:rPr>
                <w:rFonts w:ascii="Courier New" w:cs="Courier New" w:eastAsia="Courier New" w:hAnsi="Courier New"/>
                <w:sz w:val="14"/>
                <w:szCs w:val="14"/>
                <w:color w:val="auto"/>
              </w:rPr>
              <w:t>$310,613</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$202,586</w:t>
            </w:r>
          </w:p>
        </w:tc>
      </w:t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90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76,065</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76,068</w:t>
            </w:r>
          </w:p>
        </w:tc>
        <w:tc>
          <w:tcPr>
            <w:tcW w:w="1240" w:type="dxa"/>
            <w:vAlign w:val="bottom"/>
            <w:gridSpan w:val="2"/>
          </w:tcPr>
          <w:p>
            <w:pPr>
              <w:jc w:val="right"/>
              <w:ind w:right="231"/>
              <w:spacing w:after="0"/>
              <w:rPr>
                <w:sz w:val="20"/>
                <w:szCs w:val="20"/>
                <w:color w:val="auto"/>
              </w:rPr>
            </w:pPr>
            <w:r>
              <w:rPr>
                <w:rFonts w:ascii="Courier New" w:cs="Courier New" w:eastAsia="Courier New" w:hAnsi="Courier New"/>
                <w:sz w:val="14"/>
                <w:szCs w:val="14"/>
                <w:color w:val="auto"/>
              </w:rPr>
              <w:t>107,342</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75,103</w:t>
            </w:r>
          </w:p>
        </w:tc>
      </w:t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900" w:type="dxa"/>
            <w:vAlign w:val="bottom"/>
            <w:gridSpan w:val="2"/>
          </w:tcPr>
          <w:p>
            <w:pPr>
              <w:jc w:val="right"/>
              <w:ind w:right="211"/>
              <w:spacing w:after="0"/>
              <w:rPr>
                <w:sz w:val="20"/>
                <w:szCs w:val="20"/>
                <w:color w:val="auto"/>
              </w:rPr>
            </w:pPr>
            <w:r>
              <w:rPr>
                <w:rFonts w:ascii="Courier New" w:cs="Courier New" w:eastAsia="Courier New" w:hAnsi="Courier New"/>
                <w:sz w:val="14"/>
                <w:szCs w:val="14"/>
                <w:color w:val="auto"/>
              </w:rPr>
              <w:t>8,302</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6,799</w:t>
            </w:r>
          </w:p>
        </w:tc>
        <w:tc>
          <w:tcPr>
            <w:tcW w:w="1240" w:type="dxa"/>
            <w:vAlign w:val="bottom"/>
            <w:gridSpan w:val="2"/>
          </w:tcPr>
          <w:p>
            <w:pPr>
              <w:jc w:val="right"/>
              <w:ind w:right="231"/>
              <w:spacing w:after="0"/>
              <w:rPr>
                <w:sz w:val="20"/>
                <w:szCs w:val="20"/>
                <w:color w:val="auto"/>
              </w:rPr>
            </w:pPr>
            <w:r>
              <w:rPr>
                <w:rFonts w:ascii="Courier New" w:cs="Courier New" w:eastAsia="Courier New" w:hAnsi="Courier New"/>
                <w:sz w:val="14"/>
                <w:szCs w:val="14"/>
                <w:color w:val="auto"/>
              </w:rPr>
              <w:t>17,539</w:t>
            </w:r>
          </w:p>
        </w:tc>
        <w:tc>
          <w:tcPr>
            <w:tcW w:w="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4,027</w:t>
            </w:r>
          </w:p>
        </w:tc>
      </w:t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9"/>
        </w:trPr>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and common stock equivalent</w:t>
            </w:r>
          </w:p>
        </w:tc>
        <w:tc>
          <w:tcPr>
            <w:tcW w:w="128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0.64</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0.51</w:t>
            </w:r>
          </w:p>
        </w:tc>
        <w:tc>
          <w:tcPr>
            <w:tcW w:w="620" w:type="dxa"/>
            <w:vAlign w:val="bottom"/>
          </w:tcPr>
          <w:p>
            <w:pPr>
              <w:spacing w:after="0"/>
              <w:rPr>
                <w:sz w:val="13"/>
                <w:szCs w:val="13"/>
                <w:color w:val="auto"/>
              </w:rPr>
            </w:pPr>
          </w:p>
        </w:tc>
        <w:tc>
          <w:tcPr>
            <w:tcW w:w="620" w:type="dxa"/>
            <w:vAlign w:val="bottom"/>
          </w:tcPr>
          <w:p>
            <w:pPr>
              <w:jc w:val="right"/>
              <w:ind w:right="231"/>
              <w:spacing w:after="0"/>
              <w:rPr>
                <w:sz w:val="20"/>
                <w:szCs w:val="20"/>
                <w:color w:val="auto"/>
              </w:rPr>
            </w:pPr>
            <w:r>
              <w:rPr>
                <w:rFonts w:ascii="Courier New" w:cs="Courier New" w:eastAsia="Courier New" w:hAnsi="Courier New"/>
                <w:sz w:val="14"/>
                <w:szCs w:val="14"/>
                <w:color w:val="auto"/>
                <w:w w:val="89"/>
              </w:rPr>
              <w:t>1.32</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89"/>
              </w:rPr>
              <w:t>0.32</w:t>
            </w:r>
          </w:p>
        </w:tc>
      </w:t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280" w:type="dxa"/>
            <w:vAlign w:val="bottom"/>
          </w:tcPr>
          <w:p>
            <w:pPr>
              <w:spacing w:after="0"/>
              <w:rPr>
                <w:sz w:val="13"/>
                <w:szCs w:val="13"/>
                <w:color w:val="auto"/>
              </w:rPr>
            </w:pP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w w:val="95"/>
              </w:rPr>
              <w:t>0.12</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0.12</w:t>
            </w:r>
          </w:p>
        </w:tc>
        <w:tc>
          <w:tcPr>
            <w:tcW w:w="620" w:type="dxa"/>
            <w:vAlign w:val="bottom"/>
          </w:tcPr>
          <w:p>
            <w:pPr>
              <w:spacing w:after="0"/>
              <w:rPr>
                <w:sz w:val="13"/>
                <w:szCs w:val="13"/>
                <w:color w:val="auto"/>
              </w:rPr>
            </w:pPr>
          </w:p>
        </w:tc>
        <w:tc>
          <w:tcPr>
            <w:tcW w:w="620" w:type="dxa"/>
            <w:vAlign w:val="bottom"/>
          </w:tcPr>
          <w:p>
            <w:pPr>
              <w:jc w:val="right"/>
              <w:ind w:right="231"/>
              <w:spacing w:after="0"/>
              <w:rPr>
                <w:sz w:val="20"/>
                <w:szCs w:val="20"/>
                <w:color w:val="auto"/>
              </w:rPr>
            </w:pPr>
            <w:r>
              <w:rPr>
                <w:rFonts w:ascii="Courier New" w:cs="Courier New" w:eastAsia="Courier New" w:hAnsi="Courier New"/>
                <w:sz w:val="14"/>
                <w:szCs w:val="14"/>
                <w:color w:val="auto"/>
                <w:w w:val="89"/>
              </w:rPr>
              <w:t>0.12</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w w:val="89"/>
              </w:rPr>
              <w:t>0.12</w:t>
            </w:r>
          </w:p>
        </w:tc>
      </w:tr>
      <w:tr>
        <w:trPr>
          <w:trHeight w:val="159"/>
        </w:trPr>
        <w:tc>
          <w:tcPr>
            <w:tcW w:w="408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59"/>
        </w:trPr>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High bid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7/8</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29 3/8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2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3/8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59"/>
        </w:trPr>
        <w:tc>
          <w:tcPr>
            <w:tcW w:w="4080" w:type="dxa"/>
            <w:vAlign w:val="bottom"/>
          </w:tcPr>
          <w:p>
            <w:pPr>
              <w:ind w:left="340"/>
              <w:spacing w:after="0"/>
              <w:rPr>
                <w:sz w:val="20"/>
                <w:szCs w:val="20"/>
                <w:color w:val="auto"/>
              </w:rPr>
            </w:pPr>
            <w:r>
              <w:rPr>
                <w:rFonts w:ascii="Courier New" w:cs="Courier New" w:eastAsia="Courier New" w:hAnsi="Courier New"/>
                <w:sz w:val="14"/>
                <w:szCs w:val="14"/>
                <w:color w:val="auto"/>
              </w:rPr>
              <w:t>Low bid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2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5/8</w:t>
            </w:r>
          </w:p>
        </w:tc>
        <w:tc>
          <w:tcPr>
            <w:tcW w:w="1240" w:type="dxa"/>
            <w:vAlign w:val="bottom"/>
          </w:tcPr>
          <w:p>
            <w:pPr>
              <w:jc w:val="right"/>
              <w:ind w:right="211"/>
              <w:spacing w:after="0"/>
              <w:rPr>
                <w:sz w:val="20"/>
                <w:szCs w:val="20"/>
                <w:color w:val="auto"/>
              </w:rPr>
            </w:pPr>
            <w:r>
              <w:rPr>
                <w:rFonts w:ascii="Courier New" w:cs="Courier New" w:eastAsia="Courier New" w:hAnsi="Courier New"/>
                <w:sz w:val="14"/>
                <w:szCs w:val="14"/>
                <w:color w:val="auto"/>
              </w:rPr>
              <w:t>26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20" w:type="dxa"/>
            <w:vAlign w:val="bottom"/>
          </w:tcPr>
          <w:p>
            <w:pPr>
              <w:jc w:val="right"/>
              <w:ind w:right="231"/>
              <w:spacing w:after="0"/>
              <w:rPr>
                <w:sz w:val="20"/>
                <w:szCs w:val="20"/>
                <w:color w:val="auto"/>
              </w:rPr>
            </w:pPr>
            <w:r>
              <w:rPr>
                <w:rFonts w:ascii="Courier New" w:cs="Courier New" w:eastAsia="Courier New" w:hAnsi="Courier New"/>
                <w:sz w:val="14"/>
                <w:szCs w:val="14"/>
                <w:color w:val="auto"/>
              </w:rPr>
              <w:t>1/2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 - - ----------------------------------------------------------------------------------------------------------------------------------</w:t>
      </w:r>
    </w:p>
    <w:p>
      <w:pPr>
        <w:spacing w:after="0" w:line="200" w:lineRule="exact"/>
        <w:rPr>
          <w:sz w:val="20"/>
          <w:szCs w:val="20"/>
          <w:color w:val="auto"/>
        </w:rPr>
      </w:pPr>
    </w:p>
    <w:p>
      <w:pPr>
        <w:spacing w:after="0" w:line="283"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14</w:t>
        <w:tab/>
        <w:t>Subsequent Event</w:t>
      </w:r>
    </w:p>
    <w:p>
      <w:pPr>
        <w:spacing w:after="0" w:line="163" w:lineRule="exact"/>
        <w:rPr>
          <w:sz w:val="20"/>
          <w:szCs w:val="20"/>
          <w:color w:val="auto"/>
        </w:rPr>
      </w:pPr>
    </w:p>
    <w:p>
      <w:pPr>
        <w:ind w:right="5020"/>
        <w:spacing w:after="0" w:line="239" w:lineRule="auto"/>
        <w:rPr>
          <w:sz w:val="20"/>
          <w:szCs w:val="20"/>
          <w:color w:val="auto"/>
        </w:rPr>
      </w:pPr>
      <w:r>
        <w:rPr>
          <w:rFonts w:ascii="Courier New" w:cs="Courier New" w:eastAsia="Courier New" w:hAnsi="Courier New"/>
          <w:sz w:val="14"/>
          <w:szCs w:val="14"/>
          <w:color w:val="auto"/>
        </w:rPr>
        <w:t>On December 3, 1996, the company acquired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acquisition is being accounted for as a purchase. JHI is headquartered in Laguna Niguel, California and has production facilities in Texas, California, Florida, and Australia. It is a worldwide leader in the production of irrigation systems to the commercial landscape market. For its latest fiscal year ended March 31, 1996, JHI had unaudited net sales of approximately $140.4 million and unaudited operating income of approximately $3.7 million.</w:t>
      </w:r>
    </w:p>
    <w:p>
      <w:pPr>
        <w:spacing w:after="0" w:line="200" w:lineRule="exact"/>
        <w:rPr>
          <w:sz w:val="20"/>
          <w:szCs w:val="20"/>
          <w:color w:val="auto"/>
        </w:rPr>
      </w:pPr>
    </w:p>
    <w:p>
      <w:pPr>
        <w:spacing w:after="0" w:line="278"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The Toro Company</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80"/>
          </w:cols>
          <w:pgMar w:left="220" w:top="592" w:right="299" w:bottom="1440" w:gutter="0" w:footer="0" w:header="0"/>
        </w:sectPr>
      </w:pPr>
    </w:p>
    <w:bookmarkStart w:id="106" w:name="page107"/>
    <w:bookmarkEnd w:id="106"/>
    <w:p>
      <w:pPr>
        <w:ind w:left="5700"/>
        <w:spacing w:after="0"/>
        <w:rPr>
          <w:sz w:val="20"/>
          <w:szCs w:val="20"/>
          <w:color w:val="auto"/>
        </w:rPr>
      </w:pPr>
      <w:r>
        <w:rPr>
          <w:rFonts w:ascii="Courier New" w:cs="Courier New" w:eastAsia="Courier New" w:hAnsi="Courier New"/>
          <w:sz w:val="14"/>
          <w:szCs w:val="14"/>
          <w:color w:val="auto"/>
        </w:rPr>
        <w:t>Exhibit 21</w:t>
      </w:r>
    </w:p>
    <w:p>
      <w:pPr>
        <w:jc w:val="center"/>
        <w:ind w:right="3139"/>
        <w:spacing w:after="0"/>
        <w:rPr>
          <w:sz w:val="20"/>
          <w:szCs w:val="20"/>
          <w:color w:val="auto"/>
        </w:rPr>
      </w:pPr>
      <w:r>
        <w:rPr>
          <w:rFonts w:ascii="Courier New" w:cs="Courier New" w:eastAsia="Courier New" w:hAnsi="Courier New"/>
          <w:sz w:val="14"/>
          <w:szCs w:val="14"/>
          <w:color w:val="auto"/>
        </w:rPr>
        <w:t>THE TORO COMPANY</w:t>
      </w:r>
    </w:p>
    <w:p>
      <w:pPr>
        <w:jc w:val="center"/>
        <w:ind w:right="3139"/>
        <w:spacing w:after="0"/>
        <w:rPr>
          <w:sz w:val="20"/>
          <w:szCs w:val="20"/>
          <w:color w:val="auto"/>
        </w:rPr>
      </w:pPr>
      <w:r>
        <w:rPr>
          <w:rFonts w:ascii="Courier New" w:cs="Courier New" w:eastAsia="Courier New" w:hAnsi="Courier New"/>
          <w:sz w:val="14"/>
          <w:szCs w:val="14"/>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5039"/>
        <w:spacing w:after="0" w:line="236" w:lineRule="auto"/>
        <w:rPr>
          <w:sz w:val="20"/>
          <w:szCs w:val="20"/>
          <w:color w:val="auto"/>
        </w:rPr>
      </w:pPr>
      <w:r>
        <w:rPr>
          <w:rFonts w:ascii="Courier New" w:cs="Courier New" w:eastAsia="Courier New" w:hAnsi="Courier New"/>
          <w:sz w:val="14"/>
          <w:szCs w:val="14"/>
          <w:color w:val="auto"/>
        </w:rPr>
        <w:t>All of the following are subsidiaries of The Toro Company as of January 20,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ind w:left="1160"/>
              <w:spacing w:after="0"/>
              <w:rPr>
                <w:sz w:val="20"/>
                <w:szCs w:val="20"/>
                <w:color w:val="auto"/>
              </w:rPr>
            </w:pPr>
            <w:r>
              <w:rPr>
                <w:rFonts w:ascii="Courier New" w:cs="Courier New" w:eastAsia="Courier New" w:hAnsi="Courier New"/>
                <w:sz w:val="14"/>
                <w:szCs w:val="14"/>
                <w:color w:val="auto"/>
              </w:rPr>
              <w:t>NAME</w:t>
            </w:r>
          </w:p>
        </w:tc>
        <w:tc>
          <w:tcPr>
            <w:tcW w:w="3140" w:type="dxa"/>
            <w:vAlign w:val="bottom"/>
          </w:tcPr>
          <w:p>
            <w:pPr>
              <w:ind w:left="240"/>
              <w:spacing w:after="0"/>
              <w:rPr>
                <w:sz w:val="20"/>
                <w:szCs w:val="20"/>
                <w:color w:val="auto"/>
              </w:rPr>
            </w:pPr>
            <w:r>
              <w:rPr>
                <w:rFonts w:ascii="Courier New" w:cs="Courier New" w:eastAsia="Courier New" w:hAnsi="Courier New"/>
                <w:sz w:val="14"/>
                <w:szCs w:val="14"/>
                <w:color w:val="auto"/>
              </w:rPr>
              <w:t>STATE OR OTHER JURISDICTION OF</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PERCENTAGE OF VOTING SECURITIES</w:t>
            </w:r>
          </w:p>
        </w:tc>
      </w:tr>
      <w:tr>
        <w:trPr>
          <w:trHeight w:val="159"/>
        </w:trPr>
        <w:tc>
          <w:tcPr>
            <w:tcW w:w="3880" w:type="dxa"/>
            <w:vAlign w:val="bottom"/>
          </w:tcPr>
          <w:p>
            <w:pPr>
              <w:spacing w:after="0"/>
              <w:rPr>
                <w:sz w:val="13"/>
                <w:szCs w:val="13"/>
                <w:color w:val="auto"/>
              </w:rPr>
            </w:pPr>
          </w:p>
        </w:tc>
        <w:tc>
          <w:tcPr>
            <w:tcW w:w="3140" w:type="dxa"/>
            <w:vAlign w:val="bottom"/>
          </w:tcPr>
          <w:p>
            <w:pPr>
              <w:ind w:left="820"/>
              <w:spacing w:after="0"/>
              <w:rPr>
                <w:sz w:val="20"/>
                <w:szCs w:val="20"/>
                <w:color w:val="auto"/>
              </w:rPr>
            </w:pPr>
            <w:r>
              <w:rPr>
                <w:rFonts w:ascii="Courier New" w:cs="Courier New" w:eastAsia="Courier New" w:hAnsi="Courier New"/>
                <w:sz w:val="14"/>
                <w:szCs w:val="14"/>
                <w:color w:val="auto"/>
              </w:rPr>
              <w:t>INCORPORATION</w:t>
            </w:r>
          </w:p>
        </w:tc>
        <w:tc>
          <w:tcPr>
            <w:tcW w:w="2960" w:type="dxa"/>
            <w:vAlign w:val="bottom"/>
          </w:tcPr>
          <w:p>
            <w:pPr>
              <w:jc w:val="right"/>
              <w:ind w:right="171"/>
              <w:spacing w:after="0"/>
              <w:rPr>
                <w:sz w:val="20"/>
                <w:szCs w:val="20"/>
                <w:color w:val="auto"/>
              </w:rPr>
            </w:pPr>
            <w:r>
              <w:rPr>
                <w:rFonts w:ascii="Courier New" w:cs="Courier New" w:eastAsia="Courier New" w:hAnsi="Courier New"/>
                <w:sz w:val="14"/>
                <w:szCs w:val="14"/>
                <w:color w:val="auto"/>
              </w:rPr>
              <w:t>OWNED BY IMMEDIATE PARENT</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Australia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Minnesota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Belgium</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Barbados</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Lawn-Boy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Delaware</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Probiotic Products,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Minnesota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Minnesota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Southwest,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California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Toro International Company</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Minnesota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Minnesota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Professional Turf Products of Texas,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Texas</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Integration Control Systems &amp; Services,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Texas</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Turf Management Systems,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Minnesota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James Hardie Irrigation, Inc.</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Nevada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James Hardie Irrigation Pty. Limited</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Australia</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r>
        <w:trPr>
          <w:trHeight w:val="317"/>
        </w:trPr>
        <w:tc>
          <w:tcPr>
            <w:tcW w:w="3880" w:type="dxa"/>
            <w:vAlign w:val="bottom"/>
          </w:tcPr>
          <w:p>
            <w:pPr>
              <w:spacing w:after="0"/>
              <w:rPr>
                <w:sz w:val="20"/>
                <w:szCs w:val="20"/>
                <w:color w:val="auto"/>
              </w:rPr>
            </w:pPr>
            <w:r>
              <w:rPr>
                <w:rFonts w:ascii="Courier New" w:cs="Courier New" w:eastAsia="Courier New" w:hAnsi="Courier New"/>
                <w:sz w:val="14"/>
                <w:szCs w:val="14"/>
                <w:color w:val="auto"/>
              </w:rPr>
              <w:t>James Hardie Irrigation Europe S.p.A.</w:t>
            </w:r>
          </w:p>
        </w:tc>
        <w:tc>
          <w:tcPr>
            <w:tcW w:w="3140" w:type="dxa"/>
            <w:vAlign w:val="bottom"/>
          </w:tcPr>
          <w:p>
            <w:pPr>
              <w:ind w:left="980"/>
              <w:spacing w:after="0"/>
              <w:rPr>
                <w:sz w:val="20"/>
                <w:szCs w:val="20"/>
                <w:color w:val="auto"/>
              </w:rPr>
            </w:pPr>
            <w:r>
              <w:rPr>
                <w:rFonts w:ascii="Courier New" w:cs="Courier New" w:eastAsia="Courier New" w:hAnsi="Courier New"/>
                <w:sz w:val="14"/>
                <w:szCs w:val="14"/>
                <w:color w:val="auto"/>
              </w:rPr>
              <w:t>Italy</w:t>
            </w:r>
          </w:p>
        </w:tc>
        <w:tc>
          <w:tcPr>
            <w:tcW w:w="2960" w:type="dxa"/>
            <w:vAlign w:val="bottom"/>
          </w:tcPr>
          <w:p>
            <w:pPr>
              <w:jc w:val="right"/>
              <w:ind w:right="1011"/>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[LETTERHEAD]</w:t>
      </w:r>
    </w:p>
    <w:p>
      <w:pPr>
        <w:spacing w:after="0" w:line="159"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rPr>
          <w:sz w:val="20"/>
          <w:szCs w:val="20"/>
          <w:color w:val="auto"/>
        </w:rPr>
      </w:pPr>
      <w:r>
        <w:rPr>
          <w:rFonts w:ascii="Courier New" w:cs="Courier New" w:eastAsia="Courier New" w:hAnsi="Courier New"/>
          <w:sz w:val="14"/>
          <w:szCs w:val="14"/>
          <w:color w:val="auto"/>
        </w:rPr>
        <w:t>The Toro Company:</w:t>
      </w:r>
    </w:p>
    <w:p>
      <w:pPr>
        <w:spacing w:after="0" w:line="321" w:lineRule="exact"/>
        <w:rPr>
          <w:sz w:val="20"/>
          <w:szCs w:val="20"/>
          <w:color w:val="auto"/>
        </w:rPr>
      </w:pPr>
    </w:p>
    <w:p>
      <w:pPr>
        <w:ind w:right="3639"/>
        <w:spacing w:after="0" w:line="239"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33-26268, 33-31586, 33-38308, 33-44668, 33-51563, 33-55550, 33-59563, 33-62743, and 333-4521) on Forms S-3 and S-8 of The Toro Company of our reports dated December 16, 1996, relating to the consolidated balance sheets of The Toro Company and subsidiaries as of October 31, 1996 and 1995, and the related consolidated statements of earnings and cash flows and related financial statement schedule for the year ended October 31, 1996, the three-month period ended October 31, 1995 and the years ended July 31, 1995 and 1994, which reports are included in or incorporated by reference in the annual report on Form 10-K of The Toro Company.</w:t>
      </w:r>
    </w:p>
    <w:p>
      <w:pPr>
        <w:spacing w:after="0" w:line="200" w:lineRule="exact"/>
        <w:rPr>
          <w:sz w:val="20"/>
          <w:szCs w:val="20"/>
          <w:color w:val="auto"/>
        </w:rPr>
      </w:pPr>
    </w:p>
    <w:p>
      <w:pPr>
        <w:spacing w:after="0" w:line="27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rPr>
          <w:sz w:val="20"/>
          <w:szCs w:val="20"/>
          <w:color w:val="auto"/>
        </w:rPr>
      </w:pPr>
      <w:r>
        <w:rPr>
          <w:rFonts w:ascii="Courier New" w:cs="Courier New" w:eastAsia="Courier New" w:hAnsi="Courier New"/>
          <w:sz w:val="14"/>
          <w:szCs w:val="14"/>
          <w:color w:val="auto"/>
        </w:rPr>
        <w:t>January 29, 1997</w:t>
      </w:r>
    </w:p>
    <w:p>
      <w:pPr>
        <w:spacing w:after="0" w:line="31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3" w:right="1440" w:bottom="1440" w:gutter="0" w:footer="0" w:header="0"/>
        </w:sectPr>
      </w:pPr>
    </w:p>
    <w:bookmarkStart w:id="108" w:name="page109"/>
    <w:bookmarkEnd w:id="10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ind w:left="80"/>
        <w:spacing w:after="0"/>
        <w:rPr>
          <w:sz w:val="20"/>
          <w:szCs w:val="20"/>
          <w:color w:val="auto"/>
        </w:rPr>
      </w:pPr>
      <w:r>
        <w:rPr>
          <w:rFonts w:ascii="Courier New" w:cs="Courier New" w:eastAsia="Courier New" w:hAnsi="Courier New"/>
          <w:sz w:val="14"/>
          <w:szCs w:val="14"/>
          <w:color w:val="auto"/>
        </w:rPr>
        <w:t>5</w:t>
      </w:r>
    </w:p>
    <w:p>
      <w:pPr>
        <w:spacing w:after="0" w:line="163" w:lineRule="exact"/>
        <w:rPr>
          <w:sz w:val="20"/>
          <w:szCs w:val="20"/>
          <w:color w:val="auto"/>
        </w:rPr>
      </w:pPr>
    </w:p>
    <w:p>
      <w:pPr>
        <w:jc w:val="both"/>
        <w:ind w:left="20" w:right="3859"/>
        <w:spacing w:after="0" w:line="264" w:lineRule="auto"/>
        <w:rPr>
          <w:sz w:val="20"/>
          <w:szCs w:val="20"/>
          <w:color w:val="auto"/>
        </w:rPr>
      </w:pPr>
      <w:r>
        <w:rPr>
          <w:rFonts w:ascii="Courier New" w:cs="Courier New" w:eastAsia="Courier New" w:hAnsi="Courier New"/>
          <w:sz w:val="13"/>
          <w:szCs w:val="13"/>
          <w:color w:val="auto"/>
        </w:rPr>
        <w:t>THIS SCHEDULE CONTAINS FINANCIAL INFORMATION EXTRACTED FROM THE CONSOLIDATED STATEMENTS OF EARNINGS, THE BALANCE SHEET AND 10-K SCHEDULE II AND EXHIBIT 11 AND IS QUALIFIED IN ITS ENTIRETY BY REFERENCE TO SUCH FINANCIAL STATEMENTS</w:t>
      </w:r>
    </w:p>
    <w:p>
      <w:pPr>
        <w:spacing w:after="0" w:line="14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1,000</w:t>
      </w:r>
    </w:p>
    <w:p>
      <w:pPr>
        <w:spacing w:after="0" w:line="317"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YEAR</w:t>
      </w:r>
    </w:p>
    <w:p>
      <w:pPr>
        <w:ind w:left="2140"/>
        <w:spacing w:after="0"/>
        <w:rPr>
          <w:sz w:val="20"/>
          <w:szCs w:val="20"/>
          <w:color w:val="auto"/>
        </w:rPr>
      </w:pPr>
      <w:r>
        <w:rPr>
          <w:rFonts w:ascii="Courier New" w:cs="Courier New" w:eastAsia="Courier New" w:hAnsi="Courier New"/>
          <w:sz w:val="14"/>
          <w:szCs w:val="14"/>
          <w:color w:val="auto"/>
        </w:rPr>
        <w:t>OCT-31-1996</w:t>
      </w:r>
    </w:p>
    <w:p>
      <w:pPr>
        <w:ind w:left="2400"/>
        <w:spacing w:after="0"/>
        <w:rPr>
          <w:sz w:val="20"/>
          <w:szCs w:val="20"/>
          <w:color w:val="auto"/>
        </w:rPr>
      </w:pPr>
      <w:r>
        <w:rPr>
          <w:rFonts w:ascii="Courier New" w:cs="Courier New" w:eastAsia="Courier New" w:hAnsi="Courier New"/>
          <w:sz w:val="14"/>
          <w:szCs w:val="14"/>
          <w:color w:val="auto"/>
        </w:rPr>
        <w:t>NOV-01-1995</w:t>
      </w:r>
    </w:p>
    <w:p>
      <w:pPr>
        <w:ind w:left="2560"/>
        <w:spacing w:after="0"/>
        <w:rPr>
          <w:sz w:val="20"/>
          <w:szCs w:val="20"/>
          <w:color w:val="auto"/>
        </w:rPr>
      </w:pPr>
      <w:r>
        <w:rPr>
          <w:rFonts w:ascii="Courier New" w:cs="Courier New" w:eastAsia="Courier New" w:hAnsi="Courier New"/>
          <w:sz w:val="14"/>
          <w:szCs w:val="14"/>
          <w:color w:val="auto"/>
        </w:rPr>
        <w:t>OCT-31-1996</w:t>
      </w:r>
    </w:p>
    <w:p>
      <w:pPr>
        <w:ind w:left="3800"/>
        <w:spacing w:after="0"/>
        <w:rPr>
          <w:sz w:val="20"/>
          <w:szCs w:val="20"/>
          <w:color w:val="auto"/>
        </w:rPr>
      </w:pPr>
      <w:r>
        <w:rPr>
          <w:rFonts w:ascii="Courier New" w:cs="Courier New" w:eastAsia="Courier New" w:hAnsi="Courier New"/>
          <w:sz w:val="14"/>
          <w:szCs w:val="14"/>
          <w:color w:val="auto"/>
        </w:rPr>
        <w:t>66</w:t>
      </w:r>
    </w:p>
    <w:p>
      <w:pPr>
        <w:ind w:left="3380"/>
        <w:spacing w:after="0"/>
        <w:rPr>
          <w:sz w:val="20"/>
          <w:szCs w:val="20"/>
          <w:color w:val="auto"/>
        </w:rPr>
      </w:pPr>
      <w:r>
        <w:rPr>
          <w:rFonts w:ascii="Courier New" w:cs="Courier New" w:eastAsia="Courier New" w:hAnsi="Courier New"/>
          <w:sz w:val="14"/>
          <w:szCs w:val="14"/>
          <w:color w:val="auto"/>
        </w:rPr>
        <w:t>0</w:t>
      </w:r>
    </w:p>
    <w:p>
      <w:pPr>
        <w:ind w:left="2800"/>
        <w:spacing w:after="0"/>
        <w:rPr>
          <w:sz w:val="20"/>
          <w:szCs w:val="20"/>
          <w:color w:val="auto"/>
        </w:rPr>
      </w:pPr>
      <w:r>
        <w:rPr>
          <w:rFonts w:ascii="Courier New" w:cs="Courier New" w:eastAsia="Courier New" w:hAnsi="Courier New"/>
          <w:sz w:val="14"/>
          <w:szCs w:val="14"/>
          <w:color w:val="auto"/>
        </w:rPr>
        <w:t>244,434</w:t>
      </w:r>
    </w:p>
    <w:p>
      <w:pPr>
        <w:ind w:left="2980"/>
        <w:spacing w:after="0"/>
        <w:rPr>
          <w:sz w:val="20"/>
          <w:szCs w:val="20"/>
          <w:color w:val="auto"/>
        </w:rPr>
      </w:pPr>
      <w:r>
        <w:rPr>
          <w:rFonts w:ascii="Courier New" w:cs="Courier New" w:eastAsia="Courier New" w:hAnsi="Courier New"/>
          <w:sz w:val="14"/>
          <w:szCs w:val="14"/>
          <w:color w:val="auto"/>
        </w:rPr>
        <w:t>10,005</w:t>
      </w:r>
    </w:p>
    <w:p>
      <w:pPr>
        <w:ind w:left="2980"/>
        <w:spacing w:after="0"/>
        <w:rPr>
          <w:sz w:val="20"/>
          <w:szCs w:val="20"/>
          <w:color w:val="auto"/>
        </w:rPr>
      </w:pPr>
      <w:r>
        <w:rPr>
          <w:rFonts w:ascii="Courier New" w:cs="Courier New" w:eastAsia="Courier New" w:hAnsi="Courier New"/>
          <w:sz w:val="14"/>
          <w:szCs w:val="14"/>
          <w:color w:val="auto"/>
        </w:rPr>
        <w:t>130,288</w:t>
      </w:r>
    </w:p>
    <w:p>
      <w:pPr>
        <w:ind w:left="2560"/>
        <w:spacing w:after="0"/>
        <w:rPr>
          <w:sz w:val="20"/>
          <w:szCs w:val="20"/>
          <w:color w:val="auto"/>
        </w:rPr>
      </w:pPr>
      <w:r>
        <w:rPr>
          <w:rFonts w:ascii="Courier New" w:cs="Courier New" w:eastAsia="Courier New" w:hAnsi="Courier New"/>
          <w:sz w:val="14"/>
          <w:szCs w:val="14"/>
          <w:color w:val="auto"/>
        </w:rPr>
        <w:t>405,001</w:t>
      </w:r>
    </w:p>
    <w:p>
      <w:pPr>
        <w:ind w:left="3380"/>
        <w:spacing w:after="0"/>
        <w:rPr>
          <w:sz w:val="20"/>
          <w:szCs w:val="20"/>
          <w:color w:val="auto"/>
        </w:rPr>
      </w:pPr>
      <w:r>
        <w:rPr>
          <w:rFonts w:ascii="Courier New" w:cs="Courier New" w:eastAsia="Courier New" w:hAnsi="Courier New"/>
          <w:sz w:val="14"/>
          <w:szCs w:val="14"/>
          <w:color w:val="auto"/>
        </w:rPr>
        <w:t>229,080</w:t>
      </w:r>
    </w:p>
    <w:p>
      <w:pPr>
        <w:ind w:left="2720"/>
        <w:spacing w:after="0"/>
        <w:rPr>
          <w:sz w:val="20"/>
          <w:szCs w:val="20"/>
          <w:color w:val="auto"/>
        </w:rPr>
      </w:pPr>
      <w:r>
        <w:rPr>
          <w:rFonts w:ascii="Courier New" w:cs="Courier New" w:eastAsia="Courier New" w:hAnsi="Courier New"/>
          <w:sz w:val="14"/>
          <w:szCs w:val="14"/>
          <w:color w:val="auto"/>
        </w:rPr>
        <w:t>155,270</w:t>
      </w:r>
    </w:p>
    <w:p>
      <w:pPr>
        <w:ind w:left="2720"/>
        <w:spacing w:after="0"/>
        <w:rPr>
          <w:sz w:val="20"/>
          <w:szCs w:val="20"/>
          <w:color w:val="auto"/>
        </w:rPr>
      </w:pPr>
      <w:r>
        <w:rPr>
          <w:rFonts w:ascii="Courier New" w:cs="Courier New" w:eastAsia="Courier New" w:hAnsi="Courier New"/>
          <w:sz w:val="14"/>
          <w:szCs w:val="14"/>
          <w:color w:val="auto"/>
        </w:rPr>
        <w:t>496,877</w:t>
      </w:r>
    </w:p>
    <w:p>
      <w:pPr>
        <w:ind w:left="2140"/>
        <w:spacing w:after="0"/>
        <w:rPr>
          <w:sz w:val="20"/>
          <w:szCs w:val="20"/>
          <w:color w:val="auto"/>
        </w:rPr>
      </w:pPr>
      <w:r>
        <w:rPr>
          <w:rFonts w:ascii="Courier New" w:cs="Courier New" w:eastAsia="Courier New" w:hAnsi="Courier New"/>
          <w:sz w:val="14"/>
          <w:szCs w:val="14"/>
          <w:color w:val="auto"/>
        </w:rPr>
        <w:t>207,857</w:t>
      </w:r>
    </w:p>
    <w:p>
      <w:pPr>
        <w:ind w:left="3380"/>
        <w:spacing w:after="0"/>
        <w:rPr>
          <w:sz w:val="20"/>
          <w:szCs w:val="20"/>
          <w:color w:val="auto"/>
        </w:rPr>
      </w:pPr>
      <w:r>
        <w:rPr>
          <w:rFonts w:ascii="Courier New" w:cs="Courier New" w:eastAsia="Courier New" w:hAnsi="Courier New"/>
          <w:sz w:val="14"/>
          <w:szCs w:val="14"/>
          <w:color w:val="auto"/>
        </w:rPr>
        <w:t>53,365</w:t>
      </w:r>
    </w:p>
    <w:p>
      <w:pPr>
        <w:ind w:left="2640"/>
        <w:spacing w:after="0"/>
        <w:rPr>
          <w:sz w:val="20"/>
          <w:szCs w:val="20"/>
          <w:color w:val="auto"/>
        </w:rPr>
      </w:pPr>
      <w:r>
        <w:rPr>
          <w:rFonts w:ascii="Courier New" w:cs="Courier New" w:eastAsia="Courier New" w:hAnsi="Courier New"/>
          <w:sz w:val="14"/>
          <w:szCs w:val="14"/>
          <w:color w:val="auto"/>
        </w:rPr>
        <w:t>0</w:t>
      </w:r>
    </w:p>
    <w:p>
      <w:pPr>
        <w:ind w:left="3460"/>
        <w:spacing w:after="0"/>
        <w:rPr>
          <w:sz w:val="20"/>
          <w:szCs w:val="20"/>
          <w:color w:val="auto"/>
        </w:rPr>
      </w:pPr>
      <w:r>
        <w:rPr>
          <w:rFonts w:ascii="Courier New" w:cs="Courier New" w:eastAsia="Courier New" w:hAnsi="Courier New"/>
          <w:sz w:val="14"/>
          <w:szCs w:val="14"/>
          <w:color w:val="auto"/>
        </w:rPr>
        <w:t>0</w:t>
      </w:r>
    </w:p>
    <w:p>
      <w:pPr>
        <w:ind w:left="3300"/>
        <w:spacing w:after="0"/>
        <w:rPr>
          <w:sz w:val="20"/>
          <w:szCs w:val="20"/>
          <w:color w:val="auto"/>
        </w:rPr>
      </w:pPr>
      <w:r>
        <w:rPr>
          <w:rFonts w:ascii="Courier New" w:cs="Courier New" w:eastAsia="Courier New" w:hAnsi="Courier New"/>
          <w:sz w:val="14"/>
          <w:szCs w:val="14"/>
          <w:color w:val="auto"/>
        </w:rPr>
        <w:t>12,032</w:t>
      </w:r>
    </w:p>
    <w:p>
      <w:pPr>
        <w:ind w:left="3060"/>
        <w:spacing w:after="0"/>
        <w:rPr>
          <w:sz w:val="20"/>
          <w:szCs w:val="20"/>
          <w:color w:val="auto"/>
        </w:rPr>
      </w:pPr>
      <w:r>
        <w:rPr>
          <w:rFonts w:ascii="Courier New" w:cs="Courier New" w:eastAsia="Courier New" w:hAnsi="Courier New"/>
          <w:sz w:val="14"/>
          <w:szCs w:val="14"/>
          <w:color w:val="auto"/>
        </w:rPr>
        <w:t>201,535</w:t>
      </w:r>
    </w:p>
    <w:p>
      <w:pPr>
        <w:ind w:left="1580"/>
        <w:spacing w:after="0"/>
        <w:rPr>
          <w:sz w:val="20"/>
          <w:szCs w:val="20"/>
          <w:color w:val="auto"/>
        </w:rPr>
      </w:pPr>
      <w:r>
        <w:rPr>
          <w:rFonts w:ascii="Courier New" w:cs="Courier New" w:eastAsia="Courier New" w:hAnsi="Courier New"/>
          <w:sz w:val="14"/>
          <w:szCs w:val="14"/>
          <w:color w:val="auto"/>
        </w:rPr>
        <w:t>496,877</w:t>
      </w:r>
    </w:p>
    <w:p>
      <w:pPr>
        <w:ind w:left="3300"/>
        <w:spacing w:after="0"/>
        <w:rPr>
          <w:sz w:val="20"/>
          <w:szCs w:val="20"/>
          <w:color w:val="auto"/>
        </w:rPr>
      </w:pPr>
      <w:r>
        <w:rPr>
          <w:rFonts w:ascii="Courier New" w:cs="Courier New" w:eastAsia="Courier New" w:hAnsi="Courier New"/>
          <w:sz w:val="14"/>
          <w:szCs w:val="14"/>
          <w:color w:val="auto"/>
        </w:rPr>
        <w:t>930,909</w:t>
      </w:r>
    </w:p>
    <w:p>
      <w:pPr>
        <w:ind w:left="2560"/>
        <w:spacing w:after="0"/>
        <w:rPr>
          <w:sz w:val="20"/>
          <w:szCs w:val="20"/>
          <w:color w:val="auto"/>
        </w:rPr>
      </w:pPr>
      <w:r>
        <w:rPr>
          <w:rFonts w:ascii="Courier New" w:cs="Courier New" w:eastAsia="Courier New" w:hAnsi="Courier New"/>
          <w:sz w:val="14"/>
          <w:szCs w:val="14"/>
          <w:color w:val="auto"/>
        </w:rPr>
        <w:t>930,909</w:t>
      </w:r>
    </w:p>
    <w:p>
      <w:pPr>
        <w:ind w:left="3460"/>
        <w:spacing w:after="0"/>
        <w:rPr>
          <w:sz w:val="20"/>
          <w:szCs w:val="20"/>
          <w:color w:val="auto"/>
        </w:rPr>
      </w:pPr>
      <w:r>
        <w:rPr>
          <w:rFonts w:ascii="Courier New" w:cs="Courier New" w:eastAsia="Courier New" w:hAnsi="Courier New"/>
          <w:sz w:val="14"/>
          <w:szCs w:val="14"/>
          <w:color w:val="auto"/>
        </w:rPr>
        <w:t>589,186</w:t>
      </w:r>
    </w:p>
    <w:p>
      <w:pPr>
        <w:ind w:left="2800"/>
        <w:spacing w:after="0"/>
        <w:rPr>
          <w:sz w:val="20"/>
          <w:szCs w:val="20"/>
          <w:color w:val="auto"/>
        </w:rPr>
      </w:pPr>
      <w:r>
        <w:rPr>
          <w:rFonts w:ascii="Courier New" w:cs="Courier New" w:eastAsia="Courier New" w:hAnsi="Courier New"/>
          <w:sz w:val="14"/>
          <w:szCs w:val="14"/>
          <w:color w:val="auto"/>
        </w:rPr>
        <w:t>278,284</w:t>
      </w:r>
    </w:p>
    <w:p>
      <w:pPr>
        <w:ind w:left="2480"/>
        <w:spacing w:after="0"/>
        <w:rPr>
          <w:sz w:val="20"/>
          <w:szCs w:val="20"/>
          <w:color w:val="auto"/>
        </w:rPr>
      </w:pPr>
      <w:r>
        <w:rPr>
          <w:rFonts w:ascii="Courier New" w:cs="Courier New" w:eastAsia="Courier New" w:hAnsi="Courier New"/>
          <w:sz w:val="14"/>
          <w:szCs w:val="14"/>
          <w:color w:val="auto"/>
        </w:rPr>
        <w:t>(10,331)</w:t>
      </w:r>
    </w:p>
    <w:p>
      <w:pPr>
        <w:ind w:left="2720"/>
        <w:spacing w:after="0"/>
        <w:rPr>
          <w:sz w:val="20"/>
          <w:szCs w:val="20"/>
          <w:color w:val="auto"/>
        </w:rPr>
      </w:pPr>
      <w:r>
        <w:rPr>
          <w:rFonts w:ascii="Courier New" w:cs="Courier New" w:eastAsia="Courier New" w:hAnsi="Courier New"/>
          <w:sz w:val="14"/>
          <w:szCs w:val="14"/>
          <w:color w:val="auto"/>
        </w:rPr>
        <w:t>3,358</w:t>
      </w:r>
    </w:p>
    <w:p>
      <w:pPr>
        <w:ind w:left="2480"/>
        <w:spacing w:after="0"/>
        <w:rPr>
          <w:sz w:val="20"/>
          <w:szCs w:val="20"/>
          <w:color w:val="auto"/>
        </w:rPr>
      </w:pPr>
      <w:r>
        <w:rPr>
          <w:rFonts w:ascii="Courier New" w:cs="Courier New" w:eastAsia="Courier New" w:hAnsi="Courier New"/>
          <w:sz w:val="14"/>
          <w:szCs w:val="14"/>
          <w:color w:val="auto"/>
        </w:rPr>
        <w:t>13,590</w:t>
      </w:r>
    </w:p>
    <w:p>
      <w:pPr>
        <w:ind w:left="2720"/>
        <w:spacing w:after="0"/>
        <w:rPr>
          <w:sz w:val="20"/>
          <w:szCs w:val="20"/>
          <w:color w:val="auto"/>
        </w:rPr>
      </w:pPr>
      <w:r>
        <w:rPr>
          <w:rFonts w:ascii="Courier New" w:cs="Courier New" w:eastAsia="Courier New" w:hAnsi="Courier New"/>
          <w:sz w:val="14"/>
          <w:szCs w:val="14"/>
          <w:color w:val="auto"/>
        </w:rPr>
        <w:t>60,180</w:t>
      </w:r>
    </w:p>
    <w:p>
      <w:pPr>
        <w:ind w:left="2980"/>
        <w:spacing w:after="0"/>
        <w:rPr>
          <w:sz w:val="20"/>
          <w:szCs w:val="20"/>
          <w:color w:val="auto"/>
        </w:rPr>
      </w:pPr>
      <w:r>
        <w:rPr>
          <w:rFonts w:ascii="Courier New" w:cs="Courier New" w:eastAsia="Courier New" w:hAnsi="Courier New"/>
          <w:sz w:val="14"/>
          <w:szCs w:val="14"/>
          <w:color w:val="auto"/>
        </w:rPr>
        <w:t>23,771</w:t>
      </w:r>
    </w:p>
    <w:p>
      <w:pPr>
        <w:ind w:left="2400"/>
        <w:spacing w:after="0"/>
        <w:rPr>
          <w:sz w:val="20"/>
          <w:szCs w:val="20"/>
          <w:color w:val="auto"/>
        </w:rPr>
      </w:pPr>
      <w:r>
        <w:rPr>
          <w:rFonts w:ascii="Courier New" w:cs="Courier New" w:eastAsia="Courier New" w:hAnsi="Courier New"/>
          <w:sz w:val="14"/>
          <w:szCs w:val="14"/>
          <w:color w:val="auto"/>
        </w:rPr>
        <w:t>36,409</w:t>
      </w:r>
    </w:p>
    <w:p>
      <w:pPr>
        <w:ind w:left="3220"/>
        <w:spacing w:after="0" w:line="238" w:lineRule="auto"/>
        <w:rPr>
          <w:sz w:val="20"/>
          <w:szCs w:val="20"/>
          <w:color w:val="auto"/>
        </w:rPr>
      </w:pPr>
      <w:r>
        <w:rPr>
          <w:rFonts w:ascii="Courier New" w:cs="Courier New" w:eastAsia="Courier New" w:hAnsi="Courier New"/>
          <w:sz w:val="14"/>
          <w:szCs w:val="14"/>
          <w:color w:val="auto"/>
        </w:rPr>
        <w:t>0</w:t>
      </w:r>
    </w:p>
    <w:p>
      <w:pPr>
        <w:ind w:left="3140"/>
        <w:spacing w:after="0"/>
        <w:rPr>
          <w:sz w:val="20"/>
          <w:szCs w:val="20"/>
          <w:color w:val="auto"/>
        </w:rPr>
      </w:pPr>
      <w:r>
        <w:rPr>
          <w:rFonts w:ascii="Courier New" w:cs="Courier New" w:eastAsia="Courier New" w:hAnsi="Courier New"/>
          <w:sz w:val="14"/>
          <w:szCs w:val="14"/>
          <w:color w:val="auto"/>
        </w:rPr>
        <w:t>0</w:t>
      </w:r>
    </w:p>
    <w:p>
      <w:pPr>
        <w:ind w:left="3640"/>
        <w:spacing w:after="0"/>
        <w:rPr>
          <w:sz w:val="20"/>
          <w:szCs w:val="20"/>
          <w:color w:val="auto"/>
        </w:rPr>
      </w:pPr>
      <w:r>
        <w:rPr>
          <w:rFonts w:ascii="Courier New" w:cs="Courier New" w:eastAsia="Courier New" w:hAnsi="Courier New"/>
          <w:sz w:val="14"/>
          <w:szCs w:val="14"/>
          <w:color w:val="auto"/>
        </w:rPr>
        <w:t>0</w:t>
      </w:r>
    </w:p>
    <w:p>
      <w:pPr>
        <w:jc w:val="center"/>
        <w:ind w:right="3799"/>
        <w:spacing w:after="0"/>
        <w:rPr>
          <w:sz w:val="20"/>
          <w:szCs w:val="20"/>
          <w:color w:val="auto"/>
        </w:rPr>
      </w:pPr>
      <w:r>
        <w:rPr>
          <w:rFonts w:ascii="Courier New" w:cs="Courier New" w:eastAsia="Courier New" w:hAnsi="Courier New"/>
          <w:sz w:val="14"/>
          <w:szCs w:val="14"/>
          <w:color w:val="auto"/>
        </w:rPr>
        <w:t>36,409</w:t>
      </w:r>
    </w:p>
    <w:p>
      <w:pPr>
        <w:jc w:val="center"/>
        <w:ind w:right="3799"/>
        <w:spacing w:after="0"/>
        <w:rPr>
          <w:sz w:val="20"/>
          <w:szCs w:val="20"/>
          <w:color w:val="auto"/>
        </w:rPr>
      </w:pPr>
      <w:r>
        <w:rPr>
          <w:rFonts w:ascii="Courier New" w:cs="Courier New" w:eastAsia="Courier New" w:hAnsi="Courier New"/>
          <w:sz w:val="14"/>
          <w:szCs w:val="14"/>
          <w:color w:val="auto"/>
        </w:rPr>
        <w:t>2.90</w:t>
      </w:r>
    </w:p>
    <w:p>
      <w:pPr>
        <w:jc w:val="center"/>
        <w:ind w:right="3799"/>
        <w:spacing w:after="0"/>
        <w:rPr>
          <w:sz w:val="20"/>
          <w:szCs w:val="20"/>
          <w:color w:val="auto"/>
        </w:rPr>
      </w:pPr>
      <w:r>
        <w:rPr>
          <w:rFonts w:ascii="Courier New" w:cs="Courier New" w:eastAsia="Courier New" w:hAnsi="Courier New"/>
          <w:sz w:val="14"/>
          <w:szCs w:val="14"/>
          <w:color w:val="auto"/>
        </w:rPr>
        <w:t>2.90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Long-Term Debt</w:t>
      </w:r>
    </w:p>
    <w:p>
      <w:pPr>
        <w:spacing w:after="0"/>
        <w:rPr>
          <w:sz w:val="20"/>
          <w:szCs w:val="20"/>
          <w:color w:val="auto"/>
        </w:rPr>
      </w:pPr>
      <w:r>
        <w:rPr>
          <w:rFonts w:ascii="Courier New" w:cs="Courier New" w:eastAsia="Courier New" w:hAnsi="Courier New"/>
          <w:sz w:val="14"/>
          <w:szCs w:val="14"/>
          <w:color w:val="auto"/>
        </w:rPr>
        <w:t>Does not include Additional paid-in capital.</w:t>
      </w:r>
    </w:p>
    <w:p>
      <w:pPr>
        <w:spacing w:after="0"/>
        <w:rPr>
          <w:sz w:val="20"/>
          <w:szCs w:val="20"/>
          <w:color w:val="auto"/>
        </w:rPr>
      </w:pPr>
      <w:r>
        <w:rPr>
          <w:rFonts w:ascii="Courier New" w:cs="Courier New" w:eastAsia="Courier New" w:hAnsi="Courier New"/>
          <w:sz w:val="14"/>
          <w:szCs w:val="14"/>
          <w:color w:val="auto"/>
        </w:rPr>
        <w:t>Other income-net.</w:t>
      </w:r>
    </w:p>
    <w:sectPr>
      <w:pgSz w:w="11900" w:h="16838" w:orient="portrait"/>
      <w:cols w:equalWidth="0" w:num="1">
        <w:col w:w="10239"/>
      </w:cols>
      <w:pgMar w:left="22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
      <w:numFmt w:val="bullet"/>
      <w:start w:val="1"/>
    </w:lvl>
  </w:abstractNum>
  <w:abstractNum w:abstractNumId="6">
    <w:nsid w:val="73A1821B"/>
    <w:multiLevelType w:val="hybridMultilevel"/>
    <w:lvl w:ilvl="0">
      <w:lvlJc w:val="left"/>
      <w:lvlText w:val="-"/>
      <w:numFmt w:val="bullet"/>
      <w:start w:val="1"/>
    </w:lvl>
  </w:abstractNum>
  <w:abstractNum w:abstractNumId="7">
    <w:nsid w:val="7DE67713"/>
    <w:multiLevelType w:val="hybridMultilevel"/>
    <w:lvl w:ilvl="0">
      <w:lvlJc w:val="left"/>
      <w:lvlText w:val="(%1)"/>
      <w:numFmt w:val="lowerLetter"/>
      <w:start w:val="1"/>
    </w:lvl>
  </w:abstractNum>
  <w:abstractNum w:abstractNumId="8">
    <w:nsid w:val="555C55B5"/>
    <w:multiLevelType w:val="hybridMultilevel"/>
    <w:lvl w:ilvl="0">
      <w:lvlJc w:val="left"/>
      <w:lvlText w:val="(%1)"/>
      <w:numFmt w:val="lowerLetter"/>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1)"/>
      <w:numFmt w:val="lowerLetter"/>
      <w:start w:val="2"/>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
      <w:numFmt w:val="bullet"/>
      <w:start w:val="1"/>
    </w:lvl>
  </w:abstractNum>
  <w:abstractNum w:abstractNumId="22">
    <w:nsid w:val="97E1B4E"/>
    <w:multiLevelType w:val="hybridMultilevel"/>
    <w:lvl w:ilvl="0">
      <w:lvlJc w:val="left"/>
      <w:lvlText w:val="-"/>
      <w:numFmt w:val="bullet"/>
      <w:start w:val="1"/>
    </w:lvl>
    <w:lvl w:ilvl="1">
      <w:lvlJc w:val="left"/>
      <w:lvlText w:val="(%2)"/>
      <w:numFmt w:val="lowerLetter"/>
      <w:start w:val="1"/>
    </w:lvl>
  </w:abstractNum>
  <w:abstractNum w:abstractNumId="23">
    <w:nsid w:val="5108827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1CA0C5FA"/>
    <w:multiLevelType w:val="hybridMultilevel"/>
    <w:lvl w:ilvl="0">
      <w:lvlJc w:val="left"/>
      <w:lvlText w:val="%1."/>
      <w:numFmt w:val="lowerRoman"/>
      <w:start w:val="2"/>
    </w:lvl>
    <w:lvl w:ilvl="1">
      <w:lvlJc w:val="left"/>
      <w:lvlText w:val="(%2)"/>
      <w:numFmt w:val="lowerLetter"/>
      <w:start w:val="1"/>
    </w:lvl>
  </w:abstractNum>
  <w:abstractNum w:abstractNumId="25">
    <w:nsid w:val="53584BCB"/>
    <w:multiLevelType w:val="hybridMultilevel"/>
    <w:lvl w:ilvl="0">
      <w:lvlJc w:val="left"/>
      <w:lvlText w:val="%1"/>
      <w:numFmt w:val="decimal"/>
      <w:start w:val="1"/>
    </w:lvl>
    <w:lvl w:ilvl="1">
      <w:lvlJc w:val="left"/>
      <w:lvlText w:val="%2."/>
      <w:numFmt w:val="lowerLetter"/>
      <w:start w:val="3"/>
    </w:lvl>
  </w:abstractNum>
  <w:abstractNum w:abstractNumId="26">
    <w:nsid w:val="415E286C"/>
    <w:multiLevelType w:val="hybridMultilevel"/>
    <w:lvl w:ilvl="0">
      <w:lvlJc w:val="left"/>
      <w:lvlText w:val="%1."/>
      <w:numFmt w:val="decimal"/>
      <w:start w:val="4"/>
    </w:lvl>
    <w:lvl w:ilvl="1">
      <w:lvlJc w:val="left"/>
      <w:lvlText w:val="%2"/>
      <w:numFmt w:val="lowerLetter"/>
      <w:start w:val="1"/>
    </w:lvl>
  </w:abstractNum>
  <w:abstractNum w:abstractNumId="27">
    <w:nsid w:val="7C58FD05"/>
    <w:multiLevelType w:val="hybridMultilevel"/>
    <w:lvl w:ilvl="0">
      <w:lvlJc w:val="left"/>
      <w:lvlText w:val="%1."/>
      <w:numFmt w:val="decimal"/>
      <w:start w:val="5"/>
    </w:lvl>
    <w:lvl w:ilvl="1">
      <w:lvlJc w:val="left"/>
      <w:lvlText w:val="%2."/>
      <w:numFmt w:val="lowerLetter"/>
      <w:start w:val="1"/>
    </w:lvl>
  </w:abstractNum>
  <w:abstractNum w:abstractNumId="28">
    <w:nsid w:val="23D86AAC"/>
    <w:multiLevelType w:val="hybridMultilevel"/>
    <w:lvl w:ilvl="0">
      <w:lvlJc w:val="left"/>
      <w:lvlText w:val="%1."/>
      <w:numFmt w:val="lowerLetter"/>
      <w:start w:val="2"/>
    </w:lvl>
  </w:abstractNum>
  <w:abstractNum w:abstractNumId="29">
    <w:nsid w:val="45E6D486"/>
    <w:multiLevelType w:val="hybridMultilevel"/>
    <w:lvl w:ilvl="0">
      <w:lvlJc w:val="left"/>
      <w:lvlText w:val="%1."/>
      <w:numFmt w:val="decimal"/>
      <w:start w:val="1"/>
    </w:lvl>
  </w:abstractNum>
  <w:abstractNum w:abstractNumId="30">
    <w:nsid w:val="5C10FE21"/>
    <w:multiLevelType w:val="hybridMultilevel"/>
    <w:lvl w:ilvl="0">
      <w:lvlJc w:val="left"/>
      <w:lvlText w:val="%1."/>
      <w:numFmt w:val="decimal"/>
      <w:start w:val="4"/>
    </w:lvl>
  </w:abstractNum>
  <w:abstractNum w:abstractNumId="31">
    <w:nsid w:val="E7FFA2B"/>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32">
    <w:nsid w:val="3C5991AA"/>
    <w:multiLevelType w:val="hybridMultilevel"/>
    <w:lvl w:ilvl="0">
      <w:lvlJc w:val="left"/>
      <w:lvlText w:val="(%1)"/>
      <w:numFmt w:val="lowerRoman"/>
      <w:start w:val="2"/>
    </w:lvl>
  </w:abstractNum>
  <w:abstractNum w:abstractNumId="33">
    <w:nsid w:val="4BD8591A"/>
    <w:multiLevelType w:val="hybridMultilevel"/>
    <w:lvl w:ilvl="0">
      <w:lvlJc w:val="left"/>
      <w:lvlText w:val="%1"/>
      <w:numFmt w:val="upperLetter"/>
      <w:start w:val="1"/>
    </w:lvl>
    <w:lvl w:ilvl="1">
      <w:lvlJc w:val="left"/>
      <w:lvlText w:val="(%2)"/>
      <w:numFmt w:val="lowerRoman"/>
      <w:start w:val="4"/>
    </w:lvl>
  </w:abstractNum>
  <w:abstractNum w:abstractNumId="34">
    <w:nsid w:val="78DF6A55"/>
    <w:multiLevelType w:val="hybridMultilevel"/>
    <w:lvl w:ilvl="0">
      <w:lvlJc w:val="left"/>
      <w:lvlText w:val="%1."/>
      <w:numFmt w:val="upperLetter"/>
      <w:start w:val="6"/>
    </w:lvl>
    <w:lvl w:ilvl="1">
      <w:lvlJc w:val="left"/>
      <w:lvlText w:val="%2"/>
      <w:numFmt w:val="lowerRoman"/>
      <w:start w:val="1"/>
    </w:lvl>
  </w:abstractNum>
  <w:abstractNum w:abstractNumId="35">
    <w:nsid w:val="39B7AAA2"/>
    <w:multiLevelType w:val="hybridMultilevel"/>
    <w:lvl w:ilvl="0">
      <w:lvlJc w:val="left"/>
      <w:lvlText w:val="%1."/>
      <w:numFmt w:val="upperLetter"/>
      <w:start w:val="8"/>
    </w:lvl>
  </w:abstractNum>
  <w:abstractNum w:abstractNumId="36">
    <w:nsid w:val="2B0D8DBE"/>
    <w:multiLevelType w:val="hybridMultilevel"/>
    <w:lvl w:ilvl="0">
      <w:lvlJc w:val="left"/>
      <w:lvlText w:val="%1"/>
      <w:numFmt w:val="decimal"/>
      <w:start w:val="1"/>
    </w:lvl>
    <w:lvl w:ilvl="1">
      <w:lvlJc w:val="left"/>
      <w:lvlText w:val="%2."/>
      <w:numFmt w:val="upperLetter"/>
      <w:start w:val="11"/>
    </w:lvl>
  </w:abstractNum>
  <w:abstractNum w:abstractNumId="37">
    <w:nsid w:val="6C80EC70"/>
    <w:multiLevelType w:val="hybridMultilevel"/>
    <w:lvl w:ilvl="0">
      <w:lvlJc w:val="left"/>
      <w:lvlText w:val="%1."/>
      <w:numFmt w:val="decimal"/>
      <w:start w:val="8"/>
    </w:lvl>
    <w:lvl w:ilvl="1">
      <w:lvlJc w:val="left"/>
      <w:lvlText w:val="%2."/>
      <w:numFmt w:val="upperLetter"/>
      <w:start w:val="1"/>
    </w:lvl>
  </w:abstractNum>
  <w:abstractNum w:abstractNumId="38">
    <w:nsid w:val="379E21B5"/>
    <w:multiLevelType w:val="hybridMultilevel"/>
    <w:lvl w:ilvl="0">
      <w:lvlJc w:val="left"/>
      <w:lvlText w:val="%1"/>
      <w:numFmt w:val="decimal"/>
      <w:start w:val="1"/>
    </w:lvl>
    <w:lvl w:ilvl="1">
      <w:lvlJc w:val="left"/>
      <w:lvlText w:val="%2."/>
      <w:numFmt w:val="upperLetter"/>
      <w:start w:val="2"/>
    </w:lvl>
  </w:abstractNum>
  <w:abstractNum w:abstractNumId="39">
    <w:nsid w:val="69E373"/>
    <w:multiLevelType w:val="hybridMultilevel"/>
    <w:lvl w:ilvl="0">
      <w:lvlJc w:val="left"/>
      <w:lvlText w:val="%1."/>
      <w:numFmt w:val="decimal"/>
      <w:start w:val="9"/>
    </w:lvl>
    <w:lvl w:ilvl="1">
      <w:lvlJc w:val="left"/>
      <w:lvlText w:val="%2."/>
      <w:numFmt w:val="upperLetter"/>
      <w:start w:val="1"/>
    </w:lvl>
  </w:abstractNum>
  <w:abstractNum w:abstractNumId="40">
    <w:nsid w:val="2C27173B"/>
    <w:multiLevelType w:val="hybridMultilevel"/>
    <w:lvl w:ilvl="0">
      <w:lvlJc w:val="left"/>
      <w:lvlText w:val="%1."/>
      <w:numFmt w:val="decimal"/>
      <w:start w:val="1"/>
    </w:lvl>
  </w:abstractNum>
  <w:abstractNum w:abstractNumId="41">
    <w:nsid w:val="4C9B0904"/>
    <w:multiLevelType w:val="hybridMultilevel"/>
    <w:lvl w:ilvl="0">
      <w:lvlJc w:val="left"/>
      <w:lvlText w:val="%1."/>
      <w:numFmt w:val="decimal"/>
      <w:start w:val="4"/>
    </w:lvl>
  </w:abstractNum>
  <w:abstractNum w:abstractNumId="42">
    <w:nsid w:val="6AA7B75C"/>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43">
    <w:nsid w:val="1DF029D3"/>
    <w:multiLevelType w:val="hybridMultilevel"/>
    <w:lvl w:ilvl="0">
      <w:lvlJc w:val="left"/>
      <w:lvlText w:val="(%1)"/>
      <w:numFmt w:val="lowerRoman"/>
      <w:start w:val="2"/>
    </w:lvl>
  </w:abstractNum>
  <w:abstractNum w:abstractNumId="44">
    <w:nsid w:val="5675FF36"/>
    <w:multiLevelType w:val="hybridMultilevel"/>
    <w:lvl w:ilvl="0">
      <w:lvlJc w:val="left"/>
      <w:lvlText w:val="%1"/>
      <w:numFmt w:val="upperLetter"/>
      <w:start w:val="1"/>
    </w:lvl>
    <w:lvl w:ilvl="1">
      <w:lvlJc w:val="left"/>
      <w:lvlText w:val="(%2)"/>
      <w:numFmt w:val="lowerRoman"/>
      <w:start w:val="4"/>
    </w:lvl>
  </w:abstractNum>
  <w:abstractNum w:abstractNumId="45">
    <w:nsid w:val="3DD15094"/>
    <w:multiLevelType w:val="hybridMultilevel"/>
    <w:lvl w:ilvl="0">
      <w:lvlJc w:val="left"/>
      <w:lvlText w:val="%1."/>
      <w:numFmt w:val="upperLetter"/>
      <w:start w:val="6"/>
    </w:lvl>
    <w:lvl w:ilvl="1">
      <w:lvlJc w:val="left"/>
      <w:lvlText w:val="%2"/>
      <w:numFmt w:val="lowerRoman"/>
      <w:start w:val="1"/>
    </w:lvl>
  </w:abstractNum>
  <w:abstractNum w:abstractNumId="46">
    <w:nsid w:val="3DB012B3"/>
    <w:multiLevelType w:val="hybridMultilevel"/>
    <w:lvl w:ilvl="0">
      <w:lvlJc w:val="left"/>
      <w:lvlText w:val="%1."/>
      <w:numFmt w:val="upperLetter"/>
      <w:start w:val="7"/>
    </w:lvl>
  </w:abstractNum>
  <w:abstractNum w:abstractNumId="47">
    <w:nsid w:val="2708C9AF"/>
    <w:multiLevelType w:val="hybridMultilevel"/>
    <w:lvl w:ilvl="0">
      <w:lvlJc w:val="left"/>
      <w:lvlText w:val="%1"/>
      <w:numFmt w:val="decimal"/>
      <w:start w:val="1"/>
    </w:lvl>
    <w:lvl w:ilvl="1">
      <w:lvlJc w:val="left"/>
      <w:lvlText w:val="%2."/>
      <w:numFmt w:val="upperLetter"/>
      <w:start w:val="11"/>
    </w:lvl>
  </w:abstractNum>
  <w:abstractNum w:abstractNumId="48">
    <w:nsid w:val="5B25ACE2"/>
    <w:multiLevelType w:val="hybridMultilevel"/>
    <w:lvl w:ilvl="0">
      <w:lvlJc w:val="left"/>
      <w:lvlText w:val="%1."/>
      <w:numFmt w:val="decimal"/>
      <w:start w:val="8"/>
    </w:lvl>
    <w:lvl w:ilvl="1">
      <w:lvlJc w:val="left"/>
      <w:lvlText w:val="%2."/>
      <w:numFmt w:val="upperLetter"/>
      <w:start w:val="1"/>
    </w:lvl>
  </w:abstractNum>
  <w:abstractNum w:abstractNumId="49">
    <w:nsid w:val="175DFCF0"/>
    <w:multiLevelType w:val="hybridMultilevel"/>
    <w:lvl w:ilvl="0">
      <w:lvlJc w:val="left"/>
      <w:lvlText w:val="%1"/>
      <w:numFmt w:val="decimal"/>
      <w:start w:val="1"/>
    </w:lvl>
    <w:lvl w:ilvl="1">
      <w:lvlJc w:val="left"/>
      <w:lvlText w:val="%2."/>
      <w:numFmt w:val="upperLetter"/>
      <w:start w:val="2"/>
    </w:lvl>
  </w:abstractNum>
  <w:abstractNum w:abstractNumId="50">
    <w:nsid w:val="4F97E3E4"/>
    <w:multiLevelType w:val="hybridMultilevel"/>
    <w:lvl w:ilvl="0">
      <w:lvlJc w:val="left"/>
      <w:lvlText w:val="%1."/>
      <w:numFmt w:val="decimal"/>
      <w:start w:val="9"/>
    </w:lvl>
    <w:lvl w:ilvl="1">
      <w:lvlJc w:val="left"/>
      <w:lvlText w:val="%2."/>
      <w:numFmt w:val="upperLetter"/>
      <w:start w:val="1"/>
    </w:lvl>
  </w:abstractNum>
  <w:abstractNum w:abstractNumId="51">
    <w:nsid w:val="53B0A9E"/>
    <w:multiLevelType w:val="hybridMultilevel"/>
    <w:lvl w:ilvl="0">
      <w:lvlJc w:val="left"/>
      <w:lvlText w:val="%1."/>
      <w:numFmt w:val="decimal"/>
      <w:start w:val="1"/>
    </w:lvl>
    <w:lvl w:ilvl="1">
      <w:lvlJc w:val="left"/>
      <w:lvlText w:val="%2."/>
      <w:numFmt w:val="lowerLetter"/>
      <w:start w:val="1"/>
    </w:lvl>
  </w:abstractNum>
  <w:abstractNum w:abstractNumId="52">
    <w:nsid w:val="34FD6B4F"/>
    <w:multiLevelType w:val="hybridMultilevel"/>
    <w:lvl w:ilvl="0">
      <w:lvlJc w:val="left"/>
      <w:lvlText w:val="%1."/>
      <w:numFmt w:val="lowerLetter"/>
      <w:start w:val="2"/>
    </w:lvl>
    <w:lvl w:ilvl="1">
      <w:lvlJc w:val="left"/>
      <w:lvlText w:val="%2."/>
      <w:numFmt w:val="lowerRoman"/>
      <w:start w:val="1"/>
    </w:lvl>
  </w:abstractNum>
  <w:abstractNum w:abstractNumId="53">
    <w:nsid w:val="5915FF32"/>
    <w:multiLevelType w:val="hybridMultilevel"/>
    <w:lvl w:ilvl="0">
      <w:lvlJc w:val="left"/>
      <w:lvlText w:val="%1"/>
      <w:numFmt w:val="lowerLetter"/>
      <w:start w:val="1"/>
    </w:lvl>
    <w:lvl w:ilvl="1">
      <w:lvlJc w:val="left"/>
      <w:lvlText w:val="%2."/>
      <w:numFmt w:val="lowerLetter"/>
      <w:start w:val="35"/>
    </w:lvl>
  </w:abstractNum>
  <w:abstractNum w:abstractNumId="54">
    <w:nsid w:val="56438D15"/>
    <w:multiLevelType w:val="hybridMultilevel"/>
    <w:lvl w:ilvl="0">
      <w:lvlJc w:val="left"/>
      <w:lvlText w:val="%1."/>
      <w:numFmt w:val="lowerLetter"/>
      <w:start w:val="4"/>
    </w:lvl>
    <w:lvl w:ilvl="1">
      <w:lvlJc w:val="left"/>
      <w:lvlText w:val="%2."/>
      <w:numFmt w:val="lowerLetter"/>
      <w:start w:val="9"/>
    </w:lvl>
  </w:abstractNum>
  <w:abstractNum w:abstractNumId="55">
    <w:nsid w:val="519E3149"/>
    <w:multiLevelType w:val="hybridMultilevel"/>
    <w:lvl w:ilvl="0">
      <w:lvlJc w:val="left"/>
      <w:lvlText w:val="%1"/>
      <w:numFmt w:val="lowerLetter"/>
      <w:start w:val="1"/>
    </w:lvl>
    <w:lvl w:ilvl="1">
      <w:lvlJc w:val="left"/>
      <w:lvlText w:val="%2."/>
      <w:numFmt w:val="lowerLetter"/>
      <w:start w:val="35"/>
    </w:lvl>
  </w:abstractNum>
  <w:abstractNum w:abstractNumId="56">
    <w:nsid w:val="2C6E4AFD"/>
    <w:multiLevelType w:val="hybridMultilevel"/>
    <w:lvl w:ilvl="0">
      <w:lvlJc w:val="left"/>
      <w:lvlText w:val="%1."/>
      <w:numFmt w:val="lowerLetter"/>
      <w:start w:val="5"/>
    </w:lvl>
    <w:lvl w:ilvl="1">
      <w:lvlJc w:val="left"/>
      <w:lvlText w:val="%2"/>
      <w:numFmt w:val="lowerLetter"/>
      <w:start w:val="1"/>
    </w:lvl>
  </w:abstractNum>
  <w:abstractNum w:abstractNumId="57">
    <w:nsid w:val="17A1B58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8">
    <w:nsid w:val="4DF72E4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9">
    <w:nsid w:val="5046B5A9"/>
    <w:multiLevelType w:val="hybridMultilevel"/>
    <w:lvl w:ilvl="0">
      <w:lvlJc w:val="left"/>
      <w:lvlText w:val="%1."/>
      <w:numFmt w:val="lowerLetter"/>
      <w:start w:val="3"/>
    </w:lvl>
  </w:abstractNum>
  <w:abstractNum w:abstractNumId="60">
    <w:nsid w:val="5D888A08"/>
    <w:multiLevelType w:val="hybridMultilevel"/>
    <w:lvl w:ilvl="0">
      <w:lvlJc w:val="left"/>
      <w:lvlText w:val="%1"/>
      <w:numFmt w:val="lowerLetter"/>
      <w:start w:val="1"/>
    </w:lvl>
    <w:lvl w:ilvl="1">
      <w:lvlJc w:val="left"/>
      <w:lvlText w:val="(%2)"/>
      <w:numFmt w:val="lowerLetter"/>
      <w:start w:val="1"/>
    </w:lvl>
  </w:abstractNum>
  <w:abstractNum w:abstractNumId="61">
    <w:nsid w:val="2A082C70"/>
    <w:multiLevelType w:val="hybridMultilevel"/>
    <w:lvl w:ilvl="0">
      <w:lvlJc w:val="left"/>
      <w:lvlText w:val="(%1)"/>
      <w:numFmt w:val="lowerLetter"/>
      <w:start w:val="35"/>
    </w:lvl>
    <w:lvl w:ilvl="1">
      <w:lvlJc w:val="left"/>
      <w:lvlText w:val="%2"/>
      <w:numFmt w:val="lowerLetter"/>
      <w:start w:val="1"/>
    </w:lvl>
  </w:abstractNum>
  <w:abstractNum w:abstractNumId="62">
    <w:nsid w:val="5EC6AFD4"/>
    <w:multiLevelType w:val="hybridMultilevel"/>
    <w:lvl w:ilvl="0">
      <w:lvlJc w:val="left"/>
      <w:lvlText w:val="(%1)"/>
      <w:numFmt w:val="lowerLetter"/>
      <w:start w:val="3"/>
    </w:lvl>
  </w:abstractNum>
  <w:abstractNum w:abstractNumId="63">
    <w:nsid w:val="19E21BB2"/>
    <w:multiLevelType w:val="hybridMultilevel"/>
    <w:lvl w:ilvl="0">
      <w:lvlJc w:val="left"/>
      <w:lvlText w:val="(%1)"/>
      <w:numFmt w:val="lowerLetter"/>
      <w:start w:val="1"/>
    </w:lvl>
  </w:abstractNum>
  <w:abstractNum w:abstractNumId="64">
    <w:nsid w:val="75E0858A"/>
    <w:multiLevelType w:val="hybridMultilevel"/>
    <w:lvl w:ilvl="0">
      <w:lvlJc w:val="left"/>
      <w:lvlText w:val="(%1)"/>
      <w:numFmt w:val="lowerLetter"/>
      <w:start w:val="1"/>
    </w:lvl>
  </w:abstractNum>
  <w:abstractNum w:abstractNumId="65">
    <w:nsid w:val="57A61A29"/>
    <w:multiLevelType w:val="hybridMultilevel"/>
    <w:lvl w:ilvl="0">
      <w:lvlJc w:val="left"/>
      <w:lvlText w:val="(%1)"/>
      <w:numFmt w:val="lowerLetter"/>
      <w:start w:val="2"/>
    </w:lvl>
  </w:abstractNum>
  <w:abstractNum w:abstractNumId="66">
    <w:nsid w:val="5399C654"/>
    <w:multiLevelType w:val="hybridMultilevel"/>
    <w:lvl w:ilvl="0">
      <w:lvlJc w:val="left"/>
      <w:lvlText w:val="(%1)"/>
      <w:numFmt w:val="lowerLetter"/>
      <w:start w:val="1"/>
    </w:lvl>
  </w:abstractNum>
  <w:abstractNum w:abstractNumId="67">
    <w:nsid w:val="20EE1348"/>
    <w:multiLevelType w:val="hybridMultilevel"/>
    <w:lvl w:ilvl="0">
      <w:lvlJc w:val="left"/>
      <w:lvlText w:val="(%1)"/>
      <w:numFmt w:val="lowerLetter"/>
      <w:start w:val="2"/>
    </w:lvl>
  </w:abstractNum>
  <w:abstractNum w:abstractNumId="68">
    <w:nsid w:val="4427069A"/>
    <w:multiLevelType w:val="hybridMultilevel"/>
    <w:lvl w:ilvl="0">
      <w:lvlJc w:val="left"/>
      <w:lvlText w:val="(%1)"/>
      <w:numFmt w:val="lowerLetter"/>
      <w:start w:val="1"/>
    </w:lvl>
  </w:abstractNum>
  <w:abstractNum w:abstractNumId="69">
    <w:nsid w:val="B37E80A"/>
    <w:multiLevelType w:val="hybridMultilevel"/>
    <w:lvl w:ilvl="0">
      <w:lvlJc w:val="left"/>
      <w:lvlText w:val="(%1)"/>
      <w:numFmt w:val="lowerLetter"/>
      <w:start w:val="1"/>
    </w:lvl>
  </w:abstractNum>
  <w:abstractNum w:abstractNumId="70">
    <w:nsid w:val="2157F6BC"/>
    <w:multiLevelType w:val="hybridMultilevel"/>
    <w:lvl w:ilvl="0">
      <w:lvlJc w:val="left"/>
      <w:lvlText w:val="(%1)"/>
      <w:numFmt w:val="lowerLetter"/>
      <w:start w:val="1"/>
    </w:lvl>
  </w:abstractNum>
  <w:abstractNum w:abstractNumId="71">
    <w:nsid w:val="704E1DD5"/>
    <w:multiLevelType w:val="hybridMultilevel"/>
    <w:lvl w:ilvl="0">
      <w:lvlJc w:val="left"/>
      <w:lvlText w:val="%1"/>
      <w:numFmt w:val="lowerLetter"/>
      <w:start w:val="1"/>
    </w:lvl>
    <w:lvl w:ilvl="1">
      <w:lvlJc w:val="left"/>
      <w:lvlText w:val="(%2)"/>
      <w:numFmt w:val="lowerRoman"/>
      <w:start w:val="1"/>
    </w:lvl>
  </w:abstractNum>
  <w:abstractNum w:abstractNumId="72">
    <w:nsid w:val="57D2F10E"/>
    <w:multiLevelType w:val="hybridMultilevel"/>
    <w:lvl w:ilvl="0">
      <w:lvlJc w:val="left"/>
      <w:lvlText w:val="(%1)"/>
      <w:numFmt w:val="lowerLetter"/>
      <w:start w:val="3"/>
    </w:lvl>
    <w:lvl w:ilvl="1">
      <w:lvlJc w:val="left"/>
      <w:lvlText w:val="(%2)"/>
      <w:numFmt w:val="lowerRoman"/>
      <w:start w:val="1"/>
    </w:lvl>
  </w:abstractNum>
  <w:abstractNum w:abstractNumId="73">
    <w:nsid w:val="BFFAE18"/>
    <w:multiLevelType w:val="hybridMultilevel"/>
    <w:lvl w:ilvl="0">
      <w:lvlJc w:val="left"/>
      <w:lvlText w:val="(%1)"/>
      <w:numFmt w:val="lowerLetter"/>
      <w:start w:val="4"/>
    </w:lvl>
  </w:abstractNum>
  <w:abstractNum w:abstractNumId="74">
    <w:nsid w:val="E3E47A8"/>
    <w:multiLevelType w:val="hybridMultilevel"/>
    <w:lvl w:ilvl="0">
      <w:lvlJc w:val="left"/>
      <w:lvlText w:val="(%1)"/>
      <w:numFmt w:val="decimal"/>
      <w:start w:val="30"/>
    </w:lvl>
  </w:abstractNum>
  <w:abstractNum w:abstractNumId="75">
    <w:nsid w:val="2E48F044"/>
    <w:multiLevelType w:val="hybridMultilevel"/>
    <w:lvl w:ilvl="0">
      <w:lvlJc w:val="left"/>
      <w:lvlText w:val="%1."/>
      <w:numFmt w:val="decimal"/>
      <w:start w:val="1"/>
    </w:lvl>
    <w:lvl w:ilvl="1">
      <w:lvlJc w:val="left"/>
      <w:lvlText w:val="%2."/>
      <w:numFmt w:val="lowerLetter"/>
      <w:start w:val="1"/>
    </w:lvl>
  </w:abstractNum>
  <w:abstractNum w:abstractNumId="76">
    <w:nsid w:val="49D0FE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77">
    <w:nsid w:val="4BEE5A5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8">
    <w:nsid w:val="5551B9F3"/>
    <w:multiLevelType w:val="hybridMultilevel"/>
    <w:lvl w:ilvl="0">
      <w:lvlJc w:val="left"/>
      <w:lvlText w:val="(%1)"/>
      <w:numFmt w:val="upperLetter"/>
      <w:start w:val="2"/>
    </w:lvl>
  </w:abstractNum>
  <w:abstractNum w:abstractNumId="79">
    <w:nsid w:val="24F6AB8E"/>
    <w:multiLevelType w:val="hybridMultilevel"/>
    <w:lvl w:ilvl="0">
      <w:lvlJc w:val="left"/>
      <w:lvlText w:val="%1"/>
      <w:numFmt w:val="lowerLetter"/>
      <w:start w:val="1"/>
    </w:lvl>
    <w:lvl w:ilvl="1">
      <w:lvlJc w:val="left"/>
      <w:lvlText w:val="%2."/>
      <w:numFmt w:val="lowerRoman"/>
      <w:start w:val="2"/>
    </w:lvl>
  </w:abstractNum>
  <w:abstractNum w:abstractNumId="80">
    <w:nsid w:val="634C574C"/>
    <w:multiLevelType w:val="hybridMultilevel"/>
    <w:lvl w:ilvl="0">
      <w:lvlJc w:val="left"/>
      <w:lvlText w:val="%1."/>
      <w:numFmt w:val="lowerLetter"/>
      <w:start w:val="2"/>
    </w:lvl>
    <w:lvl w:ilvl="1">
      <w:lvlJc w:val="left"/>
      <w:lvlText w:val="%2"/>
      <w:numFmt w:val="lowerRoman"/>
      <w:start w:val="1"/>
    </w:lvl>
  </w:abstractNum>
  <w:abstractNum w:abstractNumId="81">
    <w:nsid w:val="24E99DD7"/>
    <w:multiLevelType w:val="hybridMultilevel"/>
    <w:lvl w:ilvl="0">
      <w:lvlJc w:val="left"/>
      <w:lvlText w:val="(%1)"/>
      <w:numFmt w:val="lowerRoman"/>
      <w:start w:val="1"/>
    </w:lvl>
  </w:abstractNum>
  <w:abstractNum w:abstractNumId="82">
    <w:nsid w:val="2A31B62D"/>
    <w:multiLevelType w:val="hybridMultilevel"/>
    <w:lvl w:ilvl="0">
      <w:lvlJc w:val="left"/>
      <w:lvlText w:val="%1."/>
      <w:numFmt w:val="lowerLetter"/>
      <w:start w:val="4"/>
    </w:lvl>
    <w:lvl w:ilvl="1">
      <w:lvlJc w:val="left"/>
      <w:lvlText w:val="%2"/>
      <w:numFmt w:val="lowerLetter"/>
      <w:start w:val="1"/>
    </w:lvl>
  </w:abstractNum>
  <w:abstractNum w:abstractNumId="83">
    <w:nsid w:val="1849C29B"/>
    <w:multiLevelType w:val="hybridMultilevel"/>
    <w:lvl w:ilvl="0">
      <w:lvlJc w:val="left"/>
      <w:lvlText w:val="%1."/>
      <w:numFmt w:val="lowerRoman"/>
      <w:start w:val="2"/>
    </w:lvl>
  </w:abstractNum>
  <w:abstractNum w:abstractNumId="84">
    <w:nsid w:val="7DFF9D09"/>
    <w:multiLevelType w:val="hybridMultilevel"/>
    <w:lvl w:ilvl="0">
      <w:lvlJc w:val="left"/>
      <w:lvlText w:val="%1"/>
      <w:numFmt w:val="lowerLetter"/>
      <w:start w:val="1"/>
    </w:lvl>
    <w:lvl w:ilvl="1">
      <w:lvlJc w:val="left"/>
      <w:lvlText w:val="%2."/>
      <w:numFmt w:val="lowerLetter"/>
      <w:start w:val="61"/>
    </w:lvl>
  </w:abstractNum>
  <w:abstractNum w:abstractNumId="85">
    <w:nsid w:val="754342"/>
    <w:multiLevelType w:val="hybridMultilevel"/>
    <w:lvl w:ilvl="0">
      <w:lvlJc w:val="left"/>
      <w:lvlText w:val="%1."/>
      <w:numFmt w:val="lowerLetter"/>
      <w:start w:val="5"/>
    </w:lvl>
    <w:lvl w:ilvl="1">
      <w:lvlJc w:val="left"/>
      <w:lvlText w:val="%2."/>
      <w:numFmt w:val="lowerLetter"/>
      <w:start w:val="9"/>
    </w:lvl>
  </w:abstractNum>
  <w:abstractNum w:abstractNumId="86">
    <w:nsid w:val="69E7F3E5"/>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87">
    <w:nsid w:val="2A6DE806"/>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88">
    <w:nsid w:val="1816F8C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89">
    <w:nsid w:val="37DF2233"/>
    <w:multiLevelType w:val="hybridMultilevel"/>
    <w:lvl w:ilvl="0">
      <w:lvlJc w:val="left"/>
      <w:lvlText w:val="%1."/>
      <w:numFmt w:val="decimal"/>
      <w:start w:val="3"/>
    </w:lvl>
  </w:abstractNum>
  <w:abstractNum w:abstractNumId="90">
    <w:nsid w:val="7AB49DAF"/>
    <w:multiLevelType w:val="hybridMultilevel"/>
    <w:lvl w:ilvl="0">
      <w:lvlJc w:val="left"/>
      <w:lvlText w:val="%1."/>
      <w:numFmt w:val="decimal"/>
      <w:start w:val="8"/>
    </w:lvl>
  </w:abstractNum>
  <w:abstractNum w:abstractNumId="91">
    <w:nsid w:val="759F82CD"/>
    <w:multiLevelType w:val="hybridMultilevel"/>
    <w:lvl w:ilvl="0">
      <w:lvlJc w:val="left"/>
      <w:lvlText w:val="-"/>
      <w:numFmt w:val="bullet"/>
      <w:start w:val="1"/>
    </w:lvl>
  </w:abstractNum>
  <w:abstractNum w:abstractNumId="92">
    <w:nsid w:val="61E74EA3"/>
    <w:multiLevelType w:val="hybridMultilevel"/>
    <w:lvl w:ilvl="0">
      <w:lvlJc w:val="left"/>
      <w:lvlText w:val="-"/>
      <w:numFmt w:val="bullet"/>
      <w:start w:val="1"/>
    </w:lvl>
  </w:abstractNum>
  <w:abstractNum w:abstractNumId="93">
    <w:nsid w:val="597B4D84"/>
    <w:multiLevelType w:val="hybridMultilevel"/>
    <w:lvl w:ilvl="0">
      <w:lvlJc w:val="left"/>
      <w:lvlText w:val="(%1)"/>
      <w:numFmt w:val="decimal"/>
      <w:start w:val="1"/>
    </w:lvl>
  </w:abstractNum>
  <w:abstractNum w:abstractNumId="94">
    <w:nsid w:val="F819E7F"/>
    <w:multiLevelType w:val="hybridMultilevel"/>
    <w:lvl w:ilvl="0">
      <w:lvlJc w:val="left"/>
      <w:lvlText w:val="-"/>
      <w:numFmt w:val="bullet"/>
      <w:start w:val="1"/>
    </w:lvl>
  </w:abstractNum>
  <w:abstractNum w:abstractNumId="95">
    <w:nsid w:val="57C7D42D"/>
    <w:multiLevelType w:val="hybridMultilevel"/>
    <w:lvl w:ilvl="0">
      <w:lvlJc w:val="left"/>
      <w:lvlText w:val="-"/>
      <w:numFmt w:val="bullet"/>
      <w:start w:val="1"/>
    </w:lvl>
  </w:abstractNum>
  <w:abstractNum w:abstractNumId="96">
    <w:nsid w:val="312167AD"/>
    <w:multiLevelType w:val="hybridMultilevel"/>
    <w:lvl w:ilvl="0">
      <w:lvlJc w:val="left"/>
      <w:lvlText w:val="-"/>
      <w:numFmt w:val="bullet"/>
      <w:start w:val="1"/>
    </w:lvl>
  </w:abstractNum>
  <w:abstractNum w:abstractNumId="97">
    <w:nsid w:val="631B64D4"/>
    <w:multiLevelType w:val="hybridMultilevel"/>
    <w:lvl w:ilvl="0">
      <w:lvlJc w:val="left"/>
      <w:lvlText w:val="-"/>
      <w:numFmt w:val="bullet"/>
      <w:start w:val="1"/>
    </w:lvl>
  </w:abstractNum>
  <w:abstractNum w:abstractNumId="98">
    <w:nsid w:val="78B5E776"/>
    <w:multiLevelType w:val="hybridMultilevel"/>
    <w:lvl w:ilvl="0">
      <w:lvlJc w:val="left"/>
      <w:lvlText w:val="-"/>
      <w:numFmt w:val="bullet"/>
      <w:start w:val="1"/>
    </w:lvl>
  </w:abstractNum>
  <w:abstractNum w:abstractNumId="99">
    <w:nsid w:val="75486E47"/>
    <w:multiLevelType w:val="hybridMultilevel"/>
    <w:lvl w:ilvl="0">
      <w:lvlJc w:val="left"/>
      <w:lvlText w:val="-"/>
      <w:numFmt w:val="bullet"/>
      <w:start w:val="1"/>
    </w:lvl>
  </w:abstractNum>
  <w:abstractNum w:abstractNumId="100">
    <w:nsid w:val="6E534CDE"/>
    <w:multiLevelType w:val="hybridMultilevel"/>
    <w:lvl w:ilvl="0">
      <w:lvlJc w:val="left"/>
      <w:lvlText w:val="-"/>
      <w:numFmt w:val="bullet"/>
      <w:start w:val="1"/>
    </w:lvl>
  </w:abstractNum>
  <w:abstractNum w:abstractNumId="101">
    <w:nsid w:val="1A0DDE32"/>
    <w:multiLevelType w:val="hybridMultilevel"/>
    <w:lvl w:ilvl="0">
      <w:lvlJc w:val="left"/>
      <w:lvlText w:val="-"/>
      <w:numFmt w:val="bullet"/>
      <w:start w:val="1"/>
    </w:lvl>
  </w:abstractNum>
  <w:abstractNum w:abstractNumId="102">
    <w:nsid w:val="65968C1C"/>
    <w:multiLevelType w:val="hybridMultilevel"/>
    <w:lvl w:ilvl="0">
      <w:lvlJc w:val="left"/>
      <w:lvlText w:val="-"/>
      <w:numFmt w:val="bullet"/>
      <w:start w:val="1"/>
    </w:lvl>
  </w:abstractNum>
  <w:abstractNum w:abstractNumId="103">
    <w:nsid w:val="46263DEC"/>
    <w:multiLevelType w:val="hybridMultilevel"/>
    <w:lvl w:ilvl="0">
      <w:lvlJc w:val="left"/>
      <w:lvlText w:val="-"/>
      <w:numFmt w:val="bullet"/>
      <w:start w:val="1"/>
    </w:lvl>
    <w:lvl w:ilvl="1">
      <w:lvlJc w:val="left"/>
      <w:lvlText w:val="*"/>
      <w:numFmt w:val="bullet"/>
      <w:start w:val="1"/>
    </w:lvl>
  </w:abstractNum>
  <w:abstractNum w:abstractNumId="104">
    <w:nsid w:val="260D8C4A"/>
    <w:multiLevelType w:val="hybridMultilevel"/>
    <w:lvl w:ilvl="0">
      <w:lvlJc w:val="left"/>
      <w:lvlText w:val="-"/>
      <w:numFmt w:val="bullet"/>
      <w:start w:val="1"/>
    </w:lvl>
    <w:lvl w:ilvl="1">
      <w:lvlJc w:val="left"/>
      <w:lvlText w:val="**"/>
      <w:numFmt w:val="bullet"/>
      <w:start w:val="1"/>
    </w:lvl>
  </w:abstractNum>
  <w:abstractNum w:abstractNumId="105">
    <w:nsid w:val="73D4D3C4"/>
    <w:multiLevelType w:val="hybridMultilevel"/>
    <w:lvl w:ilvl="0">
      <w:lvlJc w:val="left"/>
      <w:lvlText w:val="-"/>
      <w:numFmt w:val="bullet"/>
      <w:start w:val="1"/>
    </w:lvl>
    <w:lvl w:ilvl="1">
      <w:lvlJc w:val="left"/>
      <w:lvlText w:val="***"/>
      <w:numFmt w:val="bullet"/>
      <w:start w:val="1"/>
    </w:lvl>
  </w:abstractNum>
  <w:abstractNum w:abstractNumId="106">
    <w:nsid w:val="746F2E30"/>
    <w:multiLevelType w:val="hybridMultilevel"/>
    <w:lvl w:ilvl="0">
      <w:lvlJc w:val="left"/>
      <w:lvlText w:val="-"/>
      <w:numFmt w:val="bullet"/>
      <w:start w:val="1"/>
    </w:lvl>
    <w:lvl w:ilvl="1">
      <w:lvlJc w:val="left"/>
      <w:lvlText w:val="****"/>
      <w:numFmt w:val="bullet"/>
      <w:start w:val="1"/>
    </w:lvl>
  </w:abstractNum>
  <w:abstractNum w:abstractNumId="107">
    <w:nsid w:val="6FDE8AF6"/>
    <w:multiLevelType w:val="hybridMultilevel"/>
    <w:lvl w:ilvl="0">
      <w:lvlJc w:val="left"/>
      <w:lvlText w:val="-"/>
      <w:numFmt w:val="bullet"/>
      <w:start w:val="1"/>
    </w:lvl>
  </w:abstractNum>
  <w:abstractNum w:abstractNumId="108">
    <w:nsid w:val="3FC32E20"/>
    <w:multiLevelType w:val="hybridMultilevel"/>
    <w:lvl w:ilvl="0">
      <w:lvlJc w:val="left"/>
      <w:lvlText w:val="-"/>
      <w:numFmt w:val="bullet"/>
      <w:start w:val="1"/>
    </w:lvl>
  </w:abstractNum>
  <w:abstractNum w:abstractNumId="109">
    <w:nsid w:val="49C0E823"/>
    <w:multiLevelType w:val="hybridMultilevel"/>
    <w:lvl w:ilvl="0">
      <w:lvlJc w:val="left"/>
      <w:lvlText w:val="-"/>
      <w:numFmt w:val="bullet"/>
      <w:start w:val="1"/>
    </w:lvl>
  </w:abstractNum>
  <w:abstractNum w:abstractNumId="110">
    <w:nsid w:val="14D53685"/>
    <w:multiLevelType w:val="hybridMultilevel"/>
    <w:lvl w:ilvl="0">
      <w:lvlJc w:val="left"/>
      <w:lvlText w:val="-"/>
      <w:numFmt w:val="bullet"/>
      <w:start w:val="1"/>
    </w:lvl>
  </w:abstractNum>
  <w:abstractNum w:abstractNumId="111">
    <w:nsid w:val="230F856C"/>
    <w:multiLevelType w:val="hybridMultilevel"/>
    <w:lvl w:ilvl="0">
      <w:lvlJc w:val="left"/>
      <w:lvlText w:val="-"/>
      <w:numFmt w:val="bullet"/>
      <w:start w:val="1"/>
    </w:lvl>
  </w:abstractNum>
  <w:abstractNum w:abstractNumId="112">
    <w:nsid w:val="6EAA85FB"/>
    <w:multiLevelType w:val="hybridMultilevel"/>
    <w:lvl w:ilvl="0">
      <w:lvlJc w:val="left"/>
      <w:lvlText w:val="-"/>
      <w:numFmt w:val="bullet"/>
      <w:start w:val="1"/>
    </w:lvl>
  </w:abstractNum>
  <w:abstractNum w:abstractNumId="113">
    <w:nsid w:val="3F06ECB2"/>
    <w:multiLevelType w:val="hybridMultilevel"/>
    <w:lvl w:ilvl="0">
      <w:lvlJc w:val="left"/>
      <w:lvlText w:val="-"/>
      <w:numFmt w:val="bullet"/>
      <w:start w:val="1"/>
    </w:lvl>
  </w:abstractNum>
  <w:abstractNum w:abstractNumId="114">
    <w:nsid w:val="3B594807"/>
    <w:multiLevelType w:val="hybridMultilevel"/>
    <w:lvl w:ilvl="0">
      <w:lvlJc w:val="left"/>
      <w:lvlText w:val="-"/>
      <w:numFmt w:val="bullet"/>
      <w:start w:val="1"/>
    </w:lvl>
  </w:abstractNum>
  <w:abstractNum w:abstractNumId="115">
    <w:nsid w:val="6CAA2304"/>
    <w:multiLevelType w:val="hybridMultilevel"/>
    <w:lvl w:ilvl="0">
      <w:lvlJc w:val="left"/>
      <w:lvlText w:val="-"/>
      <w:numFmt w:val="bullet"/>
      <w:start w:val="1"/>
    </w:lvl>
  </w:abstractNum>
  <w:abstractNum w:abstractNumId="116">
    <w:nsid w:val="3F7C2FF4"/>
    <w:multiLevelType w:val="hybridMultilevel"/>
    <w:lvl w:ilvl="0">
      <w:lvlJc w:val="left"/>
      <w:lvlText w:val="-"/>
      <w:numFmt w:val="bullet"/>
      <w:start w:val="1"/>
    </w:lvl>
  </w:abstractNum>
  <w:abstractNum w:abstractNumId="117">
    <w:nsid w:val="25413BEC"/>
    <w:multiLevelType w:val="hybridMultilevel"/>
    <w:lvl w:ilvl="0">
      <w:lvlJc w:val="left"/>
      <w:lvlText w:val="-"/>
      <w:numFmt w:val="bullet"/>
      <w:start w:val="1"/>
    </w:lvl>
  </w:abstractNum>
  <w:abstractNum w:abstractNumId="118">
    <w:nsid w:val="17180B0B"/>
    <w:multiLevelType w:val="hybridMultilevel"/>
    <w:lvl w:ilvl="0">
      <w:lvlJc w:val="left"/>
      <w:lvlText w:val="-"/>
      <w:numFmt w:val="bullet"/>
      <w:start w:val="1"/>
    </w:lvl>
  </w:abstractNum>
  <w:abstractNum w:abstractNumId="119">
    <w:nsid w:val="579328B9"/>
    <w:multiLevelType w:val="hybridMultilevel"/>
    <w:lvl w:ilvl="0">
      <w:lvlJc w:val="left"/>
      <w:lvlText w:val="-"/>
      <w:numFmt w:val="bullet"/>
      <w:start w:val="1"/>
    </w:lvl>
  </w:abstractNum>
  <w:abstractNum w:abstractNumId="120">
    <w:nsid w:val="5D205E20"/>
    <w:multiLevelType w:val="hybridMultilevel"/>
    <w:lvl w:ilvl="0">
      <w:lvlJc w:val="left"/>
      <w:lvlText w:val="-"/>
      <w:numFmt w:val="bullet"/>
      <w:start w:val="1"/>
    </w:lvl>
  </w:abstractNum>
  <w:abstractNum w:abstractNumId="121">
    <w:nsid w:val="11CCA8BA"/>
    <w:multiLevelType w:val="hybridMultilevel"/>
    <w:lvl w:ilvl="0">
      <w:lvlJc w:val="left"/>
      <w:lvlText w:val="-"/>
      <w:numFmt w:val="bullet"/>
      <w:start w:val="1"/>
    </w:lvl>
  </w:abstractNum>
  <w:abstractNum w:abstractNumId="122">
    <w:nsid w:val="4D32AB86"/>
    <w:multiLevelType w:val="hybridMultilevel"/>
    <w:lvl w:ilvl="0">
      <w:lvlJc w:val="left"/>
      <w:lvlText w:val="-"/>
      <w:numFmt w:val="bullet"/>
      <w:start w:val="1"/>
    </w:lvl>
  </w:abstractNum>
  <w:abstractNum w:abstractNumId="123">
    <w:nsid w:val="3F07ACC3"/>
    <w:multiLevelType w:val="hybridMultilevel"/>
    <w:lvl w:ilvl="0">
      <w:lvlJc w:val="left"/>
      <w:lvlText w:val="-"/>
      <w:numFmt w:val="bullet"/>
      <w:start w:val="1"/>
    </w:lvl>
  </w:abstractNum>
  <w:abstractNum w:abstractNumId="124">
    <w:nsid w:val="6B47F63E"/>
    <w:multiLevelType w:val="hybridMultilevel"/>
    <w:lvl w:ilvl="0">
      <w:lvlJc w:val="left"/>
      <w:lvlText w:val="-"/>
      <w:numFmt w:val="bullet"/>
      <w:start w:val="1"/>
    </w:lvl>
  </w:abstractNum>
  <w:abstractNum w:abstractNumId="125">
    <w:nsid w:val="5CB44A05"/>
    <w:multiLevelType w:val="hybridMultilevel"/>
    <w:lvl w:ilvl="0">
      <w:lvlJc w:val="left"/>
      <w:lvlText w:val="-"/>
      <w:numFmt w:val="bullet"/>
      <w:start w:val="1"/>
    </w:lvl>
  </w:abstractNum>
  <w:abstractNum w:abstractNumId="126">
    <w:nsid w:val="16CF80F1"/>
    <w:multiLevelType w:val="hybridMultilevel"/>
    <w:lvl w:ilvl="0">
      <w:lvlJc w:val="left"/>
      <w:lvlText w:val="-"/>
      <w:numFmt w:val="bullet"/>
      <w:start w:val="1"/>
    </w:lvl>
  </w:abstractNum>
  <w:abstractNum w:abstractNumId="127">
    <w:nsid w:val="1C695DEC"/>
    <w:multiLevelType w:val="hybridMultilevel"/>
    <w:lvl w:ilvl="0">
      <w:lvlJc w:val="left"/>
      <w:lvlText w:val="-"/>
      <w:numFmt w:val="bullet"/>
      <w:start w:val="1"/>
    </w:lvl>
  </w:abstractNum>
  <w:abstractNum w:abstractNumId="128">
    <w:nsid w:val="3FCFAED9"/>
    <w:multiLevelType w:val="hybridMultilevel"/>
    <w:lvl w:ilvl="0">
      <w:lvlJc w:val="left"/>
      <w:lvlText w:val="-"/>
      <w:numFmt w:val="bullet"/>
      <w:start w:val="1"/>
    </w:lvl>
  </w:abstractNum>
  <w:abstractNum w:abstractNumId="129">
    <w:nsid w:val="F856867"/>
    <w:multiLevelType w:val="hybridMultilevel"/>
    <w:lvl w:ilvl="0">
      <w:lvlJc w:val="left"/>
      <w:lvlText w:val="-"/>
      <w:numFmt w:val="bullet"/>
      <w:start w:val="1"/>
    </w:lvl>
  </w:abstractNum>
  <w:abstractNum w:abstractNumId="130">
    <w:nsid w:val="11B1CC33"/>
    <w:multiLevelType w:val="hybridMultilevel"/>
    <w:lvl w:ilvl="0">
      <w:lvlJc w:val="left"/>
      <w:lvlText w:val="-"/>
      <w:numFmt w:val="bullet"/>
      <w:start w:val="1"/>
    </w:lvl>
  </w:abstractNum>
  <w:abstractNum w:abstractNumId="131">
    <w:nsid w:val="2E22FBB7"/>
    <w:multiLevelType w:val="hybridMultilevel"/>
    <w:lvl w:ilvl="0">
      <w:lvlJc w:val="left"/>
      <w:lvlText w:val="-"/>
      <w:numFmt w:val="bullet"/>
      <w:start w:val="1"/>
    </w:lvl>
  </w:abstractNum>
  <w:abstractNum w:abstractNumId="132">
    <w:nsid w:val="29934699"/>
    <w:multiLevelType w:val="hybridMultilevel"/>
    <w:lvl w:ilvl="0">
      <w:lvlJc w:val="left"/>
      <w:lvlText w:val="-"/>
      <w:numFmt w:val="bullet"/>
      <w:start w:val="1"/>
    </w:lvl>
  </w:abstractNum>
  <w:abstractNum w:abstractNumId="133">
    <w:nsid w:val="77485850"/>
    <w:multiLevelType w:val="hybridMultilevel"/>
    <w:lvl w:ilvl="0">
      <w:lvlJc w:val="left"/>
      <w:lvlText w:val="-"/>
      <w:numFmt w:val="bullet"/>
      <w:start w:val="1"/>
    </w:lvl>
  </w:abstractNum>
  <w:abstractNum w:abstractNumId="134">
    <w:nsid w:val="744939A3"/>
    <w:multiLevelType w:val="hybridMultilevel"/>
    <w:lvl w:ilvl="0">
      <w:lvlJc w:val="left"/>
      <w:lvlText w:val="-"/>
      <w:numFmt w:val="bullet"/>
      <w:start w:val="1"/>
    </w:lvl>
  </w:abstractNum>
  <w:abstractNum w:abstractNumId="135">
    <w:nsid w:val="4FA0D2E3"/>
    <w:multiLevelType w:val="hybridMultilevel"/>
    <w:lvl w:ilvl="0">
      <w:lvlJc w:val="left"/>
      <w:lvlText w:val="-"/>
      <w:numFmt w:val="bullet"/>
      <w:start w:val="1"/>
    </w:lvl>
  </w:abstractNum>
  <w:abstractNum w:abstractNumId="136">
    <w:nsid w:val="6B1D2C14"/>
    <w:multiLevelType w:val="hybridMultilevel"/>
    <w:lvl w:ilvl="0">
      <w:lvlJc w:val="left"/>
      <w:lvlText w:val="-"/>
      <w:numFmt w:val="bullet"/>
      <w:start w:val="1"/>
    </w:lvl>
  </w:abstractNum>
  <w:abstractNum w:abstractNumId="137">
    <w:nsid w:val="68B867D3"/>
    <w:multiLevelType w:val="hybridMultilevel"/>
    <w:lvl w:ilvl="0">
      <w:lvlJc w:val="left"/>
      <w:lvlText w:val="-"/>
      <w:numFmt w:val="bullet"/>
      <w:start w:val="1"/>
    </w:lvl>
  </w:abstractNum>
  <w:abstractNum w:abstractNumId="138">
    <w:nsid w:val="3F7F5DD9"/>
    <w:multiLevelType w:val="hybridMultilevel"/>
    <w:lvl w:ilvl="0">
      <w:lvlJc w:val="left"/>
      <w:lvlText w:val="-"/>
      <w:numFmt w:val="bullet"/>
      <w:start w:val="1"/>
    </w:lvl>
  </w:abstractNum>
  <w:abstractNum w:abstractNumId="139">
    <w:nsid w:val="2AE05A34"/>
    <w:multiLevelType w:val="hybridMultilevel"/>
    <w:lvl w:ilvl="0">
      <w:lvlJc w:val="left"/>
      <w:lvlText w:val="-"/>
      <w:numFmt w:val="bullet"/>
      <w:start w:val="1"/>
    </w:lvl>
  </w:abstractNum>
  <w:abstractNum w:abstractNumId="140">
    <w:nsid w:val="32794FF7"/>
    <w:multiLevelType w:val="hybridMultilevel"/>
    <w:lvl w:ilvl="0">
      <w:lvlJc w:val="left"/>
      <w:lvlText w:val="-"/>
      <w:numFmt w:val="bullet"/>
      <w:start w:val="1"/>
    </w:lvl>
  </w:abstractNum>
  <w:abstractNum w:abstractNumId="141">
    <w:nsid w:val="5454945E"/>
    <w:multiLevelType w:val="hybridMultilevel"/>
    <w:lvl w:ilvl="0">
      <w:lvlJc w:val="left"/>
      <w:lvlText w:val="-"/>
      <w:numFmt w:val="bullet"/>
      <w:start w:val="1"/>
    </w:lvl>
  </w:abstractNum>
  <w:abstractNum w:abstractNumId="142">
    <w:nsid w:val="4DEFDFA0"/>
    <w:multiLevelType w:val="hybridMultilevel"/>
    <w:lvl w:ilvl="0">
      <w:lvlJc w:val="left"/>
      <w:lvlText w:val="-"/>
      <w:numFmt w:val="bullet"/>
      <w:start w:val="1"/>
    </w:lvl>
  </w:abstractNum>
  <w:abstractNum w:abstractNumId="143">
    <w:nsid w:val="2123D5F2"/>
    <w:multiLevelType w:val="hybridMultilevel"/>
    <w:lvl w:ilvl="0">
      <w:lvlJc w:val="left"/>
      <w:lvlText w:val="-"/>
      <w:numFmt w:val="bullet"/>
      <w:start w:val="1"/>
    </w:lvl>
  </w:abstractNum>
  <w:abstractNum w:abstractNumId="144">
    <w:nsid w:val="135B8110"/>
    <w:multiLevelType w:val="hybridMultilevel"/>
    <w:lvl w:ilvl="0">
      <w:lvlJc w:val="left"/>
      <w:lvlText w:val="-"/>
      <w:numFmt w:val="bullet"/>
      <w:start w:val="1"/>
    </w:lvl>
  </w:abstractNum>
  <w:abstractNum w:abstractNumId="145">
    <w:nsid w:val="94927A8"/>
    <w:multiLevelType w:val="hybridMultilevel"/>
    <w:lvl w:ilvl="0">
      <w:lvlJc w:val="left"/>
      <w:lvlText w:val="-"/>
      <w:numFmt w:val="bullet"/>
      <w:start w:val="1"/>
    </w:lvl>
  </w:abstractNum>
  <w:abstractNum w:abstractNumId="146">
    <w:nsid w:val="DCDF8F6"/>
    <w:multiLevelType w:val="hybridMultilevel"/>
    <w:lvl w:ilvl="0">
      <w:lvlJc w:val="left"/>
      <w:lvlText w:val="-"/>
      <w:numFmt w:val="bullet"/>
      <w:start w:val="1"/>
    </w:lvl>
  </w:abstractNum>
  <w:abstractNum w:abstractNumId="147">
    <w:nsid w:val="52D7B105"/>
    <w:multiLevelType w:val="hybridMultilevel"/>
    <w:lvl w:ilvl="0">
      <w:lvlJc w:val="left"/>
      <w:lvlText w:val="-"/>
      <w:numFmt w:val="bullet"/>
      <w:start w:val="1"/>
    </w:lvl>
  </w:abstractNum>
  <w:abstractNum w:abstractNumId="148">
    <w:nsid w:val="2E8A6394"/>
    <w:multiLevelType w:val="hybridMultilevel"/>
    <w:lvl w:ilvl="0">
      <w:lvlJc w:val="left"/>
      <w:lvlText w:val="-"/>
      <w:numFmt w:val="bullet"/>
      <w:start w:val="1"/>
    </w:lvl>
  </w:abstractNum>
  <w:abstractNum w:abstractNumId="149">
    <w:nsid w:val="24E60401"/>
    <w:multiLevelType w:val="hybridMultilevel"/>
    <w:lvl w:ilvl="0">
      <w:lvlJc w:val="left"/>
      <w:lvlText w:val="-"/>
      <w:numFmt w:val="bullet"/>
      <w:start w:val="1"/>
    </w:lvl>
  </w:abstractNum>
  <w:abstractNum w:abstractNumId="150">
    <w:nsid w:val="2A6AD9BE"/>
    <w:multiLevelType w:val="hybridMultilevel"/>
    <w:lvl w:ilvl="0">
      <w:lvlJc w:val="left"/>
      <w:lvlText w:val="-"/>
      <w:numFmt w:val="bullet"/>
      <w:start w:val="1"/>
    </w:lvl>
  </w:abstractNum>
  <w:abstractNum w:abstractNumId="151">
    <w:nsid w:val="BAAC1B4"/>
    <w:multiLevelType w:val="hybridMultilevel"/>
    <w:lvl w:ilvl="0">
      <w:lvlJc w:val="left"/>
      <w:lvlText w:val="-"/>
      <w:numFmt w:val="bullet"/>
      <w:start w:val="1"/>
    </w:lvl>
  </w:abstractNum>
  <w:abstractNum w:abstractNumId="152">
    <w:nsid w:val="36B2ACBC"/>
    <w:multiLevelType w:val="hybridMultilevel"/>
    <w:lvl w:ilvl="0">
      <w:lvlJc w:val="left"/>
      <w:lvlText w:val="-"/>
      <w:numFmt w:val="bullet"/>
      <w:start w:val="1"/>
    </w:lvl>
  </w:abstractNum>
  <w:abstractNum w:abstractNumId="153">
    <w:nsid w:val="779D8544"/>
    <w:multiLevelType w:val="hybridMultilevel"/>
    <w:lvl w:ilvl="0">
      <w:lvlJc w:val="left"/>
      <w:lvlText w:val="-"/>
      <w:numFmt w:val="bullet"/>
      <w:start w:val="1"/>
    </w:lvl>
  </w:abstractNum>
  <w:abstractNum w:abstractNumId="154">
    <w:nsid w:val="4AB26E78"/>
    <w:multiLevelType w:val="hybridMultilevel"/>
    <w:lvl w:ilvl="0">
      <w:lvlJc w:val="left"/>
      <w:lvlText w:val="1"/>
      <w:numFmt w:val="bullet"/>
      <w:start w:val="1"/>
    </w:lvl>
  </w:abstractNum>
  <w:abstractNum w:abstractNumId="155">
    <w:nsid w:val="21FAA2FA"/>
    <w:multiLevelType w:val="hybridMultilevel"/>
    <w:lvl w:ilvl="0">
      <w:lvlJc w:val="left"/>
      <w:lvlText w:val="2"/>
      <w:numFmt w:val="bullet"/>
      <w:start w:val="1"/>
    </w:lvl>
  </w:abstractNum>
  <w:abstractNum w:abstractNumId="156">
    <w:nsid w:val="5451CF49"/>
    <w:multiLevelType w:val="hybridMultilevel"/>
    <w:lvl w:ilvl="0">
      <w:lvlJc w:val="left"/>
      <w:lvlText w:val="3"/>
      <w:numFmt w:val="bullet"/>
      <w:start w:val="1"/>
    </w:lvl>
  </w:abstractNum>
  <w:abstractNum w:abstractNumId="157">
    <w:nsid w:val="6181EF69"/>
    <w:multiLevelType w:val="hybridMultilevel"/>
    <w:lvl w:ilvl="0">
      <w:lvlJc w:val="left"/>
      <w:lvlText w:val="-"/>
      <w:numFmt w:val="bullet"/>
      <w:start w:val="1"/>
    </w:lvl>
  </w:abstractNum>
  <w:abstractNum w:abstractNumId="158">
    <w:nsid w:val="3E6400E6"/>
    <w:multiLevelType w:val="hybridMultilevel"/>
    <w:lvl w:ilvl="0">
      <w:lvlJc w:val="left"/>
      <w:lvlText w:val="-"/>
      <w:numFmt w:val="bullet"/>
      <w:start w:val="1"/>
    </w:lvl>
  </w:abstractNum>
  <w:abstractNum w:abstractNumId="159">
    <w:nsid w:val="14217E23"/>
    <w:multiLevelType w:val="hybridMultilevel"/>
    <w:lvl w:ilvl="0">
      <w:lvlJc w:val="left"/>
      <w:lvlText w:val="-"/>
      <w:numFmt w:val="bullet"/>
      <w:start w:val="1"/>
    </w:lvl>
  </w:abstractNum>
  <w:abstractNum w:abstractNumId="160">
    <w:nsid w:val="710757D0"/>
    <w:multiLevelType w:val="hybridMultilevel"/>
    <w:lvl w:ilvl="0">
      <w:lvlJc w:val="left"/>
      <w:lvlText w:val="4"/>
      <w:numFmt w:val="bullet"/>
      <w:start w:val="1"/>
    </w:lvl>
  </w:abstractNum>
  <w:abstractNum w:abstractNumId="161">
    <w:nsid w:val="5015CD1A"/>
    <w:multiLevelType w:val="hybridMultilevel"/>
    <w:lvl w:ilvl="0">
      <w:lvlJc w:val="left"/>
      <w:lvlText w:val="-"/>
      <w:numFmt w:val="bullet"/>
      <w:start w:val="1"/>
    </w:lvl>
  </w:abstractNum>
  <w:abstractNum w:abstractNumId="162">
    <w:nsid w:val="424479DA"/>
    <w:multiLevelType w:val="hybridMultilevel"/>
    <w:lvl w:ilvl="0">
      <w:lvlJc w:val="left"/>
      <w:lvlText w:val="-"/>
      <w:numFmt w:val="bullet"/>
      <w:start w:val="1"/>
    </w:lvl>
  </w:abstractNum>
  <w:abstractNum w:abstractNumId="163">
    <w:nsid w:val="1A9A9E69"/>
    <w:multiLevelType w:val="hybridMultilevel"/>
    <w:lvl w:ilvl="0">
      <w:lvlJc w:val="left"/>
      <w:lvlText w:val="-"/>
      <w:numFmt w:val="bullet"/>
      <w:start w:val="1"/>
    </w:lvl>
  </w:abstractNum>
  <w:abstractNum w:abstractNumId="164">
    <w:nsid w:val="475E256A"/>
    <w:multiLevelType w:val="hybridMultilevel"/>
    <w:lvl w:ilvl="0">
      <w:lvlJc w:val="left"/>
      <w:lvlText w:val="-"/>
      <w:numFmt w:val="bullet"/>
      <w:start w:val="1"/>
    </w:lvl>
  </w:abstractNum>
  <w:abstractNum w:abstractNumId="165">
    <w:nsid w:val="368DB37E"/>
    <w:multiLevelType w:val="hybridMultilevel"/>
    <w:lvl w:ilvl="0">
      <w:lvlJc w:val="left"/>
      <w:lvlText w:val="-"/>
      <w:numFmt w:val="bullet"/>
      <w:start w:val="1"/>
    </w:lvl>
  </w:abstractNum>
  <w:abstractNum w:abstractNumId="166">
    <w:nsid w:val="6A3B714C"/>
    <w:multiLevelType w:val="hybridMultilevel"/>
    <w:lvl w:ilvl="0">
      <w:lvlJc w:val="left"/>
      <w:lvlText w:val="-"/>
      <w:numFmt w:val="bullet"/>
      <w:start w:val="1"/>
    </w:lvl>
  </w:abstractNum>
  <w:abstractNum w:abstractNumId="167">
    <w:nsid w:val="327B517E"/>
    <w:multiLevelType w:val="hybridMultilevel"/>
    <w:lvl w:ilvl="0">
      <w:lvlJc w:val="left"/>
      <w:lvlText w:val="-"/>
      <w:numFmt w:val="bullet"/>
      <w:start w:val="1"/>
    </w:lvl>
  </w:abstractNum>
  <w:abstractNum w:abstractNumId="168">
    <w:nsid w:val="1F461B51"/>
    <w:multiLevelType w:val="hybridMultilevel"/>
    <w:lvl w:ilvl="0">
      <w:lvlJc w:val="left"/>
      <w:lvlText w:val="5"/>
      <w:numFmt w:val="bullet"/>
      <w:start w:val="1"/>
    </w:lvl>
  </w:abstractNum>
  <w:abstractNum w:abstractNumId="169">
    <w:nsid w:val="29BACF25"/>
    <w:multiLevelType w:val="hybridMultilevel"/>
    <w:lvl w:ilvl="0">
      <w:lvlJc w:val="left"/>
      <w:lvlText w:val="-"/>
      <w:numFmt w:val="bullet"/>
      <w:start w:val="1"/>
    </w:lvl>
  </w:abstractNum>
  <w:abstractNum w:abstractNumId="170">
    <w:nsid w:val="5D5BABB3"/>
    <w:multiLevelType w:val="hybridMultilevel"/>
    <w:lvl w:ilvl="0">
      <w:lvlJc w:val="left"/>
      <w:lvlText w:val="-"/>
      <w:numFmt w:val="bullet"/>
      <w:start w:val="1"/>
    </w:lvl>
  </w:abstractNum>
  <w:abstractNum w:abstractNumId="171">
    <w:nsid w:val="51BF6B48"/>
    <w:multiLevelType w:val="hybridMultilevel"/>
    <w:lvl w:ilvl="0">
      <w:lvlJc w:val="left"/>
      <w:lvlText w:val="-"/>
      <w:numFmt w:val="bullet"/>
      <w:start w:val="1"/>
    </w:lvl>
  </w:abstractNum>
  <w:abstractNum w:abstractNumId="172">
    <w:nsid w:val="7E0F6384"/>
    <w:multiLevelType w:val="hybridMultilevel"/>
    <w:lvl w:ilvl="0">
      <w:lvlJc w:val="left"/>
      <w:lvlText w:val="-"/>
      <w:numFmt w:val="bullet"/>
      <w:start w:val="1"/>
    </w:lvl>
  </w:abstractNum>
  <w:abstractNum w:abstractNumId="173">
    <w:nsid w:val="2B4B8B53"/>
    <w:multiLevelType w:val="hybridMultilevel"/>
    <w:lvl w:ilvl="0">
      <w:lvlJc w:val="left"/>
      <w:lvlText w:val="-"/>
      <w:numFmt w:val="bullet"/>
      <w:start w:val="1"/>
    </w:lvl>
  </w:abstractNum>
  <w:abstractNum w:abstractNumId="174">
    <w:nsid w:val="72E3413A"/>
    <w:multiLevelType w:val="hybridMultilevel"/>
    <w:lvl w:ilvl="0">
      <w:lvlJc w:val="left"/>
      <w:lvlText w:val="6"/>
      <w:numFmt w:val="bullet"/>
      <w:start w:val="1"/>
    </w:lvl>
  </w:abstractNum>
  <w:abstractNum w:abstractNumId="175">
    <w:nsid w:val="116AE494"/>
    <w:multiLevelType w:val="hybridMultilevel"/>
    <w:lvl w:ilvl="0">
      <w:lvlJc w:val="left"/>
      <w:lvlText w:val="-"/>
      <w:numFmt w:val="bullet"/>
      <w:start w:val="1"/>
    </w:lvl>
  </w:abstractNum>
  <w:abstractNum w:abstractNumId="176">
    <w:nsid w:val="3494B2FB"/>
    <w:multiLevelType w:val="hybridMultilevel"/>
    <w:lvl w:ilvl="0">
      <w:lvlJc w:val="left"/>
      <w:lvlText w:val="-"/>
      <w:numFmt w:val="bullet"/>
      <w:start w:val="1"/>
    </w:lvl>
  </w:abstractNum>
  <w:abstractNum w:abstractNumId="177">
    <w:nsid w:val="B13A31"/>
    <w:multiLevelType w:val="hybridMultilevel"/>
    <w:lvl w:ilvl="0">
      <w:lvlJc w:val="left"/>
      <w:lvlText w:val="-"/>
      <w:numFmt w:val="bullet"/>
      <w:start w:val="1"/>
    </w:lvl>
  </w:abstractNum>
  <w:abstractNum w:abstractNumId="178">
    <w:nsid w:val="64429599"/>
    <w:multiLevelType w:val="hybridMultilevel"/>
    <w:lvl w:ilvl="0">
      <w:lvlJc w:val="left"/>
      <w:lvlText w:val="-"/>
      <w:numFmt w:val="bullet"/>
      <w:start w:val="1"/>
    </w:lvl>
  </w:abstractNum>
  <w:abstractNum w:abstractNumId="179">
    <w:nsid w:val="631F1690"/>
    <w:multiLevelType w:val="hybridMultilevel"/>
    <w:lvl w:ilvl="0">
      <w:lvlJc w:val="left"/>
      <w:lvlText w:val="-"/>
      <w:numFmt w:val="bullet"/>
      <w:start w:val="1"/>
    </w:lvl>
  </w:abstractNum>
  <w:abstractNum w:abstractNumId="180">
    <w:nsid w:val="25973E32"/>
    <w:multiLevelType w:val="hybridMultilevel"/>
    <w:lvl w:ilvl="0">
      <w:lvlJc w:val="left"/>
      <w:lvlText w:val="7"/>
      <w:numFmt w:val="bullet"/>
      <w:start w:val="1"/>
    </w:lvl>
  </w:abstractNum>
  <w:abstractNum w:abstractNumId="181">
    <w:nsid w:val="EAD6F57"/>
    <w:multiLevelType w:val="hybridMultilevel"/>
    <w:lvl w:ilvl="0">
      <w:lvlJc w:val="left"/>
      <w:lvlText w:val="8"/>
      <w:numFmt w:val="bullet"/>
      <w:start w:val="1"/>
    </w:lvl>
  </w:abstractNum>
  <w:abstractNum w:abstractNumId="182">
    <w:nsid w:val="6EC9D844"/>
    <w:multiLevelType w:val="hybridMultilevel"/>
    <w:lvl w:ilvl="0">
      <w:lvlJc w:val="left"/>
      <w:lvlText w:val="-"/>
      <w:numFmt w:val="bullet"/>
      <w:start w:val="1"/>
    </w:lvl>
  </w:abstractNum>
  <w:abstractNum w:abstractNumId="183">
    <w:nsid w:val="5C49EAEE"/>
    <w:multiLevelType w:val="hybridMultilevel"/>
    <w:lvl w:ilvl="0">
      <w:lvlJc w:val="left"/>
      <w:lvlText w:val="-"/>
      <w:numFmt w:val="bullet"/>
      <w:start w:val="1"/>
    </w:lvl>
  </w:abstractNum>
  <w:abstractNum w:abstractNumId="184">
    <w:nsid w:val="64AF49B"/>
    <w:multiLevelType w:val="hybridMultilevel"/>
    <w:lvl w:ilvl="0">
      <w:lvlJc w:val="left"/>
      <w:lvlText w:val="9"/>
      <w:numFmt w:val="bullet"/>
      <w:start w:val="1"/>
    </w:lvl>
  </w:abstractNum>
  <w:abstractNum w:abstractNumId="185">
    <w:nsid w:val="397C46BC"/>
    <w:multiLevelType w:val="hybridMultilevel"/>
    <w:lvl w:ilvl="0">
      <w:lvlJc w:val="left"/>
      <w:lvlText w:val="-"/>
      <w:numFmt w:val="bullet"/>
      <w:start w:val="1"/>
    </w:lvl>
  </w:abstractNum>
  <w:abstractNum w:abstractNumId="186">
    <w:nsid w:val="7E448DE9"/>
    <w:multiLevelType w:val="hybridMultilevel"/>
    <w:lvl w:ilvl="0">
      <w:lvlJc w:val="left"/>
      <w:lvlText w:val="-"/>
      <w:numFmt w:val="bullet"/>
      <w:start w:val="1"/>
    </w:lvl>
  </w:abstractNum>
  <w:abstractNum w:abstractNumId="187">
    <w:nsid w:val="5A9CC3E5"/>
    <w:multiLevelType w:val="hybridMultilevel"/>
    <w:lvl w:ilvl="0">
      <w:lvlJc w:val="left"/>
      <w:lvlText w:val="%1"/>
      <w:numFmt w:val="decimal"/>
      <w:start w:val="11"/>
    </w:lvl>
  </w:abstractNum>
  <w:abstractNum w:abstractNumId="188">
    <w:nsid w:val="1AFE3625"/>
    <w:multiLevelType w:val="hybridMultilevel"/>
    <w:lvl w:ilvl="0">
      <w:lvlJc w:val="left"/>
      <w:lvlText w:val="-"/>
      <w:numFmt w:val="bullet"/>
      <w:start w:val="1"/>
    </w:lvl>
  </w:abstractNum>
  <w:abstractNum w:abstractNumId="189">
    <w:nsid w:val="3CA88ECF"/>
    <w:multiLevelType w:val="hybridMultilevel"/>
    <w:lvl w:ilvl="0">
      <w:lvlJc w:val="left"/>
      <w:lvlText w:val="-"/>
      <w:numFmt w:val="bullet"/>
      <w:start w:val="1"/>
    </w:lvl>
  </w:abstractNum>
  <w:abstractNum w:abstractNumId="190">
    <w:nsid w:val="6EBE4208"/>
    <w:multiLevelType w:val="hybridMultilevel"/>
    <w:lvl w:ilvl="0">
      <w:lvlJc w:val="left"/>
      <w:lvlText w:val="-"/>
      <w:numFmt w:val="bullet"/>
      <w:start w:val="1"/>
    </w:lvl>
  </w:abstractNum>
  <w:abstractNum w:abstractNumId="191">
    <w:nsid w:val="C058DF5"/>
    <w:multiLevelType w:val="hybridMultilevel"/>
    <w:lvl w:ilvl="0">
      <w:lvlJc w:val="left"/>
      <w:lvlText w:val="-"/>
      <w:numFmt w:val="bullet"/>
      <w:start w:val="1"/>
    </w:lvl>
  </w:abstractNum>
  <w:abstractNum w:abstractNumId="192">
    <w:nsid w:val="CBE5BE9"/>
    <w:multiLevelType w:val="hybridMultilevel"/>
    <w:lvl w:ilvl="0">
      <w:lvlJc w:val="left"/>
      <w:lvlText w:val="-"/>
      <w:numFmt w:val="bullet"/>
      <w:start w:val="1"/>
    </w:lvl>
  </w:abstractNum>
  <w:abstractNum w:abstractNumId="193">
    <w:nsid w:val="3102BBE2"/>
    <w:multiLevelType w:val="hybridMultilevel"/>
    <w:lvl w:ilvl="0">
      <w:lvlJc w:val="left"/>
      <w:lvlText w:val="-"/>
      <w:numFmt w:val="bullet"/>
      <w:start w:val="1"/>
    </w:lvl>
  </w:abstractNum>
  <w:abstractNum w:abstractNumId="194">
    <w:nsid w:val="26A02C5E"/>
    <w:multiLevelType w:val="hybridMultilevel"/>
    <w:lvl w:ilvl="0">
      <w:lvlJc w:val="left"/>
      <w:lvlText w:val="-"/>
      <w:numFmt w:val="bullet"/>
      <w:start w:val="1"/>
    </w:lvl>
  </w:abstractNum>
  <w:abstractNum w:abstractNumId="195">
    <w:nsid w:val="541C815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2019-12-12T07:11:21Z</dcterms:created>
  <dcterms:modified xsi:type="dcterms:W3CDTF">2019-12-12T07:11:21Z</dcterms:modified>
</cp:coreProperties>
</file>