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CUSIP NO. 891092108</w:t>
            </w:r>
          </w:p>
        </w:tc>
        <w:tc>
          <w:tcPr>
            <w:tcW w:w="1160" w:type="dxa"/>
            <w:vAlign w:val="bottom"/>
          </w:tcPr>
          <w:p>
            <w:pPr>
              <w:ind w:left="84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UNITED STATES</w:t>
      </w:r>
    </w:p>
    <w:p>
      <w:pPr>
        <w:ind w:left="190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2619"/>
        <w:spacing w:after="0" w:line="238" w:lineRule="auto"/>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Toro Company</w:t>
      </w:r>
    </w:p>
    <w:p>
      <w:pPr>
        <w:jc w:val="center"/>
        <w:ind w:right="26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Common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891092108</w:t>
      </w:r>
    </w:p>
    <w:p>
      <w:pPr>
        <w:ind w:left="30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ind w:left="640"/>
        <w:spacing w:after="0" w:line="238" w:lineRule="auto"/>
        <w:rPr>
          <w:sz w:val="20"/>
          <w:szCs w:val="20"/>
          <w:color w:val="auto"/>
        </w:rPr>
      </w:pPr>
      <w:r>
        <w:rPr>
          <w:rFonts w:ascii="Courier New" w:cs="Courier New" w:eastAsia="Courier New" w:hAnsi="Courier New"/>
          <w:sz w:val="18"/>
          <w:szCs w:val="18"/>
          <w:color w:val="auto"/>
        </w:rPr>
        <w:t>13-2670991</w:t>
      </w:r>
    </w:p>
    <w:p>
      <w:pPr>
        <w:spacing w:after="0" w:line="202"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676,800</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w:t>
      </w:r>
    </w:p>
    <w:p>
      <w:pPr>
        <w:sectPr>
          <w:pgSz w:w="11900" w:h="16855" w:orient="portrait"/>
          <w:cols w:equalWidth="0" w:num="1">
            <w:col w:w="10219"/>
          </w:cols>
          <w:pgMar w:left="240" w:top="244" w:right="1440" w:bottom="0" w:gutter="0" w:footer="0" w:header="0"/>
        </w:sectPr>
      </w:pPr>
    </w:p>
    <w:bookmarkStart w:id="1" w:name="page2"/>
    <w:bookmarkEnd w:id="1"/>
    <w:p>
      <w:pPr>
        <w:ind w:left="640"/>
        <w:spacing w:after="0"/>
        <w:rPr>
          <w:sz w:val="20"/>
          <w:szCs w:val="20"/>
          <w:color w:val="auto"/>
        </w:rPr>
      </w:pPr>
      <w:r>
        <w:rPr>
          <w:rFonts w:ascii="Courier New" w:cs="Courier New" w:eastAsia="Courier New" w:hAnsi="Courier New"/>
          <w:sz w:val="18"/>
          <w:szCs w:val="18"/>
          <w:color w:val="auto"/>
        </w:rPr>
        <w:t>CERTAIN SHARES [ ]</w:t>
      </w:r>
    </w:p>
    <w:p>
      <w:pPr>
        <w:spacing w:after="0" w:line="200" w:lineRule="exact"/>
        <w:rPr>
          <w:sz w:val="20"/>
          <w:szCs w:val="20"/>
          <w:color w:val="auto"/>
        </w:rPr>
      </w:pPr>
    </w:p>
    <w:p>
      <w:pPr>
        <w:spacing w:after="0" w:line="209" w:lineRule="exact"/>
        <w:rPr>
          <w:sz w:val="20"/>
          <w:szCs w:val="20"/>
          <w:color w:val="auto"/>
        </w:rPr>
      </w:pPr>
    </w:p>
    <w:p>
      <w:pPr>
        <w:ind w:left="640" w:right="4619" w:hanging="632"/>
        <w:spacing w:after="0" w:line="470"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tabs>
          <w:tab w:leader="none" w:pos="1040" w:val="left"/>
        </w:tabs>
        <w:rPr>
          <w:sz w:val="20"/>
          <w:szCs w:val="20"/>
          <w:color w:val="auto"/>
        </w:rPr>
      </w:pPr>
      <w:r>
        <w:rPr>
          <w:rFonts w:ascii="Courier New" w:cs="Courier New" w:eastAsia="Courier New" w:hAnsi="Courier New"/>
          <w:sz w:val="18"/>
          <w:szCs w:val="18"/>
          <w:color w:val="auto"/>
        </w:rPr>
        <w:t>HC</w:t>
      </w:r>
      <w:r>
        <w:rPr>
          <w:sz w:val="20"/>
          <w:szCs w:val="20"/>
          <w:color w:val="auto"/>
        </w:rPr>
        <w:tab/>
      </w:r>
      <w:r>
        <w:rPr>
          <w:rFonts w:ascii="Courier New" w:cs="Courier New" w:eastAsia="Courier New" w:hAnsi="Courier New"/>
          <w:sz w:val="16"/>
          <w:szCs w:val="16"/>
          <w:color w:val="auto"/>
        </w:rPr>
        <w:t>(See Item 4)</w:t>
      </w:r>
    </w:p>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676,800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ectPr>
          <w:pgSz w:w="11900" w:h="16838" w:orient="portrait"/>
          <w:cols w:equalWidth="0" w:num="1">
            <w:col w:w="10219"/>
          </w:cols>
          <w:pgMar w:left="240" w:top="136" w:right="1440" w:bottom="0" w:gutter="0" w:footer="0" w:header="0"/>
        </w:sectPr>
      </w:pPr>
    </w:p>
    <w:bookmarkStart w:id="2" w:name="page3"/>
    <w:bookmarkEnd w:id="2"/>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0"/>
          <w:szCs w:val="20"/>
          <w:color w:val="auto"/>
        </w:rPr>
      </w:pPr>
    </w:p>
    <w:p>
      <w:pPr>
        <w:ind w:left="1280" w:right="7159" w:hanging="640"/>
        <w:spacing w:after="0" w:line="536" w:lineRule="auto"/>
        <w:tabs>
          <w:tab w:leader="none" w:pos="128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676,800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pacing w:after="0" w:line="11" w:lineRule="exact"/>
        <w:rPr>
          <w:rFonts w:ascii="Courier New" w:cs="Courier New" w:eastAsia="Courier New" w:hAnsi="Courier New"/>
          <w:sz w:val="18"/>
          <w:szCs w:val="18"/>
          <w:color w:val="auto"/>
        </w:rPr>
      </w:pPr>
    </w:p>
    <w:p>
      <w:pPr>
        <w:ind w:left="640" w:right="7059" w:hanging="632"/>
        <w:spacing w:after="0" w:line="470"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Mutual Advisers, Inc.</w:t>
      </w:r>
    </w:p>
    <w:p>
      <w:pPr>
        <w:ind w:left="640"/>
        <w:spacing w:after="0" w:line="238" w:lineRule="auto"/>
        <w:rPr>
          <w:sz w:val="20"/>
          <w:szCs w:val="20"/>
          <w:color w:val="auto"/>
        </w:rPr>
      </w:pPr>
      <w:r>
        <w:rPr>
          <w:rFonts w:ascii="Courier New" w:cs="Courier New" w:eastAsia="Courier New" w:hAnsi="Courier New"/>
          <w:sz w:val="18"/>
          <w:szCs w:val="18"/>
          <w:color w:val="auto"/>
        </w:rPr>
        <w:t>22-3463202</w:t>
      </w:r>
    </w:p>
    <w:p>
      <w:pPr>
        <w:spacing w:after="0" w:line="202" w:lineRule="exact"/>
        <w:rPr>
          <w:sz w:val="20"/>
          <w:szCs w:val="20"/>
          <w:color w:val="auto"/>
        </w:rPr>
      </w:pPr>
    </w:p>
    <w:p>
      <w:pPr>
        <w:ind w:left="640" w:hanging="632"/>
        <w:spacing w:after="0"/>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18" w:lineRule="exact"/>
        <w:rPr>
          <w:sz w:val="20"/>
          <w:szCs w:val="20"/>
          <w:color w:val="auto"/>
        </w:rPr>
      </w:pPr>
    </w:p>
    <w:p>
      <w:pPr>
        <w:ind w:left="1280" w:hanging="640"/>
        <w:spacing w:after="0"/>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675,600 (See Item 4)</w:t>
      </w:r>
    </w:p>
    <w:p>
      <w:pPr>
        <w:spacing w:after="0" w:line="206" w:lineRule="exact"/>
        <w:rPr>
          <w:rFonts w:ascii="Courier New" w:cs="Courier New" w:eastAsia="Courier New" w:hAnsi="Courier New"/>
          <w:sz w:val="18"/>
          <w:szCs w:val="18"/>
          <w:color w:val="auto"/>
        </w:rPr>
      </w:pPr>
    </w:p>
    <w:p>
      <w:pPr>
        <w:ind w:left="1280" w:right="6939" w:hanging="640"/>
        <w:spacing w:after="0" w:line="470" w:lineRule="auto"/>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536" w:lineRule="auto"/>
        <w:tabs>
          <w:tab w:leader="none" w:pos="128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675,600 (See Item 4)</w:t>
      </w:r>
    </w:p>
    <w:p>
      <w:pPr>
        <w:ind w:left="1280" w:right="6419" w:hanging="640"/>
        <w:spacing w:after="0" w:line="470" w:lineRule="auto"/>
        <w:tabs>
          <w:tab w:leader="none" w:pos="128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640" w:right="325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675,600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640" w:right="461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5.6%</w:t>
      </w:r>
    </w:p>
    <w:p>
      <w:pPr>
        <w:sectPr>
          <w:pgSz w:w="11900" w:h="16942" w:orient="portrait"/>
          <w:cols w:equalWidth="0" w:num="1">
            <w:col w:w="10219"/>
          </w:cols>
          <w:pgMar w:left="240" w:top="142" w:right="1440" w:bottom="0" w:gutter="0" w:footer="0" w:header="0"/>
        </w:sectPr>
      </w:pPr>
    </w:p>
    <w:bookmarkStart w:id="3" w:name="page4"/>
    <w:bookmarkEnd w:id="3"/>
    <w:p>
      <w:pPr>
        <w:ind w:left="640" w:hanging="632"/>
        <w:spacing w:after="0"/>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Company</w:t>
      </w: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6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8111 Lyndale Ave. South Bloomington, MN 55420-1196</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1280" w:hanging="745"/>
        <w:spacing w:after="0"/>
        <w:tabs>
          <w:tab w:leader="none" w:pos="12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1280" w:hanging="745"/>
        <w:spacing w:after="0" w:line="238" w:lineRule="auto"/>
        <w:tabs>
          <w:tab w:leader="none" w:pos="12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ind w:left="1280" w:hanging="745"/>
        <w:spacing w:after="0" w:line="238" w:lineRule="auto"/>
        <w:tabs>
          <w:tab w:leader="none" w:pos="12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Rupert H. Johnson, Jr.</w:t>
      </w:r>
    </w:p>
    <w:p>
      <w:pPr>
        <w:ind w:left="1280" w:hanging="745"/>
        <w:spacing w:after="0" w:line="238" w:lineRule="auto"/>
        <w:tabs>
          <w:tab w:leader="none" w:pos="128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705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Blvd.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John F. Kennedy Parkway Short Hills, NJ 07078</w:t>
      </w:r>
    </w:p>
    <w:p>
      <w:pPr>
        <w:spacing w:after="0" w:line="36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(iv): Delaware</w:t>
      </w:r>
    </w:p>
    <w:p>
      <w:pPr>
        <w:ind w:left="1060" w:hanging="525"/>
        <w:spacing w:after="0" w:line="238" w:lineRule="auto"/>
        <w:tabs>
          <w:tab w:leader="none" w:pos="1060" w:val="left"/>
        </w:tabs>
        <w:numPr>
          <w:ilvl w:val="1"/>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spacing w:after="0" w:line="207" w:lineRule="exact"/>
        <w:rPr>
          <w:rFonts w:ascii="Courier New" w:cs="Courier New" w:eastAsia="Courier New" w:hAnsi="Courier New"/>
          <w:sz w:val="18"/>
          <w:szCs w:val="18"/>
          <w:color w:val="auto"/>
        </w:rPr>
      </w:pPr>
    </w:p>
    <w:p>
      <w:pPr>
        <w:ind w:left="540" w:right="6639" w:hanging="532"/>
        <w:spacing w:after="0" w:line="470"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1" w:lineRule="exact"/>
        <w:rPr>
          <w:rFonts w:ascii="Courier New" w:cs="Courier New" w:eastAsia="Courier New" w:hAnsi="Courier New"/>
          <w:sz w:val="18"/>
          <w:szCs w:val="18"/>
          <w:color w:val="auto"/>
        </w:rPr>
      </w:pPr>
    </w:p>
    <w:p>
      <w:pPr>
        <w:ind w:left="540" w:right="8319" w:hanging="532"/>
        <w:spacing w:after="0" w:line="558" w:lineRule="auto"/>
        <w:tabs>
          <w:tab w:leader="none" w:pos="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Inc.</w:t>
      </w:r>
    </w:p>
    <w:p>
      <w:pPr>
        <w:ind w:left="2000" w:hanging="517"/>
        <w:spacing w:after="0" w:line="238" w:lineRule="auto"/>
        <w:tabs>
          <w:tab w:leader="none" w:pos="200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voting and investment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or its subsidiaries. FRI, the Principal Shareholders and each of the Adviser Subsidiaries disclaim any economic interest or beneficial ownership</w:t>
      </w:r>
    </w:p>
    <w:p>
      <w:pPr>
        <w:sectPr>
          <w:pgSz w:w="11900" w:h="16838" w:orient="portrait"/>
          <w:cols w:equalWidth="0" w:num="1">
            <w:col w:w="10219"/>
          </w:cols>
          <w:pgMar w:left="240" w:top="339"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in any of the securities covered by this Statement.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or its subsidiaries.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6739" w:hanging="416"/>
        <w:spacing w:after="0" w:line="470" w:lineRule="auto"/>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676,800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5.6%</w:t>
      </w:r>
    </w:p>
    <w:p>
      <w:pPr>
        <w:spacing w:after="0" w:line="201"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Franklin Resources, Inc.:</w:t>
            </w:r>
          </w:p>
        </w:tc>
        <w:tc>
          <w:tcPr>
            <w:tcW w:w="1380" w:type="dxa"/>
            <w:vAlign w:val="bottom"/>
          </w:tcPr>
          <w:p>
            <w:pPr>
              <w:spacing w:after="0"/>
              <w:rPr>
                <w:sz w:val="17"/>
                <w:szCs w:val="17"/>
                <w:color w:val="auto"/>
              </w:rPr>
            </w:pPr>
          </w:p>
        </w:tc>
        <w:tc>
          <w:tcPr>
            <w:tcW w:w="1200" w:type="dxa"/>
            <w:vAlign w:val="bottom"/>
          </w:tcPr>
          <w:p>
            <w:pPr>
              <w:ind w:left="460"/>
              <w:spacing w:after="0"/>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38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380" w:type="dxa"/>
            <w:vAlign w:val="bottom"/>
          </w:tcPr>
          <w:p>
            <w:pPr>
              <w:spacing w:after="0"/>
              <w:rPr>
                <w:sz w:val="17"/>
                <w:szCs w:val="17"/>
                <w:color w:val="auto"/>
              </w:rPr>
            </w:pP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Franklin Mutual Advisers,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5"/>
              </w:rPr>
              <w:t>675,600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1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1,200</w:t>
            </w:r>
          </w:p>
        </w:tc>
      </w:tr>
    </w:tbl>
    <w:p>
      <w:pPr>
        <w:spacing w:after="0" w:line="201" w:lineRule="exact"/>
        <w:rPr>
          <w:sz w:val="20"/>
          <w:szCs w:val="20"/>
          <w:color w:val="auto"/>
        </w:rPr>
      </w:pPr>
    </w:p>
    <w:p>
      <w:pPr>
        <w:ind w:left="960" w:hanging="531"/>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1"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7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8"/>
              </w:rPr>
              <w:t>Franklin Resources, Inc.:</w:t>
            </w:r>
          </w:p>
        </w:tc>
        <w:tc>
          <w:tcPr>
            <w:tcW w:w="1520" w:type="dxa"/>
            <w:vAlign w:val="bottom"/>
          </w:tcPr>
          <w:p>
            <w:pPr>
              <w:spacing w:after="0"/>
              <w:rPr>
                <w:sz w:val="17"/>
                <w:szCs w:val="17"/>
                <w:color w:val="auto"/>
              </w:rPr>
            </w:pPr>
          </w:p>
        </w:tc>
        <w:tc>
          <w:tcPr>
            <w:tcW w:w="1800" w:type="dxa"/>
            <w:vAlign w:val="bottom"/>
          </w:tcPr>
          <w:p>
            <w:pPr>
              <w:ind w:left="320"/>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Charles B. Johnson:</w:t>
            </w:r>
          </w:p>
        </w:tc>
        <w:tc>
          <w:tcPr>
            <w:tcW w:w="6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w:t>
            </w:r>
          </w:p>
        </w:tc>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Jr.:</w:t>
            </w:r>
          </w:p>
        </w:tc>
        <w:tc>
          <w:tcPr>
            <w:tcW w:w="1520" w:type="dxa"/>
            <w:vAlign w:val="bottom"/>
          </w:tcPr>
          <w:p>
            <w:pPr>
              <w:spacing w:after="0"/>
              <w:rPr>
                <w:sz w:val="17"/>
                <w:szCs w:val="17"/>
                <w:color w:val="auto"/>
              </w:rPr>
            </w:pP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Franklin Mutual Advisers,</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675,600</w:t>
            </w:r>
          </w:p>
        </w:tc>
      </w:tr>
      <w:tr>
        <w:trPr>
          <w:trHeight w:val="203"/>
        </w:trPr>
        <w:tc>
          <w:tcPr>
            <w:tcW w:w="900" w:type="dxa"/>
            <w:vAlign w:val="bottom"/>
          </w:tcPr>
          <w:p>
            <w:pPr>
              <w:spacing w:after="0"/>
              <w:rPr>
                <w:sz w:val="17"/>
                <w:szCs w:val="17"/>
                <w:color w:val="auto"/>
              </w:rPr>
            </w:pPr>
          </w:p>
        </w:tc>
        <w:tc>
          <w:tcPr>
            <w:tcW w:w="2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18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1,200</w:t>
            </w:r>
          </w:p>
        </w:tc>
      </w:tr>
      <w:tr>
        <w:trPr>
          <w:trHeight w:val="608"/>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Shared power</w:t>
            </w:r>
          </w:p>
        </w:tc>
        <w:tc>
          <w:tcPr>
            <w:tcW w:w="468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to dispose or to direct the disposition of</w:t>
            </w: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1380" w:type="dxa"/>
            <w:vAlign w:val="bottom"/>
          </w:tcPr>
          <w:p>
            <w:pPr>
              <w:ind w:left="60"/>
              <w:spacing w:after="0"/>
              <w:rPr>
                <w:sz w:val="20"/>
                <w:szCs w:val="20"/>
                <w:color w:val="auto"/>
              </w:rPr>
            </w:pPr>
            <w:r>
              <w:rPr>
                <w:rFonts w:ascii="Courier New" w:cs="Courier New" w:eastAsia="Courier New" w:hAnsi="Courier New"/>
                <w:sz w:val="18"/>
                <w:szCs w:val="18"/>
                <w:color w:val="auto"/>
              </w:rPr>
              <w:t>Ownership of</w:t>
            </w:r>
          </w:p>
        </w:tc>
        <w:tc>
          <w:tcPr>
            <w:tcW w:w="13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Five Percent</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or Less of a Class</w:t>
            </w:r>
          </w:p>
        </w:tc>
      </w:tr>
      <w:tr>
        <w:trPr>
          <w:trHeight w:val="203"/>
        </w:trPr>
        <w:tc>
          <w:tcPr>
            <w:tcW w:w="296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rPr>
              <w:t>If this statement is</w:t>
            </w: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being filed to report the fact that as</w:t>
            </w:r>
          </w:p>
        </w:tc>
      </w:tr>
      <w:tr>
        <w:trPr>
          <w:trHeight w:val="203"/>
        </w:trPr>
        <w:tc>
          <w:tcPr>
            <w:tcW w:w="6960" w:type="dxa"/>
            <w:vAlign w:val="bottom"/>
            <w:gridSpan w:val="6"/>
          </w:tcPr>
          <w:p>
            <w:pPr>
              <w:ind w:left="740"/>
              <w:spacing w:after="0" w:line="203" w:lineRule="exact"/>
              <w:rPr>
                <w:sz w:val="20"/>
                <w:szCs w:val="20"/>
                <w:color w:val="auto"/>
              </w:rPr>
            </w:pPr>
            <w:r>
              <w:rPr>
                <w:rFonts w:ascii="Courier New" w:cs="Courier New" w:eastAsia="Courier New" w:hAnsi="Courier New"/>
                <w:sz w:val="18"/>
                <w:szCs w:val="18"/>
                <w:color w:val="auto"/>
              </w:rPr>
              <w:t>of the date hereof the reporting person has ceased to be</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the beneficial</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owner</w:t>
            </w:r>
          </w:p>
        </w:tc>
        <w:tc>
          <w:tcPr>
            <w:tcW w:w="40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of more than five percent of the class</w:t>
            </w:r>
          </w:p>
        </w:tc>
      </w:tr>
      <w:tr>
        <w:trPr>
          <w:trHeight w:val="203"/>
        </w:trPr>
        <w:tc>
          <w:tcPr>
            <w:tcW w:w="22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of securities,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check</w:t>
            </w: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following [ ].</w:t>
            </w:r>
          </w:p>
        </w:tc>
        <w:tc>
          <w:tcPr>
            <w:tcW w:w="1800" w:type="dxa"/>
            <w:vAlign w:val="bottom"/>
          </w:tcPr>
          <w:p>
            <w:pPr>
              <w:spacing w:after="0"/>
              <w:rPr>
                <w:sz w:val="17"/>
                <w:szCs w:val="17"/>
                <w:color w:val="auto"/>
              </w:rPr>
            </w:pP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the Adviser Subsidiaries have the right to receive dividends and proceeds of the sale of the securities reported on in this statement. Mutual Beacon Fund, a series of Franklin Mutual Series Fund Inc., a company registered under the Investment Company Act of 1940, has an interest in more than 5% of the class of securities reported on herein. One or more other series of investment companies registered with the SEC or other managed accounts have the right to receive dividends from and the proceeds from the sale of such securities.</w:t>
      </w:r>
    </w:p>
    <w:p>
      <w:pPr>
        <w:spacing w:after="0" w:line="215"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Franklin Mutual Advisers,</w:t>
            </w:r>
          </w:p>
        </w:tc>
        <w:tc>
          <w:tcPr>
            <w:tcW w:w="142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1060" w:type="dxa"/>
            <w:vAlign w:val="bottom"/>
          </w:tcPr>
          <w:p>
            <w:pPr>
              <w:ind w:left="64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1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signing below, we certify that, to the best of our knowledge and</w:t>
      </w:r>
    </w:p>
    <w:p>
      <w:pPr>
        <w:sectPr>
          <w:pgSz w:w="11900" w:h="16838" w:orient="portrait"/>
          <w:cols w:equalWidth="0" w:num="1">
            <w:col w:w="10219"/>
          </w:cols>
          <w:pgMar w:left="240" w:top="136" w:right="1440" w:bottom="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8"/>
          <w:szCs w:val="18"/>
          <w:color w:val="auto"/>
        </w:rPr>
        <w:t>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0"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1997</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S\DEBORAH R. GATZEK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S\CHARLES B. JOHNSON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440"/>
        <w:spacing w:after="0" w:line="275" w:lineRule="auto"/>
        <w:rPr>
          <w:sz w:val="20"/>
          <w:szCs w:val="20"/>
          <w:color w:val="auto"/>
        </w:rPr>
      </w:pPr>
      <w:r>
        <w:rPr>
          <w:rFonts w:ascii="Courier New" w:cs="Courier New" w:eastAsia="Courier New" w:hAnsi="Courier New"/>
          <w:sz w:val="16"/>
          <w:szCs w:val="16"/>
          <w:color w:val="auto"/>
        </w:rPr>
        <w:t>Deborah R. Gatzek Franklin Resources, Inc. Senior Vice President &amp; Assistant Secretary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38" w:lineRule="auto"/>
        <w:rPr>
          <w:sz w:val="20"/>
          <w:szCs w:val="20"/>
          <w:color w:val="auto"/>
        </w:rPr>
      </w:pPr>
      <w:r>
        <w:rPr>
          <w:rFonts w:ascii="Courier New" w:cs="Courier New" w:eastAsia="Courier New" w:hAnsi="Courier New"/>
          <w:sz w:val="18"/>
          <w:szCs w:val="18"/>
          <w:color w:val="auto"/>
        </w:rPr>
        <w:t>Attorney in Fact pursuant to</w:t>
      </w:r>
    </w:p>
    <w:p>
      <w:pPr>
        <w:spacing w:after="0"/>
        <w:rPr>
          <w:sz w:val="20"/>
          <w:szCs w:val="20"/>
          <w:color w:val="auto"/>
        </w:rPr>
      </w:pPr>
      <w:r>
        <w:rPr>
          <w:rFonts w:ascii="Courier New" w:cs="Courier New" w:eastAsia="Courier New" w:hAnsi="Courier New"/>
          <w:sz w:val="18"/>
          <w:szCs w:val="18"/>
          <w:color w:val="auto"/>
        </w:rPr>
        <w:t>Power of Attorney for</w:t>
      </w:r>
    </w:p>
    <w:p>
      <w:pPr>
        <w:spacing w:after="0" w:line="237" w:lineRule="auto"/>
        <w:rPr>
          <w:sz w:val="20"/>
          <w:szCs w:val="20"/>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attached to this Schedule 13G</w:t>
      </w:r>
    </w:p>
    <w:p>
      <w:pPr>
        <w:spacing w:after="0" w:line="200"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S\RUPERT H. JOHNSON,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38" w:lineRule="auto"/>
        <w:rPr>
          <w:sz w:val="20"/>
          <w:szCs w:val="20"/>
          <w:color w:val="auto"/>
        </w:rPr>
      </w:pPr>
      <w:r>
        <w:rPr>
          <w:rFonts w:ascii="Courier New" w:cs="Courier New" w:eastAsia="Courier New" w:hAnsi="Courier New"/>
          <w:sz w:val="18"/>
          <w:szCs w:val="18"/>
          <w:color w:val="auto"/>
        </w:rPr>
        <w:t>Attorney in Fact pursuant to</w:t>
      </w:r>
    </w:p>
    <w:p>
      <w:pPr>
        <w:spacing w:after="0"/>
        <w:rPr>
          <w:sz w:val="20"/>
          <w:szCs w:val="20"/>
          <w:color w:val="auto"/>
        </w:rPr>
      </w:pPr>
      <w:r>
        <w:rPr>
          <w:rFonts w:ascii="Courier New" w:cs="Courier New" w:eastAsia="Courier New" w:hAnsi="Courier New"/>
          <w:sz w:val="18"/>
          <w:szCs w:val="18"/>
          <w:color w:val="auto"/>
        </w:rPr>
        <w:t>Power of Attorney for Rupert H. Johnson, Jr.</w:t>
      </w:r>
    </w:p>
    <w:p>
      <w:pPr>
        <w:spacing w:after="0" w:line="237" w:lineRule="auto"/>
        <w:rPr>
          <w:sz w:val="20"/>
          <w:szCs w:val="20"/>
          <w:color w:val="auto"/>
        </w:rPr>
      </w:pPr>
      <w:r>
        <w:rPr>
          <w:rFonts w:ascii="Courier New" w:cs="Courier New" w:eastAsia="Courier New" w:hAnsi="Courier New"/>
          <w:sz w:val="18"/>
          <w:szCs w:val="18"/>
          <w:color w:val="auto"/>
        </w:rPr>
        <w:t>as attached to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Deborah R. Gatzek</w:t>
      </w:r>
    </w:p>
    <w:p>
      <w:pPr>
        <w:spacing w:after="0" w:line="238" w:lineRule="auto"/>
        <w:rPr>
          <w:sz w:val="20"/>
          <w:szCs w:val="20"/>
          <w:color w:val="auto"/>
        </w:rPr>
      </w:pPr>
      <w:r>
        <w:rPr>
          <w:rFonts w:ascii="Courier New" w:cs="Courier New" w:eastAsia="Courier New" w:hAnsi="Courier New"/>
          <w:sz w:val="18"/>
          <w:szCs w:val="18"/>
          <w:color w:val="auto"/>
        </w:rPr>
        <w:t>Franklin Mutual Advisers, Inc.</w:t>
      </w:r>
    </w:p>
    <w:p>
      <w:pPr>
        <w:spacing w:after="0"/>
        <w:rPr>
          <w:sz w:val="20"/>
          <w:szCs w:val="20"/>
          <w:color w:val="auto"/>
        </w:rPr>
      </w:pPr>
      <w:r>
        <w:rPr>
          <w:rFonts w:ascii="Courier New" w:cs="Courier New" w:eastAsia="Courier New" w:hAnsi="Courier New"/>
          <w:sz w:val="18"/>
          <w:szCs w:val="18"/>
          <w:color w:val="auto"/>
        </w:rPr>
        <w:t>Assistant Secretary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ectPr>
          <w:pgSz w:w="11900" w:h="16838" w:orient="portrait"/>
          <w:cols w:equalWidth="0" w:num="1">
            <w:col w:w="10219"/>
          </w:cols>
          <w:pgMar w:left="240" w:top="142" w:right="1440" w:bottom="0" w:gutter="0" w:footer="0" w:header="0"/>
          <w:type w:val="continuous"/>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In accordance with Rule 13d-1 (f)(1) under the Securities Exchange 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5"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February 12, 1997.</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S\DEBORAH R. GATZEK</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S\CHARLES B. JOHNSON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ectPr>
          <w:pgSz w:w="11900" w:h="16838" w:orient="portrait"/>
          <w:cols w:equalWidth="0" w:num="2">
            <w:col w:w="2980" w:space="720"/>
            <w:col w:w="6519"/>
          </w:cols>
          <w:pgMar w:left="240" w:top="136"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right="440"/>
        <w:spacing w:after="0" w:line="275" w:lineRule="auto"/>
        <w:rPr>
          <w:sz w:val="20"/>
          <w:szCs w:val="20"/>
          <w:color w:val="auto"/>
        </w:rPr>
      </w:pPr>
      <w:r>
        <w:rPr>
          <w:rFonts w:ascii="Courier New" w:cs="Courier New" w:eastAsia="Courier New" w:hAnsi="Courier New"/>
          <w:sz w:val="16"/>
          <w:szCs w:val="16"/>
          <w:color w:val="auto"/>
        </w:rPr>
        <w:t>Deborah R. Gatzek Franklin Resources, Inc. Senior Vice President &amp; Assistant Secretary</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38" w:lineRule="auto"/>
        <w:rPr>
          <w:sz w:val="20"/>
          <w:szCs w:val="20"/>
          <w:color w:val="auto"/>
        </w:rPr>
      </w:pPr>
      <w:r>
        <w:rPr>
          <w:rFonts w:ascii="Courier New" w:cs="Courier New" w:eastAsia="Courier New" w:hAnsi="Courier New"/>
          <w:sz w:val="18"/>
          <w:szCs w:val="18"/>
          <w:color w:val="auto"/>
        </w:rPr>
        <w:t>Attorney in Fact pursuant to</w:t>
      </w:r>
    </w:p>
    <w:p>
      <w:pPr>
        <w:spacing w:after="0"/>
        <w:rPr>
          <w:sz w:val="20"/>
          <w:szCs w:val="20"/>
          <w:color w:val="auto"/>
        </w:rPr>
      </w:pPr>
      <w:r>
        <w:rPr>
          <w:rFonts w:ascii="Courier New" w:cs="Courier New" w:eastAsia="Courier New" w:hAnsi="Courier New"/>
          <w:sz w:val="18"/>
          <w:szCs w:val="18"/>
          <w:color w:val="auto"/>
        </w:rPr>
        <w:t>Power of Attorney for</w:t>
      </w:r>
    </w:p>
    <w:p>
      <w:pPr>
        <w:spacing w:after="0" w:line="237" w:lineRule="auto"/>
        <w:rPr>
          <w:sz w:val="20"/>
          <w:szCs w:val="20"/>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attached to this Schedule 13G</w:t>
      </w:r>
    </w:p>
    <w:p>
      <w:pPr>
        <w:spacing w:after="0" w:line="200" w:lineRule="exact"/>
        <w:rPr>
          <w:sz w:val="20"/>
          <w:szCs w:val="20"/>
          <w:color w:val="auto"/>
        </w:rPr>
      </w:pPr>
    </w:p>
    <w:p>
      <w:pPr>
        <w:sectPr>
          <w:pgSz w:w="11900" w:h="16838" w:orient="portrait"/>
          <w:cols w:equalWidth="0" w:num="2">
            <w:col w:w="2980" w:space="720"/>
            <w:col w:w="6519"/>
          </w:cols>
          <w:pgMar w:left="240" w:top="13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S\RUPERT H. JOHNSON,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ectPr>
          <w:pgSz w:w="11900" w:h="16838" w:orient="portrait"/>
          <w:cols w:equalWidth="0" w:num="1">
            <w:col w:w="10219"/>
          </w:cols>
          <w:pgMar w:left="24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38" w:lineRule="auto"/>
        <w:rPr>
          <w:sz w:val="20"/>
          <w:szCs w:val="20"/>
          <w:color w:val="auto"/>
        </w:rPr>
      </w:pPr>
      <w:r>
        <w:rPr>
          <w:rFonts w:ascii="Courier New" w:cs="Courier New" w:eastAsia="Courier New" w:hAnsi="Courier New"/>
          <w:sz w:val="18"/>
          <w:szCs w:val="18"/>
          <w:color w:val="auto"/>
        </w:rPr>
        <w:t>Attorney in Fact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 of Attorney for Rupert H. Johnson, Jr.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attached to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Deborah R. Gatzek</w:t>
      </w:r>
    </w:p>
    <w:p>
      <w:pPr>
        <w:spacing w:after="0" w:line="238" w:lineRule="auto"/>
        <w:rPr>
          <w:sz w:val="20"/>
          <w:szCs w:val="20"/>
          <w:color w:val="auto"/>
        </w:rPr>
      </w:pPr>
      <w:r>
        <w:rPr>
          <w:rFonts w:ascii="Courier New" w:cs="Courier New" w:eastAsia="Courier New" w:hAnsi="Courier New"/>
          <w:sz w:val="18"/>
          <w:szCs w:val="18"/>
          <w:color w:val="auto"/>
        </w:rPr>
        <w:t>Franklin Mutual Advisers, Inc.</w:t>
      </w:r>
    </w:p>
    <w:p>
      <w:pPr>
        <w:spacing w:after="0"/>
        <w:rPr>
          <w:sz w:val="20"/>
          <w:szCs w:val="20"/>
          <w:color w:val="auto"/>
        </w:rPr>
      </w:pPr>
      <w:r>
        <w:rPr>
          <w:rFonts w:ascii="Courier New" w:cs="Courier New" w:eastAsia="Courier New" w:hAnsi="Courier New"/>
          <w:sz w:val="18"/>
          <w:szCs w:val="18"/>
          <w:color w:val="auto"/>
        </w:rPr>
        <w:t>Assistant Secretary</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1"/>
    </w:lvl>
    <w:lvl w:ilvl="1">
      <w:lvlJc w:val="left"/>
      <w:lvlText w:val="(%2)"/>
      <w:numFmt w:val="lowerLetter"/>
      <w:start w:val="2"/>
    </w:lvl>
  </w:abstractNum>
  <w:abstractNum w:abstractNumId="3">
    <w:nsid w:val="257130A3"/>
    <w:multiLevelType w:val="hybridMultilevel"/>
    <w:lvl w:ilvl="0">
      <w:lvlJc w:val="left"/>
      <w:lvlText w:val="%1."/>
      <w:numFmt w:val="decimal"/>
      <w:start w:val="3"/>
    </w:lvl>
    <w:lvl w:ilvl="1">
      <w:lvlJc w:val="left"/>
      <w:lvlText w:val="%2"/>
      <w:numFmt w:val="lowerLetter"/>
      <w:start w:val="1"/>
    </w:lvl>
  </w:abstractNum>
  <w:abstractNum w:abstractNumId="4">
    <w:nsid w:val="62BBD95A"/>
    <w:multiLevelType w:val="hybridMultilevel"/>
    <w:lvl w:ilvl="0">
      <w:lvlJc w:val="left"/>
      <w:lvlText w:val="%1"/>
      <w:numFmt w:val="decimal"/>
      <w:start w:val="1"/>
    </w:lvl>
    <w:lvl w:ilvl="1">
      <w:lvlJc w:val="left"/>
      <w:lvlText w:val="%2."/>
      <w:numFmt w:val="decimal"/>
      <w:start w:val="5"/>
    </w:lvl>
  </w:abstractNum>
  <w:abstractNum w:abstractNumId="5">
    <w:nsid w:val="436C6125"/>
    <w:multiLevelType w:val="hybridMultilevel"/>
    <w:lvl w:ilvl="0">
      <w:lvlJc w:val="left"/>
      <w:lvlText w:val="%1."/>
      <w:numFmt w:val="decimal"/>
      <w:start w:val="9"/>
    </w:lvl>
    <w:lvl w:ilvl="1">
      <w:lvlJc w:val="left"/>
      <w:lvlText w:val="%2"/>
      <w:numFmt w:val="decimal"/>
      <w:start w:val="1"/>
    </w:lvl>
  </w:abstractNum>
  <w:abstractNum w:abstractNumId="6">
    <w:nsid w:val="628C895D"/>
    <w:multiLevelType w:val="hybridMultilevel"/>
    <w:lvl w:ilvl="0">
      <w:lvlJc w:val="left"/>
      <w:lvlText w:val="%1."/>
      <w:numFmt w:val="decimal"/>
      <w:start w:val="1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2"/>
    </w:lvl>
  </w:abstractNum>
  <w:abstractNum w:abstractNumId="9">
    <w:nsid w:val="2443A858"/>
    <w:multiLevelType w:val="hybridMultilevel"/>
    <w:lvl w:ilvl="0">
      <w:lvlJc w:val="left"/>
      <w:lvlText w:val="%1"/>
      <w:numFmt w:val="decimal"/>
      <w:start w:val="1"/>
    </w:lvl>
    <w:lvl w:ilvl="1">
      <w:lvlJc w:val="left"/>
      <w:lvlText w:val="(%2)"/>
      <w:numFmt w:val="lowerLetter"/>
      <w:start w:val="2"/>
    </w:lvl>
  </w:abstractNum>
  <w:abstractNum w:abstractNumId="10">
    <w:nsid w:val="2D1D5AE9"/>
    <w:multiLevelType w:val="hybridMultilevel"/>
    <w:lvl w:ilvl="0">
      <w:lvlJc w:val="left"/>
      <w:lvlText w:val="%1."/>
      <w:numFmt w:val="decimal"/>
      <w:start w:val="3"/>
    </w:lvl>
    <w:lvl w:ilvl="1">
      <w:lvlJc w:val="left"/>
      <w:lvlText w:val="%2"/>
      <w:numFmt w:val="lowerLetter"/>
      <w:start w:val="1"/>
    </w:lvl>
  </w:abstractNum>
  <w:abstractNum w:abstractNumId="11">
    <w:nsid w:val="6763845E"/>
    <w:multiLevelType w:val="hybridMultilevel"/>
    <w:lvl w:ilvl="0">
      <w:lvlJc w:val="left"/>
      <w:lvlText w:val="%1"/>
      <w:numFmt w:val="decimal"/>
      <w:start w:val="1"/>
    </w:lvl>
    <w:lvl w:ilvl="1">
      <w:lvlJc w:val="left"/>
      <w:lvlText w:val="%2."/>
      <w:numFmt w:val="decimal"/>
      <w:start w:val="5"/>
    </w:lvl>
  </w:abstractNum>
  <w:abstractNum w:abstractNumId="12">
    <w:nsid w:val="75A2A8D4"/>
    <w:multiLevelType w:val="hybridMultilevel"/>
    <w:lvl w:ilvl="0">
      <w:lvlJc w:val="left"/>
      <w:lvlText w:val="%1."/>
      <w:numFmt w:val="decimal"/>
      <w:start w:val="9"/>
    </w:lvl>
    <w:lvl w:ilvl="1">
      <w:lvlJc w:val="left"/>
      <w:lvlText w:val="%2"/>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1"/>
    </w:lvl>
    <w:lvl w:ilvl="1">
      <w:lvlJc w:val="left"/>
      <w:lvlText w:val="(%2)"/>
      <w:numFmt w:val="lowerLetter"/>
      <w:start w:val="2"/>
    </w:lvl>
  </w:abstractNum>
  <w:abstractNum w:abstractNumId="16">
    <w:nsid w:val="B03E0C6"/>
    <w:multiLevelType w:val="hybridMultilevel"/>
    <w:lvl w:ilvl="0">
      <w:lvlJc w:val="left"/>
      <w:lvlText w:val="%1."/>
      <w:numFmt w:val="decimal"/>
      <w:start w:val="3"/>
    </w:lvl>
    <w:lvl w:ilvl="1">
      <w:lvlJc w:val="left"/>
      <w:lvlText w:val="%2"/>
      <w:numFmt w:val="lowerLetter"/>
      <w:start w:val="1"/>
    </w:lvl>
  </w:abstractNum>
  <w:abstractNum w:abstractNumId="17">
    <w:nsid w:val="189A769B"/>
    <w:multiLevelType w:val="hybridMultilevel"/>
    <w:lvl w:ilvl="0">
      <w:lvlJc w:val="left"/>
      <w:lvlText w:val="%1"/>
      <w:numFmt w:val="decimal"/>
      <w:start w:val="1"/>
    </w:lvl>
    <w:lvl w:ilvl="1">
      <w:lvlJc w:val="left"/>
      <w:lvlText w:val="%2."/>
      <w:numFmt w:val="decimal"/>
      <w:start w:val="5"/>
    </w:lvl>
  </w:abstractNum>
  <w:abstractNum w:abstractNumId="18">
    <w:nsid w:val="54E49EB4"/>
    <w:multiLevelType w:val="hybridMultilevel"/>
    <w:lvl w:ilvl="0">
      <w:lvlJc w:val="left"/>
      <w:lvlText w:val="%1."/>
      <w:numFmt w:val="decimal"/>
      <w:start w:val="9"/>
    </w:lvl>
    <w:lvl w:ilvl="1">
      <w:lvlJc w:val="left"/>
      <w:lvlText w:val="%2"/>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2"/>
    </w:lvl>
  </w:abstractNum>
  <w:abstractNum w:abstractNumId="21">
    <w:nsid w:val="836C40E"/>
    <w:multiLevelType w:val="hybridMultilevel"/>
    <w:lvl w:ilvl="0">
      <w:lvlJc w:val="left"/>
      <w:lvlText w:val="%1"/>
      <w:numFmt w:val="decimal"/>
      <w:start w:val="1"/>
    </w:lvl>
    <w:lvl w:ilvl="1">
      <w:lvlJc w:val="left"/>
      <w:lvlText w:val="(%2)"/>
      <w:numFmt w:val="lowerLetter"/>
      <w:start w:val="2"/>
    </w:lvl>
  </w:abstractNum>
  <w:abstractNum w:abstractNumId="22">
    <w:nsid w:val="2901D82"/>
    <w:multiLevelType w:val="hybridMultilevel"/>
    <w:lvl w:ilvl="0">
      <w:lvlJc w:val="left"/>
      <w:lvlText w:val="%1."/>
      <w:numFmt w:val="decimal"/>
      <w:start w:val="3"/>
    </w:lvl>
    <w:lvl w:ilvl="1">
      <w:lvlJc w:val="left"/>
      <w:lvlText w:val="%2"/>
      <w:numFmt w:val="lowerLetter"/>
      <w:start w:val="1"/>
    </w:lvl>
  </w:abstractNum>
  <w:abstractNum w:abstractNumId="23">
    <w:nsid w:val="3A95F874"/>
    <w:multiLevelType w:val="hybridMultilevel"/>
    <w:lvl w:ilvl="0">
      <w:lvlJc w:val="left"/>
      <w:lvlText w:val="%1"/>
      <w:numFmt w:val="decimal"/>
      <w:start w:val="1"/>
    </w:lvl>
    <w:lvl w:ilvl="1">
      <w:lvlJc w:val="left"/>
      <w:lvlText w:val="%2."/>
      <w:numFmt w:val="decimal"/>
      <w:start w:val="5"/>
    </w:lvl>
  </w:abstractNum>
  <w:abstractNum w:abstractNumId="24">
    <w:nsid w:val="8138641"/>
    <w:multiLevelType w:val="hybridMultilevel"/>
    <w:lvl w:ilvl="0">
      <w:lvlJc w:val="left"/>
      <w:lvlText w:val="%1."/>
      <w:numFmt w:val="decimal"/>
      <w:start w:val="9"/>
    </w:lvl>
    <w:lvl w:ilvl="1">
      <w:lvlJc w:val="left"/>
      <w:lvlText w:val="%2"/>
      <w:numFmt w:val="decimal"/>
      <w:start w:val="1"/>
    </w:lvl>
  </w:abstractNum>
  <w:abstractNum w:abstractNumId="25">
    <w:nsid w:val="1E7FF521"/>
    <w:multiLevelType w:val="hybridMultilevel"/>
    <w:lvl w:ilvl="0">
      <w:lvlJc w:val="left"/>
      <w:lvlText w:val="%1."/>
      <w:numFmt w:val="decimal"/>
      <w:start w:val="12"/>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lowerLetter"/>
      <w:start w:val="1"/>
    </w:lvl>
    <w:lvl w:ilvl="1">
      <w:lvlJc w:val="left"/>
      <w:lvlText w:val="(%2)"/>
      <w:numFmt w:val="lowerRoman"/>
      <w:start w:val="1"/>
    </w:lvl>
  </w:abstractNum>
  <w:abstractNum w:abstractNumId="28">
    <w:nsid w:val="6CEAF087"/>
    <w:multiLevelType w:val="hybridMultilevel"/>
    <w:lvl w:ilvl="0">
      <w:lvlJc w:val="left"/>
      <w:lvlText w:val="(%1)"/>
      <w:numFmt w:val="lowerLetter"/>
      <w:start w:val="9"/>
    </w:lvl>
    <w:lvl w:ilvl="1">
      <w:lvlJc w:val="left"/>
      <w:lvlText w:val="(%2)"/>
      <w:numFmt w:val="lowerLetter"/>
      <w:start w:val="7"/>
    </w:lvl>
  </w:abstractNum>
  <w:abstractNum w:abstractNumId="29">
    <w:nsid w:val="22221A70"/>
    <w:multiLevelType w:val="hybridMultilevel"/>
    <w:lvl w:ilvl="0">
      <w:lvlJc w:val="left"/>
      <w:lvlText w:val="(%1)"/>
      <w:numFmt w:val="lowerLetter"/>
      <w:start w:val="35"/>
    </w:lvl>
    <w:lvl w:ilvl="1">
      <w:lvlJc w:val="left"/>
      <w:lvlText w:val="%2"/>
      <w:numFmt w:val="lowerLetter"/>
      <w:start w:val="1"/>
    </w:lvl>
  </w:abstractNum>
  <w:abstractNum w:abstractNumId="30">
    <w:nsid w:val="4516DDE9"/>
    <w:multiLevelType w:val="hybridMultilevel"/>
    <w:lvl w:ilvl="0">
      <w:lvlJc w:val="left"/>
      <w:lvlText w:val="(%1)"/>
      <w:numFmt w:val="lowerLetter"/>
      <w:start w:val="7"/>
    </w:lvl>
  </w:abstractNum>
  <w:abstractNum w:abstractNumId="31">
    <w:nsid w:val="3006C83E"/>
    <w:multiLevelType w:val="hybridMultilevel"/>
    <w:lvl w:ilvl="0">
      <w:lvlJc w:val="left"/>
      <w:lvlText w:val="%1"/>
      <w:numFmt w:val="lowerRoman"/>
      <w:start w:val="1"/>
    </w:lvl>
    <w:lvl w:ilvl="1">
      <w:lvlJc w:val="left"/>
      <w:lvlText w:val="(%2)"/>
      <w:numFmt w:val="lowerLetter"/>
      <w:start w:val="7"/>
    </w:lvl>
  </w:abstractNum>
  <w:abstractNum w:abstractNumId="32">
    <w:nsid w:val="614FD4A1"/>
    <w:multiLevelType w:val="hybridMultilevel"/>
    <w:lvl w:ilvl="0">
      <w:lvlJc w:val="left"/>
      <w:lvlText w:val="(%1)"/>
      <w:numFmt w:val="lowerRoman"/>
      <w:start w:val="4"/>
    </w:lvl>
    <w:lvl w:ilvl="1">
      <w:lvlJc w:val="left"/>
      <w:lvlText w:val="(%2)"/>
      <w:numFmt w:val="lowerLetter"/>
      <w:start w:val="5"/>
    </w:lvl>
  </w:abstractNum>
  <w:abstractNum w:abstractNumId="33">
    <w:nsid w:val="419AC241"/>
    <w:multiLevelType w:val="hybridMultilevel"/>
    <w:lvl w:ilvl="0">
      <w:lvlJc w:val="left"/>
      <w:lvlText w:val="(%1)"/>
      <w:numFmt w:val="lowerLetter"/>
      <w:start w:val="1"/>
    </w:lvl>
    <w:lvl w:ilvl="1">
      <w:lvlJc w:val="left"/>
      <w:lvlText w:val="(%2)"/>
      <w:numFmt w:val="lowerLetter"/>
      <w:start w:val="9"/>
    </w:lvl>
  </w:abstractNum>
  <w:abstractNum w:abstractNumId="34">
    <w:nsid w:val="5577F8E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2019-12-13T13:50:05Z</dcterms:created>
  <dcterms:modified xsi:type="dcterms:W3CDTF">2019-12-13T13:50:05Z</dcterms:modified>
</cp:coreProperties>
</file>