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Toro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CUSIP</w:t>
            </w:r>
          </w:p>
        </w:tc>
        <w:tc>
          <w:tcPr>
            <w:tcW w:w="2720" w:type="dxa"/>
            <w:vAlign w:val="bottom"/>
            <w:vMerge w:val="restart"/>
          </w:tcPr>
          <w:p>
            <w:pPr>
              <w:jc w:val="right"/>
              <w:ind w:right="1590"/>
              <w:spacing w:after="0"/>
              <w:rPr>
                <w:sz w:val="20"/>
                <w:szCs w:val="20"/>
                <w:color w:val="auto"/>
              </w:rPr>
            </w:pPr>
            <w:r>
              <w:rPr>
                <w:rFonts w:ascii="Arial" w:cs="Arial" w:eastAsia="Arial" w:hAnsi="Arial"/>
                <w:sz w:val="18"/>
                <w:szCs w:val="18"/>
                <w:color w:val="auto"/>
              </w:rPr>
              <w:t>891092108</w:t>
            </w:r>
          </w:p>
        </w:tc>
        <w:tc>
          <w:tcPr>
            <w:tcW w:w="0" w:type="dxa"/>
            <w:vAlign w:val="bottom"/>
          </w:tcPr>
          <w:p>
            <w:pPr>
              <w:spacing w:after="0"/>
              <w:rPr>
                <w:sz w:val="1"/>
                <w:szCs w:val="1"/>
                <w:color w:val="auto"/>
              </w:rPr>
            </w:pPr>
          </w:p>
        </w:tc>
      </w:tr>
      <w:tr>
        <w:trPr>
          <w:trHeight w:val="122"/>
        </w:trPr>
        <w:tc>
          <w:tcPr>
            <w:tcW w:w="760" w:type="dxa"/>
            <w:vAlign w:val="bottom"/>
            <w:vMerge w:val="restart"/>
          </w:tcPr>
          <w:p>
            <w:pPr>
              <w:spacing w:after="0"/>
              <w:rPr>
                <w:sz w:val="20"/>
                <w:szCs w:val="20"/>
                <w:color w:val="auto"/>
              </w:rPr>
            </w:pPr>
            <w:r>
              <w:rPr>
                <w:rFonts w:ascii="Arial" w:cs="Arial" w:eastAsia="Arial" w:hAnsi="Arial"/>
                <w:sz w:val="18"/>
                <w:szCs w:val="18"/>
                <w:color w:val="auto"/>
              </w:rPr>
              <w:t>No.</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6"/>
        </w:trPr>
        <w:tc>
          <w:tcPr>
            <w:tcW w:w="3480" w:type="dxa"/>
            <w:vAlign w:val="bottom"/>
            <w:gridSpan w:val="2"/>
          </w:tcPr>
          <w:p>
            <w:pPr>
              <w:spacing w:after="0"/>
              <w:rPr>
                <w:sz w:val="20"/>
                <w:szCs w:val="20"/>
                <w:color w:val="auto"/>
              </w:rPr>
            </w:pPr>
            <w:r>
              <w:rPr>
                <w:rFonts w:ascii="Arial" w:cs="Arial" w:eastAsia="Arial" w:hAnsi="Arial"/>
                <w:sz w:val="22"/>
                <w:szCs w:val="22"/>
                <w:color w:val="auto"/>
                <w:w w:val="92"/>
              </w:rPr>
              <w:t>&lt; TD align="left" colSpan="4"&gt;4.278%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-591185</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118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1217007</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1431513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1431513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11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CUSIP</w:t>
            </w:r>
          </w:p>
        </w:tc>
        <w:tc>
          <w:tcPr>
            <w:tcW w:w="2720" w:type="dxa"/>
            <w:vAlign w:val="bottom"/>
            <w:vMerge w:val="restart"/>
          </w:tcPr>
          <w:p>
            <w:pPr>
              <w:jc w:val="right"/>
              <w:ind w:right="1590"/>
              <w:spacing w:after="0"/>
              <w:rPr>
                <w:sz w:val="20"/>
                <w:szCs w:val="20"/>
                <w:color w:val="auto"/>
              </w:rPr>
            </w:pPr>
            <w:r>
              <w:rPr>
                <w:rFonts w:ascii="Arial" w:cs="Arial" w:eastAsia="Arial" w:hAnsi="Arial"/>
                <w:sz w:val="18"/>
                <w:szCs w:val="18"/>
                <w:color w:val="auto"/>
              </w:rPr>
              <w:t>891092108</w:t>
            </w:r>
          </w:p>
        </w:tc>
        <w:tc>
          <w:tcPr>
            <w:tcW w:w="0" w:type="dxa"/>
            <w:vAlign w:val="bottom"/>
          </w:tcPr>
          <w:p>
            <w:pPr>
              <w:spacing w:after="0"/>
              <w:rPr>
                <w:sz w:val="1"/>
                <w:szCs w:val="1"/>
                <w:color w:val="auto"/>
              </w:rPr>
            </w:pPr>
          </w:p>
        </w:tc>
      </w:tr>
      <w:tr>
        <w:trPr>
          <w:trHeight w:val="122"/>
        </w:trPr>
        <w:tc>
          <w:tcPr>
            <w:tcW w:w="760" w:type="dxa"/>
            <w:vAlign w:val="bottom"/>
            <w:vMerge w:val="restart"/>
          </w:tcPr>
          <w:p>
            <w:pPr>
              <w:spacing w:after="0"/>
              <w:rPr>
                <w:sz w:val="20"/>
                <w:szCs w:val="20"/>
                <w:color w:val="auto"/>
              </w:rPr>
            </w:pPr>
            <w:r>
              <w:rPr>
                <w:rFonts w:ascii="Arial" w:cs="Arial" w:eastAsia="Arial" w:hAnsi="Arial"/>
                <w:sz w:val="18"/>
                <w:szCs w:val="18"/>
                <w:color w:val="auto"/>
              </w:rPr>
              <w:t>No.</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6"/>
        </w:trPr>
        <w:tc>
          <w:tcPr>
            <w:tcW w:w="3480" w:type="dxa"/>
            <w:vAlign w:val="bottom"/>
            <w:gridSpan w:val="2"/>
          </w:tcPr>
          <w:p>
            <w:pPr>
              <w:spacing w:after="0"/>
              <w:rPr>
                <w:sz w:val="20"/>
                <w:szCs w:val="20"/>
                <w:color w:val="auto"/>
              </w:rPr>
            </w:pPr>
            <w:r>
              <w:rPr>
                <w:rFonts w:ascii="Arial" w:cs="Arial" w:eastAsia="Arial" w:hAnsi="Arial"/>
                <w:sz w:val="22"/>
                <w:szCs w:val="22"/>
                <w:color w:val="auto"/>
                <w:w w:val="92"/>
              </w:rPr>
              <w:t>&lt; TD align="left" colSpan="4"&gt;4.278%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-591185</wp:posOffset>
            </wp:positionV>
            <wp:extent cx="732790" cy="27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790" cy="2787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118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1217007</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1431513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1431513</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11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CUSIP</w:t>
            </w:r>
          </w:p>
        </w:tc>
        <w:tc>
          <w:tcPr>
            <w:tcW w:w="2620" w:type="dxa"/>
            <w:vAlign w:val="bottom"/>
            <w:vMerge w:val="restart"/>
          </w:tcPr>
          <w:p>
            <w:pPr>
              <w:jc w:val="right"/>
              <w:ind w:right="1490"/>
              <w:spacing w:after="0"/>
              <w:rPr>
                <w:sz w:val="20"/>
                <w:szCs w:val="20"/>
                <w:color w:val="auto"/>
              </w:rPr>
            </w:pPr>
            <w:r>
              <w:rPr>
                <w:rFonts w:ascii="Arial" w:cs="Arial" w:eastAsia="Arial" w:hAnsi="Arial"/>
                <w:sz w:val="18"/>
                <w:szCs w:val="18"/>
                <w:color w:val="auto"/>
              </w:rPr>
              <w:t>891092108</w:t>
            </w:r>
          </w:p>
        </w:tc>
        <w:tc>
          <w:tcPr>
            <w:tcW w:w="0" w:type="dxa"/>
            <w:vAlign w:val="bottom"/>
          </w:tcPr>
          <w:p>
            <w:pPr>
              <w:spacing w:after="0"/>
              <w:rPr>
                <w:sz w:val="1"/>
                <w:szCs w:val="1"/>
                <w:color w:val="auto"/>
              </w:rPr>
            </w:pPr>
          </w:p>
        </w:tc>
      </w:tr>
      <w:tr>
        <w:trPr>
          <w:trHeight w:val="122"/>
        </w:trPr>
        <w:tc>
          <w:tcPr>
            <w:tcW w:w="760" w:type="dxa"/>
            <w:vAlign w:val="bottom"/>
            <w:vMerge w:val="restart"/>
          </w:tcPr>
          <w:p>
            <w:pPr>
              <w:spacing w:after="0"/>
              <w:rPr>
                <w:sz w:val="20"/>
                <w:szCs w:val="20"/>
                <w:color w:val="auto"/>
              </w:rPr>
            </w:pPr>
            <w:r>
              <w:rPr>
                <w:rFonts w:ascii="Arial" w:cs="Arial" w:eastAsia="Arial" w:hAnsi="Arial"/>
                <w:sz w:val="18"/>
                <w:szCs w:val="18"/>
                <w:color w:val="auto"/>
              </w:rPr>
              <w:t>No.</w:t>
            </w:r>
          </w:p>
        </w:tc>
        <w:tc>
          <w:tcPr>
            <w:tcW w:w="2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6"/>
        </w:trPr>
        <w:tc>
          <w:tcPr>
            <w:tcW w:w="3380" w:type="dxa"/>
            <w:vAlign w:val="bottom"/>
            <w:gridSpan w:val="2"/>
          </w:tcPr>
          <w:p>
            <w:pPr>
              <w:spacing w:after="0"/>
              <w:rPr>
                <w:sz w:val="20"/>
                <w:szCs w:val="20"/>
                <w:color w:val="auto"/>
              </w:rPr>
            </w:pPr>
            <w:r>
              <w:rPr>
                <w:rFonts w:ascii="Arial" w:cs="Arial" w:eastAsia="Arial" w:hAnsi="Arial"/>
                <w:sz w:val="22"/>
                <w:szCs w:val="22"/>
                <w:color w:val="auto"/>
                <w:w w:val="93"/>
              </w:rPr>
              <w:t>&lt; TD align="left" colSpan="4"&gt;3.51%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-591185</wp:posOffset>
            </wp:positionV>
            <wp:extent cx="732790" cy="278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790" cy="2787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11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Management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1174705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1174705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1174705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11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7"/>
          <w:szCs w:val="17"/>
          <w:color w:val="auto"/>
        </w:rPr>
        <w:t>BD</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CUSIP</w:t>
            </w:r>
          </w:p>
        </w:tc>
        <w:tc>
          <w:tcPr>
            <w:tcW w:w="2620" w:type="dxa"/>
            <w:vAlign w:val="bottom"/>
            <w:vMerge w:val="restart"/>
          </w:tcPr>
          <w:p>
            <w:pPr>
              <w:jc w:val="right"/>
              <w:ind w:right="1490"/>
              <w:spacing w:after="0"/>
              <w:rPr>
                <w:sz w:val="20"/>
                <w:szCs w:val="20"/>
                <w:color w:val="auto"/>
              </w:rPr>
            </w:pPr>
            <w:r>
              <w:rPr>
                <w:rFonts w:ascii="Arial" w:cs="Arial" w:eastAsia="Arial" w:hAnsi="Arial"/>
                <w:sz w:val="18"/>
                <w:szCs w:val="18"/>
                <w:color w:val="auto"/>
              </w:rPr>
              <w:t>891092108</w:t>
            </w:r>
          </w:p>
        </w:tc>
        <w:tc>
          <w:tcPr>
            <w:tcW w:w="0" w:type="dxa"/>
            <w:vAlign w:val="bottom"/>
          </w:tcPr>
          <w:p>
            <w:pPr>
              <w:spacing w:after="0"/>
              <w:rPr>
                <w:sz w:val="1"/>
                <w:szCs w:val="1"/>
                <w:color w:val="auto"/>
              </w:rPr>
            </w:pPr>
          </w:p>
        </w:tc>
      </w:tr>
      <w:tr>
        <w:trPr>
          <w:trHeight w:val="122"/>
        </w:trPr>
        <w:tc>
          <w:tcPr>
            <w:tcW w:w="760" w:type="dxa"/>
            <w:vAlign w:val="bottom"/>
            <w:vMerge w:val="restart"/>
          </w:tcPr>
          <w:p>
            <w:pPr>
              <w:spacing w:after="0"/>
              <w:rPr>
                <w:sz w:val="20"/>
                <w:szCs w:val="20"/>
                <w:color w:val="auto"/>
              </w:rPr>
            </w:pPr>
            <w:r>
              <w:rPr>
                <w:rFonts w:ascii="Arial" w:cs="Arial" w:eastAsia="Arial" w:hAnsi="Arial"/>
                <w:sz w:val="18"/>
                <w:szCs w:val="18"/>
                <w:color w:val="auto"/>
              </w:rPr>
              <w:t>No.</w:t>
            </w:r>
          </w:p>
        </w:tc>
        <w:tc>
          <w:tcPr>
            <w:tcW w:w="2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6"/>
        </w:trPr>
        <w:tc>
          <w:tcPr>
            <w:tcW w:w="3380" w:type="dxa"/>
            <w:vAlign w:val="bottom"/>
            <w:gridSpan w:val="2"/>
          </w:tcPr>
          <w:p>
            <w:pPr>
              <w:spacing w:after="0"/>
              <w:rPr>
                <w:sz w:val="20"/>
                <w:szCs w:val="20"/>
                <w:color w:val="auto"/>
              </w:rPr>
            </w:pPr>
            <w:r>
              <w:rPr>
                <w:rFonts w:ascii="Arial" w:cs="Arial" w:eastAsia="Arial" w:hAnsi="Arial"/>
                <w:sz w:val="22"/>
                <w:szCs w:val="22"/>
                <w:color w:val="auto"/>
                <w:w w:val="93"/>
              </w:rPr>
              <w:t>&lt; TD align="left" colSpan="4"&gt;3.49%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-591185</wp:posOffset>
            </wp:positionV>
            <wp:extent cx="732790" cy="278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790" cy="2787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1183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1169094</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1169094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1169094</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11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80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of Issuer Toro Co</w:t>
      </w:r>
    </w:p>
    <w:p>
      <w:pPr>
        <w:spacing w:after="0" w:line="150" w:lineRule="exact"/>
        <w:rPr>
          <w:rFonts w:ascii="Arial" w:cs="Arial" w:eastAsia="Arial" w:hAnsi="Arial"/>
          <w:sz w:val="16"/>
          <w:szCs w:val="16"/>
          <w:color w:val="auto"/>
        </w:rPr>
      </w:pPr>
    </w:p>
    <w:p>
      <w:pPr>
        <w:ind w:left="1300" w:right="6480" w:hanging="644"/>
        <w:spacing w:after="0" w:line="25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8111 Lyndale Avenue South</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Bloomington, MN 55420-1196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160" w:hanging="644"/>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Person Filing Neuberger Berman Group LLC Neuberger Berman LLC Neuberger Berman Management LLC Neuberger Berman Equity Funds</w:t>
      </w:r>
    </w:p>
    <w:p>
      <w:pPr>
        <w:spacing w:after="0" w:line="215"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605 Third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10158</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o78c).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1,431,513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4.278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1,217,007</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1,431,513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9"/>
          <w:szCs w:val="19"/>
          <w:color w:val="auto"/>
        </w:rPr>
        <w:t>Neuberger Berman Group LLC may be deemed to be a beneficial owner of securities for purposes of Rule 13d-3 because certain affiliated persons have shared power to retain or dispose of the securities of many unrelated clients. Neuberger Berman Group LLC or its affiliated persons do not, however, have any economic interest in the securities of those clients. The clients are the actual owners of the securities and have the sole right to receive and the power to direct the receipt of dividends from or proceeds from the sale of such securities. No one client has an interest of more than 5% of the issuer.</w:t>
      </w:r>
    </w:p>
    <w:p>
      <w:pPr>
        <w:spacing w:after="0" w:line="175"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With regard to the Shares set forth under item 4(c)(II), Neuberger Berman Group LLC may be deemed to be the beneficial owner for purposes of Rule 13d-3 because certain affiliated persons have shared power to retain, dispose of and vote the securities. Each of Neuberger Berman LLC and Neuberger Berman Management LLC serve as a sub-adviser and investment manager, respectively, of Neuberger Berman Group LLC’s various registered mutual funds which hold such Shares in the ordinary course of their business and not with the purpose nor with the effect of changing or influencing the control of the issuer. The holdings of Neuberger Berman Fixed Income LLC and NB Alternative Fund Management LLC, affiliates of Neuberger Berman LLC, are also aggregated to comprise the holdings referenced herein.</w:t>
      </w:r>
    </w:p>
    <w:p>
      <w:pPr>
        <w:spacing w:after="0" w:line="205" w:lineRule="exact"/>
        <w:rPr>
          <w:sz w:val="20"/>
          <w:szCs w:val="20"/>
          <w:color w:val="auto"/>
        </w:rPr>
      </w:pPr>
    </w:p>
    <w:p>
      <w:pPr>
        <w:ind w:right="80"/>
        <w:spacing w:after="0" w:line="236" w:lineRule="auto"/>
        <w:rPr>
          <w:sz w:val="20"/>
          <w:szCs w:val="20"/>
          <w:color w:val="auto"/>
        </w:rPr>
      </w:pPr>
      <w:r>
        <w:rPr>
          <w:rFonts w:ascii="Arial" w:cs="Arial" w:eastAsia="Arial" w:hAnsi="Arial"/>
          <w:sz w:val="22"/>
          <w:szCs w:val="22"/>
          <w:color w:val="auto"/>
        </w:rPr>
        <w:t>It should be further noted the Share calculation under item 4(c)(IV) is derived from a total combination of the Shares set forth under Item 4(c)(II) plus any remaining balance of Shares from individual client accounts over which Neuberger Berman LLC has shared power to dispose but does not have voting power over these Shares. The holdings of Neuberger Berman Fixed Income LLC and NB Alternative Fund Management LLC, affiliates of Neuberger Berman LLC, are also aggregated to comprise the holdings referenced herein.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7" w:name="page8"/>
    <w:bookmarkEnd w:id="7"/>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420"/>
          </w:cols>
          <w:pgMar w:left="240" w:top="756"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2010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Kevin Handwerker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Kevin Handwerker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General Counsel</w:t>
      </w:r>
    </w:p>
    <w:p>
      <w:pPr>
        <w:spacing w:after="0" w:line="200" w:lineRule="exact"/>
        <w:rPr>
          <w:sz w:val="20"/>
          <w:szCs w:val="20"/>
          <w:color w:val="auto"/>
        </w:rPr>
      </w:pPr>
    </w:p>
    <w:p>
      <w:pPr>
        <w:sectPr>
          <w:pgSz w:w="11900" w:h="16838" w:orient="portrait"/>
          <w:cols w:equalWidth="0" w:num="2">
            <w:col w:w="5000" w:space="720"/>
            <w:col w:w="570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&lt; FONT style="DISPLAY: inline; FONT-SIZE: 10pt; FONT-FAMILY: times new roman"&gt;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Neuberger Berman LLC</w:t>
      </w:r>
    </w:p>
    <w:p>
      <w:pPr>
        <w:spacing w:after="0" w:line="467" w:lineRule="exact"/>
        <w:rPr>
          <w:sz w:val="20"/>
          <w:szCs w:val="20"/>
          <w:color w:val="auto"/>
        </w:rPr>
      </w:pPr>
    </w:p>
    <w:p>
      <w:pPr>
        <w:sectPr>
          <w:pgSz w:w="11900" w:h="16838" w:orient="portrait"/>
          <w:cols w:equalWidth="0" w:num="2">
            <w:col w:w="5560" w:space="160"/>
            <w:col w:w="5700"/>
          </w:cols>
          <w:pgMar w:left="240" w:top="756"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Date: February 16, 2010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By: /s/ Kevin Handwerker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Kevin Handwerker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General Counsel</w:t>
      </w:r>
    </w:p>
    <w:p>
      <w:pPr>
        <w:spacing w:after="0" w:line="200" w:lineRule="exact"/>
        <w:rPr>
          <w:sz w:val="20"/>
          <w:szCs w:val="20"/>
          <w:color w:val="auto"/>
        </w:rPr>
      </w:pPr>
    </w:p>
    <w:p>
      <w:pPr>
        <w:sectPr>
          <w:pgSz w:w="11900" w:h="16838" w:orient="portrait"/>
          <w:cols w:equalWidth="0" w:num="2">
            <w:col w:w="5000" w:space="720"/>
            <w:col w:w="570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&lt; FONT style="DISPLAY: inline; FONT-SIZE: 10pt; FONT-FAMILY: times new roman"&gt;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Neuberger Berman Management LLC</w:t>
      </w:r>
    </w:p>
    <w:p>
      <w:pPr>
        <w:spacing w:after="0" w:line="467" w:lineRule="exact"/>
        <w:rPr>
          <w:sz w:val="20"/>
          <w:szCs w:val="20"/>
          <w:color w:val="auto"/>
        </w:rPr>
      </w:pPr>
    </w:p>
    <w:p>
      <w:pPr>
        <w:sectPr>
          <w:pgSz w:w="11900" w:h="16838" w:orient="portrait"/>
          <w:cols w:equalWidth="0" w:num="2">
            <w:col w:w="5560" w:space="160"/>
            <w:col w:w="5700"/>
          </w:cols>
          <w:pgMar w:left="240" w:top="756"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Date: February 16, 2010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Robert Conti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ectPr>
          <w:pgSz w:w="11900" w:h="16838" w:orient="portrait"/>
          <w:cols w:equalWidth="0" w:num="3">
            <w:col w:w="5000" w:space="720"/>
            <w:col w:w="260" w:space="100"/>
            <w:col w:w="5340"/>
          </w:cols>
          <w:pgMar w:left="240" w:top="7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Equity Funds</w:t>
      </w:r>
    </w:p>
    <w:p>
      <w:pPr>
        <w:sectPr>
          <w:pgSz w:w="11900" w:h="16838" w:orient="portrait"/>
          <w:cols w:equalWidth="0" w:num="1">
            <w:col w:w="11420"/>
          </w:cols>
          <w:pgMar w:left="240" w:top="756"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16, 2010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Robert Conti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Conti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ectPr>
          <w:pgSz w:w="11900" w:h="16838" w:orient="portrait"/>
          <w:cols w:equalWidth="0" w:num="3">
            <w:col w:w="5000" w:space="720"/>
            <w:col w:w="260" w:space="100"/>
            <w:col w:w="5340"/>
          </w:cols>
          <w:pgMar w:left="240" w:top="756" w:right="23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right="320"/>
        <w:spacing w:after="0" w:line="255" w:lineRule="auto"/>
        <w:rPr>
          <w:sz w:val="20"/>
          <w:szCs w:val="20"/>
          <w:color w:val="auto"/>
        </w:rPr>
      </w:pPr>
      <w:r>
        <w:rPr>
          <w:rFonts w:ascii="Arial" w:cs="Arial" w:eastAsia="Arial" w:hAnsi="Arial"/>
          <w:sz w:val="18"/>
          <w:szCs w:val="18"/>
          <w:color w:val="auto"/>
        </w:rPr>
        <w:t>Neuberger Berman Group LLC, Neuberger Berman LLC, Neuberger Berman Management LLC and certain affiliated persons own directly no Shares. As investment advisers, certain affiliated persons that are controlled by Neuberger Berman Group LLC have investment and voting powers with respect to the Shares held.</w:t>
      </w:r>
    </w:p>
    <w:p>
      <w:pPr>
        <w:spacing w:after="0" w:line="190" w:lineRule="exact"/>
        <w:rPr>
          <w:sz w:val="20"/>
          <w:szCs w:val="20"/>
          <w:color w:val="auto"/>
        </w:rPr>
      </w:pPr>
    </w:p>
    <w:p>
      <w:pPr>
        <w:ind w:left="860"/>
        <w:spacing w:after="0" w:line="276" w:lineRule="auto"/>
        <w:rPr>
          <w:sz w:val="20"/>
          <w:szCs w:val="20"/>
          <w:color w:val="auto"/>
        </w:rPr>
      </w:pPr>
      <w:r>
        <w:rPr>
          <w:rFonts w:ascii="Arial" w:cs="Arial" w:eastAsia="Arial" w:hAnsi="Arial"/>
          <w:sz w:val="17"/>
          <w:szCs w:val="17"/>
          <w:color w:val="auto"/>
        </w:rPr>
        <w:t>Neuberger Berman Group LLC, through its direct and indirect subsidiary Neuberger Berman Holdings LLC, controls Neuberger Berman LLC and certain affiliated persons. By reason of the provisions of Rule 13d-3 of the Securities Exchange Act of 1934, as amended, each of Neuberger Berman Group LLC, Neuberger Berman LLC and Neuberger Berman Management LLC may be deemed to beneficially own the number of shares indicated above. Each of Neuberger Berman Group LLC, Neuberger Berman LLC, Neuberger Berman Management LLC and certain affiliated persons disclaim beneficial ownership of any of the securities covered by this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20"/>
      </w:cols>
      <w:pgMar w:left="240" w:top="75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x"/>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2019-12-10T05:26:11Z</dcterms:created>
  <dcterms:modified xsi:type="dcterms:W3CDTF">2019-12-10T05:26:11Z</dcterms:modified>
</cp:coreProperties>
</file>