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5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73" w:lineRule="exact"/>
        <w:rPr>
          <w:sz w:val="24"/>
          <w:szCs w:val="24"/>
          <w:color w:val="auto"/>
        </w:rPr>
      </w:pPr>
    </w:p>
    <w:p>
      <w:pPr>
        <w:jc w:val="center"/>
        <w:ind w:right="1959"/>
        <w:spacing w:after="0"/>
        <w:tabs>
          <w:tab w:leader="none" w:pos="260" w:val="left"/>
        </w:tabs>
        <w:rPr>
          <w:sz w:val="20"/>
          <w:szCs w:val="20"/>
          <w:color w:val="auto"/>
        </w:rPr>
      </w:pPr>
      <w:r>
        <w:rPr>
          <w:rFonts w:ascii="Courier New" w:cs="Courier New" w:eastAsia="Courier New" w:hAnsi="Courier New"/>
          <w:sz w:val="16"/>
          <w:szCs w:val="16"/>
          <w:color w:val="auto"/>
        </w:rPr>
        <w:t>WASHINGTON, D.C.</w:t>
        <w:tab/>
        <w:t>20549</w:t>
      </w:r>
    </w:p>
    <w:p>
      <w:pPr>
        <w:spacing w:after="0" w:line="188" w:lineRule="exact"/>
        <w:rPr>
          <w:sz w:val="24"/>
          <w:szCs w:val="24"/>
          <w:color w:val="auto"/>
        </w:rPr>
      </w:pPr>
    </w:p>
    <w:p>
      <w:pPr>
        <w:ind w:left="374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6"/>
          <w:szCs w:val="16"/>
          <w:color w:val="auto"/>
        </w:rPr>
        <w:t>AMENDMENT NO. 1</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6"/>
          <w:szCs w:val="16"/>
          <w:color w:val="auto"/>
        </w:rPr>
        <w:t>TO CURRENT REPORT ON FORM 8-K</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6"/>
          <w:szCs w:val="16"/>
          <w:color w:val="auto"/>
        </w:rPr>
        <w:t>ON</w:t>
      </w:r>
    </w:p>
    <w:p>
      <w:pPr>
        <w:spacing w:after="0" w:line="188" w:lineRule="exact"/>
        <w:rPr>
          <w:sz w:val="24"/>
          <w:szCs w:val="24"/>
          <w:color w:val="auto"/>
        </w:rPr>
      </w:pPr>
    </w:p>
    <w:p>
      <w:pPr>
        <w:ind w:left="3640"/>
        <w:spacing w:after="0"/>
        <w:rPr>
          <w:sz w:val="20"/>
          <w:szCs w:val="20"/>
          <w:color w:val="auto"/>
        </w:rPr>
      </w:pPr>
      <w:r>
        <w:rPr>
          <w:rFonts w:ascii="Courier New" w:cs="Courier New" w:eastAsia="Courier New" w:hAnsi="Courier New"/>
          <w:sz w:val="16"/>
          <w:szCs w:val="16"/>
          <w:color w:val="auto"/>
        </w:rPr>
        <w:t>FORM 8-K/A</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sectPr>
          <w:pgSz w:w="11900" w:h="16838" w:orient="portrait"/>
          <w:cols w:equalWidth="0" w:num="1">
            <w:col w:w="10219"/>
          </w:cols>
          <w:pgMar w:left="240" w:top="793" w:right="1440" w:bottom="1440" w:gutter="0" w:footer="0" w:header="0"/>
        </w:sect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 of Report:</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 Date of earliest event reported)</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December 2, 1996</w:t>
      </w:r>
    </w:p>
    <w:p>
      <w:pPr>
        <w:spacing w:after="0" w:line="200" w:lineRule="exact"/>
        <w:rPr>
          <w:sz w:val="24"/>
          <w:szCs w:val="24"/>
          <w:color w:val="auto"/>
        </w:rPr>
      </w:pPr>
    </w:p>
    <w:p>
      <w:pPr>
        <w:sectPr>
          <w:pgSz w:w="11900" w:h="16838" w:orient="portrait"/>
          <w:cols w:equalWidth="0" w:num="3">
            <w:col w:w="1440" w:space="200"/>
            <w:col w:w="3260" w:space="200"/>
            <w:col w:w="5119"/>
          </w:cols>
          <w:pgMar w:left="240" w:top="793" w:right="1440" w:bottom="1440" w:gutter="0" w:footer="0" w:header="0"/>
          <w:type w:val="continuous"/>
        </w:sectPr>
      </w:pPr>
    </w:p>
    <w:p>
      <w:pPr>
        <w:spacing w:after="0" w:line="183"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6"/>
          <w:szCs w:val="16"/>
          <w:color w:val="auto"/>
        </w:rPr>
        <w:t>THE TORO COMPANY</w:t>
      </w:r>
    </w:p>
    <w:p>
      <w:pPr>
        <w:spacing w:after="0" w:line="5"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793" w:right="1440" w:bottom="1440" w:gutter="0" w:footer="0" w:header="0"/>
          <w:type w:val="continuous"/>
        </w:sectPr>
      </w:pPr>
    </w:p>
    <w:p>
      <w:pPr>
        <w:spacing w:after="0" w:line="383"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13"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1-8469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41-0580470</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9" w:lineRule="exact"/>
        <w:rPr>
          <w:sz w:val="24"/>
          <w:szCs w:val="24"/>
          <w:color w:val="auto"/>
        </w:rPr>
      </w:pPr>
    </w:p>
    <w:p>
      <w:pPr>
        <w:sectPr>
          <w:pgSz w:w="11900" w:h="16838" w:orient="portrait"/>
          <w:cols w:equalWidth="0" w:num="3">
            <w:col w:w="2680" w:space="200"/>
            <w:col w:w="2020" w:space="580"/>
            <w:col w:w="4739"/>
          </w:cols>
          <w:pgMar w:left="240" w:top="793" w:right="1440" w:bottom="1440" w:gutter="0" w:footer="0" w:header="0"/>
          <w:type w:val="continuous"/>
        </w:sectPr>
      </w:pPr>
    </w:p>
    <w:p>
      <w:pPr>
        <w:spacing w:after="0" w:line="175" w:lineRule="exact"/>
        <w:rPr>
          <w:sz w:val="24"/>
          <w:szCs w:val="24"/>
          <w:color w:val="auto"/>
        </w:rPr>
      </w:pPr>
    </w:p>
    <w:p>
      <w:pPr>
        <w:ind w:right="920"/>
        <w:spacing w:after="0" w:line="274" w:lineRule="auto"/>
        <w:rPr>
          <w:sz w:val="20"/>
          <w:szCs w:val="20"/>
          <w:color w:val="auto"/>
        </w:rPr>
      </w:pPr>
      <w:r>
        <w:rPr>
          <w:rFonts w:ascii="Courier New" w:cs="Courier New" w:eastAsia="Courier New" w:hAnsi="Courier New"/>
          <w:sz w:val="15"/>
          <w:szCs w:val="15"/>
          <w:color w:val="auto"/>
        </w:rPr>
        <w:t>8111 LYNDALE AVENUE SOUTH, BLOOMINGTON, MINNESOTA (Address of principal executive office)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55420-1196</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33" w:lineRule="exact"/>
        <w:rPr>
          <w:sz w:val="24"/>
          <w:szCs w:val="24"/>
          <w:color w:val="auto"/>
        </w:rPr>
      </w:pPr>
    </w:p>
    <w:p>
      <w:pPr>
        <w:sectPr>
          <w:pgSz w:w="11900" w:h="16838" w:orient="portrait"/>
          <w:cols w:equalWidth="0" w:num="2">
            <w:col w:w="5620" w:space="720"/>
            <w:col w:w="3879"/>
          </w:cols>
          <w:pgMar w:left="240" w:top="793" w:right="1440" w:bottom="1440" w:gutter="0" w:footer="0" w:header="0"/>
          <w:type w:val="continuous"/>
        </w:sectPr>
      </w:pP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612/888-8801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793" w:right="1440" w:bottom="1440" w:gutter="0" w:footer="0" w:header="0"/>
          <w:type w:val="continuous"/>
        </w:sectPr>
      </w:pPr>
    </w:p>
    <w:bookmarkStart w:id="1" w:name="page2"/>
    <w:bookmarkEnd w:id="1"/>
    <w:p>
      <w:pPr>
        <w:spacing w:after="0"/>
        <w:tabs>
          <w:tab w:leader="none" w:pos="840" w:val="left"/>
        </w:tabs>
        <w:rPr>
          <w:sz w:val="20"/>
          <w:szCs w:val="20"/>
          <w:color w:val="auto"/>
        </w:rPr>
      </w:pPr>
      <w:r>
        <w:rPr>
          <w:rFonts w:ascii="Courier New" w:cs="Courier New" w:eastAsia="Courier New" w:hAnsi="Courier New"/>
          <w:sz w:val="16"/>
          <w:szCs w:val="16"/>
          <w:color w:val="auto"/>
        </w:rPr>
        <w:t>ITEM 7.</w:t>
        <w:tab/>
        <w:t>FINANCIAL STATEMENTS, PRO FORMA FINANCIAL INFORMATION AND EXHIBITS.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FOLLOWING DOCUMENTS ARE INCLUDED AS PART OF THIS REPORT:</w:t>
      </w:r>
    </w:p>
    <w:p>
      <w:pPr>
        <w:spacing w:after="0" w:line="37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(a) Financial Statements of Business Acquired:</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w w:val="98"/>
              </w:rPr>
              <w:t>Page No.</w:t>
            </w:r>
          </w:p>
        </w:tc>
      </w:tr>
      <w:tr>
        <w:trPr>
          <w:trHeight w:val="185"/>
        </w:trPr>
        <w:tc>
          <w:tcPr>
            <w:tcW w:w="27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370"/>
        </w:trPr>
        <w:tc>
          <w:tcPr>
            <w:tcW w:w="2740" w:type="dxa"/>
            <w:vAlign w:val="bottom"/>
          </w:tcPr>
          <w:p>
            <w:pPr>
              <w:ind w:left="480"/>
              <w:spacing w:after="0"/>
              <w:rPr>
                <w:sz w:val="20"/>
                <w:szCs w:val="20"/>
                <w:color w:val="auto"/>
              </w:rPr>
            </w:pPr>
            <w:r>
              <w:rPr>
                <w:rFonts w:ascii="Courier New" w:cs="Courier New" w:eastAsia="Courier New" w:hAnsi="Courier New"/>
                <w:sz w:val="16"/>
                <w:szCs w:val="16"/>
                <w:color w:val="auto"/>
              </w:rPr>
              <w:t>James Hardie Irrigation</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Group Financial Statements</w:t>
            </w:r>
          </w:p>
        </w:tc>
        <w:tc>
          <w:tcPr>
            <w:tcW w:w="920" w:type="dxa"/>
            <w:vAlign w:val="bottom"/>
          </w:tcPr>
          <w:p>
            <w:pPr>
              <w:spacing w:after="0"/>
              <w:rPr>
                <w:sz w:val="24"/>
                <w:szCs w:val="24"/>
                <w:color w:val="auto"/>
              </w:rPr>
            </w:pPr>
          </w:p>
        </w:tc>
      </w:tr>
      <w:tr>
        <w:trPr>
          <w:trHeight w:val="185"/>
        </w:trPr>
        <w:tc>
          <w:tcPr>
            <w:tcW w:w="61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for the year ended March 31, 1996</w:t>
            </w:r>
          </w:p>
        </w:tc>
        <w:tc>
          <w:tcPr>
            <w:tcW w:w="920" w:type="dxa"/>
            <w:vAlign w:val="bottom"/>
          </w:tcPr>
          <w:p>
            <w:pPr>
              <w:spacing w:after="0"/>
              <w:rPr>
                <w:sz w:val="16"/>
                <w:szCs w:val="16"/>
                <w:color w:val="auto"/>
              </w:rPr>
            </w:pPr>
          </w:p>
        </w:tc>
      </w:tr>
      <w:tr>
        <w:trPr>
          <w:trHeight w:val="185"/>
        </w:trPr>
        <w:tc>
          <w:tcPr>
            <w:tcW w:w="610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Report of Independent Accountants</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A-1</w:t>
            </w:r>
          </w:p>
        </w:tc>
      </w:tr>
      <w:tr>
        <w:trPr>
          <w:trHeight w:val="185"/>
        </w:trPr>
        <w:tc>
          <w:tcPr>
            <w:tcW w:w="610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Combined Balance Sheet as of March 31, 1996</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A-2</w:t>
            </w:r>
          </w:p>
        </w:tc>
      </w:tr>
      <w:tr>
        <w:trPr>
          <w:trHeight w:val="185"/>
        </w:trPr>
        <w:tc>
          <w:tcPr>
            <w:tcW w:w="2740" w:type="dxa"/>
            <w:vAlign w:val="bottom"/>
          </w:tcPr>
          <w:p>
            <w:pPr>
              <w:ind w:left="960"/>
              <w:spacing w:after="0"/>
              <w:rPr>
                <w:sz w:val="20"/>
                <w:szCs w:val="20"/>
                <w:color w:val="auto"/>
              </w:rPr>
            </w:pPr>
            <w:r>
              <w:rPr>
                <w:rFonts w:ascii="Courier New" w:cs="Courier New" w:eastAsia="Courier New" w:hAnsi="Courier New"/>
                <w:sz w:val="16"/>
                <w:szCs w:val="16"/>
                <w:color w:val="auto"/>
              </w:rPr>
              <w:t>Combined Statement</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of Operations for the year</w:t>
            </w:r>
          </w:p>
        </w:tc>
        <w:tc>
          <w:tcPr>
            <w:tcW w:w="920" w:type="dxa"/>
            <w:vAlign w:val="bottom"/>
          </w:tcPr>
          <w:p>
            <w:pPr>
              <w:spacing w:after="0"/>
              <w:rPr>
                <w:sz w:val="16"/>
                <w:szCs w:val="16"/>
                <w:color w:val="auto"/>
              </w:rPr>
            </w:pPr>
          </w:p>
        </w:tc>
      </w:tr>
      <w:tr>
        <w:trPr>
          <w:trHeight w:val="185"/>
        </w:trPr>
        <w:tc>
          <w:tcPr>
            <w:tcW w:w="6100" w:type="dxa"/>
            <w:vAlign w:val="bottom"/>
            <w:gridSpan w:val="2"/>
          </w:tcPr>
          <w:p>
            <w:pPr>
              <w:ind w:left="1440"/>
              <w:spacing w:after="0"/>
              <w:rPr>
                <w:sz w:val="20"/>
                <w:szCs w:val="20"/>
                <w:color w:val="auto"/>
              </w:rPr>
            </w:pPr>
            <w:r>
              <w:rPr>
                <w:rFonts w:ascii="Courier New" w:cs="Courier New" w:eastAsia="Courier New" w:hAnsi="Courier New"/>
                <w:sz w:val="16"/>
                <w:szCs w:val="16"/>
                <w:color w:val="auto"/>
              </w:rPr>
              <w:t>ended fiscal March 31, 1996</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A-3</w:t>
            </w:r>
          </w:p>
        </w:tc>
      </w:tr>
      <w:tr>
        <w:trPr>
          <w:trHeight w:val="185"/>
        </w:trPr>
        <w:tc>
          <w:tcPr>
            <w:tcW w:w="2740" w:type="dxa"/>
            <w:vAlign w:val="bottom"/>
          </w:tcPr>
          <w:p>
            <w:pPr>
              <w:ind w:left="960"/>
              <w:spacing w:after="0"/>
              <w:rPr>
                <w:sz w:val="20"/>
                <w:szCs w:val="20"/>
                <w:color w:val="auto"/>
              </w:rPr>
            </w:pPr>
            <w:r>
              <w:rPr>
                <w:rFonts w:ascii="Courier New" w:cs="Courier New" w:eastAsia="Courier New" w:hAnsi="Courier New"/>
                <w:sz w:val="16"/>
                <w:szCs w:val="16"/>
                <w:color w:val="auto"/>
              </w:rPr>
              <w:t>Combined Statement</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of Divisional/Shareholders'</w:t>
            </w:r>
          </w:p>
        </w:tc>
        <w:tc>
          <w:tcPr>
            <w:tcW w:w="920" w:type="dxa"/>
            <w:vAlign w:val="bottom"/>
          </w:tcPr>
          <w:p>
            <w:pPr>
              <w:spacing w:after="0"/>
              <w:rPr>
                <w:sz w:val="16"/>
                <w:szCs w:val="16"/>
                <w:color w:val="auto"/>
              </w:rPr>
            </w:pPr>
          </w:p>
        </w:tc>
      </w:tr>
      <w:tr>
        <w:trPr>
          <w:trHeight w:val="185"/>
        </w:trPr>
        <w:tc>
          <w:tcPr>
            <w:tcW w:w="6100" w:type="dxa"/>
            <w:vAlign w:val="bottom"/>
            <w:gridSpan w:val="2"/>
          </w:tcPr>
          <w:p>
            <w:pPr>
              <w:ind w:left="1440"/>
              <w:spacing w:after="0"/>
              <w:rPr>
                <w:sz w:val="20"/>
                <w:szCs w:val="20"/>
                <w:color w:val="auto"/>
              </w:rPr>
            </w:pPr>
            <w:r>
              <w:rPr>
                <w:rFonts w:ascii="Courier New" w:cs="Courier New" w:eastAsia="Courier New" w:hAnsi="Courier New"/>
                <w:sz w:val="16"/>
                <w:szCs w:val="16"/>
                <w:color w:val="auto"/>
              </w:rPr>
              <w:t>Equity for the fiscal year ended March 31, 1996</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A-4</w:t>
            </w:r>
          </w:p>
        </w:tc>
      </w:tr>
      <w:tr>
        <w:trPr>
          <w:trHeight w:val="185"/>
        </w:trPr>
        <w:tc>
          <w:tcPr>
            <w:tcW w:w="2740" w:type="dxa"/>
            <w:vAlign w:val="bottom"/>
          </w:tcPr>
          <w:p>
            <w:pPr>
              <w:ind w:left="960"/>
              <w:spacing w:after="0"/>
              <w:rPr>
                <w:sz w:val="20"/>
                <w:szCs w:val="20"/>
                <w:color w:val="auto"/>
              </w:rPr>
            </w:pPr>
            <w:r>
              <w:rPr>
                <w:rFonts w:ascii="Courier New" w:cs="Courier New" w:eastAsia="Courier New" w:hAnsi="Courier New"/>
                <w:sz w:val="16"/>
                <w:szCs w:val="16"/>
                <w:color w:val="auto"/>
              </w:rPr>
              <w:t>Combined Statement</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of Cash Flows for the year</w:t>
            </w:r>
          </w:p>
        </w:tc>
        <w:tc>
          <w:tcPr>
            <w:tcW w:w="920" w:type="dxa"/>
            <w:vAlign w:val="bottom"/>
          </w:tcPr>
          <w:p>
            <w:pPr>
              <w:spacing w:after="0"/>
              <w:rPr>
                <w:sz w:val="16"/>
                <w:szCs w:val="16"/>
                <w:color w:val="auto"/>
              </w:rPr>
            </w:pPr>
          </w:p>
        </w:tc>
      </w:tr>
      <w:tr>
        <w:trPr>
          <w:trHeight w:val="185"/>
        </w:trPr>
        <w:tc>
          <w:tcPr>
            <w:tcW w:w="6100" w:type="dxa"/>
            <w:vAlign w:val="bottom"/>
            <w:gridSpan w:val="2"/>
          </w:tcPr>
          <w:p>
            <w:pPr>
              <w:ind w:left="1440"/>
              <w:spacing w:after="0"/>
              <w:rPr>
                <w:sz w:val="20"/>
                <w:szCs w:val="20"/>
                <w:color w:val="auto"/>
              </w:rPr>
            </w:pPr>
            <w:r>
              <w:rPr>
                <w:rFonts w:ascii="Courier New" w:cs="Courier New" w:eastAsia="Courier New" w:hAnsi="Courier New"/>
                <w:sz w:val="16"/>
                <w:szCs w:val="16"/>
                <w:color w:val="auto"/>
              </w:rPr>
              <w:t>ended fiscal March 31, 1996</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A-5</w:t>
            </w:r>
          </w:p>
        </w:tc>
      </w:tr>
      <w:tr>
        <w:trPr>
          <w:trHeight w:val="185"/>
        </w:trPr>
        <w:tc>
          <w:tcPr>
            <w:tcW w:w="610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Notes to the Combined Financial Statements</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A-6 to</w:t>
            </w:r>
          </w:p>
        </w:tc>
      </w:tr>
      <w:tr>
        <w:trPr>
          <w:trHeight w:val="185"/>
        </w:trPr>
        <w:tc>
          <w:tcPr>
            <w:tcW w:w="27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A-17</w:t>
            </w:r>
          </w:p>
        </w:tc>
      </w:tr>
      <w:tr>
        <w:trPr>
          <w:trHeight w:val="185"/>
        </w:trPr>
        <w:tc>
          <w:tcPr>
            <w:tcW w:w="2740" w:type="dxa"/>
            <w:vAlign w:val="bottom"/>
          </w:tcPr>
          <w:p>
            <w:pPr>
              <w:ind w:left="960"/>
              <w:spacing w:after="0"/>
              <w:rPr>
                <w:sz w:val="20"/>
                <w:szCs w:val="20"/>
                <w:color w:val="auto"/>
              </w:rPr>
            </w:pPr>
            <w:r>
              <w:rPr>
                <w:rFonts w:ascii="Courier New" w:cs="Courier New" w:eastAsia="Courier New" w:hAnsi="Courier New"/>
                <w:sz w:val="16"/>
                <w:szCs w:val="16"/>
                <w:color w:val="auto"/>
              </w:rPr>
              <w:t>Condensed Combined</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Balance Sheet</w:t>
            </w:r>
          </w:p>
        </w:tc>
        <w:tc>
          <w:tcPr>
            <w:tcW w:w="920" w:type="dxa"/>
            <w:vAlign w:val="bottom"/>
          </w:tcPr>
          <w:p>
            <w:pPr>
              <w:spacing w:after="0"/>
              <w:rPr>
                <w:sz w:val="16"/>
                <w:szCs w:val="16"/>
                <w:color w:val="auto"/>
              </w:rPr>
            </w:pPr>
          </w:p>
        </w:tc>
      </w:tr>
      <w:tr>
        <w:trPr>
          <w:trHeight w:val="185"/>
        </w:trPr>
        <w:tc>
          <w:tcPr>
            <w:tcW w:w="6100" w:type="dxa"/>
            <w:vAlign w:val="bottom"/>
            <w:gridSpan w:val="2"/>
          </w:tcPr>
          <w:p>
            <w:pPr>
              <w:ind w:left="1440"/>
              <w:spacing w:after="0"/>
              <w:rPr>
                <w:sz w:val="20"/>
                <w:szCs w:val="20"/>
                <w:color w:val="auto"/>
              </w:rPr>
            </w:pPr>
            <w:r>
              <w:rPr>
                <w:rFonts w:ascii="Courier New" w:cs="Courier New" w:eastAsia="Courier New" w:hAnsi="Courier New"/>
                <w:sz w:val="16"/>
                <w:szCs w:val="16"/>
                <w:color w:val="auto"/>
              </w:rPr>
              <w:t>as of  October 31, 1996</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A-18</w:t>
            </w:r>
          </w:p>
        </w:tc>
      </w:tr>
      <w:tr>
        <w:trPr>
          <w:trHeight w:val="185"/>
        </w:trPr>
        <w:tc>
          <w:tcPr>
            <w:tcW w:w="2740" w:type="dxa"/>
            <w:vAlign w:val="bottom"/>
          </w:tcPr>
          <w:p>
            <w:pPr>
              <w:ind w:left="960"/>
              <w:spacing w:after="0"/>
              <w:rPr>
                <w:sz w:val="20"/>
                <w:szCs w:val="20"/>
                <w:color w:val="auto"/>
              </w:rPr>
            </w:pPr>
            <w:r>
              <w:rPr>
                <w:rFonts w:ascii="Courier New" w:cs="Courier New" w:eastAsia="Courier New" w:hAnsi="Courier New"/>
                <w:sz w:val="16"/>
                <w:szCs w:val="16"/>
                <w:color w:val="auto"/>
              </w:rPr>
              <w:t>Condensed Combined</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Statement of Operations</w:t>
            </w:r>
          </w:p>
        </w:tc>
        <w:tc>
          <w:tcPr>
            <w:tcW w:w="920" w:type="dxa"/>
            <w:vAlign w:val="bottom"/>
          </w:tcPr>
          <w:p>
            <w:pPr>
              <w:spacing w:after="0"/>
              <w:rPr>
                <w:sz w:val="16"/>
                <w:szCs w:val="16"/>
                <w:color w:val="auto"/>
              </w:rPr>
            </w:pPr>
          </w:p>
        </w:tc>
      </w:tr>
      <w:tr>
        <w:trPr>
          <w:trHeight w:val="185"/>
        </w:trPr>
        <w:tc>
          <w:tcPr>
            <w:tcW w:w="2740" w:type="dxa"/>
            <w:vAlign w:val="bottom"/>
          </w:tcPr>
          <w:p>
            <w:pPr>
              <w:ind w:left="1440"/>
              <w:spacing w:after="0"/>
              <w:rPr>
                <w:sz w:val="20"/>
                <w:szCs w:val="20"/>
                <w:color w:val="auto"/>
              </w:rPr>
            </w:pPr>
            <w:r>
              <w:rPr>
                <w:rFonts w:ascii="Courier New" w:cs="Courier New" w:eastAsia="Courier New" w:hAnsi="Courier New"/>
                <w:sz w:val="16"/>
                <w:szCs w:val="16"/>
                <w:color w:val="auto"/>
              </w:rPr>
              <w:t>for the seven</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months ended October 31, 1996</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A-19</w:t>
            </w:r>
          </w:p>
        </w:tc>
      </w:tr>
      <w:tr>
        <w:trPr>
          <w:trHeight w:val="185"/>
        </w:trPr>
        <w:tc>
          <w:tcPr>
            <w:tcW w:w="2740" w:type="dxa"/>
            <w:vAlign w:val="bottom"/>
          </w:tcPr>
          <w:p>
            <w:pPr>
              <w:ind w:left="960"/>
              <w:spacing w:after="0"/>
              <w:rPr>
                <w:sz w:val="20"/>
                <w:szCs w:val="20"/>
                <w:color w:val="auto"/>
              </w:rPr>
            </w:pPr>
            <w:r>
              <w:rPr>
                <w:rFonts w:ascii="Courier New" w:cs="Courier New" w:eastAsia="Courier New" w:hAnsi="Courier New"/>
                <w:sz w:val="16"/>
                <w:szCs w:val="16"/>
                <w:color w:val="auto"/>
              </w:rPr>
              <w:t>Condensed Combined</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Statement of Cash Flows</w:t>
            </w:r>
          </w:p>
        </w:tc>
        <w:tc>
          <w:tcPr>
            <w:tcW w:w="920" w:type="dxa"/>
            <w:vAlign w:val="bottom"/>
          </w:tcPr>
          <w:p>
            <w:pPr>
              <w:spacing w:after="0"/>
              <w:rPr>
                <w:sz w:val="16"/>
                <w:szCs w:val="16"/>
                <w:color w:val="auto"/>
              </w:rPr>
            </w:pPr>
          </w:p>
        </w:tc>
      </w:tr>
      <w:tr>
        <w:trPr>
          <w:trHeight w:val="185"/>
        </w:trPr>
        <w:tc>
          <w:tcPr>
            <w:tcW w:w="2740" w:type="dxa"/>
            <w:vAlign w:val="bottom"/>
          </w:tcPr>
          <w:p>
            <w:pPr>
              <w:ind w:left="1440"/>
              <w:spacing w:after="0"/>
              <w:rPr>
                <w:sz w:val="20"/>
                <w:szCs w:val="20"/>
                <w:color w:val="auto"/>
              </w:rPr>
            </w:pPr>
            <w:r>
              <w:rPr>
                <w:rFonts w:ascii="Courier New" w:cs="Courier New" w:eastAsia="Courier New" w:hAnsi="Courier New"/>
                <w:sz w:val="16"/>
                <w:szCs w:val="16"/>
                <w:color w:val="auto"/>
              </w:rPr>
              <w:t>for the seven</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months ended October 31, 1996</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A-20</w:t>
            </w:r>
          </w:p>
        </w:tc>
      </w:tr>
      <w:tr>
        <w:trPr>
          <w:trHeight w:val="185"/>
        </w:trPr>
        <w:tc>
          <w:tcPr>
            <w:tcW w:w="610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Notes to the Condensed Combined Financial</w:t>
            </w:r>
          </w:p>
        </w:tc>
        <w:tc>
          <w:tcPr>
            <w:tcW w:w="920" w:type="dxa"/>
            <w:vAlign w:val="bottom"/>
          </w:tcPr>
          <w:p>
            <w:pPr>
              <w:spacing w:after="0"/>
              <w:rPr>
                <w:sz w:val="16"/>
                <w:szCs w:val="16"/>
                <w:color w:val="auto"/>
              </w:rPr>
            </w:pPr>
          </w:p>
        </w:tc>
      </w:tr>
      <w:tr>
        <w:trPr>
          <w:trHeight w:val="185"/>
        </w:trPr>
        <w:tc>
          <w:tcPr>
            <w:tcW w:w="2740" w:type="dxa"/>
            <w:vAlign w:val="bottom"/>
          </w:tcPr>
          <w:p>
            <w:pPr>
              <w:ind w:left="1440"/>
              <w:spacing w:after="0"/>
              <w:rPr>
                <w:sz w:val="20"/>
                <w:szCs w:val="20"/>
                <w:color w:val="auto"/>
              </w:rPr>
            </w:pPr>
            <w:r>
              <w:rPr>
                <w:rFonts w:ascii="Courier New" w:cs="Courier New" w:eastAsia="Courier New" w:hAnsi="Courier New"/>
                <w:sz w:val="16"/>
                <w:szCs w:val="16"/>
                <w:color w:val="auto"/>
              </w:rPr>
              <w:t>Statements</w:t>
            </w:r>
          </w:p>
        </w:tc>
        <w:tc>
          <w:tcPr>
            <w:tcW w:w="336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A-21</w:t>
            </w:r>
          </w:p>
        </w:tc>
      </w:tr>
      <w:tr>
        <w:trPr>
          <w:trHeight w:val="370"/>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(b) Pro forma Financial Information:</w:t>
            </w:r>
          </w:p>
        </w:tc>
        <w:tc>
          <w:tcPr>
            <w:tcW w:w="920" w:type="dxa"/>
            <w:vAlign w:val="bottom"/>
          </w:tcPr>
          <w:p>
            <w:pPr>
              <w:spacing w:after="0"/>
              <w:rPr>
                <w:sz w:val="24"/>
                <w:szCs w:val="24"/>
                <w:color w:val="auto"/>
              </w:rPr>
            </w:pPr>
          </w:p>
        </w:tc>
      </w:tr>
      <w:tr>
        <w:trPr>
          <w:trHeight w:val="370"/>
        </w:trPr>
        <w:tc>
          <w:tcPr>
            <w:tcW w:w="610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Pro forma Information</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B-1</w:t>
            </w:r>
          </w:p>
        </w:tc>
      </w:tr>
      <w:tr>
        <w:trPr>
          <w:trHeight w:val="185"/>
        </w:trPr>
        <w:tc>
          <w:tcPr>
            <w:tcW w:w="610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Pro forma Condensed Combined Balance Sheet</w:t>
            </w:r>
          </w:p>
        </w:tc>
        <w:tc>
          <w:tcPr>
            <w:tcW w:w="920" w:type="dxa"/>
            <w:vAlign w:val="bottom"/>
          </w:tcPr>
          <w:p>
            <w:pPr>
              <w:spacing w:after="0"/>
              <w:rPr>
                <w:sz w:val="16"/>
                <w:szCs w:val="16"/>
                <w:color w:val="auto"/>
              </w:rPr>
            </w:pPr>
          </w:p>
        </w:tc>
      </w:tr>
      <w:tr>
        <w:trPr>
          <w:trHeight w:val="185"/>
        </w:trPr>
        <w:tc>
          <w:tcPr>
            <w:tcW w:w="2740" w:type="dxa"/>
            <w:vAlign w:val="bottom"/>
          </w:tcPr>
          <w:p>
            <w:pPr>
              <w:ind w:left="1440"/>
              <w:spacing w:after="0"/>
              <w:rPr>
                <w:sz w:val="20"/>
                <w:szCs w:val="20"/>
                <w:color w:val="auto"/>
              </w:rPr>
            </w:pPr>
            <w:r>
              <w:rPr>
                <w:rFonts w:ascii="Courier New" w:cs="Courier New" w:eastAsia="Courier New" w:hAnsi="Courier New"/>
                <w:sz w:val="16"/>
                <w:szCs w:val="16"/>
                <w:color w:val="auto"/>
              </w:rPr>
              <w:t>as of October</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31, 1996</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B-2</w:t>
            </w:r>
          </w:p>
        </w:tc>
      </w:tr>
      <w:tr>
        <w:trPr>
          <w:trHeight w:val="185"/>
        </w:trPr>
        <w:tc>
          <w:tcPr>
            <w:tcW w:w="610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Pro forma Condensed Combined Statement of</w:t>
            </w:r>
          </w:p>
        </w:tc>
        <w:tc>
          <w:tcPr>
            <w:tcW w:w="920" w:type="dxa"/>
            <w:vAlign w:val="bottom"/>
          </w:tcPr>
          <w:p>
            <w:pPr>
              <w:spacing w:after="0"/>
              <w:rPr>
                <w:sz w:val="16"/>
                <w:szCs w:val="16"/>
                <w:color w:val="auto"/>
              </w:rPr>
            </w:pPr>
          </w:p>
        </w:tc>
      </w:tr>
      <w:tr>
        <w:trPr>
          <w:trHeight w:val="185"/>
        </w:trPr>
        <w:tc>
          <w:tcPr>
            <w:tcW w:w="2740" w:type="dxa"/>
            <w:vAlign w:val="bottom"/>
          </w:tcPr>
          <w:p>
            <w:pPr>
              <w:ind w:left="960"/>
              <w:spacing w:after="0"/>
              <w:rPr>
                <w:sz w:val="20"/>
                <w:szCs w:val="20"/>
                <w:color w:val="auto"/>
              </w:rPr>
            </w:pPr>
            <w:r>
              <w:rPr>
                <w:rFonts w:ascii="Courier New" w:cs="Courier New" w:eastAsia="Courier New" w:hAnsi="Courier New"/>
                <w:sz w:val="16"/>
                <w:szCs w:val="16"/>
                <w:color w:val="auto"/>
              </w:rPr>
              <w:t>Operations for the</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fiscal year ended</w:t>
            </w:r>
          </w:p>
        </w:tc>
        <w:tc>
          <w:tcPr>
            <w:tcW w:w="920" w:type="dxa"/>
            <w:vAlign w:val="bottom"/>
          </w:tcPr>
          <w:p>
            <w:pPr>
              <w:spacing w:after="0"/>
              <w:rPr>
                <w:sz w:val="16"/>
                <w:szCs w:val="16"/>
                <w:color w:val="auto"/>
              </w:rPr>
            </w:pPr>
          </w:p>
        </w:tc>
      </w:tr>
      <w:tr>
        <w:trPr>
          <w:trHeight w:val="185"/>
        </w:trPr>
        <w:tc>
          <w:tcPr>
            <w:tcW w:w="6100" w:type="dxa"/>
            <w:vAlign w:val="bottom"/>
            <w:gridSpan w:val="2"/>
          </w:tcPr>
          <w:p>
            <w:pPr>
              <w:ind w:left="1440"/>
              <w:spacing w:after="0"/>
              <w:rPr>
                <w:sz w:val="20"/>
                <w:szCs w:val="20"/>
                <w:color w:val="auto"/>
              </w:rPr>
            </w:pPr>
            <w:r>
              <w:rPr>
                <w:rFonts w:ascii="Courier New" w:cs="Courier New" w:eastAsia="Courier New" w:hAnsi="Courier New"/>
                <w:sz w:val="16"/>
                <w:szCs w:val="16"/>
                <w:color w:val="auto"/>
              </w:rPr>
              <w:t>October 31, 1996</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B-3</w:t>
            </w:r>
          </w:p>
        </w:tc>
      </w:tr>
      <w:tr>
        <w:trPr>
          <w:trHeight w:val="185"/>
        </w:trPr>
        <w:tc>
          <w:tcPr>
            <w:tcW w:w="2740" w:type="dxa"/>
            <w:vAlign w:val="bottom"/>
          </w:tcPr>
          <w:p>
            <w:pPr>
              <w:ind w:left="960"/>
              <w:spacing w:after="0"/>
              <w:rPr>
                <w:sz w:val="20"/>
                <w:szCs w:val="20"/>
                <w:color w:val="auto"/>
              </w:rPr>
            </w:pPr>
            <w:r>
              <w:rPr>
                <w:rFonts w:ascii="Courier New" w:cs="Courier New" w:eastAsia="Courier New" w:hAnsi="Courier New"/>
                <w:sz w:val="16"/>
                <w:szCs w:val="16"/>
                <w:color w:val="auto"/>
              </w:rPr>
              <w:t>Notes to Pro forma</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Condensed Combined</w:t>
            </w:r>
          </w:p>
        </w:tc>
        <w:tc>
          <w:tcPr>
            <w:tcW w:w="920" w:type="dxa"/>
            <w:vAlign w:val="bottom"/>
          </w:tcPr>
          <w:p>
            <w:pPr>
              <w:spacing w:after="0"/>
              <w:rPr>
                <w:sz w:val="16"/>
                <w:szCs w:val="16"/>
                <w:color w:val="auto"/>
              </w:rPr>
            </w:pPr>
          </w:p>
        </w:tc>
      </w:tr>
      <w:tr>
        <w:trPr>
          <w:trHeight w:val="185"/>
        </w:trPr>
        <w:tc>
          <w:tcPr>
            <w:tcW w:w="6100" w:type="dxa"/>
            <w:vAlign w:val="bottom"/>
            <w:gridSpan w:val="2"/>
          </w:tcPr>
          <w:p>
            <w:pPr>
              <w:ind w:left="1440"/>
              <w:spacing w:after="0"/>
              <w:rPr>
                <w:sz w:val="20"/>
                <w:szCs w:val="20"/>
                <w:color w:val="auto"/>
              </w:rPr>
            </w:pPr>
            <w:r>
              <w:rPr>
                <w:rFonts w:ascii="Courier New" w:cs="Courier New" w:eastAsia="Courier New" w:hAnsi="Courier New"/>
                <w:sz w:val="16"/>
                <w:szCs w:val="16"/>
                <w:color w:val="auto"/>
              </w:rPr>
              <w:t>Financial Statements</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B-4</w:t>
            </w:r>
          </w:p>
        </w:tc>
      </w:tr>
      <w:tr>
        <w:trPr>
          <w:trHeight w:val="554"/>
        </w:trPr>
        <w:tc>
          <w:tcPr>
            <w:tcW w:w="2740" w:type="dxa"/>
            <w:vAlign w:val="bottom"/>
          </w:tcPr>
          <w:p>
            <w:pPr>
              <w:spacing w:after="0"/>
              <w:rPr>
                <w:sz w:val="20"/>
                <w:szCs w:val="20"/>
                <w:color w:val="auto"/>
              </w:rPr>
            </w:pPr>
            <w:r>
              <w:rPr>
                <w:rFonts w:ascii="Courier New" w:cs="Courier New" w:eastAsia="Courier New" w:hAnsi="Courier New"/>
                <w:sz w:val="16"/>
                <w:szCs w:val="16"/>
                <w:color w:val="auto"/>
              </w:rPr>
              <w:t>(c) Exhibits:</w:t>
            </w:r>
          </w:p>
        </w:tc>
        <w:tc>
          <w:tcPr>
            <w:tcW w:w="3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2740" w:type="dxa"/>
            <w:vAlign w:val="bottom"/>
          </w:tcPr>
          <w:p>
            <w:pPr>
              <w:ind w:left="480"/>
              <w:spacing w:after="0"/>
              <w:rPr>
                <w:sz w:val="20"/>
                <w:szCs w:val="20"/>
                <w:color w:val="auto"/>
              </w:rPr>
            </w:pPr>
            <w:r>
              <w:rPr>
                <w:rFonts w:ascii="Courier New" w:cs="Courier New" w:eastAsia="Courier New" w:hAnsi="Courier New"/>
                <w:sz w:val="16"/>
                <w:szCs w:val="16"/>
                <w:color w:val="auto"/>
              </w:rPr>
              <w:t>Exhibit 23 - Consent of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Coopers &amp; Lybrand L.L.P.</w:t>
            </w:r>
          </w:p>
        </w:tc>
        <w:tc>
          <w:tcPr>
            <w:tcW w:w="920" w:type="dxa"/>
            <w:vAlign w:val="bottom"/>
          </w:tcPr>
          <w:p>
            <w:pPr>
              <w:spacing w:after="0"/>
              <w:rPr>
                <w:sz w:val="16"/>
                <w:szCs w:val="16"/>
                <w:color w:val="auto"/>
              </w:rPr>
            </w:pPr>
          </w:p>
        </w:tc>
      </w:tr>
    </w:tbl>
    <w:p>
      <w:pPr>
        <w:sectPr>
          <w:pgSz w:w="11900" w:h="16838" w:orient="portrait"/>
          <w:cols w:equalWidth="0" w:num="1">
            <w:col w:w="10219"/>
          </w:cols>
          <w:pgMar w:left="240" w:top="669" w:right="1440" w:bottom="1440" w:gutter="0" w:footer="0" w:header="0"/>
        </w:sectPr>
      </w:pPr>
    </w:p>
    <w:bookmarkStart w:id="2" w:name="page3"/>
    <w:bookmarkEnd w:id="2"/>
    <w:p>
      <w:pPr>
        <w:ind w:right="2919" w:firstLine="384"/>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6"/>
          <w:szCs w:val="16"/>
          <w:color w:val="auto"/>
        </w:rPr>
        <w:t>THE TORO COMPANY</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71" w:right="1440" w:bottom="1440" w:gutter="0" w:footer="0" w:header="0"/>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18, 1997</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/s/ J. Lawrence McIntyre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J. Lawrence McIntyre</w:t>
      </w: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Vice President, Secretary and</w:t>
      </w: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General Counsel</w:t>
      </w:r>
    </w:p>
    <w:p>
      <w:pPr>
        <w:sectPr>
          <w:pgSz w:w="11900" w:h="16838" w:orient="portrait"/>
          <w:cols w:equalWidth="0" w:num="3">
            <w:col w:w="480" w:space="200"/>
            <w:col w:w="2340" w:space="720"/>
            <w:col w:w="6479"/>
          </w:cols>
          <w:pgMar w:left="240" w:top="671" w:right="1440" w:bottom="1440" w:gutter="0" w:footer="0" w:header="0"/>
          <w:type w:val="continuous"/>
        </w:sectPr>
      </w:pPr>
    </w:p>
    <w:bookmarkStart w:id="3" w:name="page4"/>
    <w:bookmarkEnd w:id="3"/>
    <w:p>
      <w:pPr>
        <w:jc w:val="center"/>
        <w:ind w:right="2059"/>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pacing w:after="0" w:line="37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We have audited the accompanying combined balance sheet of James Hardie Irrigation (a division of James Hardie Irrigation, Inc.), James Hardie Irrigation Pty Limited and James Hardie Irrigation Europe S.p.A. (collectively, "the James Hardie Irrigation Group") as of March 31, 1996 and the related combined statements of operations, divisional/shareholders' equity and cash flows for the fiscal year then ended. These financial statements are the responsibility of the James Hardie Irrigation Group management. Our responsibility is to express an opinion on these financial statements based on our audit.</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combined financial statements are free of material misstatement. An audit includes examining, on a test basis, evidence supporting the amounts and disclosures in the combined financial statements. An audit also includes assessing the accounting principles used and significant estimates made by management, as well as evaluating the overall combined financial statement presentation. We believe that our audit provides a reasonable basis for our opinion.</w:t>
      </w:r>
    </w:p>
    <w:p>
      <w:pPr>
        <w:spacing w:after="0" w:line="189" w:lineRule="exact"/>
        <w:rPr>
          <w:sz w:val="20"/>
          <w:szCs w:val="20"/>
          <w:color w:val="auto"/>
        </w:rPr>
      </w:pPr>
    </w:p>
    <w:p>
      <w:pPr>
        <w:ind w:right="2539"/>
        <w:spacing w:after="0" w:line="274" w:lineRule="auto"/>
        <w:rPr>
          <w:sz w:val="20"/>
          <w:szCs w:val="20"/>
          <w:color w:val="auto"/>
        </w:rPr>
      </w:pPr>
      <w:r>
        <w:rPr>
          <w:rFonts w:ascii="Courier New" w:cs="Courier New" w:eastAsia="Courier New" w:hAnsi="Courier New"/>
          <w:sz w:val="15"/>
          <w:szCs w:val="15"/>
          <w:color w:val="auto"/>
        </w:rPr>
        <w:t>As discussed in Note 11 to the combined financial statements, effective December 1, 1996, the James Hardie Irrigation Group was sold to The Toro Company.</w:t>
      </w:r>
    </w:p>
    <w:p>
      <w:pPr>
        <w:spacing w:after="0" w:line="166"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 our opinion, the combined financial statements referred to above present fairly, in all material respects, the combined financial position of the James Hardie Irrigation Group as of March 31, 1996 and the results of their combined operations and their combined cash flows for the fiscal year then ended, in conformity with generally accepted accounting principles.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Coopers &amp; Lybrand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 Angeles,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18, 1997</w:t>
      </w:r>
    </w:p>
    <w:p>
      <w:pPr>
        <w:spacing w:after="0" w:line="18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69" w:right="1440" w:bottom="1440" w:gutter="0" w:footer="0" w:header="0"/>
        </w:sectPr>
      </w:pPr>
    </w:p>
    <w:bookmarkStart w:id="4" w:name="page5"/>
    <w:bookmarkEnd w:id="4"/>
    <w:p>
      <w:pPr>
        <w:ind w:left="2680"/>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6"/>
          <w:szCs w:val="16"/>
          <w:color w:val="auto"/>
        </w:rPr>
        <w:t>COMBINED BALANCE SHEET</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6"/>
          <w:szCs w:val="16"/>
          <w:color w:val="auto"/>
        </w:rPr>
        <w:t>as of March 31, 1996</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tcPr>
          <w:p>
            <w:pPr>
              <w:ind w:left="860"/>
              <w:spacing w:after="0"/>
              <w:rPr>
                <w:sz w:val="20"/>
                <w:szCs w:val="20"/>
                <w:color w:val="auto"/>
              </w:rPr>
            </w:pPr>
            <w:r>
              <w:rPr>
                <w:rFonts w:ascii="Courier New" w:cs="Courier New" w:eastAsia="Courier New" w:hAnsi="Courier New"/>
                <w:sz w:val="16"/>
                <w:szCs w:val="16"/>
                <w:color w:val="auto"/>
              </w:rPr>
              <w:t>ASSETS:</w:t>
            </w:r>
          </w:p>
        </w:tc>
        <w:tc>
          <w:tcPr>
            <w:tcW w:w="1400" w:type="dxa"/>
            <w:vAlign w:val="bottom"/>
          </w:tcPr>
          <w:p>
            <w:pPr>
              <w:spacing w:after="0"/>
              <w:rPr>
                <w:sz w:val="15"/>
                <w:szCs w:val="15"/>
                <w:color w:val="auto"/>
              </w:rPr>
            </w:pP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00" w:type="dxa"/>
            <w:vAlign w:val="bottom"/>
          </w:tcPr>
          <w:p>
            <w:pPr>
              <w:spacing w:after="0"/>
              <w:rPr>
                <w:sz w:val="24"/>
                <w:szCs w:val="24"/>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$2,182,110</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Trade accounts receivable, less allowances of $3,968,856</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45,735,731</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32,045,967</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Prepaid and other current assets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731,105</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Receivable from the U.S. Parent and affiliates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898,576</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3,928,777</w:t>
            </w:r>
          </w:p>
        </w:tc>
      </w:tr>
      <w:tr>
        <w:trPr>
          <w:trHeight w:val="185"/>
        </w:trPr>
        <w:tc>
          <w:tcPr>
            <w:tcW w:w="61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ind w:left="860"/>
              <w:spacing w:after="0"/>
              <w:rPr>
                <w:sz w:val="20"/>
                <w:szCs w:val="20"/>
                <w:color w:val="auto"/>
              </w:rPr>
            </w:pPr>
            <w:r>
              <w:rPr>
                <w:rFonts w:ascii="Courier New" w:cs="Courier New" w:eastAsia="Courier New" w:hAnsi="Courier New"/>
                <w:sz w:val="16"/>
                <w:szCs w:val="16"/>
                <w:color w:val="auto"/>
              </w:rPr>
              <w:t>Total current assets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85,522,266</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Receivable from affiliates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6,051,658</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31,599,285</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3,252,440</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6,645,289</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1,203,336</w:t>
            </w:r>
          </w:p>
        </w:tc>
      </w:tr>
      <w:tr>
        <w:trPr>
          <w:trHeight w:val="185"/>
        </w:trPr>
        <w:tc>
          <w:tcPr>
            <w:tcW w:w="61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00" w:type="dxa"/>
            <w:vAlign w:val="bottom"/>
          </w:tcPr>
          <w:p>
            <w:pPr>
              <w:ind w:left="860"/>
              <w:spacing w:after="0"/>
              <w:rPr>
                <w:sz w:val="20"/>
                <w:szCs w:val="20"/>
                <w:color w:val="auto"/>
              </w:rPr>
            </w:pPr>
            <w:r>
              <w:rPr>
                <w:rFonts w:ascii="Courier New" w:cs="Courier New" w:eastAsia="Courier New" w:hAnsi="Courier New"/>
                <w:sz w:val="16"/>
                <w:szCs w:val="16"/>
                <w:color w:val="auto"/>
              </w:rPr>
              <w:t>Total assets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$134,274,274</w:t>
            </w:r>
          </w:p>
        </w:tc>
      </w:tr>
      <w:tr>
        <w:trPr>
          <w:trHeight w:val="185"/>
        </w:trPr>
        <w:tc>
          <w:tcPr>
            <w:tcW w:w="61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6100" w:type="dxa"/>
            <w:vAlign w:val="bottom"/>
          </w:tcPr>
          <w:p>
            <w:pPr>
              <w:spacing w:after="0"/>
              <w:rPr>
                <w:sz w:val="20"/>
                <w:szCs w:val="20"/>
                <w:color w:val="auto"/>
              </w:rPr>
            </w:pPr>
            <w:r>
              <w:rPr>
                <w:rFonts w:ascii="Courier New" w:cs="Courier New" w:eastAsia="Courier New" w:hAnsi="Courier New"/>
                <w:sz w:val="16"/>
                <w:szCs w:val="16"/>
                <w:color w:val="auto"/>
              </w:rPr>
              <w:t>LIABILITIES AND DIVISIONAL/SHAREHOLDERS' EQUITY:</w:t>
            </w:r>
          </w:p>
        </w:tc>
        <w:tc>
          <w:tcPr>
            <w:tcW w:w="1400" w:type="dxa"/>
            <w:vAlign w:val="bottom"/>
          </w:tcPr>
          <w:p>
            <w:pPr>
              <w:spacing w:after="0"/>
              <w:rPr>
                <w:sz w:val="24"/>
                <w:szCs w:val="24"/>
                <w:color w:val="auto"/>
              </w:rPr>
            </w:pP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00" w:type="dxa"/>
            <w:vAlign w:val="bottom"/>
          </w:tcPr>
          <w:p>
            <w:pPr>
              <w:spacing w:after="0"/>
              <w:rPr>
                <w:sz w:val="24"/>
                <w:szCs w:val="24"/>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Bank overdrafts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$3,006,422</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Trade accounts payable</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8,271,375</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Accrued expenses and other liabilities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7,083,183</w:t>
            </w:r>
          </w:p>
        </w:tc>
      </w:tr>
      <w:tr>
        <w:trPr>
          <w:trHeight w:val="185"/>
        </w:trPr>
        <w:tc>
          <w:tcPr>
            <w:tcW w:w="61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ind w:left="860"/>
              <w:spacing w:after="0"/>
              <w:rPr>
                <w:sz w:val="20"/>
                <w:szCs w:val="20"/>
                <w:color w:val="auto"/>
              </w:rPr>
            </w:pPr>
            <w:r>
              <w:rPr>
                <w:rFonts w:ascii="Courier New" w:cs="Courier New" w:eastAsia="Courier New" w:hAnsi="Courier New"/>
                <w:sz w:val="16"/>
                <w:szCs w:val="16"/>
                <w:color w:val="auto"/>
              </w:rPr>
              <w:t>Total current liabilities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18,360,980</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Loans due to the U.S. Parent and affiliates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114,260,544</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Severance liability</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199,745</w:t>
            </w:r>
          </w:p>
        </w:tc>
      </w:tr>
      <w:tr>
        <w:trPr>
          <w:trHeight w:val="185"/>
        </w:trPr>
        <w:tc>
          <w:tcPr>
            <w:tcW w:w="61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00" w:type="dxa"/>
            <w:vAlign w:val="bottom"/>
          </w:tcPr>
          <w:p>
            <w:pPr>
              <w:ind w:left="860"/>
              <w:spacing w:after="0"/>
              <w:rPr>
                <w:sz w:val="20"/>
                <w:szCs w:val="20"/>
                <w:color w:val="auto"/>
              </w:rPr>
            </w:pPr>
            <w:r>
              <w:rPr>
                <w:rFonts w:ascii="Courier New" w:cs="Courier New" w:eastAsia="Courier New" w:hAnsi="Courier New"/>
                <w:sz w:val="16"/>
                <w:szCs w:val="16"/>
                <w:color w:val="auto"/>
              </w:rPr>
              <w:t>Total liabilities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132,821,269</w:t>
            </w:r>
          </w:p>
        </w:tc>
      </w:tr>
      <w:tr>
        <w:trPr>
          <w:trHeight w:val="185"/>
        </w:trPr>
        <w:tc>
          <w:tcPr>
            <w:tcW w:w="61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 8)</w:t>
            </w:r>
          </w:p>
        </w:tc>
        <w:tc>
          <w:tcPr>
            <w:tcW w:w="1400" w:type="dxa"/>
            <w:vAlign w:val="bottom"/>
          </w:tcPr>
          <w:p>
            <w:pPr>
              <w:spacing w:after="0"/>
              <w:rPr>
                <w:sz w:val="24"/>
                <w:szCs w:val="24"/>
                <w:color w:val="auto"/>
              </w:rPr>
            </w:pP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Divisional and shareholders' equity:</w:t>
            </w:r>
          </w:p>
        </w:tc>
        <w:tc>
          <w:tcPr>
            <w:tcW w:w="1400" w:type="dxa"/>
            <w:vAlign w:val="bottom"/>
          </w:tcPr>
          <w:p>
            <w:pPr>
              <w:spacing w:after="0"/>
              <w:rPr>
                <w:sz w:val="24"/>
                <w:szCs w:val="24"/>
                <w:color w:val="auto"/>
              </w:rPr>
            </w:pPr>
          </w:p>
        </w:tc>
      </w:tr>
      <w:tr>
        <w:trPr>
          <w:trHeight w:val="370"/>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Share capital</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9,981,346</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Additional paid-in capital</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590,643</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Accumulated deficit/divisional equity</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(8,403,344)</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Foreign currency translation adjustment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(715,640)</w:t>
            </w:r>
          </w:p>
        </w:tc>
      </w:tr>
      <w:tr>
        <w:trPr>
          <w:trHeight w:val="185"/>
        </w:trPr>
        <w:tc>
          <w:tcPr>
            <w:tcW w:w="61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00" w:type="dxa"/>
            <w:vAlign w:val="bottom"/>
          </w:tcPr>
          <w:p>
            <w:pPr>
              <w:ind w:left="860"/>
              <w:spacing w:after="0"/>
              <w:rPr>
                <w:sz w:val="20"/>
                <w:szCs w:val="20"/>
                <w:color w:val="auto"/>
              </w:rPr>
            </w:pPr>
            <w:r>
              <w:rPr>
                <w:rFonts w:ascii="Courier New" w:cs="Courier New" w:eastAsia="Courier New" w:hAnsi="Courier New"/>
                <w:sz w:val="16"/>
                <w:szCs w:val="16"/>
                <w:color w:val="auto"/>
              </w:rPr>
              <w:t>Total divisional/shareholders' equity</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1,453,005</w:t>
            </w:r>
          </w:p>
        </w:tc>
      </w:tr>
      <w:tr>
        <w:trPr>
          <w:trHeight w:val="185"/>
        </w:trPr>
        <w:tc>
          <w:tcPr>
            <w:tcW w:w="61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00" w:type="dxa"/>
            <w:vAlign w:val="bottom"/>
          </w:tcPr>
          <w:p>
            <w:pPr>
              <w:ind w:left="860"/>
              <w:spacing w:after="0"/>
              <w:rPr>
                <w:sz w:val="20"/>
                <w:szCs w:val="20"/>
                <w:color w:val="auto"/>
              </w:rPr>
            </w:pPr>
            <w:r>
              <w:rPr>
                <w:rFonts w:ascii="Courier New" w:cs="Courier New" w:eastAsia="Courier New" w:hAnsi="Courier New"/>
                <w:sz w:val="16"/>
                <w:szCs w:val="16"/>
                <w:color w:val="auto"/>
              </w:rPr>
              <w:t>Total liabilities and divisional/shareholders' equity</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$134,274,274</w:t>
            </w:r>
          </w:p>
        </w:tc>
      </w:tr>
      <w:tr>
        <w:trPr>
          <w:trHeight w:val="185"/>
        </w:trPr>
        <w:tc>
          <w:tcPr>
            <w:tcW w:w="61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The accompanying notes are an integral part of the</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combined financial statements.</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48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7200" w:type="dxa"/>
            <w:vAlign w:val="bottom"/>
          </w:tcPr>
          <w:p>
            <w:pPr>
              <w:ind w:left="2680"/>
              <w:spacing w:after="0"/>
              <w:rPr>
                <w:sz w:val="20"/>
                <w:szCs w:val="20"/>
                <w:color w:val="auto"/>
              </w:rPr>
            </w:pPr>
            <w:r>
              <w:rPr>
                <w:rFonts w:ascii="Courier New" w:cs="Courier New" w:eastAsia="Courier New" w:hAnsi="Courier New"/>
                <w:sz w:val="16"/>
                <w:szCs w:val="16"/>
                <w:color w:val="auto"/>
              </w:rPr>
              <w:t>JAMES HARDIE IRRIGATION GROUP</w:t>
            </w:r>
          </w:p>
        </w:tc>
        <w:tc>
          <w:tcPr>
            <w:tcW w:w="1920" w:type="dxa"/>
            <w:vAlign w:val="bottom"/>
          </w:tcPr>
          <w:p>
            <w:pPr>
              <w:spacing w:after="0"/>
              <w:rPr>
                <w:sz w:val="15"/>
                <w:szCs w:val="15"/>
                <w:color w:val="auto"/>
              </w:rPr>
            </w:pPr>
          </w:p>
        </w:tc>
      </w:tr>
      <w:tr>
        <w:trPr>
          <w:trHeight w:val="370"/>
        </w:trPr>
        <w:tc>
          <w:tcPr>
            <w:tcW w:w="7200" w:type="dxa"/>
            <w:vAlign w:val="bottom"/>
          </w:tcPr>
          <w:p>
            <w:pPr>
              <w:jc w:val="center"/>
              <w:ind w:left="980"/>
              <w:spacing w:after="0"/>
              <w:rPr>
                <w:sz w:val="20"/>
                <w:szCs w:val="20"/>
                <w:color w:val="auto"/>
              </w:rPr>
            </w:pPr>
            <w:r>
              <w:rPr>
                <w:rFonts w:ascii="Courier New" w:cs="Courier New" w:eastAsia="Courier New" w:hAnsi="Courier New"/>
                <w:sz w:val="16"/>
                <w:szCs w:val="16"/>
                <w:color w:val="auto"/>
                <w:w w:val="99"/>
              </w:rPr>
              <w:t>COMBINED STATEMENT OF OPERATIONS</w:t>
            </w:r>
          </w:p>
        </w:tc>
        <w:tc>
          <w:tcPr>
            <w:tcW w:w="1920" w:type="dxa"/>
            <w:vAlign w:val="bottom"/>
          </w:tcPr>
          <w:p>
            <w:pPr>
              <w:spacing w:after="0"/>
              <w:rPr>
                <w:sz w:val="24"/>
                <w:szCs w:val="24"/>
                <w:color w:val="auto"/>
              </w:rPr>
            </w:pPr>
          </w:p>
        </w:tc>
      </w:tr>
      <w:tr>
        <w:trPr>
          <w:trHeight w:val="185"/>
        </w:trPr>
        <w:tc>
          <w:tcPr>
            <w:tcW w:w="7200" w:type="dxa"/>
            <w:vAlign w:val="bottom"/>
          </w:tcPr>
          <w:p>
            <w:pPr>
              <w:jc w:val="center"/>
              <w:ind w:left="980"/>
              <w:spacing w:after="0"/>
              <w:rPr>
                <w:sz w:val="20"/>
                <w:szCs w:val="20"/>
                <w:color w:val="auto"/>
              </w:rPr>
            </w:pPr>
            <w:r>
              <w:rPr>
                <w:rFonts w:ascii="Courier New" w:cs="Courier New" w:eastAsia="Courier New" w:hAnsi="Courier New"/>
                <w:sz w:val="16"/>
                <w:szCs w:val="16"/>
                <w:color w:val="auto"/>
              </w:rPr>
              <w:t>for the fiscal year ended March 31, 1996</w:t>
            </w:r>
          </w:p>
        </w:tc>
        <w:tc>
          <w:tcPr>
            <w:tcW w:w="1920" w:type="dxa"/>
            <w:vAlign w:val="bottom"/>
          </w:tcPr>
          <w:p>
            <w:pPr>
              <w:spacing w:after="0"/>
              <w:rPr>
                <w:sz w:val="16"/>
                <w:szCs w:val="16"/>
                <w:color w:val="auto"/>
              </w:rPr>
            </w:pPr>
          </w:p>
        </w:tc>
      </w:tr>
      <w:tr>
        <w:trPr>
          <w:trHeight w:val="185"/>
        </w:trPr>
        <w:tc>
          <w:tcPr>
            <w:tcW w:w="7200" w:type="dxa"/>
            <w:vAlign w:val="bottom"/>
          </w:tcPr>
          <w:p>
            <w:pPr>
              <w:jc w:val="center"/>
              <w:ind w:left="98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spacing w:after="0"/>
              <w:rPr>
                <w:sz w:val="16"/>
                <w:szCs w:val="16"/>
                <w:color w:val="auto"/>
              </w:rPr>
            </w:pPr>
          </w:p>
        </w:tc>
      </w:tr>
      <w:tr>
        <w:trPr>
          <w:trHeight w:val="924"/>
        </w:trPr>
        <w:tc>
          <w:tcPr>
            <w:tcW w:w="72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$139,523,569</w:t>
            </w:r>
          </w:p>
        </w:tc>
      </w:tr>
      <w:tr>
        <w:trPr>
          <w:trHeight w:val="370"/>
        </w:trPr>
        <w:tc>
          <w:tcPr>
            <w:tcW w:w="7200" w:type="dxa"/>
            <w:vAlign w:val="bottom"/>
          </w:tcPr>
          <w:p>
            <w:pPr>
              <w:spacing w:after="0"/>
              <w:rPr>
                <w:sz w:val="20"/>
                <w:szCs w:val="20"/>
                <w:color w:val="auto"/>
              </w:rPr>
            </w:pPr>
            <w:r>
              <w:rPr>
                <w:rFonts w:ascii="Courier New" w:cs="Courier New" w:eastAsia="Courier New" w:hAnsi="Courier New"/>
                <w:sz w:val="16"/>
                <w:szCs w:val="16"/>
                <w:color w:val="auto"/>
              </w:rPr>
              <w:t>Other revenues</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1,009,206</w:t>
            </w:r>
          </w:p>
        </w:tc>
      </w:tr>
      <w:tr>
        <w:trPr>
          <w:trHeight w:val="185"/>
        </w:trPr>
        <w:tc>
          <w:tcPr>
            <w:tcW w:w="72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200" w:type="dxa"/>
            <w:vAlign w:val="bottom"/>
          </w:tcPr>
          <w:p>
            <w:pPr>
              <w:ind w:left="280"/>
              <w:spacing w:after="0"/>
              <w:rPr>
                <w:sz w:val="20"/>
                <w:szCs w:val="20"/>
                <w:color w:val="auto"/>
              </w:rPr>
            </w:pPr>
            <w:r>
              <w:rPr>
                <w:rFonts w:ascii="Courier New" w:cs="Courier New" w:eastAsia="Courier New" w:hAnsi="Courier New"/>
                <w:sz w:val="16"/>
                <w:szCs w:val="16"/>
                <w:color w:val="auto"/>
              </w:rPr>
              <w:t>Total revenues</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140,532,775</w:t>
            </w:r>
          </w:p>
        </w:tc>
      </w:tr>
      <w:tr>
        <w:trPr>
          <w:trHeight w:val="370"/>
        </w:trPr>
        <w:tc>
          <w:tcPr>
            <w:tcW w:w="72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95,358,061</w:t>
            </w:r>
          </w:p>
        </w:tc>
      </w:tr>
      <w:tr>
        <w:trPr>
          <w:trHeight w:val="185"/>
        </w:trPr>
        <w:tc>
          <w:tcPr>
            <w:tcW w:w="72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7200" w:type="dxa"/>
            <w:vAlign w:val="bottom"/>
          </w:tcPr>
          <w:p>
            <w:pPr>
              <w:ind w:left="280"/>
              <w:spacing w:after="0"/>
              <w:rPr>
                <w:sz w:val="20"/>
                <w:szCs w:val="20"/>
                <w:color w:val="auto"/>
              </w:rPr>
            </w:pPr>
            <w:r>
              <w:rPr>
                <w:rFonts w:ascii="Courier New" w:cs="Courier New" w:eastAsia="Courier New" w:hAnsi="Courier New"/>
                <w:sz w:val="16"/>
                <w:szCs w:val="16"/>
                <w:color w:val="auto"/>
              </w:rPr>
              <w:t>Gross profit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45,174,714</w:t>
            </w:r>
          </w:p>
        </w:tc>
      </w:tr>
      <w:tr>
        <w:trPr>
          <w:trHeight w:val="370"/>
        </w:trPr>
        <w:tc>
          <w:tcPr>
            <w:tcW w:w="72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40,771,146</w:t>
            </w:r>
          </w:p>
        </w:tc>
      </w:tr>
      <w:tr>
        <w:trPr>
          <w:trHeight w:val="370"/>
        </w:trPr>
        <w:tc>
          <w:tcPr>
            <w:tcW w:w="7200" w:type="dxa"/>
            <w:vAlign w:val="bottom"/>
          </w:tcPr>
          <w:p>
            <w:pPr>
              <w:spacing w:after="0"/>
              <w:rPr>
                <w:sz w:val="20"/>
                <w:szCs w:val="20"/>
                <w:color w:val="auto"/>
              </w:rPr>
            </w:pPr>
            <w:r>
              <w:rPr>
                <w:rFonts w:ascii="Courier New" w:cs="Courier New" w:eastAsia="Courier New" w:hAnsi="Courier New"/>
                <w:sz w:val="16"/>
                <w:szCs w:val="16"/>
                <w:color w:val="auto"/>
              </w:rPr>
              <w:t>Research and development expenses</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925,012</w:t>
            </w:r>
          </w:p>
        </w:tc>
      </w:tr>
      <w:tr>
        <w:trPr>
          <w:trHeight w:val="185"/>
        </w:trPr>
        <w:tc>
          <w:tcPr>
            <w:tcW w:w="72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7200" w:type="dxa"/>
            <w:vAlign w:val="bottom"/>
          </w:tcPr>
          <w:p>
            <w:pPr>
              <w:ind w:left="280"/>
              <w:spacing w:after="0"/>
              <w:rPr>
                <w:sz w:val="20"/>
                <w:szCs w:val="20"/>
                <w:color w:val="auto"/>
              </w:rPr>
            </w:pPr>
            <w:r>
              <w:rPr>
                <w:rFonts w:ascii="Courier New" w:cs="Courier New" w:eastAsia="Courier New" w:hAnsi="Courier New"/>
                <w:sz w:val="16"/>
                <w:szCs w:val="16"/>
                <w:color w:val="auto"/>
              </w:rPr>
              <w:t>Operating income</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3,478,556</w:t>
            </w:r>
          </w:p>
        </w:tc>
      </w:tr>
      <w:tr>
        <w:trPr>
          <w:trHeight w:val="370"/>
        </w:trPr>
        <w:tc>
          <w:tcPr>
            <w:tcW w:w="7200" w:type="dxa"/>
            <w:vAlign w:val="bottom"/>
          </w:tcPr>
          <w:p>
            <w:pPr>
              <w:spacing w:after="0"/>
              <w:rPr>
                <w:sz w:val="20"/>
                <w:szCs w:val="20"/>
                <w:color w:val="auto"/>
              </w:rPr>
            </w:pPr>
            <w:r>
              <w:rPr>
                <w:rFonts w:ascii="Courier New" w:cs="Courier New" w:eastAsia="Courier New" w:hAnsi="Courier New"/>
                <w:sz w:val="16"/>
                <w:szCs w:val="16"/>
                <w:color w:val="auto"/>
              </w:rPr>
              <w:t>Interest expense to third parties</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96,834</w:t>
            </w:r>
          </w:p>
        </w:tc>
      </w:tr>
      <w:tr>
        <w:trPr>
          <w:trHeight w:val="370"/>
        </w:trPr>
        <w:tc>
          <w:tcPr>
            <w:tcW w:w="7200" w:type="dxa"/>
            <w:vAlign w:val="bottom"/>
          </w:tcPr>
          <w:p>
            <w:pPr>
              <w:spacing w:after="0"/>
              <w:rPr>
                <w:sz w:val="20"/>
                <w:szCs w:val="20"/>
                <w:color w:val="auto"/>
              </w:rPr>
            </w:pPr>
            <w:r>
              <w:rPr>
                <w:rFonts w:ascii="Courier New" w:cs="Courier New" w:eastAsia="Courier New" w:hAnsi="Courier New"/>
                <w:sz w:val="16"/>
                <w:szCs w:val="16"/>
                <w:color w:val="auto"/>
              </w:rPr>
              <w:t>Management fees and other expenses to the U.S. Parent and affiliates</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794,375</w:t>
            </w:r>
          </w:p>
        </w:tc>
      </w:tr>
      <w:tr>
        <w:trPr>
          <w:trHeight w:val="370"/>
        </w:trPr>
        <w:tc>
          <w:tcPr>
            <w:tcW w:w="7200" w:type="dxa"/>
            <w:vAlign w:val="bottom"/>
          </w:tcPr>
          <w:p>
            <w:pPr>
              <w:spacing w:after="0"/>
              <w:rPr>
                <w:sz w:val="20"/>
                <w:szCs w:val="20"/>
                <w:color w:val="auto"/>
              </w:rPr>
            </w:pPr>
            <w:r>
              <w:rPr>
                <w:rFonts w:ascii="Courier New" w:cs="Courier New" w:eastAsia="Courier New" w:hAnsi="Courier New"/>
                <w:sz w:val="16"/>
                <w:szCs w:val="16"/>
                <w:color w:val="auto"/>
              </w:rPr>
              <w:t>Interest expense to the U.S. Parent and affiliates</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4,002,381</w:t>
            </w:r>
          </w:p>
        </w:tc>
      </w:tr>
      <w:tr>
        <w:trPr>
          <w:trHeight w:val="370"/>
        </w:trPr>
        <w:tc>
          <w:tcPr>
            <w:tcW w:w="7200" w:type="dxa"/>
            <w:vAlign w:val="bottom"/>
          </w:tcPr>
          <w:p>
            <w:pPr>
              <w:spacing w:after="0"/>
              <w:rPr>
                <w:sz w:val="20"/>
                <w:szCs w:val="20"/>
                <w:color w:val="auto"/>
              </w:rPr>
            </w:pPr>
            <w:r>
              <w:rPr>
                <w:rFonts w:ascii="Courier New" w:cs="Courier New" w:eastAsia="Courier New" w:hAnsi="Courier New"/>
                <w:sz w:val="16"/>
                <w:szCs w:val="16"/>
                <w:color w:val="auto"/>
              </w:rPr>
              <w:t>Interest income from the U.S. Parent and affiliates</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(1,140,770)</w:t>
            </w:r>
          </w:p>
        </w:tc>
      </w:tr>
      <w:tr>
        <w:trPr>
          <w:trHeight w:val="370"/>
        </w:trPr>
        <w:tc>
          <w:tcPr>
            <w:tcW w:w="720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198,383</w:t>
            </w:r>
          </w:p>
        </w:tc>
      </w:tr>
      <w:tr>
        <w:trPr>
          <w:trHeight w:val="185"/>
        </w:trPr>
        <w:tc>
          <w:tcPr>
            <w:tcW w:w="72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7200" w:type="dxa"/>
            <w:vAlign w:val="bottom"/>
          </w:tcPr>
          <w:p>
            <w:pPr>
              <w:ind w:left="280"/>
              <w:spacing w:after="0"/>
              <w:rPr>
                <w:sz w:val="20"/>
                <w:szCs w:val="20"/>
                <w:color w:val="auto"/>
              </w:rPr>
            </w:pPr>
            <w:r>
              <w:rPr>
                <w:rFonts w:ascii="Courier New" w:cs="Courier New" w:eastAsia="Courier New" w:hAnsi="Courier New"/>
                <w:sz w:val="16"/>
                <w:szCs w:val="16"/>
                <w:color w:val="auto"/>
              </w:rPr>
              <w:t>Loss before income taxes</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(472,647)</w:t>
            </w:r>
          </w:p>
        </w:tc>
      </w:tr>
      <w:tr>
        <w:trPr>
          <w:trHeight w:val="185"/>
        </w:trPr>
        <w:tc>
          <w:tcPr>
            <w:tcW w:w="720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(94,362)</w:t>
            </w:r>
          </w:p>
        </w:tc>
      </w:tr>
      <w:tr>
        <w:trPr>
          <w:trHeight w:val="185"/>
        </w:trPr>
        <w:tc>
          <w:tcPr>
            <w:tcW w:w="72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7200" w:type="dxa"/>
            <w:vAlign w:val="bottom"/>
          </w:tcPr>
          <w:p>
            <w:pPr>
              <w:ind w:left="280"/>
              <w:spacing w:after="0"/>
              <w:rPr>
                <w:sz w:val="20"/>
                <w:szCs w:val="20"/>
                <w:color w:val="auto"/>
              </w:rPr>
            </w:pPr>
            <w:r>
              <w:rPr>
                <w:rFonts w:ascii="Courier New" w:cs="Courier New" w:eastAsia="Courier New" w:hAnsi="Courier New"/>
                <w:sz w:val="16"/>
                <w:szCs w:val="16"/>
                <w:color w:val="auto"/>
              </w:rPr>
              <w:t>Net loss</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($567,009)</w:t>
            </w:r>
          </w:p>
        </w:tc>
      </w:tr>
      <w:tr>
        <w:trPr>
          <w:trHeight w:val="185"/>
        </w:trPr>
        <w:tc>
          <w:tcPr>
            <w:tcW w:w="72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2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The accompanying notes are an integral part of the</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combined financial statements.</w:t>
      </w:r>
    </w:p>
    <w:p>
      <w:pPr>
        <w:spacing w:after="0" w:line="200" w:lineRule="exact"/>
        <w:rPr>
          <w:sz w:val="20"/>
          <w:szCs w:val="20"/>
          <w:color w:val="auto"/>
        </w:rPr>
      </w:pPr>
    </w:p>
    <w:p>
      <w:pPr>
        <w:spacing w:after="0" w:line="35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69" w:right="1440" w:bottom="1440" w:gutter="0" w:footer="0" w:header="0"/>
        </w:sectPr>
      </w:pPr>
    </w:p>
    <w:bookmarkStart w:id="6" w:name="page7"/>
    <w:bookmarkEnd w:id="6"/>
    <w:p>
      <w:pPr>
        <w:jc w:val="center"/>
        <w:ind w:right="3360"/>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COMBINED STATEMENT OF DIVISIONAL/SHAREHOLDERS' EQUITY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Accumulated</w:t>
            </w:r>
          </w:p>
        </w:tc>
        <w:tc>
          <w:tcPr>
            <w:tcW w:w="1600" w:type="dxa"/>
            <w:vAlign w:val="bottom"/>
          </w:tcPr>
          <w:p>
            <w:pPr>
              <w:ind w:left="440"/>
              <w:spacing w:after="0"/>
              <w:rPr>
                <w:sz w:val="20"/>
                <w:szCs w:val="20"/>
                <w:color w:val="auto"/>
              </w:rPr>
            </w:pPr>
            <w:r>
              <w:rPr>
                <w:rFonts w:ascii="Courier New" w:cs="Courier New" w:eastAsia="Courier New" w:hAnsi="Courier New"/>
                <w:sz w:val="16"/>
                <w:szCs w:val="16"/>
                <w:color w:val="auto"/>
              </w:rPr>
              <w:t>Foreign</w:t>
            </w:r>
          </w:p>
        </w:tc>
        <w:tc>
          <w:tcPr>
            <w:tcW w:w="1520" w:type="dxa"/>
            <w:vAlign w:val="bottom"/>
          </w:tcPr>
          <w:p>
            <w:pPr>
              <w:ind w:left="56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2980" w:type="dxa"/>
            <w:vAlign w:val="bottom"/>
          </w:tcPr>
          <w:p>
            <w:pPr>
              <w:spacing w:after="0"/>
              <w:rPr>
                <w:sz w:val="16"/>
                <w:szCs w:val="16"/>
                <w:color w:val="auto"/>
              </w:rPr>
            </w:pP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Number of</w:t>
            </w:r>
          </w:p>
        </w:tc>
        <w:tc>
          <w:tcPr>
            <w:tcW w:w="1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Additional</w:t>
            </w:r>
          </w:p>
        </w:tc>
        <w:tc>
          <w:tcPr>
            <w:tcW w:w="16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Deficit/</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Currency</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Divisional/</w:t>
            </w:r>
          </w:p>
        </w:tc>
      </w:tr>
      <w:tr>
        <w:trPr>
          <w:trHeight w:val="185"/>
        </w:trPr>
        <w:tc>
          <w:tcPr>
            <w:tcW w:w="2980" w:type="dxa"/>
            <w:vAlign w:val="bottom"/>
          </w:tcPr>
          <w:p>
            <w:pPr>
              <w:spacing w:after="0"/>
              <w:rPr>
                <w:sz w:val="16"/>
                <w:szCs w:val="16"/>
                <w:color w:val="auto"/>
              </w:rPr>
            </w:pP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Shares</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Share</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Paid-In</w:t>
            </w:r>
          </w:p>
        </w:tc>
        <w:tc>
          <w:tcPr>
            <w:tcW w:w="16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Divisional</w:t>
            </w:r>
          </w:p>
        </w:tc>
        <w:tc>
          <w:tcPr>
            <w:tcW w:w="1600" w:type="dxa"/>
            <w:vAlign w:val="bottom"/>
          </w:tcPr>
          <w:p>
            <w:pPr>
              <w:ind w:left="340"/>
              <w:spacing w:after="0"/>
              <w:rPr>
                <w:sz w:val="20"/>
                <w:szCs w:val="20"/>
                <w:color w:val="auto"/>
              </w:rPr>
            </w:pPr>
            <w:r>
              <w:rPr>
                <w:rFonts w:ascii="Courier New" w:cs="Courier New" w:eastAsia="Courier New" w:hAnsi="Courier New"/>
                <w:sz w:val="16"/>
                <w:szCs w:val="16"/>
                <w:color w:val="auto"/>
              </w:rPr>
              <w:t>Translation</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Shareholders'</w:t>
            </w:r>
          </w:p>
        </w:tc>
      </w:tr>
      <w:tr>
        <w:trPr>
          <w:trHeight w:val="185"/>
        </w:trPr>
        <w:tc>
          <w:tcPr>
            <w:tcW w:w="2980" w:type="dxa"/>
            <w:vAlign w:val="bottom"/>
          </w:tcPr>
          <w:p>
            <w:pPr>
              <w:spacing w:after="0"/>
              <w:rPr>
                <w:sz w:val="16"/>
                <w:szCs w:val="16"/>
                <w:color w:val="auto"/>
              </w:rPr>
            </w:pP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Outstanding</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Capital</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Capital</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Equity</w:t>
            </w:r>
          </w:p>
        </w:tc>
        <w:tc>
          <w:tcPr>
            <w:tcW w:w="1600" w:type="dxa"/>
            <w:vAlign w:val="bottom"/>
          </w:tcPr>
          <w:p>
            <w:pPr>
              <w:ind w:left="340"/>
              <w:spacing w:after="0"/>
              <w:rPr>
                <w:sz w:val="20"/>
                <w:szCs w:val="20"/>
                <w:color w:val="auto"/>
              </w:rPr>
            </w:pPr>
            <w:r>
              <w:rPr>
                <w:rFonts w:ascii="Courier New" w:cs="Courier New" w:eastAsia="Courier New" w:hAnsi="Courier New"/>
                <w:sz w:val="16"/>
                <w:szCs w:val="16"/>
                <w:color w:val="auto"/>
              </w:rPr>
              <w:t>Adjustment</w:t>
            </w:r>
          </w:p>
        </w:tc>
        <w:tc>
          <w:tcPr>
            <w:tcW w:w="1520" w:type="dxa"/>
            <w:vAlign w:val="bottom"/>
          </w:tcPr>
          <w:p>
            <w:pPr>
              <w:ind w:left="560"/>
              <w:spacing w:after="0"/>
              <w:rPr>
                <w:sz w:val="20"/>
                <w:szCs w:val="20"/>
                <w:color w:val="auto"/>
              </w:rPr>
            </w:pPr>
            <w:r>
              <w:rPr>
                <w:rFonts w:ascii="Courier New" w:cs="Courier New" w:eastAsia="Courier New" w:hAnsi="Courier New"/>
                <w:sz w:val="16"/>
                <w:szCs w:val="16"/>
                <w:color w:val="auto"/>
              </w:rPr>
              <w:t>Equity</w:t>
            </w:r>
          </w:p>
        </w:tc>
      </w:tr>
      <w:tr>
        <w:trPr>
          <w:trHeight w:val="185"/>
        </w:trPr>
        <w:tc>
          <w:tcPr>
            <w:tcW w:w="2980" w:type="dxa"/>
            <w:vAlign w:val="bottom"/>
          </w:tcPr>
          <w:p>
            <w:pPr>
              <w:spacing w:after="0"/>
              <w:rPr>
                <w:sz w:val="16"/>
                <w:szCs w:val="16"/>
                <w:color w:val="auto"/>
              </w:rPr>
            </w:pPr>
          </w:p>
        </w:tc>
        <w:tc>
          <w:tcPr>
            <w:tcW w:w="1440" w:type="dxa"/>
            <w:vAlign w:val="bottom"/>
          </w:tcPr>
          <w:p>
            <w:pPr>
              <w:jc w:val="cente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James Hardie Irrigation</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at March 31, 1995</w:t>
            </w:r>
          </w:p>
        </w:tc>
        <w:tc>
          <w:tcPr>
            <w:tcW w:w="1440" w:type="dxa"/>
            <w:vAlign w:val="bottom"/>
          </w:tcPr>
          <w:p>
            <w:pPr>
              <w:jc w:val="cente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$13,199,340</w:t>
            </w: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$13,199,340</w:t>
            </w: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James Hardie Irrigation Pty</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Limited at March 31, 1995</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12,000,000</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$8,759,124</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(20,734,406)</w:t>
            </w: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(11,975,282)</w:t>
            </w: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James Hardie Irrigation</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Europe S.p.A. at March 31,</w:t>
            </w: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2,090</w:t>
            </w:r>
          </w:p>
        </w:tc>
        <w:tc>
          <w:tcPr>
            <w:tcW w:w="11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1,222,222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$590,643</w:t>
            </w:r>
          </w:p>
        </w:tc>
        <w:tc>
          <w:tcPr>
            <w:tcW w:w="16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(301,269)</w:t>
            </w: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1,511,596</w:t>
            </w:r>
          </w:p>
        </w:tc>
      </w:tr>
      <w:tr>
        <w:trPr>
          <w:trHeight w:val="185"/>
        </w:trPr>
        <w:tc>
          <w:tcPr>
            <w:tcW w:w="2980" w:type="dxa"/>
            <w:vAlign w:val="bottom"/>
          </w:tcPr>
          <w:p>
            <w:pPr>
              <w:spacing w:after="0"/>
              <w:rPr>
                <w:sz w:val="16"/>
                <w:szCs w:val="16"/>
                <w:color w:val="auto"/>
              </w:rPr>
            </w:pP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Combined balances,</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March 31, 1995</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12,002,090</w:t>
            </w:r>
          </w:p>
        </w:tc>
        <w:tc>
          <w:tcPr>
            <w:tcW w:w="11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9,981,346</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590,643</w:t>
            </w:r>
          </w:p>
        </w:tc>
        <w:tc>
          <w:tcPr>
            <w:tcW w:w="16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(7,836,335)</w:t>
            </w: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2,735,654</w:t>
            </w: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Net loss for the fiscal year</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ended March 31, 1996</w:t>
            </w:r>
          </w:p>
        </w:tc>
        <w:tc>
          <w:tcPr>
            <w:tcW w:w="1440" w:type="dxa"/>
            <w:vAlign w:val="bottom"/>
          </w:tcPr>
          <w:p>
            <w:pPr>
              <w:jc w:val="cente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(567,009)</w:t>
            </w: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(567,009)</w:t>
            </w: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Foreign currency translation</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adjustment</w:t>
            </w:r>
          </w:p>
        </w:tc>
        <w:tc>
          <w:tcPr>
            <w:tcW w:w="1440" w:type="dxa"/>
            <w:vAlign w:val="bottom"/>
          </w:tcPr>
          <w:p>
            <w:pPr>
              <w:jc w:val="cente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($715,640)</w:t>
            </w:r>
          </w:p>
        </w:tc>
        <w:tc>
          <w:tcPr>
            <w:tcW w:w="15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(715,640)</w:t>
            </w:r>
          </w:p>
        </w:tc>
      </w:tr>
      <w:tr>
        <w:trPr>
          <w:trHeight w:val="185"/>
        </w:trPr>
        <w:tc>
          <w:tcPr>
            <w:tcW w:w="2980" w:type="dxa"/>
            <w:vAlign w:val="bottom"/>
          </w:tcPr>
          <w:p>
            <w:pPr>
              <w:spacing w:after="0"/>
              <w:rPr>
                <w:sz w:val="16"/>
                <w:szCs w:val="16"/>
                <w:color w:val="auto"/>
              </w:rPr>
            </w:pP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Balance, March 31, 1996</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12,002,090</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$9,981,346</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$590,643</w:t>
            </w:r>
          </w:p>
        </w:tc>
        <w:tc>
          <w:tcPr>
            <w:tcW w:w="16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($8,403,344)</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($715,640)</w:t>
            </w:r>
          </w:p>
        </w:tc>
        <w:tc>
          <w:tcPr>
            <w:tcW w:w="15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$1,453,005</w:t>
            </w:r>
          </w:p>
        </w:tc>
      </w:tr>
      <w:tr>
        <w:trPr>
          <w:trHeight w:val="185"/>
        </w:trPr>
        <w:tc>
          <w:tcPr>
            <w:tcW w:w="2980" w:type="dxa"/>
            <w:vAlign w:val="bottom"/>
          </w:tcPr>
          <w:p>
            <w:pPr>
              <w:spacing w:after="0"/>
              <w:rPr>
                <w:sz w:val="16"/>
                <w:szCs w:val="16"/>
                <w:color w:val="auto"/>
              </w:rPr>
            </w:pP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2980" w:type="dxa"/>
            <w:vAlign w:val="bottom"/>
          </w:tcPr>
          <w:p>
            <w:pPr>
              <w:spacing w:after="0"/>
              <w:rPr>
                <w:sz w:val="16"/>
                <w:szCs w:val="16"/>
                <w:color w:val="auto"/>
              </w:rPr>
            </w:pP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The accompanying notes are an integral part of the</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combined financial statements.</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1520"/>
          </w:cols>
          <w:pgMar w:left="240" w:top="669" w:right="1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6200" w:type="dxa"/>
            <w:vAlign w:val="bottom"/>
          </w:tcPr>
          <w:p>
            <w:pPr>
              <w:ind w:left="2680"/>
              <w:spacing w:after="0"/>
              <w:rPr>
                <w:sz w:val="20"/>
                <w:szCs w:val="20"/>
                <w:color w:val="auto"/>
              </w:rPr>
            </w:pPr>
            <w:r>
              <w:rPr>
                <w:rFonts w:ascii="Courier New" w:cs="Courier New" w:eastAsia="Courier New" w:hAnsi="Courier New"/>
                <w:sz w:val="16"/>
                <w:szCs w:val="16"/>
                <w:color w:val="auto"/>
              </w:rPr>
              <w:t>JAMES HARDIE IRRIGATION GROUP</w:t>
            </w:r>
          </w:p>
        </w:tc>
        <w:tc>
          <w:tcPr>
            <w:tcW w:w="1300" w:type="dxa"/>
            <w:vAlign w:val="bottom"/>
          </w:tcPr>
          <w:p>
            <w:pPr>
              <w:spacing w:after="0"/>
              <w:rPr>
                <w:sz w:val="15"/>
                <w:szCs w:val="15"/>
                <w:color w:val="auto"/>
              </w:rPr>
            </w:pPr>
          </w:p>
        </w:tc>
      </w:tr>
      <w:tr>
        <w:trPr>
          <w:trHeight w:val="370"/>
        </w:trPr>
        <w:tc>
          <w:tcPr>
            <w:tcW w:w="6200" w:type="dxa"/>
            <w:vAlign w:val="bottom"/>
          </w:tcPr>
          <w:p>
            <w:pPr>
              <w:ind w:left="2600"/>
              <w:spacing w:after="0"/>
              <w:rPr>
                <w:sz w:val="20"/>
                <w:szCs w:val="20"/>
                <w:color w:val="auto"/>
              </w:rPr>
            </w:pPr>
            <w:r>
              <w:rPr>
                <w:rFonts w:ascii="Courier New" w:cs="Courier New" w:eastAsia="Courier New" w:hAnsi="Courier New"/>
                <w:sz w:val="16"/>
                <w:szCs w:val="16"/>
                <w:color w:val="auto"/>
              </w:rPr>
              <w:t>COMBINED STATEMENT OF CASH FLOWS</w:t>
            </w:r>
          </w:p>
        </w:tc>
        <w:tc>
          <w:tcPr>
            <w:tcW w:w="1300" w:type="dxa"/>
            <w:vAlign w:val="bottom"/>
          </w:tcPr>
          <w:p>
            <w:pPr>
              <w:spacing w:after="0"/>
              <w:rPr>
                <w:sz w:val="24"/>
                <w:szCs w:val="24"/>
                <w:color w:val="auto"/>
              </w:rPr>
            </w:pPr>
          </w:p>
        </w:tc>
      </w:tr>
      <w:tr>
        <w:trPr>
          <w:trHeight w:val="185"/>
        </w:trPr>
        <w:tc>
          <w:tcPr>
            <w:tcW w:w="6200" w:type="dxa"/>
            <w:vAlign w:val="bottom"/>
          </w:tcPr>
          <w:p>
            <w:pPr>
              <w:ind w:left="2200"/>
              <w:spacing w:after="0"/>
              <w:rPr>
                <w:sz w:val="20"/>
                <w:szCs w:val="20"/>
                <w:color w:val="auto"/>
              </w:rPr>
            </w:pPr>
            <w:r>
              <w:rPr>
                <w:rFonts w:ascii="Courier New" w:cs="Courier New" w:eastAsia="Courier New" w:hAnsi="Courier New"/>
                <w:sz w:val="16"/>
                <w:szCs w:val="16"/>
                <w:color w:val="auto"/>
              </w:rPr>
              <w:t>for the fiscal year ended March 31, 1996</w:t>
            </w:r>
          </w:p>
        </w:tc>
        <w:tc>
          <w:tcPr>
            <w:tcW w:w="1300" w:type="dxa"/>
            <w:vAlign w:val="bottom"/>
          </w:tcPr>
          <w:p>
            <w:pPr>
              <w:spacing w:after="0"/>
              <w:rPr>
                <w:sz w:val="16"/>
                <w:szCs w:val="16"/>
                <w:color w:val="auto"/>
              </w:rPr>
            </w:pPr>
          </w:p>
        </w:tc>
      </w:tr>
      <w:tr>
        <w:trPr>
          <w:trHeight w:val="185"/>
        </w:trPr>
        <w:tc>
          <w:tcPr>
            <w:tcW w:w="6200" w:type="dxa"/>
            <w:vAlign w:val="bottom"/>
          </w:tcPr>
          <w:p>
            <w:pPr>
              <w:ind w:left="33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6"/>
                <w:szCs w:val="16"/>
                <w:color w:val="auto"/>
              </w:rPr>
            </w:pPr>
          </w:p>
        </w:tc>
      </w:tr>
      <w:tr>
        <w:trPr>
          <w:trHeight w:val="370"/>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($567,000)</w:t>
            </w:r>
          </w:p>
        </w:tc>
      </w:tr>
      <w:tr>
        <w:trPr>
          <w:trHeight w:val="185"/>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Net loss</w:t>
            </w:r>
          </w:p>
        </w:tc>
        <w:tc>
          <w:tcPr>
            <w:tcW w:w="1300" w:type="dxa"/>
            <w:vAlign w:val="bottom"/>
          </w:tcPr>
          <w:p>
            <w:pPr>
              <w:spacing w:after="0"/>
              <w:rPr>
                <w:sz w:val="16"/>
                <w:szCs w:val="16"/>
                <w:color w:val="auto"/>
              </w:rPr>
            </w:pPr>
          </w:p>
        </w:tc>
      </w:tr>
      <w:tr>
        <w:trPr>
          <w:trHeight w:val="185"/>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loss to</w:t>
            </w:r>
          </w:p>
        </w:tc>
        <w:tc>
          <w:tcPr>
            <w:tcW w:w="1300" w:type="dxa"/>
            <w:vAlign w:val="bottom"/>
          </w:tcPr>
          <w:p>
            <w:pPr>
              <w:spacing w:after="0"/>
              <w:rPr>
                <w:sz w:val="16"/>
                <w:szCs w:val="16"/>
                <w:color w:val="auto"/>
              </w:rPr>
            </w:pPr>
          </w:p>
        </w:tc>
      </w:tr>
      <w:tr>
        <w:trPr>
          <w:trHeight w:val="185"/>
        </w:trPr>
        <w:tc>
          <w:tcPr>
            <w:tcW w:w="6200" w:type="dxa"/>
            <w:vAlign w:val="bottom"/>
          </w:tcPr>
          <w:p>
            <w:pPr>
              <w:ind w:left="6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300" w:type="dxa"/>
            <w:vAlign w:val="bottom"/>
          </w:tcPr>
          <w:p>
            <w:pPr>
              <w:spacing w:after="0"/>
              <w:rPr>
                <w:sz w:val="16"/>
                <w:szCs w:val="16"/>
                <w:color w:val="auto"/>
              </w:rPr>
            </w:pPr>
          </w:p>
        </w:tc>
      </w:tr>
      <w:tr>
        <w:trPr>
          <w:trHeight w:val="370"/>
        </w:trPr>
        <w:tc>
          <w:tcPr>
            <w:tcW w:w="6200" w:type="dxa"/>
            <w:vAlign w:val="bottom"/>
          </w:tcPr>
          <w:p>
            <w:pPr>
              <w:ind w:left="680"/>
              <w:spacing w:after="0"/>
              <w:rPr>
                <w:sz w:val="20"/>
                <w:szCs w:val="20"/>
                <w:color w:val="auto"/>
              </w:rPr>
            </w:pPr>
            <w:r>
              <w:rPr>
                <w:rFonts w:ascii="Courier New" w:cs="Courier New" w:eastAsia="Courier New" w:hAnsi="Courier New"/>
                <w:sz w:val="16"/>
                <w:szCs w:val="16"/>
                <w:color w:val="auto"/>
              </w:rPr>
              <w:t>Depreciation and amortization</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5,622,972</w:t>
            </w:r>
          </w:p>
        </w:tc>
      </w:tr>
      <w:tr>
        <w:trPr>
          <w:trHeight w:val="185"/>
        </w:trPr>
        <w:tc>
          <w:tcPr>
            <w:tcW w:w="6200" w:type="dxa"/>
            <w:vAlign w:val="bottom"/>
          </w:tcPr>
          <w:p>
            <w:pPr>
              <w:ind w:left="680"/>
              <w:spacing w:after="0"/>
              <w:rPr>
                <w:sz w:val="20"/>
                <w:szCs w:val="20"/>
                <w:color w:val="auto"/>
              </w:rPr>
            </w:pPr>
            <w:r>
              <w:rPr>
                <w:rFonts w:ascii="Courier New" w:cs="Courier New" w:eastAsia="Courier New" w:hAnsi="Courier New"/>
                <w:sz w:val="16"/>
                <w:szCs w:val="16"/>
                <w:color w:val="auto"/>
              </w:rPr>
              <w:t>Inventory valuation allowance</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(83,080)</w:t>
            </w:r>
          </w:p>
        </w:tc>
      </w:tr>
      <w:tr>
        <w:trPr>
          <w:trHeight w:val="185"/>
        </w:trPr>
        <w:tc>
          <w:tcPr>
            <w:tcW w:w="6200" w:type="dxa"/>
            <w:vAlign w:val="bottom"/>
          </w:tcPr>
          <w:p>
            <w:pPr>
              <w:ind w:left="680"/>
              <w:spacing w:after="0"/>
              <w:rPr>
                <w:sz w:val="20"/>
                <w:szCs w:val="20"/>
                <w:color w:val="auto"/>
              </w:rPr>
            </w:pPr>
            <w:r>
              <w:rPr>
                <w:rFonts w:ascii="Courier New" w:cs="Courier New" w:eastAsia="Courier New" w:hAnsi="Courier New"/>
                <w:sz w:val="16"/>
                <w:szCs w:val="16"/>
                <w:color w:val="auto"/>
              </w:rPr>
              <w:t>Allowance for doubtful accounts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238,155</w:t>
            </w:r>
          </w:p>
        </w:tc>
      </w:tr>
      <w:tr>
        <w:trPr>
          <w:trHeight w:val="185"/>
        </w:trPr>
        <w:tc>
          <w:tcPr>
            <w:tcW w:w="6200" w:type="dxa"/>
            <w:vAlign w:val="bottom"/>
          </w:tcPr>
          <w:p>
            <w:pPr>
              <w:ind w:left="680"/>
              <w:spacing w:after="0"/>
              <w:rPr>
                <w:sz w:val="20"/>
                <w:szCs w:val="20"/>
                <w:color w:val="auto"/>
              </w:rPr>
            </w:pPr>
            <w:r>
              <w:rPr>
                <w:rFonts w:ascii="Courier New" w:cs="Courier New" w:eastAsia="Courier New" w:hAnsi="Courier New"/>
                <w:sz w:val="16"/>
                <w:szCs w:val="16"/>
                <w:color w:val="auto"/>
              </w:rPr>
              <w:t>Gain on sale of assets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73,659</w:t>
            </w:r>
          </w:p>
        </w:tc>
      </w:tr>
      <w:tr>
        <w:trPr>
          <w:trHeight w:val="185"/>
        </w:trPr>
        <w:tc>
          <w:tcPr>
            <w:tcW w:w="6200" w:type="dxa"/>
            <w:vAlign w:val="bottom"/>
          </w:tcPr>
          <w:p>
            <w:pPr>
              <w:ind w:left="680"/>
              <w:spacing w:after="0"/>
              <w:rPr>
                <w:sz w:val="20"/>
                <w:szCs w:val="20"/>
                <w:color w:val="auto"/>
              </w:rPr>
            </w:pPr>
            <w:r>
              <w:rPr>
                <w:rFonts w:ascii="Courier New" w:cs="Courier New" w:eastAsia="Courier New" w:hAnsi="Courier New"/>
                <w:sz w:val="16"/>
                <w:szCs w:val="16"/>
                <w:color w:val="auto"/>
              </w:rPr>
              <w:t>Deferred income taxes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628,840</w:t>
            </w:r>
          </w:p>
        </w:tc>
      </w:tr>
      <w:tr>
        <w:trPr>
          <w:trHeight w:val="185"/>
        </w:trPr>
        <w:tc>
          <w:tcPr>
            <w:tcW w:w="6200" w:type="dxa"/>
            <w:vAlign w:val="bottom"/>
          </w:tcPr>
          <w:p>
            <w:pPr>
              <w:ind w:left="680"/>
              <w:spacing w:after="0"/>
              <w:rPr>
                <w:sz w:val="20"/>
                <w:szCs w:val="20"/>
                <w:color w:val="auto"/>
              </w:rPr>
            </w:pPr>
            <w:r>
              <w:rPr>
                <w:rFonts w:ascii="Courier New" w:cs="Courier New" w:eastAsia="Courier New" w:hAnsi="Courier New"/>
                <w:sz w:val="16"/>
                <w:szCs w:val="16"/>
                <w:color w:val="auto"/>
              </w:rPr>
              <w:t>Severance provision</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50,900</w:t>
            </w:r>
          </w:p>
        </w:tc>
      </w:tr>
      <w:tr>
        <w:trPr>
          <w:trHeight w:val="185"/>
        </w:trPr>
        <w:tc>
          <w:tcPr>
            <w:tcW w:w="6200" w:type="dxa"/>
            <w:vAlign w:val="bottom"/>
          </w:tcPr>
          <w:p>
            <w:pPr>
              <w:ind w:left="680"/>
              <w:spacing w:after="0"/>
              <w:rPr>
                <w:sz w:val="20"/>
                <w:szCs w:val="20"/>
                <w:color w:val="auto"/>
              </w:rPr>
            </w:pPr>
            <w:r>
              <w:rPr>
                <w:rFonts w:ascii="Courier New" w:cs="Courier New" w:eastAsia="Courier New" w:hAnsi="Courier New"/>
                <w:sz w:val="16"/>
                <w:szCs w:val="16"/>
                <w:color w:val="auto"/>
              </w:rPr>
              <w:t>Working capital and other changes related to operations:</w:t>
            </w:r>
          </w:p>
        </w:tc>
        <w:tc>
          <w:tcPr>
            <w:tcW w:w="1300" w:type="dxa"/>
            <w:vAlign w:val="bottom"/>
          </w:tcPr>
          <w:p>
            <w:pPr>
              <w:spacing w:after="0"/>
              <w:rPr>
                <w:sz w:val="16"/>
                <w:szCs w:val="16"/>
                <w:color w:val="auto"/>
              </w:rPr>
            </w:pPr>
          </w:p>
        </w:tc>
      </w:tr>
      <w:tr>
        <w:trPr>
          <w:trHeight w:val="185"/>
        </w:trPr>
        <w:tc>
          <w:tcPr>
            <w:tcW w:w="6200" w:type="dxa"/>
            <w:vAlign w:val="bottom"/>
          </w:tcPr>
          <w:p>
            <w:pPr>
              <w:ind w:left="1060"/>
              <w:spacing w:after="0"/>
              <w:rPr>
                <w:sz w:val="20"/>
                <w:szCs w:val="20"/>
                <w:color w:val="auto"/>
              </w:rPr>
            </w:pPr>
            <w:r>
              <w:rPr>
                <w:rFonts w:ascii="Courier New" w:cs="Courier New" w:eastAsia="Courier New" w:hAnsi="Courier New"/>
                <w:sz w:val="16"/>
                <w:szCs w:val="16"/>
                <w:color w:val="auto"/>
              </w:rPr>
              <w:t>Trade accounts receivable</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(7,078,437)</w:t>
            </w:r>
          </w:p>
        </w:tc>
      </w:tr>
      <w:tr>
        <w:trPr>
          <w:trHeight w:val="185"/>
        </w:trPr>
        <w:tc>
          <w:tcPr>
            <w:tcW w:w="6200" w:type="dxa"/>
            <w:vAlign w:val="bottom"/>
          </w:tcPr>
          <w:p>
            <w:pPr>
              <w:ind w:left="1060"/>
              <w:spacing w:after="0"/>
              <w:rPr>
                <w:sz w:val="20"/>
                <w:szCs w:val="20"/>
                <w:color w:val="auto"/>
              </w:rPr>
            </w:pPr>
            <w:r>
              <w:rPr>
                <w:rFonts w:ascii="Courier New" w:cs="Courier New" w:eastAsia="Courier New" w:hAnsi="Courier New"/>
                <w:sz w:val="16"/>
                <w:szCs w:val="16"/>
                <w:color w:val="auto"/>
              </w:rPr>
              <w:t>Inventories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11,134,338</w:t>
            </w:r>
          </w:p>
        </w:tc>
      </w:tr>
      <w:tr>
        <w:trPr>
          <w:trHeight w:val="185"/>
        </w:trPr>
        <w:tc>
          <w:tcPr>
            <w:tcW w:w="6200" w:type="dxa"/>
            <w:vAlign w:val="bottom"/>
          </w:tcPr>
          <w:p>
            <w:pPr>
              <w:ind w:left="1060"/>
              <w:spacing w:after="0"/>
              <w:rPr>
                <w:sz w:val="20"/>
                <w:szCs w:val="20"/>
                <w:color w:val="auto"/>
              </w:rPr>
            </w:pPr>
            <w:r>
              <w:rPr>
                <w:rFonts w:ascii="Courier New" w:cs="Courier New" w:eastAsia="Courier New" w:hAnsi="Courier New"/>
                <w:sz w:val="16"/>
                <w:szCs w:val="16"/>
                <w:color w:val="auto"/>
              </w:rPr>
              <w:t>Prepaid and other current assets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150,788</w:t>
            </w:r>
          </w:p>
        </w:tc>
      </w:tr>
      <w:tr>
        <w:trPr>
          <w:trHeight w:val="185"/>
        </w:trPr>
        <w:tc>
          <w:tcPr>
            <w:tcW w:w="6200" w:type="dxa"/>
            <w:vAlign w:val="bottom"/>
          </w:tcPr>
          <w:p>
            <w:pPr>
              <w:ind w:left="1060"/>
              <w:spacing w:after="0"/>
              <w:rPr>
                <w:sz w:val="20"/>
                <w:szCs w:val="20"/>
                <w:color w:val="auto"/>
              </w:rPr>
            </w:pPr>
            <w:r>
              <w:rPr>
                <w:rFonts w:ascii="Courier New" w:cs="Courier New" w:eastAsia="Courier New" w:hAnsi="Courier New"/>
                <w:sz w:val="16"/>
                <w:szCs w:val="16"/>
                <w:color w:val="auto"/>
              </w:rPr>
              <w:t>Receivable from the U.S. Parent and affiliates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(4,699,151)</w:t>
            </w:r>
          </w:p>
        </w:tc>
      </w:tr>
      <w:tr>
        <w:trPr>
          <w:trHeight w:val="185"/>
        </w:trPr>
        <w:tc>
          <w:tcPr>
            <w:tcW w:w="6200" w:type="dxa"/>
            <w:vAlign w:val="bottom"/>
          </w:tcPr>
          <w:p>
            <w:pPr>
              <w:ind w:left="1060"/>
              <w:spacing w:after="0"/>
              <w:rPr>
                <w:sz w:val="20"/>
                <w:szCs w:val="20"/>
                <w:color w:val="auto"/>
              </w:rPr>
            </w:pPr>
            <w:r>
              <w:rPr>
                <w:rFonts w:ascii="Courier New" w:cs="Courier New" w:eastAsia="Courier New" w:hAnsi="Courier New"/>
                <w:sz w:val="16"/>
                <w:szCs w:val="16"/>
                <w:color w:val="auto"/>
              </w:rPr>
              <w:t>Deposits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54,035</w:t>
            </w:r>
          </w:p>
        </w:tc>
      </w:tr>
      <w:tr>
        <w:trPr>
          <w:trHeight w:val="185"/>
        </w:trPr>
        <w:tc>
          <w:tcPr>
            <w:tcW w:w="6200" w:type="dxa"/>
            <w:vAlign w:val="bottom"/>
          </w:tcPr>
          <w:p>
            <w:pPr>
              <w:ind w:left="1060"/>
              <w:spacing w:after="0"/>
              <w:rPr>
                <w:sz w:val="20"/>
                <w:szCs w:val="20"/>
                <w:color w:val="auto"/>
              </w:rPr>
            </w:pPr>
            <w:r>
              <w:rPr>
                <w:rFonts w:ascii="Courier New" w:cs="Courier New" w:eastAsia="Courier New" w:hAnsi="Courier New"/>
                <w:sz w:val="16"/>
                <w:szCs w:val="16"/>
                <w:color w:val="auto"/>
              </w:rPr>
              <w:t>Trade accounts payable</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60,580</w:t>
            </w:r>
          </w:p>
        </w:tc>
      </w:tr>
      <w:tr>
        <w:trPr>
          <w:trHeight w:val="185"/>
        </w:trPr>
        <w:tc>
          <w:tcPr>
            <w:tcW w:w="6200" w:type="dxa"/>
            <w:vAlign w:val="bottom"/>
          </w:tcPr>
          <w:p>
            <w:pPr>
              <w:ind w:left="1060"/>
              <w:spacing w:after="0"/>
              <w:rPr>
                <w:sz w:val="20"/>
                <w:szCs w:val="20"/>
                <w:color w:val="auto"/>
              </w:rPr>
            </w:pPr>
            <w:r>
              <w:rPr>
                <w:rFonts w:ascii="Courier New" w:cs="Courier New" w:eastAsia="Courier New" w:hAnsi="Courier New"/>
                <w:sz w:val="16"/>
                <w:szCs w:val="16"/>
                <w:color w:val="auto"/>
              </w:rPr>
              <w:t>Accrued expenses and other liabilities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(1,452,374)</w:t>
            </w:r>
          </w:p>
        </w:tc>
      </w:tr>
      <w:tr>
        <w:trPr>
          <w:trHeight w:val="185"/>
        </w:trPr>
        <w:tc>
          <w:tcPr>
            <w:tcW w:w="6200" w:type="dxa"/>
            <w:vAlign w:val="bottom"/>
          </w:tcPr>
          <w:p>
            <w:pPr>
              <w:ind w:left="1060"/>
              <w:spacing w:after="0"/>
              <w:rPr>
                <w:sz w:val="20"/>
                <w:szCs w:val="20"/>
                <w:color w:val="auto"/>
              </w:rPr>
            </w:pPr>
            <w:r>
              <w:rPr>
                <w:rFonts w:ascii="Courier New" w:cs="Courier New" w:eastAsia="Courier New" w:hAnsi="Courier New"/>
                <w:sz w:val="16"/>
                <w:szCs w:val="16"/>
                <w:color w:val="auto"/>
              </w:rPr>
              <w:t>Severance liability</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(114,836)</w:t>
            </w:r>
          </w:p>
        </w:tc>
      </w:tr>
      <w:tr>
        <w:trPr>
          <w:trHeight w:val="185"/>
        </w:trPr>
        <w:tc>
          <w:tcPr>
            <w:tcW w:w="620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200" w:type="dxa"/>
            <w:vAlign w:val="bottom"/>
          </w:tcPr>
          <w:p>
            <w:pPr>
              <w:ind w:left="144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4,019,380</w:t>
            </w:r>
          </w:p>
        </w:tc>
      </w:tr>
      <w:tr>
        <w:trPr>
          <w:trHeight w:val="185"/>
        </w:trPr>
        <w:tc>
          <w:tcPr>
            <w:tcW w:w="620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300" w:type="dxa"/>
            <w:vAlign w:val="bottom"/>
          </w:tcPr>
          <w:p>
            <w:pPr>
              <w:spacing w:after="0"/>
              <w:rPr>
                <w:sz w:val="24"/>
                <w:szCs w:val="24"/>
                <w:color w:val="auto"/>
              </w:rPr>
            </w:pPr>
          </w:p>
        </w:tc>
      </w:tr>
      <w:tr>
        <w:trPr>
          <w:trHeight w:val="185"/>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(7,871,184)</w:t>
            </w:r>
          </w:p>
        </w:tc>
      </w:tr>
      <w:tr>
        <w:trPr>
          <w:trHeight w:val="185"/>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Increase in purchased software</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(2,011,633)</w:t>
            </w:r>
          </w:p>
        </w:tc>
      </w:tr>
      <w:tr>
        <w:trPr>
          <w:trHeight w:val="185"/>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 of fixed assets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499,431</w:t>
            </w:r>
          </w:p>
        </w:tc>
      </w:tr>
      <w:tr>
        <w:trPr>
          <w:trHeight w:val="185"/>
        </w:trPr>
        <w:tc>
          <w:tcPr>
            <w:tcW w:w="620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200" w:type="dxa"/>
            <w:vAlign w:val="bottom"/>
          </w:tcPr>
          <w:p>
            <w:pPr>
              <w:ind w:left="1440"/>
              <w:spacing w:after="0"/>
              <w:rPr>
                <w:sz w:val="20"/>
                <w:szCs w:val="20"/>
                <w:color w:val="auto"/>
              </w:rPr>
            </w:pPr>
            <w:r>
              <w:rPr>
                <w:rFonts w:ascii="Courier New" w:cs="Courier New" w:eastAsia="Courier New" w:hAnsi="Courier New"/>
                <w:sz w:val="16"/>
                <w:szCs w:val="16"/>
                <w:color w:val="auto"/>
              </w:rPr>
              <w:t>Net cash used in investing activities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(9,383,386)</w:t>
            </w:r>
          </w:p>
        </w:tc>
      </w:tr>
      <w:tr>
        <w:trPr>
          <w:trHeight w:val="185"/>
        </w:trPr>
        <w:tc>
          <w:tcPr>
            <w:tcW w:w="620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300" w:type="dxa"/>
            <w:vAlign w:val="bottom"/>
          </w:tcPr>
          <w:p>
            <w:pPr>
              <w:spacing w:after="0"/>
              <w:rPr>
                <w:sz w:val="24"/>
                <w:szCs w:val="24"/>
                <w:color w:val="auto"/>
              </w:rPr>
            </w:pPr>
          </w:p>
        </w:tc>
      </w:tr>
      <w:tr>
        <w:trPr>
          <w:trHeight w:val="185"/>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Increase in loans due to the U.S. Parent and affiliates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3,342,314</w:t>
            </w:r>
          </w:p>
        </w:tc>
      </w:tr>
      <w:tr>
        <w:trPr>
          <w:trHeight w:val="185"/>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Decrease in bank overdraft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180,207</w:t>
            </w:r>
          </w:p>
        </w:tc>
      </w:tr>
      <w:tr>
        <w:trPr>
          <w:trHeight w:val="185"/>
        </w:trPr>
        <w:tc>
          <w:tcPr>
            <w:tcW w:w="620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200" w:type="dxa"/>
            <w:vAlign w:val="bottom"/>
          </w:tcPr>
          <w:p>
            <w:pPr>
              <w:ind w:left="144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3,522,521</w:t>
            </w:r>
          </w:p>
        </w:tc>
      </w:tr>
      <w:tr>
        <w:trPr>
          <w:trHeight w:val="370"/>
        </w:trPr>
        <w:tc>
          <w:tcPr>
            <w:tcW w:w="620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(382,965)</w:t>
            </w:r>
          </w:p>
        </w:tc>
      </w:tr>
      <w:tr>
        <w:trPr>
          <w:trHeight w:val="185"/>
        </w:trPr>
        <w:tc>
          <w:tcPr>
            <w:tcW w:w="620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200" w:type="dxa"/>
            <w:vAlign w:val="bottom"/>
          </w:tcPr>
          <w:p>
            <w:pPr>
              <w:ind w:left="1440"/>
              <w:spacing w:after="0"/>
              <w:rPr>
                <w:sz w:val="20"/>
                <w:szCs w:val="20"/>
                <w:color w:val="auto"/>
              </w:rPr>
            </w:pPr>
            <w:r>
              <w:rPr>
                <w:rFonts w:ascii="Courier New" w:cs="Courier New" w:eastAsia="Courier New" w:hAnsi="Courier New"/>
                <w:sz w:val="16"/>
                <w:szCs w:val="16"/>
                <w:color w:val="auto"/>
              </w:rPr>
              <w:t>Net decrease in cash and cash equivalents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(2,224,450)</w:t>
            </w:r>
          </w:p>
        </w:tc>
      </w:tr>
      <w:tr>
        <w:trPr>
          <w:trHeight w:val="370"/>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fiscal year</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4,406,560</w:t>
            </w:r>
          </w:p>
        </w:tc>
      </w:tr>
      <w:tr>
        <w:trPr>
          <w:trHeight w:val="185"/>
        </w:trPr>
        <w:tc>
          <w:tcPr>
            <w:tcW w:w="620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fiscal year</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$2,182,110</w:t>
            </w:r>
          </w:p>
        </w:tc>
      </w:tr>
      <w:tr>
        <w:trPr>
          <w:trHeight w:val="185"/>
        </w:trPr>
        <w:tc>
          <w:tcPr>
            <w:tcW w:w="620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20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20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1300" w:type="dxa"/>
            <w:vAlign w:val="bottom"/>
          </w:tcPr>
          <w:p>
            <w:pPr>
              <w:spacing w:after="0"/>
              <w:rPr>
                <w:sz w:val="24"/>
                <w:szCs w:val="24"/>
                <w:color w:val="auto"/>
              </w:rPr>
            </w:pPr>
          </w:p>
        </w:tc>
      </w:tr>
      <w:tr>
        <w:trPr>
          <w:trHeight w:val="185"/>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Interest paid to third parties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$100,559</w:t>
            </w:r>
          </w:p>
        </w:tc>
      </w:tr>
      <w:tr>
        <w:trPr>
          <w:trHeight w:val="185"/>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Interest paid to affiliates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378,026</w:t>
            </w:r>
          </w:p>
        </w:tc>
      </w:tr>
      <w:tr>
        <w:trPr>
          <w:trHeight w:val="185"/>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paid</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52,762</w:t>
            </w:r>
          </w:p>
        </w:tc>
      </w:tr>
    </w:tbl>
    <w:p>
      <w:pPr>
        <w:spacing w:after="0" w:line="373"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The accompanying notes are an integral part of the</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combined financial statements.</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669" w:right="1440" w:bottom="1440" w:gutter="0" w:footer="0" w:header="0"/>
        </w:sectPr>
      </w:pPr>
    </w:p>
    <w:bookmarkStart w:id="8" w:name="page9"/>
    <w:bookmarkEnd w:id="8"/>
    <w:p>
      <w:pPr>
        <w:ind w:left="2681"/>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81" w:hanging="381"/>
        <w:spacing w:after="0"/>
        <w:tabs>
          <w:tab w:leader="none" w:pos="3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 and Summary of Significant Accounting Policies:</w:t>
      </w:r>
    </w:p>
    <w:p>
      <w:pPr>
        <w:spacing w:after="0" w:line="188"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combined financial statements of the James Hardie Irrigation Group (the "Companies") have been prepared by combining the assets, liabilities, divisional and shareholders' equity, results of operations and cash flows of James Hardie Irrigation, a division of James Hardie Irrigation, Inc. ("Hardie U.S."), (a wholly owned subsidiary of J.H. Industries (USA), Inc. (the "U.S. Parent")), James Hardie Irrigation Pty Limited ("Hardie Australia"), a corporation organized under the laws of South Australia, and James Hardie Irrigation Europe S.p.A. ("Hardie Europe"), a corporation organized under the laws of Italy. The effects of all transactions between the Companies have been eliminated in the combined financial statements. Prior to the acquisition discussed in Note 11, the Companies were owned directly or indirectly by James Hardie Industries Limited, an Australian company and the ultimate parent company (the "Parent").</w:t>
      </w:r>
    </w:p>
    <w:p>
      <w:pPr>
        <w:spacing w:after="0" w:line="191" w:lineRule="exact"/>
        <w:rPr>
          <w:rFonts w:ascii="Courier New" w:cs="Courier New" w:eastAsia="Courier New" w:hAnsi="Courier New"/>
          <w:sz w:val="16"/>
          <w:szCs w:val="16"/>
          <w:color w:val="auto"/>
        </w:rPr>
      </w:pPr>
    </w:p>
    <w:p>
      <w:pPr>
        <w:ind w:left="38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manufacture and distribute products for the landscape and agricultural irrigation industries and market a wide selection of products for residential and commercial irrigation applications. The Companies are headquartered in Laguna Niguel, California; Beverly, South Australia; and Fiano Romano, near Rome, Italy. The Companies also have production and distribution facilities in various locations in the United States and Australia.</w:t>
      </w:r>
    </w:p>
    <w:p>
      <w:pPr>
        <w:spacing w:after="0" w:line="186"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 include cash balances and all highly liquid investments with original maturities of three months or less at the date of purchase. The Companies maintain cash accounts with established commercial banks. In the United States, such cash accounts periodically exceed the Federal Deposit Insurance Corporation insured limit of $100,000 for each account.</w:t>
      </w:r>
    </w:p>
    <w:p>
      <w:pPr>
        <w:spacing w:after="0" w:line="18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90" w:lineRule="exact"/>
        <w:rPr>
          <w:rFonts w:ascii="Courier New" w:cs="Courier New" w:eastAsia="Courier New" w:hAnsi="Courier New"/>
          <w:sz w:val="16"/>
          <w:szCs w:val="16"/>
          <w:color w:val="auto"/>
        </w:rPr>
      </w:pPr>
    </w:p>
    <w:p>
      <w:pPr>
        <w:ind w:left="381"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are stated at the lower of cost or market. Cost is determined using standard costs which approximate actual cost utilizing the first-in, first-out ("FIFO") method. The Companies maintain inventory allowances for slow-moving and obsolete inventory.</w:t>
      </w:r>
    </w:p>
    <w:p>
      <w:pPr>
        <w:spacing w:after="0" w:line="187"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 are stated at cost or the fair value as of the date acquired in a business combination accounted for as a purchase, less accumulated depreciation and amortization. Depreciation of buildings, plant and equipment is computed using the straight-line method based on the estimated useful lives ranging from 3 to 40 years.</w:t>
      </w:r>
    </w:p>
    <w:p>
      <w:pPr>
        <w:spacing w:after="0" w:line="370" w:lineRule="exact"/>
        <w:rPr>
          <w:sz w:val="20"/>
          <w:szCs w:val="20"/>
          <w:color w:val="auto"/>
        </w:rPr>
      </w:pPr>
    </w:p>
    <w:p>
      <w:pPr>
        <w:jc w:val="center"/>
        <w:ind w:right="2058"/>
        <w:spacing w:after="0"/>
        <w:rPr>
          <w:sz w:val="20"/>
          <w:szCs w:val="20"/>
          <w:color w:val="auto"/>
        </w:rPr>
      </w:pPr>
      <w:r>
        <w:rPr>
          <w:rFonts w:ascii="Courier New" w:cs="Courier New" w:eastAsia="Courier New" w:hAnsi="Courier New"/>
          <w:sz w:val="16"/>
          <w:szCs w:val="16"/>
          <w:color w:val="auto"/>
        </w:rPr>
        <w:t>Continued</w:t>
      </w:r>
    </w:p>
    <w:p>
      <w:pPr>
        <w:spacing w:after="0" w:line="4" w:lineRule="exact"/>
        <w:rPr>
          <w:sz w:val="20"/>
          <w:szCs w:val="20"/>
          <w:color w:val="auto"/>
        </w:rPr>
      </w:pPr>
    </w:p>
    <w:p>
      <w:pPr>
        <w:jc w:val="center"/>
        <w:ind w:right="2058"/>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21"/>
          </w:cols>
          <w:pgMar w:left="239" w:top="669" w:right="1440" w:bottom="1440" w:gutter="0" w:footer="0" w:header="0"/>
        </w:sectPr>
      </w:pPr>
    </w:p>
    <w:bookmarkStart w:id="9" w:name="page10"/>
    <w:bookmarkEnd w:id="9"/>
    <w:p>
      <w:pPr>
        <w:ind w:left="2681"/>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381" w:right="3199" w:hanging="381"/>
        <w:spacing w:after="0" w:line="242" w:lineRule="auto"/>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 and Summary of Significant Accounting Policies, Continued:</w:t>
      </w:r>
    </w:p>
    <w:p>
      <w:pPr>
        <w:spacing w:after="0" w:line="186"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 CONTINUED</w:t>
      </w:r>
    </w:p>
    <w:p>
      <w:pPr>
        <w:spacing w:after="0" w:line="190" w:lineRule="exact"/>
        <w:rPr>
          <w:rFonts w:ascii="Courier New" w:cs="Courier New" w:eastAsia="Courier New" w:hAnsi="Courier New"/>
          <w:sz w:val="16"/>
          <w:szCs w:val="16"/>
          <w:color w:val="auto"/>
        </w:rPr>
      </w:pPr>
    </w:p>
    <w:p>
      <w:pPr>
        <w:ind w:left="38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Leasehold improvements are amortized on the straight-line basis over their estimated economic useful lives or the life of the lease, whichever is shorter.</w:t>
      </w:r>
    </w:p>
    <w:p>
      <w:pPr>
        <w:spacing w:after="0" w:line="188"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Expenditures for maintenance and repairs are expensed as incurred. Costs of major replacements and betterments are capitalized. When property is retired or otherwise disposed of, the cost and accumulated depreciation are removed from the appropriate accounts and any gain or loss is included in income.</w:t>
      </w:r>
    </w:p>
    <w:p>
      <w:pPr>
        <w:spacing w:after="0" w:line="18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TOOLING COSTS</w:t>
      </w:r>
    </w:p>
    <w:p>
      <w:pPr>
        <w:spacing w:after="0" w:line="190" w:lineRule="exact"/>
        <w:rPr>
          <w:rFonts w:ascii="Courier New" w:cs="Courier New" w:eastAsia="Courier New" w:hAnsi="Courier New"/>
          <w:sz w:val="16"/>
          <w:szCs w:val="16"/>
          <w:color w:val="auto"/>
        </w:rPr>
      </w:pPr>
    </w:p>
    <w:p>
      <w:pPr>
        <w:ind w:left="381" w:right="30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Perishable tooling costs are charged to expense in the year incurred. Certain non-perishable tooling costs are capitalized in machinery and equipment and depreciated over their estimated useful lives which range from 3 to 8 years.</w:t>
      </w:r>
    </w:p>
    <w:p>
      <w:pPr>
        <w:spacing w:after="0" w:line="187"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are stated at cost or at fair value as of the date acquired in a business combination accounted for as a purchase, less accumulated amortization. Amortization of intangible assets is computed on a straight-line basis over their estimated useful lives of 17 years for patents and 20 years for goodwill.</w:t>
      </w:r>
    </w:p>
    <w:p>
      <w:pPr>
        <w:spacing w:after="0" w:line="187"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is comprised of the excess of cost over the fair value of the net assets of businesses acquired in purchase transactions. The Companies' management periodically evaluates the realizability of goodwill, and impairment losses, if any, are recognized when the expected nondiscounted future operating cash flows derived from such assets are less than their carrying value. During the fiscal year ended March 31, 1996, the Companies adopted Statement of Financial Accounting Standards ("SFAS") No. 121, "Accounting for Impairment of Long-Lived Assets and for Long-Lived Assets to be Disposed of." SFAS No. 121 requires that long-lived assets and certain identifiable intangible assets to be held and used be reviewed for impairment whenever events or changes in circumstances indicate the carrying amount of such assets may not be recoverable. The adoption of SFAS No. 121 did not have any impact on the financial position, results of operations, or cash flows of the Companies.</w:t>
      </w:r>
    </w:p>
    <w:p>
      <w:pPr>
        <w:spacing w:after="0" w:line="189"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are subject to taxation under applicable tax laws in the United States, Australia, Italy and Greece. Hardie U.S. is included in the consolidated tax return filed by the U.S. Parent, which is responsible for making tax payments on behalf of the subsidiaries included in the consolidated group. These tax payments are allocated to the various members of the consolidated group through the intercompany accounts. Hardie Australia and Hardie Europe file income tax returns and pay income taxes on their own behalf. In the event of a taxable loss incurred by Hardie Australia, the tax loss is transferred to the Parent or an affiliate and the tax benefit is allocated to Hardie Australia.</w:t>
      </w:r>
    </w:p>
    <w:p>
      <w:pPr>
        <w:spacing w:after="0" w:line="373" w:lineRule="exact"/>
        <w:rPr>
          <w:sz w:val="20"/>
          <w:szCs w:val="20"/>
          <w:color w:val="auto"/>
        </w:rPr>
      </w:pPr>
    </w:p>
    <w:p>
      <w:pPr>
        <w:jc w:val="center"/>
        <w:ind w:right="2058"/>
        <w:spacing w:after="0"/>
        <w:rPr>
          <w:sz w:val="20"/>
          <w:szCs w:val="20"/>
          <w:color w:val="auto"/>
        </w:rPr>
      </w:pPr>
      <w:r>
        <w:rPr>
          <w:rFonts w:ascii="Courier New" w:cs="Courier New" w:eastAsia="Courier New" w:hAnsi="Courier New"/>
          <w:sz w:val="16"/>
          <w:szCs w:val="16"/>
          <w:color w:val="auto"/>
        </w:rPr>
        <w:t>Continued</w:t>
      </w:r>
    </w:p>
    <w:p>
      <w:pPr>
        <w:spacing w:after="0" w:line="4" w:lineRule="exact"/>
        <w:rPr>
          <w:sz w:val="20"/>
          <w:szCs w:val="20"/>
          <w:color w:val="auto"/>
        </w:rPr>
      </w:pPr>
    </w:p>
    <w:p>
      <w:pPr>
        <w:jc w:val="center"/>
        <w:ind w:right="2058"/>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21"/>
          </w:cols>
          <w:pgMar w:left="239" w:top="669" w:right="1440" w:bottom="1440" w:gutter="0" w:footer="0" w:header="0"/>
        </w:sectPr>
      </w:pPr>
    </w:p>
    <w:bookmarkStart w:id="10" w:name="page11"/>
    <w:bookmarkEnd w:id="10"/>
    <w:p>
      <w:pPr>
        <w:ind w:left="2681"/>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381" w:right="3199" w:hanging="381"/>
        <w:spacing w:after="0" w:line="242" w:lineRule="auto"/>
        <w:tabs>
          <w:tab w:leader="none" w:pos="3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 and Summary of Significant Accounting Policies, Continued:</w:t>
      </w:r>
    </w:p>
    <w:p>
      <w:pPr>
        <w:spacing w:after="0" w:line="186"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 CONTINUED</w:t>
      </w:r>
    </w:p>
    <w:p>
      <w:pPr>
        <w:spacing w:after="0" w:line="190" w:lineRule="exact"/>
        <w:rPr>
          <w:rFonts w:ascii="Courier New" w:cs="Courier New" w:eastAsia="Courier New" w:hAnsi="Courier New"/>
          <w:sz w:val="16"/>
          <w:szCs w:val="16"/>
          <w:color w:val="auto"/>
        </w:rPr>
      </w:pPr>
    </w:p>
    <w:p>
      <w:pPr>
        <w:ind w:left="381" w:right="30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account for income taxes in accordance with SFAS No. 109, "Accounting for Income Taxes", which prescribes an asset and liability approach. The asset and liability method requires the recognition of deferred tax assets and liabilities for the expected future tax consequences of temporary differences between tax bases and financial reporting bases of assets and liabilities, using enacted tax rates in effect for the year in which the differences are expected to reverse.</w:t>
      </w:r>
    </w:p>
    <w:p>
      <w:pPr>
        <w:spacing w:after="0" w:line="188" w:lineRule="exact"/>
        <w:rPr>
          <w:rFonts w:ascii="Courier New" w:cs="Courier New" w:eastAsia="Courier New" w:hAnsi="Courier New"/>
          <w:sz w:val="16"/>
          <w:szCs w:val="16"/>
          <w:color w:val="auto"/>
        </w:rPr>
      </w:pPr>
    </w:p>
    <w:p>
      <w:pPr>
        <w:ind w:left="38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for income taxes includes federal, state and foreign income taxes currently payable as if each of the Companies had filed a separate tax return, and those taxes deferred because of temporary differences between the financial statement and tax bases of assets and liabilities. Such temporary differences primarily result from the use of accelerated methods of depreciation for tax purposes, allowances for accounts receivable, differences between book and tax inventory, and accrued expenses.</w:t>
      </w:r>
    </w:p>
    <w:p>
      <w:pPr>
        <w:spacing w:after="0" w:line="186"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EXPENSES</w:t>
      </w:r>
    </w:p>
    <w:p>
      <w:pPr>
        <w:spacing w:after="0" w:line="190" w:lineRule="exact"/>
        <w:rPr>
          <w:rFonts w:ascii="Courier New" w:cs="Courier New" w:eastAsia="Courier New" w:hAnsi="Courier New"/>
          <w:sz w:val="16"/>
          <w:szCs w:val="16"/>
          <w:color w:val="auto"/>
        </w:rPr>
      </w:pPr>
    </w:p>
    <w:p>
      <w:pPr>
        <w:ind w:left="381"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expenses are charged to operations in the year incurred and totalled $2,776,152 for the fiscal year ended March 31, 1996.</w:t>
      </w:r>
    </w:p>
    <w:p>
      <w:pPr>
        <w:spacing w:after="0" w:line="186"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w:t>
      </w:r>
    </w:p>
    <w:p>
      <w:pPr>
        <w:spacing w:after="0" w:line="190" w:lineRule="exact"/>
        <w:rPr>
          <w:rFonts w:ascii="Courier New" w:cs="Courier New" w:eastAsia="Courier New" w:hAnsi="Courier New"/>
          <w:sz w:val="16"/>
          <w:szCs w:val="16"/>
          <w:color w:val="auto"/>
        </w:rPr>
      </w:pPr>
    </w:p>
    <w:p>
      <w:pPr>
        <w:ind w:left="3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recognize revenue when product is shipped to customers. In accordance with industry practices, the Companies may permit returns of their product for credit and provide an allowance for potential sales returns when the product is shipped.</w:t>
      </w:r>
    </w:p>
    <w:p>
      <w:pPr>
        <w:spacing w:after="0" w:line="187"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WARRANTY COSTS</w:t>
      </w:r>
    </w:p>
    <w:p>
      <w:pPr>
        <w:spacing w:after="0" w:line="190"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Companies provide for estimated warranty costs as products are shipped.</w:t>
      </w:r>
    </w:p>
    <w:p>
      <w:pPr>
        <w:spacing w:after="0" w:line="197"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AND DEVELOPMENT</w:t>
      </w:r>
    </w:p>
    <w:p>
      <w:pPr>
        <w:spacing w:after="0" w:line="190" w:lineRule="exact"/>
        <w:rPr>
          <w:rFonts w:ascii="Courier New" w:cs="Courier New" w:eastAsia="Courier New" w:hAnsi="Courier New"/>
          <w:sz w:val="16"/>
          <w:szCs w:val="16"/>
          <w:color w:val="auto"/>
        </w:rPr>
      </w:pPr>
    </w:p>
    <w:p>
      <w:pPr>
        <w:ind w:left="38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and development costs are charged to expense in the year incurred in accordance with SFAS No. 2, "Accounting for Research and Development Costs."</w:t>
      </w:r>
    </w:p>
    <w:p>
      <w:pPr>
        <w:spacing w:after="0" w:line="186"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SELF-INSURANCE</w:t>
      </w:r>
    </w:p>
    <w:p>
      <w:pPr>
        <w:spacing w:after="0" w:line="190" w:lineRule="exact"/>
        <w:rPr>
          <w:rFonts w:ascii="Courier New" w:cs="Courier New" w:eastAsia="Courier New" w:hAnsi="Courier New"/>
          <w:sz w:val="16"/>
          <w:szCs w:val="16"/>
          <w:color w:val="auto"/>
        </w:rPr>
      </w:pPr>
    </w:p>
    <w:p>
      <w:pPr>
        <w:ind w:left="38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Hardie U.S. is self-insured through the U.S. Parent for health-related costs for each employee working in the United States, up to a maximum of $75,000 per covered person per policy year or an aggregate stop loss of 125% of Expected Paid Claims, as defined in the insurance contract. Any amounts in excess of this maximum are subject to reimbursement by the insurance carrier. Provisions for claims expected under this program are recorded by the U.S. Parent (and allocated to Hardie U.S.), including the</w:t>
      </w:r>
    </w:p>
    <w:p>
      <w:pPr>
        <w:spacing w:after="0" w:line="371" w:lineRule="exact"/>
        <w:rPr>
          <w:sz w:val="20"/>
          <w:szCs w:val="20"/>
          <w:color w:val="auto"/>
        </w:rPr>
      </w:pPr>
    </w:p>
    <w:p>
      <w:pPr>
        <w:jc w:val="center"/>
        <w:ind w:right="2058"/>
        <w:spacing w:after="0"/>
        <w:rPr>
          <w:sz w:val="20"/>
          <w:szCs w:val="20"/>
          <w:color w:val="auto"/>
        </w:rPr>
      </w:pPr>
      <w:r>
        <w:rPr>
          <w:rFonts w:ascii="Courier New" w:cs="Courier New" w:eastAsia="Courier New" w:hAnsi="Courier New"/>
          <w:sz w:val="16"/>
          <w:szCs w:val="16"/>
          <w:color w:val="auto"/>
        </w:rPr>
        <w:t>Continued</w:t>
      </w:r>
    </w:p>
    <w:p>
      <w:pPr>
        <w:spacing w:after="0" w:line="4" w:lineRule="exact"/>
        <w:rPr>
          <w:sz w:val="20"/>
          <w:szCs w:val="20"/>
          <w:color w:val="auto"/>
        </w:rPr>
      </w:pPr>
    </w:p>
    <w:p>
      <w:pPr>
        <w:jc w:val="center"/>
        <w:ind w:right="2058"/>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21"/>
          </w:cols>
          <w:pgMar w:left="239" w:top="669" w:right="1440" w:bottom="1440" w:gutter="0" w:footer="0" w:header="0"/>
        </w:sectPr>
      </w:pPr>
    </w:p>
    <w:bookmarkStart w:id="11" w:name="page12"/>
    <w:bookmarkEnd w:id="11"/>
    <w:p>
      <w:pPr>
        <w:ind w:left="2681"/>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381" w:right="3199" w:hanging="381"/>
        <w:spacing w:after="0" w:line="242" w:lineRule="auto"/>
        <w:tabs>
          <w:tab w:leader="none" w:pos="3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 and Summary of Significant Accounting Policies, Continued:</w:t>
      </w:r>
    </w:p>
    <w:p>
      <w:pPr>
        <w:spacing w:after="0" w:line="186"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SELF INSURANCE, CONTINUED</w:t>
      </w:r>
    </w:p>
    <w:p>
      <w:pPr>
        <w:spacing w:after="0" w:line="190" w:lineRule="exact"/>
        <w:rPr>
          <w:rFonts w:ascii="Courier New" w:cs="Courier New" w:eastAsia="Courier New" w:hAnsi="Courier New"/>
          <w:sz w:val="16"/>
          <w:szCs w:val="16"/>
          <w:color w:val="auto"/>
        </w:rPr>
      </w:pPr>
    </w:p>
    <w:p>
      <w:pPr>
        <w:ind w:left="3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 Parent's estimate of the aggregate liability for claims incurred but not reported through the fiscal year-ended March 31, 1996 based on historical information.</w:t>
      </w:r>
    </w:p>
    <w:p>
      <w:pPr>
        <w:spacing w:after="0" w:line="186"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SEVERANCE COSTS</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Italian and Greek law, Hardie Europe accrues deferred compensation which is payable to employees when employment is terminated for any reason. The severance liability included in the combined financial statements represents the estimated amount payable to employees, based upon their compensation and an inflation index as of March 31, 1996.</w:t>
      </w:r>
    </w:p>
    <w:p>
      <w:pPr>
        <w:spacing w:after="0" w:line="18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CONCENTRATION OF CREDIT RISK</w:t>
      </w:r>
    </w:p>
    <w:p>
      <w:pPr>
        <w:spacing w:after="0" w:line="190" w:lineRule="exact"/>
        <w:rPr>
          <w:rFonts w:ascii="Courier New" w:cs="Courier New" w:eastAsia="Courier New" w:hAnsi="Courier New"/>
          <w:sz w:val="16"/>
          <w:szCs w:val="16"/>
          <w:color w:val="auto"/>
        </w:rPr>
      </w:pPr>
    </w:p>
    <w:p>
      <w:pPr>
        <w:ind w:left="381" w:right="26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Companies are engaged in the business of manufacturing and distributing products for the landscape and agricultural irrigation industries primarily throughout the United States and Australia to various retailers, wholesalers and installation contractors. Concentration of credit risk with respect to trade receivables for the Companies is limited due to the large number of customers comprising the Companies' customer base, and their dispersion across several geographical regions. The Companies maintain allowances for potential credit losses. In general, the Companies do not require collateral in relation to these trade receivables.</w:t>
      </w:r>
    </w:p>
    <w:p>
      <w:pPr>
        <w:spacing w:after="0" w:line="176"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FAIR VALUE OF FINANCIAL INSTRUMENTS</w:t>
      </w:r>
    </w:p>
    <w:p>
      <w:pPr>
        <w:spacing w:after="0" w:line="190" w:lineRule="exact"/>
        <w:rPr>
          <w:rFonts w:ascii="Courier New" w:cs="Courier New" w:eastAsia="Courier New" w:hAnsi="Courier New"/>
          <w:sz w:val="16"/>
          <w:szCs w:val="16"/>
          <w:color w:val="auto"/>
        </w:rPr>
      </w:pPr>
    </w:p>
    <w:p>
      <w:pPr>
        <w:ind w:left="38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107, "Disclosures about Fair Value of Financial Instruments," requires certain disclosures regarding the fair value of financial instruments. Cash and cash equivalents, trade accounts receivable, trade accounts payable, accrued expenses and other liabilities and amounts currently due to and from affiliates approximate fair value because of the short-term maturity of these instruments.</w:t>
      </w:r>
    </w:p>
    <w:p>
      <w:pPr>
        <w:spacing w:after="0" w:line="18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190" w:lineRule="exact"/>
        <w:rPr>
          <w:rFonts w:ascii="Courier New" w:cs="Courier New" w:eastAsia="Courier New" w:hAnsi="Courier New"/>
          <w:sz w:val="16"/>
          <w:szCs w:val="16"/>
          <w:color w:val="auto"/>
        </w:rPr>
      </w:pPr>
    </w:p>
    <w:p>
      <w:pPr>
        <w:ind w:left="38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for the reporting period and as of the financial statement date. These estimates and assumptions affect the reported amounts of assets and liabilities, the disclosure of contingent liabilities, and the reported amounts of revenues and expenses. Actual results could differ from those estimates.</w:t>
      </w:r>
    </w:p>
    <w:p>
      <w:pPr>
        <w:spacing w:after="0" w:line="371" w:lineRule="exact"/>
        <w:rPr>
          <w:sz w:val="20"/>
          <w:szCs w:val="20"/>
          <w:color w:val="auto"/>
        </w:rPr>
      </w:pPr>
    </w:p>
    <w:p>
      <w:pPr>
        <w:jc w:val="center"/>
        <w:ind w:right="2058"/>
        <w:spacing w:after="0"/>
        <w:rPr>
          <w:sz w:val="20"/>
          <w:szCs w:val="20"/>
          <w:color w:val="auto"/>
        </w:rPr>
      </w:pPr>
      <w:r>
        <w:rPr>
          <w:rFonts w:ascii="Courier New" w:cs="Courier New" w:eastAsia="Courier New" w:hAnsi="Courier New"/>
          <w:sz w:val="16"/>
          <w:szCs w:val="16"/>
          <w:color w:val="auto"/>
        </w:rPr>
        <w:t>Continued</w:t>
      </w:r>
    </w:p>
    <w:p>
      <w:pPr>
        <w:spacing w:after="0" w:line="4" w:lineRule="exact"/>
        <w:rPr>
          <w:sz w:val="20"/>
          <w:szCs w:val="20"/>
          <w:color w:val="auto"/>
        </w:rPr>
      </w:pPr>
    </w:p>
    <w:p>
      <w:pPr>
        <w:jc w:val="center"/>
        <w:ind w:right="2058"/>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21"/>
          </w:cols>
          <w:pgMar w:left="239" w:top="669" w:right="1440" w:bottom="1440" w:gutter="0" w:footer="0" w:header="0"/>
        </w:sectPr>
      </w:pPr>
    </w:p>
    <w:bookmarkStart w:id="12" w:name="page13"/>
    <w:bookmarkEnd w:id="12"/>
    <w:p>
      <w:pPr>
        <w:ind w:left="2681"/>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381" w:right="3199" w:hanging="381"/>
        <w:spacing w:after="0" w:line="242" w:lineRule="auto"/>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 and Summary of Significant Accounting Policies, Continued:</w:t>
      </w:r>
    </w:p>
    <w:p>
      <w:pPr>
        <w:spacing w:after="0" w:line="186"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 TRANSLATION</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functional currency of each of the Companies is the applicable local currency. The functional currency is translated into U.S. dollars in accordance with SFAS No. 52, "Foreign Currency Translation," which is performed for the balance sheet accounts using current exchange rates in effect at the balance sheet date and for revenue and expense accounts using a weighted average exchange rate during the fiscal year ended March 31, 1996. The gains or losses resulting from such translations are included in equity. Gains and losses from foreign currency transactions are included in income currently.</w:t>
      </w:r>
    </w:p>
    <w:p>
      <w:pPr>
        <w:spacing w:after="0" w:line="187"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88"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Inventories consist of the following components as of March 31, 1996:</w:t>
      </w:r>
    </w:p>
    <w:p>
      <w:pPr>
        <w:spacing w:after="0" w:line="188" w:lineRule="exact"/>
        <w:rPr>
          <w:sz w:val="20"/>
          <w:szCs w:val="20"/>
          <w:color w:val="auto"/>
        </w:rPr>
      </w:pPr>
    </w:p>
    <w:tbl>
      <w:tblPr>
        <w:tblLayout w:type="fixed"/>
        <w:tblInd w:w="381"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$22,113,330</w:t>
            </w: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7,759,097</w:t>
            </w: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Work-in-process</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4,731,250</w:t>
            </w:r>
          </w:p>
        </w:tc>
      </w:tr>
      <w:tr>
        <w:trPr>
          <w:trHeight w:val="185"/>
        </w:trPr>
        <w:tc>
          <w:tcPr>
            <w:tcW w:w="36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6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34,603,677</w:t>
            </w: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Less: Inventory valuation allowance</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(2,557,710)</w:t>
            </w:r>
          </w:p>
        </w:tc>
      </w:tr>
      <w:tr>
        <w:trPr>
          <w:trHeight w:val="185"/>
        </w:trPr>
        <w:tc>
          <w:tcPr>
            <w:tcW w:w="36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6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$32,045,967</w:t>
            </w:r>
          </w:p>
        </w:tc>
      </w:tr>
      <w:tr>
        <w:trPr>
          <w:trHeight w:val="185"/>
        </w:trPr>
        <w:tc>
          <w:tcPr>
            <w:tcW w:w="36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600" w:type="dxa"/>
            <w:vAlign w:val="bottom"/>
          </w:tcPr>
          <w:p>
            <w:pPr>
              <w:spacing w:after="0"/>
              <w:rPr>
                <w:sz w:val="16"/>
                <w:szCs w:val="16"/>
                <w:color w:val="auto"/>
              </w:rPr>
            </w:pP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381" w:hanging="381"/>
        <w:spacing w:after="0"/>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w:t>
      </w:r>
    </w:p>
    <w:p>
      <w:pPr>
        <w:spacing w:after="0" w:line="190" w:lineRule="exact"/>
        <w:rPr>
          <w:rFonts w:ascii="Courier New" w:cs="Courier New" w:eastAsia="Courier New" w:hAnsi="Courier New"/>
          <w:sz w:val="16"/>
          <w:szCs w:val="16"/>
          <w:color w:val="auto"/>
        </w:rPr>
      </w:pPr>
    </w:p>
    <w:p>
      <w:pPr>
        <w:ind w:left="381"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 consists of the following components as of March 31, 1996.</w:t>
      </w:r>
    </w:p>
    <w:p>
      <w:pPr>
        <w:spacing w:after="0" w:line="37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Machinery and equipment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$58,672,262</w:t>
            </w:r>
          </w:p>
        </w:tc>
      </w:tr>
      <w:tr>
        <w:trPr>
          <w:trHeight w:val="185"/>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Buildings and improvements</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11,296,613</w:t>
            </w:r>
          </w:p>
        </w:tc>
      </w:tr>
      <w:tr>
        <w:trPr>
          <w:trHeight w:val="185"/>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Furniture and fixtures</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1,352,091</w:t>
            </w:r>
          </w:p>
        </w:tc>
      </w:tr>
      <w:tr>
        <w:trPr>
          <w:trHeight w:val="185"/>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Leasehold improvements</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1,110,169</w:t>
            </w:r>
          </w:p>
        </w:tc>
      </w:tr>
      <w:tr>
        <w:trPr>
          <w:trHeight w:val="185"/>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Land</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1,370,943</w:t>
            </w:r>
          </w:p>
        </w:tc>
      </w:tr>
      <w:tr>
        <w:trPr>
          <w:trHeight w:val="185"/>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Automobiles</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971,519</w:t>
            </w:r>
          </w:p>
        </w:tc>
      </w:tr>
      <w:tr>
        <w:trPr>
          <w:trHeight w:val="185"/>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Construction-in-progress</w:t>
            </w:r>
          </w:p>
        </w:tc>
        <w:tc>
          <w:tcPr>
            <w:tcW w:w="1500" w:type="dxa"/>
            <w:vAlign w:val="bottom"/>
          </w:tcPr>
          <w:p>
            <w:pPr>
              <w:spacing w:after="0"/>
              <w:rPr>
                <w:sz w:val="16"/>
                <w:szCs w:val="16"/>
                <w:color w:val="auto"/>
              </w:rPr>
            </w:pPr>
          </w:p>
        </w:tc>
      </w:tr>
      <w:tr>
        <w:trPr>
          <w:trHeight w:val="185"/>
        </w:trPr>
        <w:tc>
          <w:tcPr>
            <w:tcW w:w="3600" w:type="dxa"/>
            <w:vAlign w:val="bottom"/>
          </w:tcPr>
          <w:p>
            <w:pPr>
              <w:spacing w:after="0"/>
              <w:rPr>
                <w:sz w:val="16"/>
                <w:szCs w:val="16"/>
                <w:color w:val="auto"/>
              </w:rPr>
            </w:pP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5,080,902</w:t>
            </w:r>
          </w:p>
        </w:tc>
      </w:tr>
      <w:tr>
        <w:trPr>
          <w:trHeight w:val="185"/>
        </w:trPr>
        <w:tc>
          <w:tcPr>
            <w:tcW w:w="3600" w:type="dxa"/>
            <w:vAlign w:val="bottom"/>
          </w:tcPr>
          <w:p>
            <w:pPr>
              <w:spacing w:after="0"/>
              <w:rPr>
                <w:sz w:val="16"/>
                <w:szCs w:val="16"/>
                <w:color w:val="auto"/>
              </w:rPr>
            </w:pP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600" w:type="dxa"/>
            <w:vAlign w:val="bottom"/>
          </w:tcPr>
          <w:p>
            <w:pPr>
              <w:spacing w:after="0"/>
              <w:rPr>
                <w:sz w:val="16"/>
                <w:szCs w:val="16"/>
                <w:color w:val="auto"/>
              </w:rPr>
            </w:pP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79,854,499</w:t>
            </w: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w:t>
            </w:r>
          </w:p>
        </w:tc>
        <w:tc>
          <w:tcPr>
            <w:tcW w:w="1500" w:type="dxa"/>
            <w:vAlign w:val="bottom"/>
          </w:tcPr>
          <w:p>
            <w:pPr>
              <w:spacing w:after="0"/>
              <w:rPr>
                <w:sz w:val="16"/>
                <w:szCs w:val="16"/>
                <w:color w:val="auto"/>
              </w:rPr>
            </w:pPr>
          </w:p>
        </w:tc>
      </w:tr>
      <w:tr>
        <w:trPr>
          <w:trHeight w:val="185"/>
        </w:trPr>
        <w:tc>
          <w:tcPr>
            <w:tcW w:w="3600" w:type="dxa"/>
            <w:vAlign w:val="bottom"/>
          </w:tcPr>
          <w:p>
            <w:pPr>
              <w:ind w:left="480"/>
              <w:spacing w:after="0"/>
              <w:rPr>
                <w:sz w:val="20"/>
                <w:szCs w:val="20"/>
                <w:color w:val="auto"/>
              </w:rPr>
            </w:pPr>
            <w:r>
              <w:rPr>
                <w:rFonts w:ascii="Courier New" w:cs="Courier New" w:eastAsia="Courier New" w:hAnsi="Courier New"/>
                <w:sz w:val="16"/>
                <w:szCs w:val="16"/>
                <w:color w:val="auto"/>
              </w:rPr>
              <w:t>amortization</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(48,255,214)</w:t>
            </w:r>
          </w:p>
        </w:tc>
      </w:tr>
      <w:tr>
        <w:trPr>
          <w:trHeight w:val="185"/>
        </w:trPr>
        <w:tc>
          <w:tcPr>
            <w:tcW w:w="3600" w:type="dxa"/>
            <w:vAlign w:val="bottom"/>
          </w:tcPr>
          <w:p>
            <w:pPr>
              <w:spacing w:after="0"/>
              <w:rPr>
                <w:sz w:val="16"/>
                <w:szCs w:val="16"/>
                <w:color w:val="auto"/>
              </w:rPr>
            </w:pP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600" w:type="dxa"/>
            <w:vAlign w:val="bottom"/>
          </w:tcPr>
          <w:p>
            <w:pPr>
              <w:spacing w:after="0"/>
              <w:rPr>
                <w:sz w:val="16"/>
                <w:szCs w:val="16"/>
                <w:color w:val="auto"/>
              </w:rPr>
            </w:pP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$31,599,285</w:t>
            </w:r>
          </w:p>
        </w:tc>
      </w:tr>
      <w:tr>
        <w:trPr>
          <w:trHeight w:val="185"/>
        </w:trPr>
        <w:tc>
          <w:tcPr>
            <w:tcW w:w="3600" w:type="dxa"/>
            <w:vAlign w:val="bottom"/>
          </w:tcPr>
          <w:p>
            <w:pPr>
              <w:spacing w:after="0"/>
              <w:rPr>
                <w:sz w:val="16"/>
                <w:szCs w:val="16"/>
                <w:color w:val="auto"/>
              </w:rPr>
            </w:pP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600" w:type="dxa"/>
            <w:vAlign w:val="bottom"/>
          </w:tcPr>
          <w:p>
            <w:pPr>
              <w:spacing w:after="0"/>
              <w:rPr>
                <w:sz w:val="16"/>
                <w:szCs w:val="16"/>
                <w:color w:val="auto"/>
              </w:rPr>
            </w:pP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Continued</w:t>
      </w:r>
    </w:p>
    <w:p>
      <w:pPr>
        <w:spacing w:after="0" w:line="4" w:lineRule="exact"/>
        <w:rPr>
          <w:sz w:val="20"/>
          <w:szCs w:val="20"/>
          <w:color w:val="auto"/>
        </w:rPr>
      </w:pPr>
    </w:p>
    <w:p>
      <w:pPr>
        <w:ind w:left="3941"/>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21"/>
          </w:cols>
          <w:pgMar w:left="239" w:top="669" w:right="1440" w:bottom="1440" w:gutter="0" w:footer="0" w:header="0"/>
        </w:sectPr>
      </w:pPr>
    </w:p>
    <w:bookmarkStart w:id="13" w:name="page14"/>
    <w:bookmarkEnd w:id="13"/>
    <w:p>
      <w:pPr>
        <w:ind w:left="2681"/>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81" w:hanging="381"/>
        <w:spacing w:after="0"/>
        <w:tabs>
          <w:tab w:leader="none" w:pos="3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 Continued:</w:t>
      </w:r>
    </w:p>
    <w:p>
      <w:pPr>
        <w:spacing w:after="0" w:line="190" w:lineRule="exact"/>
        <w:rPr>
          <w:rFonts w:ascii="Courier New" w:cs="Courier New" w:eastAsia="Courier New" w:hAnsi="Courier New"/>
          <w:sz w:val="16"/>
          <w:szCs w:val="16"/>
          <w:color w:val="auto"/>
        </w:rPr>
      </w:pPr>
    </w:p>
    <w:p>
      <w:pPr>
        <w:ind w:left="381"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Construction-in-progress is primarily comprised of tooling and molds, production machinery and equipment and certain computer equipment which has not yet been placed in service.</w:t>
      </w:r>
    </w:p>
    <w:p>
      <w:pPr>
        <w:spacing w:after="0" w:line="371"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w:t>
      </w:r>
    </w:p>
    <w:p>
      <w:pPr>
        <w:spacing w:after="0" w:line="190"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Intangible assets consist of the following components as of March 31, 1996:</w:t>
      </w:r>
    </w:p>
    <w:p>
      <w:pPr>
        <w:spacing w:after="0" w:line="198" w:lineRule="exact"/>
        <w:rPr>
          <w:sz w:val="20"/>
          <w:szCs w:val="20"/>
          <w:color w:val="auto"/>
        </w:rPr>
      </w:pPr>
    </w:p>
    <w:tbl>
      <w:tblPr>
        <w:tblLayout w:type="fixed"/>
        <w:tblInd w:w="381" w:type="dxa"/>
        <w:tblCellMar>
          <w:top w:w="0" w:type="dxa"/>
          <w:left w:w="0" w:type="dxa"/>
          <w:bottom w:w="0" w:type="dxa"/>
          <w:right w:w="0" w:type="dxa"/>
        </w:tblCellMar>
      </w:tblPr>
      <w:tr>
        <w:trPr>
          <w:trHeight w:val="181"/>
        </w:trPr>
        <w:tc>
          <w:tcPr>
            <w:tcW w:w="4660" w:type="dxa"/>
            <w:vAlign w:val="bottom"/>
          </w:tcPr>
          <w:p>
            <w:pPr>
              <w:spacing w:after="0"/>
              <w:rPr>
                <w:sz w:val="20"/>
                <w:szCs w:val="20"/>
                <w:color w:val="auto"/>
              </w:rPr>
            </w:pPr>
            <w:r>
              <w:rPr>
                <w:rFonts w:ascii="Courier New" w:cs="Courier New" w:eastAsia="Courier New" w:hAnsi="Courier New"/>
                <w:sz w:val="16"/>
                <w:szCs w:val="16"/>
                <w:color w:val="auto"/>
              </w:rPr>
              <w:t>Costs in excess of fair value of net assets of</w:t>
            </w:r>
          </w:p>
        </w:tc>
        <w:tc>
          <w:tcPr>
            <w:tcW w:w="1300" w:type="dxa"/>
            <w:vAlign w:val="bottom"/>
          </w:tcPr>
          <w:p>
            <w:pPr>
              <w:spacing w:after="0"/>
              <w:rPr>
                <w:sz w:val="15"/>
                <w:szCs w:val="15"/>
                <w:color w:val="auto"/>
              </w:rPr>
            </w:pPr>
          </w:p>
        </w:tc>
      </w:tr>
      <w:tr>
        <w:trPr>
          <w:trHeight w:val="185"/>
        </w:trPr>
        <w:tc>
          <w:tcPr>
            <w:tcW w:w="4660" w:type="dxa"/>
            <w:vAlign w:val="bottom"/>
          </w:tcPr>
          <w:p>
            <w:pPr>
              <w:ind w:left="780"/>
              <w:spacing w:after="0"/>
              <w:rPr>
                <w:sz w:val="20"/>
                <w:szCs w:val="20"/>
                <w:color w:val="auto"/>
              </w:rPr>
            </w:pPr>
            <w:r>
              <w:rPr>
                <w:rFonts w:ascii="Courier New" w:cs="Courier New" w:eastAsia="Courier New" w:hAnsi="Courier New"/>
                <w:sz w:val="16"/>
                <w:szCs w:val="16"/>
                <w:color w:val="auto"/>
              </w:rPr>
              <w:t>businesses acquired</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$7,642,904</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Patents and trade names</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800,642</w:t>
            </w:r>
          </w:p>
        </w:tc>
      </w:tr>
      <w:tr>
        <w:trPr>
          <w:trHeight w:val="185"/>
        </w:trPr>
        <w:tc>
          <w:tcPr>
            <w:tcW w:w="466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660" w:type="dxa"/>
            <w:vAlign w:val="bottom"/>
          </w:tcPr>
          <w:p>
            <w:pPr>
              <w:spacing w:after="0"/>
              <w:rPr>
                <w:sz w:val="24"/>
                <w:szCs w:val="24"/>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8,443,546</w:t>
            </w:r>
          </w:p>
        </w:tc>
      </w:tr>
      <w:tr>
        <w:trPr>
          <w:trHeight w:val="370"/>
        </w:trPr>
        <w:tc>
          <w:tcPr>
            <w:tcW w:w="4660" w:type="dxa"/>
            <w:vAlign w:val="bottom"/>
          </w:tcPr>
          <w:p>
            <w:pPr>
              <w:spacing w:after="0"/>
              <w:rPr>
                <w:sz w:val="20"/>
                <w:szCs w:val="20"/>
                <w:color w:val="auto"/>
              </w:rPr>
            </w:pPr>
            <w:r>
              <w:rPr>
                <w:rFonts w:ascii="Courier New" w:cs="Courier New" w:eastAsia="Courier New" w:hAnsi="Courier New"/>
                <w:sz w:val="16"/>
                <w:szCs w:val="16"/>
                <w:color w:val="auto"/>
              </w:rPr>
              <w:t>Less: Accumulated amortization</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(5,191,106)</w:t>
            </w:r>
          </w:p>
        </w:tc>
      </w:tr>
      <w:tr>
        <w:trPr>
          <w:trHeight w:val="185"/>
        </w:trPr>
        <w:tc>
          <w:tcPr>
            <w:tcW w:w="466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5281"/>
        <w:spacing w:after="0"/>
        <w:rPr>
          <w:sz w:val="20"/>
          <w:szCs w:val="20"/>
          <w:color w:val="auto"/>
        </w:rPr>
      </w:pPr>
      <w:r>
        <w:rPr>
          <w:rFonts w:ascii="Courier New" w:cs="Courier New" w:eastAsia="Courier New" w:hAnsi="Courier New"/>
          <w:sz w:val="16"/>
          <w:szCs w:val="16"/>
          <w:color w:val="auto"/>
        </w:rPr>
        <w:t>$3,252,440</w:t>
      </w:r>
    </w:p>
    <w:p>
      <w:pPr>
        <w:spacing w:after="0" w:line="4" w:lineRule="exact"/>
        <w:rPr>
          <w:sz w:val="20"/>
          <w:szCs w:val="20"/>
          <w:color w:val="auto"/>
        </w:rPr>
      </w:pPr>
    </w:p>
    <w:p>
      <w:pPr>
        <w:ind w:left="52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28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81" w:hanging="381"/>
        <w:spacing w:after="0"/>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Assets:</w:t>
      </w:r>
    </w:p>
    <w:p>
      <w:pPr>
        <w:spacing w:after="0" w:line="188"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 assets consist of the following components as of March 31, 1996:</w:t>
      </w:r>
    </w:p>
    <w:p>
      <w:pPr>
        <w:spacing w:after="0" w:line="188" w:lineRule="exact"/>
        <w:rPr>
          <w:sz w:val="20"/>
          <w:szCs w:val="20"/>
          <w:color w:val="auto"/>
        </w:rPr>
      </w:pPr>
    </w:p>
    <w:tbl>
      <w:tblPr>
        <w:tblLayout w:type="fixed"/>
        <w:tblInd w:w="381" w:type="dxa"/>
        <w:tblCellMar>
          <w:top w:w="0" w:type="dxa"/>
          <w:left w:w="0" w:type="dxa"/>
          <w:bottom w:w="0" w:type="dxa"/>
          <w:right w:w="0" w:type="dxa"/>
        </w:tblCellMar>
      </w:tblPr>
      <w:tr>
        <w:trPr>
          <w:trHeight w:val="181"/>
        </w:trPr>
        <w:tc>
          <w:tcPr>
            <w:tcW w:w="4040" w:type="dxa"/>
            <w:vAlign w:val="bottom"/>
          </w:tcPr>
          <w:p>
            <w:pPr>
              <w:spacing w:after="0"/>
              <w:rPr>
                <w:sz w:val="20"/>
                <w:szCs w:val="20"/>
                <w:color w:val="auto"/>
              </w:rPr>
            </w:pPr>
            <w:r>
              <w:rPr>
                <w:rFonts w:ascii="Courier New" w:cs="Courier New" w:eastAsia="Courier New" w:hAnsi="Courier New"/>
                <w:sz w:val="16"/>
                <w:szCs w:val="16"/>
                <w:color w:val="auto"/>
              </w:rPr>
              <w:t>Land and building held for sale, at</w:t>
            </w:r>
          </w:p>
        </w:tc>
        <w:tc>
          <w:tcPr>
            <w:tcW w:w="1640" w:type="dxa"/>
            <w:vAlign w:val="bottom"/>
          </w:tcPr>
          <w:p>
            <w:pPr>
              <w:spacing w:after="0"/>
              <w:rPr>
                <w:sz w:val="15"/>
                <w:szCs w:val="15"/>
                <w:color w:val="auto"/>
              </w:rPr>
            </w:pPr>
          </w:p>
        </w:tc>
      </w:tr>
      <w:tr>
        <w:trPr>
          <w:trHeight w:val="185"/>
        </w:trPr>
        <w:tc>
          <w:tcPr>
            <w:tcW w:w="4040" w:type="dxa"/>
            <w:vAlign w:val="bottom"/>
          </w:tcPr>
          <w:p>
            <w:pPr>
              <w:ind w:left="300"/>
              <w:spacing w:after="0"/>
              <w:rPr>
                <w:sz w:val="20"/>
                <w:szCs w:val="20"/>
                <w:color w:val="auto"/>
              </w:rPr>
            </w:pPr>
            <w:r>
              <w:rPr>
                <w:rFonts w:ascii="Courier New" w:cs="Courier New" w:eastAsia="Courier New" w:hAnsi="Courier New"/>
                <w:sz w:val="16"/>
                <w:szCs w:val="16"/>
                <w:color w:val="auto"/>
              </w:rPr>
              <w:t>estimated net realizable value</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$4,350,000</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Purchased software</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2,011,633</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283,656</w:t>
            </w:r>
          </w:p>
        </w:tc>
      </w:tr>
      <w:tr>
        <w:trPr>
          <w:trHeight w:val="185"/>
        </w:trPr>
        <w:tc>
          <w:tcPr>
            <w:tcW w:w="40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$6,645,289</w:t>
            </w:r>
          </w:p>
        </w:tc>
      </w:tr>
      <w:tr>
        <w:trPr>
          <w:trHeight w:val="185"/>
        </w:trPr>
        <w:tc>
          <w:tcPr>
            <w:tcW w:w="40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381" w:right="2639"/>
        <w:spacing w:after="0" w:line="263" w:lineRule="auto"/>
        <w:rPr>
          <w:sz w:val="20"/>
          <w:szCs w:val="20"/>
          <w:color w:val="auto"/>
        </w:rPr>
      </w:pPr>
      <w:r>
        <w:rPr>
          <w:rFonts w:ascii="Courier New" w:cs="Courier New" w:eastAsia="Courier New" w:hAnsi="Courier New"/>
          <w:sz w:val="15"/>
          <w:szCs w:val="15"/>
          <w:color w:val="auto"/>
        </w:rPr>
        <w:t>In March 1994, Hardie U.S. suspended operations at its Carson City, Nevada manufacturing facility and transferred the majority of the machinery and equipment, inventory and personnel to other facilities of Hardie U.S. At March 31, 1996, the Carson City facility was held for sale and written down to its net realizable value. Effective December 1, 1996, the Carson City land and building were transferred to a subsidiary of the U.S. Parent.</w:t>
      </w:r>
    </w:p>
    <w:p>
      <w:pPr>
        <w:spacing w:after="0" w:line="200" w:lineRule="exact"/>
        <w:rPr>
          <w:sz w:val="20"/>
          <w:szCs w:val="20"/>
          <w:color w:val="auto"/>
        </w:rPr>
      </w:pPr>
    </w:p>
    <w:p>
      <w:pPr>
        <w:spacing w:after="0" w:line="34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Continued</w:t>
      </w:r>
    </w:p>
    <w:p>
      <w:pPr>
        <w:spacing w:after="0" w:line="4" w:lineRule="exact"/>
        <w:rPr>
          <w:sz w:val="20"/>
          <w:szCs w:val="20"/>
          <w:color w:val="auto"/>
        </w:rPr>
      </w:pPr>
    </w:p>
    <w:p>
      <w:pPr>
        <w:ind w:left="3941"/>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21"/>
          </w:cols>
          <w:pgMar w:left="239" w:top="669" w:right="1440" w:bottom="1440" w:gutter="0" w:footer="0" w:header="0"/>
        </w:sectPr>
      </w:pPr>
    </w:p>
    <w:bookmarkStart w:id="14" w:name="page15"/>
    <w:bookmarkEnd w:id="14"/>
    <w:p>
      <w:pPr>
        <w:ind w:left="2681"/>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81" w:hanging="381"/>
        <w:spacing w:after="0"/>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Assets, Continued:</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year 1995, Hardie U.S. purchased satellite technology and computer software from Sovran (PTY) Ltd. The acquired technology enables the operator to control large irrigation systems from remote locations via computer. Hardie U.S. is currently adapting the acquired technology to enhance its line of irrigation products. As of March 31, 1996, Hardie U.S. has capitalized $2,011,633 associated with the initial acquisition and subsequent costs incurred to modify the then existing technology. Amortization of these costs will commence upon the release of the new product line to the market.</w:t>
      </w:r>
    </w:p>
    <w:p>
      <w:pPr>
        <w:spacing w:after="0" w:line="372"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0" w:lineRule="exact"/>
        <w:rPr>
          <w:rFonts w:ascii="Courier New" w:cs="Courier New" w:eastAsia="Courier New" w:hAnsi="Courier New"/>
          <w:sz w:val="16"/>
          <w:szCs w:val="16"/>
          <w:color w:val="auto"/>
        </w:rPr>
      </w:pPr>
    </w:p>
    <w:p>
      <w:pPr>
        <w:ind w:left="3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are the components of the provision for federal, state and foreign income taxes included in the combined statement of operations for the fiscal year ended March 31, 1996. There was no provision for income taxes for Hardie Europe for the fiscal year ended March 31, 1996.</w:t>
      </w:r>
    </w:p>
    <w:p>
      <w:pPr>
        <w:spacing w:after="0" w:line="188" w:lineRule="exact"/>
        <w:rPr>
          <w:sz w:val="20"/>
          <w:szCs w:val="20"/>
          <w:color w:val="auto"/>
        </w:rPr>
      </w:pPr>
    </w:p>
    <w:tbl>
      <w:tblPr>
        <w:tblLayout w:type="fixed"/>
        <w:tblInd w:w="381" w:type="dxa"/>
        <w:tblCellMar>
          <w:top w:w="0" w:type="dxa"/>
          <w:left w:w="0" w:type="dxa"/>
          <w:bottom w:w="0" w:type="dxa"/>
          <w:right w:w="0" w:type="dxa"/>
        </w:tblCellMar>
      </w:tblPr>
      <w:tr>
        <w:trPr>
          <w:trHeight w:val="181"/>
        </w:trPr>
        <w:tc>
          <w:tcPr>
            <w:tcW w:w="294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580" w:type="dxa"/>
            <w:vAlign w:val="bottom"/>
          </w:tcPr>
          <w:p>
            <w:pPr>
              <w:spacing w:after="0"/>
              <w:rPr>
                <w:sz w:val="15"/>
                <w:szCs w:val="15"/>
                <w:color w:val="auto"/>
              </w:rPr>
            </w:pPr>
          </w:p>
        </w:tc>
      </w:tr>
      <w:tr>
        <w:trPr>
          <w:trHeight w:val="185"/>
        </w:trPr>
        <w:tc>
          <w:tcPr>
            <w:tcW w:w="2940" w:type="dxa"/>
            <w:vAlign w:val="bottom"/>
          </w:tcPr>
          <w:p>
            <w:pPr>
              <w:ind w:left="480"/>
              <w:spacing w:after="0"/>
              <w:rPr>
                <w:sz w:val="20"/>
                <w:szCs w:val="20"/>
                <w:color w:val="auto"/>
              </w:rPr>
            </w:pPr>
            <w:r>
              <w:rPr>
                <w:rFonts w:ascii="Courier New" w:cs="Courier New" w:eastAsia="Courier New" w:hAnsi="Courier New"/>
                <w:sz w:val="16"/>
                <w:szCs w:val="16"/>
                <w:color w:val="auto"/>
              </w:rPr>
              <w:t>U.S. Federal</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$ 3,000</w:t>
            </w:r>
          </w:p>
        </w:tc>
      </w:tr>
      <w:tr>
        <w:trPr>
          <w:trHeight w:val="185"/>
        </w:trPr>
        <w:tc>
          <w:tcPr>
            <w:tcW w:w="2940" w:type="dxa"/>
            <w:vAlign w:val="bottom"/>
          </w:tcPr>
          <w:p>
            <w:pPr>
              <w:ind w:left="480"/>
              <w:spacing w:after="0"/>
              <w:rPr>
                <w:sz w:val="20"/>
                <w:szCs w:val="20"/>
                <w:color w:val="auto"/>
              </w:rPr>
            </w:pPr>
            <w:r>
              <w:rPr>
                <w:rFonts w:ascii="Courier New" w:cs="Courier New" w:eastAsia="Courier New" w:hAnsi="Courier New"/>
                <w:sz w:val="16"/>
                <w:szCs w:val="16"/>
                <w:color w:val="auto"/>
              </w:rPr>
              <w:t>Australian Federal</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56,000</w:t>
            </w:r>
          </w:p>
        </w:tc>
      </w:tr>
      <w:tr>
        <w:trPr>
          <w:trHeight w:val="185"/>
        </w:trPr>
        <w:tc>
          <w:tcPr>
            <w:tcW w:w="2940" w:type="dxa"/>
            <w:vAlign w:val="bottom"/>
          </w:tcPr>
          <w:p>
            <w:pPr>
              <w:ind w:left="480"/>
              <w:spacing w:after="0"/>
              <w:rPr>
                <w:sz w:val="20"/>
                <w:szCs w:val="20"/>
                <w:color w:val="auto"/>
              </w:rPr>
            </w:pPr>
            <w:r>
              <w:rPr>
                <w:rFonts w:ascii="Courier New" w:cs="Courier New" w:eastAsia="Courier New" w:hAnsi="Courier New"/>
                <w:sz w:val="16"/>
                <w:szCs w:val="16"/>
                <w:color w:val="auto"/>
              </w:rPr>
              <w:t>State</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1,000</w:t>
            </w:r>
          </w:p>
        </w:tc>
      </w:tr>
      <w:tr>
        <w:trPr>
          <w:trHeight w:val="185"/>
        </w:trPr>
        <w:tc>
          <w:tcPr>
            <w:tcW w:w="294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940" w:type="dxa"/>
            <w:vAlign w:val="bottom"/>
          </w:tcPr>
          <w:p>
            <w:pPr>
              <w:spacing w:after="0"/>
              <w:rPr>
                <w:sz w:val="24"/>
                <w:szCs w:val="24"/>
                <w:color w:val="auto"/>
              </w:rPr>
            </w:pP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60,000</w:t>
            </w:r>
          </w:p>
        </w:tc>
      </w:tr>
      <w:tr>
        <w:trPr>
          <w:trHeight w:val="185"/>
        </w:trPr>
        <w:tc>
          <w:tcPr>
            <w:tcW w:w="294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94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580" w:type="dxa"/>
            <w:vAlign w:val="bottom"/>
          </w:tcPr>
          <w:p>
            <w:pPr>
              <w:spacing w:after="0"/>
              <w:rPr>
                <w:sz w:val="16"/>
                <w:szCs w:val="16"/>
                <w:color w:val="auto"/>
              </w:rPr>
            </w:pPr>
          </w:p>
        </w:tc>
      </w:tr>
      <w:tr>
        <w:trPr>
          <w:trHeight w:val="185"/>
        </w:trPr>
        <w:tc>
          <w:tcPr>
            <w:tcW w:w="2940" w:type="dxa"/>
            <w:vAlign w:val="bottom"/>
          </w:tcPr>
          <w:p>
            <w:pPr>
              <w:ind w:left="480"/>
              <w:spacing w:after="0"/>
              <w:rPr>
                <w:sz w:val="20"/>
                <w:szCs w:val="20"/>
                <w:color w:val="auto"/>
              </w:rPr>
            </w:pPr>
            <w:r>
              <w:rPr>
                <w:rFonts w:ascii="Courier New" w:cs="Courier New" w:eastAsia="Courier New" w:hAnsi="Courier New"/>
                <w:sz w:val="16"/>
                <w:szCs w:val="16"/>
                <w:color w:val="auto"/>
              </w:rPr>
              <w:t>U.S. Federal</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140,957</w:t>
            </w:r>
          </w:p>
        </w:tc>
      </w:tr>
      <w:tr>
        <w:trPr>
          <w:trHeight w:val="185"/>
        </w:trPr>
        <w:tc>
          <w:tcPr>
            <w:tcW w:w="2940" w:type="dxa"/>
            <w:vAlign w:val="bottom"/>
          </w:tcPr>
          <w:p>
            <w:pPr>
              <w:ind w:left="480"/>
              <w:spacing w:after="0"/>
              <w:rPr>
                <w:sz w:val="20"/>
                <w:szCs w:val="20"/>
                <w:color w:val="auto"/>
              </w:rPr>
            </w:pPr>
            <w:r>
              <w:rPr>
                <w:rFonts w:ascii="Courier New" w:cs="Courier New" w:eastAsia="Courier New" w:hAnsi="Courier New"/>
                <w:sz w:val="16"/>
                <w:szCs w:val="16"/>
                <w:color w:val="auto"/>
              </w:rPr>
              <w:t>Australian Federal</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(115,557)</w:t>
            </w:r>
          </w:p>
        </w:tc>
      </w:tr>
      <w:tr>
        <w:trPr>
          <w:trHeight w:val="185"/>
        </w:trPr>
        <w:tc>
          <w:tcPr>
            <w:tcW w:w="2940" w:type="dxa"/>
            <w:vAlign w:val="bottom"/>
          </w:tcPr>
          <w:p>
            <w:pPr>
              <w:ind w:left="480"/>
              <w:spacing w:after="0"/>
              <w:rPr>
                <w:sz w:val="20"/>
                <w:szCs w:val="20"/>
                <w:color w:val="auto"/>
              </w:rPr>
            </w:pPr>
            <w:r>
              <w:rPr>
                <w:rFonts w:ascii="Courier New" w:cs="Courier New" w:eastAsia="Courier New" w:hAnsi="Courier New"/>
                <w:sz w:val="16"/>
                <w:szCs w:val="16"/>
                <w:color w:val="auto"/>
              </w:rPr>
              <w:t>State</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8,962</w:t>
            </w:r>
          </w:p>
        </w:tc>
      </w:tr>
      <w:tr>
        <w:trPr>
          <w:trHeight w:val="185"/>
        </w:trPr>
        <w:tc>
          <w:tcPr>
            <w:tcW w:w="294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940" w:type="dxa"/>
            <w:vAlign w:val="bottom"/>
          </w:tcPr>
          <w:p>
            <w:pPr>
              <w:spacing w:after="0"/>
              <w:rPr>
                <w:sz w:val="24"/>
                <w:szCs w:val="24"/>
                <w:color w:val="auto"/>
              </w:rPr>
            </w:pP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34,362</w:t>
            </w:r>
          </w:p>
        </w:tc>
      </w:tr>
      <w:tr>
        <w:trPr>
          <w:trHeight w:val="185"/>
        </w:trPr>
        <w:tc>
          <w:tcPr>
            <w:tcW w:w="294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94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$94,362</w:t>
            </w:r>
          </w:p>
        </w:tc>
      </w:tr>
      <w:tr>
        <w:trPr>
          <w:trHeight w:val="185"/>
        </w:trPr>
        <w:tc>
          <w:tcPr>
            <w:tcW w:w="294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94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381" w:right="2719"/>
        <w:spacing w:after="0" w:line="242" w:lineRule="auto"/>
        <w:rPr>
          <w:sz w:val="20"/>
          <w:szCs w:val="20"/>
          <w:color w:val="auto"/>
        </w:rPr>
      </w:pPr>
      <w:r>
        <w:rPr>
          <w:rFonts w:ascii="Courier New" w:cs="Courier New" w:eastAsia="Courier New" w:hAnsi="Courier New"/>
          <w:sz w:val="16"/>
          <w:szCs w:val="16"/>
          <w:color w:val="auto"/>
        </w:rPr>
        <w:t>Deferred tax assets and liabilities consist of the following components as of March 31, 1996:</w:t>
      </w:r>
    </w:p>
    <w:p>
      <w:pPr>
        <w:spacing w:after="0" w:line="187" w:lineRule="exact"/>
        <w:rPr>
          <w:sz w:val="20"/>
          <w:szCs w:val="20"/>
          <w:color w:val="auto"/>
        </w:rPr>
      </w:pPr>
    </w:p>
    <w:tbl>
      <w:tblPr>
        <w:tblLayout w:type="fixed"/>
        <w:tblInd w:w="381" w:type="dxa"/>
        <w:tblCellMar>
          <w:top w:w="0" w:type="dxa"/>
          <w:left w:w="0" w:type="dxa"/>
          <w:bottom w:w="0" w:type="dxa"/>
          <w:right w:w="0" w:type="dxa"/>
        </w:tblCellMar>
      </w:tblP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Gross deferred tax assets:</w:t>
            </w:r>
          </w:p>
        </w:tc>
        <w:tc>
          <w:tcPr>
            <w:tcW w:w="1680" w:type="dxa"/>
            <w:vAlign w:val="bottom"/>
          </w:tcPr>
          <w:p>
            <w:pPr>
              <w:spacing w:after="0"/>
              <w:rPr>
                <w:sz w:val="15"/>
                <w:szCs w:val="15"/>
                <w:color w:val="auto"/>
              </w:rPr>
            </w:pPr>
          </w:p>
        </w:tc>
      </w:tr>
      <w:tr>
        <w:trPr>
          <w:trHeight w:val="370"/>
        </w:trPr>
        <w:tc>
          <w:tcPr>
            <w:tcW w:w="4180" w:type="dxa"/>
            <w:vAlign w:val="bottom"/>
          </w:tcPr>
          <w:p>
            <w:pPr>
              <w:ind w:left="480"/>
              <w:spacing w:after="0"/>
              <w:rPr>
                <w:sz w:val="20"/>
                <w:szCs w:val="20"/>
                <w:color w:val="auto"/>
              </w:rPr>
            </w:pPr>
            <w:r>
              <w:rPr>
                <w:rFonts w:ascii="Courier New" w:cs="Courier New" w:eastAsia="Courier New" w:hAnsi="Courier New"/>
                <w:sz w:val="16"/>
                <w:szCs w:val="16"/>
                <w:color w:val="auto"/>
              </w:rPr>
              <w:t>Inventory</w:t>
            </w:r>
          </w:p>
        </w:tc>
        <w:tc>
          <w:tcPr>
            <w:tcW w:w="1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$997,011</w:t>
            </w:r>
          </w:p>
        </w:tc>
      </w:tr>
      <w:tr>
        <w:trPr>
          <w:trHeight w:val="185"/>
        </w:trPr>
        <w:tc>
          <w:tcPr>
            <w:tcW w:w="4180" w:type="dxa"/>
            <w:vAlign w:val="bottom"/>
          </w:tcPr>
          <w:p>
            <w:pPr>
              <w:ind w:left="480"/>
              <w:spacing w:after="0"/>
              <w:rPr>
                <w:sz w:val="20"/>
                <w:szCs w:val="20"/>
                <w:color w:val="auto"/>
              </w:rPr>
            </w:pPr>
            <w:r>
              <w:rPr>
                <w:rFonts w:ascii="Courier New" w:cs="Courier New" w:eastAsia="Courier New" w:hAnsi="Courier New"/>
                <w:sz w:val="16"/>
                <w:szCs w:val="16"/>
                <w:color w:val="auto"/>
              </w:rPr>
              <w:t>Fixed assets</w:t>
            </w:r>
          </w:p>
        </w:tc>
        <w:tc>
          <w:tcPr>
            <w:tcW w:w="1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369,236</w:t>
            </w:r>
          </w:p>
        </w:tc>
      </w:tr>
      <w:tr>
        <w:trPr>
          <w:trHeight w:val="185"/>
        </w:trPr>
        <w:tc>
          <w:tcPr>
            <w:tcW w:w="4180" w:type="dxa"/>
            <w:vAlign w:val="bottom"/>
          </w:tcPr>
          <w:p>
            <w:pPr>
              <w:ind w:left="480"/>
              <w:spacing w:after="0"/>
              <w:rPr>
                <w:sz w:val="20"/>
                <w:szCs w:val="20"/>
                <w:color w:val="auto"/>
              </w:rPr>
            </w:pPr>
            <w:r>
              <w:rPr>
                <w:rFonts w:ascii="Courier New" w:cs="Courier New" w:eastAsia="Courier New" w:hAnsi="Courier New"/>
                <w:sz w:val="16"/>
                <w:szCs w:val="16"/>
                <w:color w:val="auto"/>
              </w:rPr>
              <w:t>Allowance for doubtful accounts</w:t>
            </w:r>
          </w:p>
        </w:tc>
        <w:tc>
          <w:tcPr>
            <w:tcW w:w="1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621,820</w:t>
            </w:r>
          </w:p>
        </w:tc>
      </w:tr>
      <w:tr>
        <w:trPr>
          <w:trHeight w:val="185"/>
        </w:trPr>
        <w:tc>
          <w:tcPr>
            <w:tcW w:w="4180" w:type="dxa"/>
            <w:vAlign w:val="bottom"/>
          </w:tcPr>
          <w:p>
            <w:pPr>
              <w:ind w:left="480"/>
              <w:spacing w:after="0"/>
              <w:rPr>
                <w:sz w:val="20"/>
                <w:szCs w:val="20"/>
                <w:color w:val="auto"/>
              </w:rPr>
            </w:pPr>
            <w:r>
              <w:rPr>
                <w:rFonts w:ascii="Courier New" w:cs="Courier New" w:eastAsia="Courier New" w:hAnsi="Courier New"/>
                <w:sz w:val="16"/>
                <w:szCs w:val="16"/>
                <w:color w:val="auto"/>
              </w:rPr>
              <w:t>Accrued expenses</w:t>
            </w:r>
          </w:p>
        </w:tc>
        <w:tc>
          <w:tcPr>
            <w:tcW w:w="1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2,638,491</w:t>
            </w:r>
          </w:p>
        </w:tc>
      </w:tr>
      <w:tr>
        <w:trPr>
          <w:trHeight w:val="185"/>
        </w:trPr>
        <w:tc>
          <w:tcPr>
            <w:tcW w:w="4180" w:type="dxa"/>
            <w:vAlign w:val="bottom"/>
          </w:tcPr>
          <w:p>
            <w:pPr>
              <w:ind w:left="480"/>
              <w:spacing w:after="0"/>
              <w:rPr>
                <w:sz w:val="20"/>
                <w:szCs w:val="20"/>
                <w:color w:val="auto"/>
              </w:rPr>
            </w:pPr>
            <w:r>
              <w:rPr>
                <w:rFonts w:ascii="Courier New" w:cs="Courier New" w:eastAsia="Courier New" w:hAnsi="Courier New"/>
                <w:sz w:val="16"/>
                <w:szCs w:val="16"/>
                <w:color w:val="auto"/>
              </w:rPr>
              <w:t>Net operating loss carryforwards</w:t>
            </w:r>
          </w:p>
        </w:tc>
        <w:tc>
          <w:tcPr>
            <w:tcW w:w="1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877,473</w:t>
            </w:r>
          </w:p>
        </w:tc>
      </w:tr>
      <w:tr>
        <w:trPr>
          <w:trHeight w:val="185"/>
        </w:trPr>
        <w:tc>
          <w:tcPr>
            <w:tcW w:w="4180" w:type="dxa"/>
            <w:vAlign w:val="bottom"/>
          </w:tcPr>
          <w:p>
            <w:pPr>
              <w:ind w:left="480"/>
              <w:spacing w:after="0"/>
              <w:rPr>
                <w:sz w:val="20"/>
                <w:szCs w:val="20"/>
                <w:color w:val="auto"/>
              </w:rPr>
            </w:pPr>
            <w:r>
              <w:rPr>
                <w:rFonts w:ascii="Courier New" w:cs="Courier New" w:eastAsia="Courier New" w:hAnsi="Courier New"/>
                <w:sz w:val="16"/>
                <w:szCs w:val="16"/>
                <w:color w:val="auto"/>
              </w:rPr>
              <w:t>Other</w:t>
            </w:r>
          </w:p>
        </w:tc>
        <w:tc>
          <w:tcPr>
            <w:tcW w:w="1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74,796</w:t>
            </w:r>
          </w:p>
        </w:tc>
      </w:tr>
      <w:tr>
        <w:trPr>
          <w:trHeight w:val="185"/>
        </w:trPr>
        <w:tc>
          <w:tcPr>
            <w:tcW w:w="4180" w:type="dxa"/>
            <w:vAlign w:val="bottom"/>
          </w:tcPr>
          <w:p>
            <w:pPr>
              <w:spacing w:after="0"/>
              <w:rPr>
                <w:sz w:val="16"/>
                <w:szCs w:val="16"/>
                <w:color w:val="auto"/>
              </w:rPr>
            </w:pPr>
          </w:p>
        </w:tc>
        <w:tc>
          <w:tcPr>
            <w:tcW w:w="1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180" w:type="dxa"/>
            <w:vAlign w:val="bottom"/>
          </w:tcPr>
          <w:p>
            <w:pPr>
              <w:spacing w:after="0"/>
              <w:rPr>
                <w:sz w:val="20"/>
                <w:szCs w:val="20"/>
                <w:color w:val="auto"/>
              </w:rPr>
            </w:pPr>
            <w:r>
              <w:rPr>
                <w:rFonts w:ascii="Courier New" w:cs="Courier New" w:eastAsia="Courier New" w:hAnsi="Courier New"/>
                <w:sz w:val="16"/>
                <w:szCs w:val="16"/>
                <w:color w:val="auto"/>
              </w:rPr>
              <w:t>Total deferred tax assets</w:t>
            </w:r>
          </w:p>
        </w:tc>
        <w:tc>
          <w:tcPr>
            <w:tcW w:w="1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5,578,827</w:t>
            </w:r>
          </w:p>
        </w:tc>
      </w:tr>
      <w:tr>
        <w:trPr>
          <w:trHeight w:val="370"/>
        </w:trPr>
        <w:tc>
          <w:tcPr>
            <w:tcW w:w="4180" w:type="dxa"/>
            <w:vAlign w:val="bottom"/>
          </w:tcPr>
          <w:p>
            <w:pPr>
              <w:ind w:left="480"/>
              <w:spacing w:after="0"/>
              <w:rPr>
                <w:sz w:val="20"/>
                <w:szCs w:val="20"/>
                <w:color w:val="auto"/>
              </w:rPr>
            </w:pPr>
            <w:r>
              <w:rPr>
                <w:rFonts w:ascii="Courier New" w:cs="Courier New" w:eastAsia="Courier New" w:hAnsi="Courier New"/>
                <w:sz w:val="16"/>
                <w:szCs w:val="16"/>
                <w:color w:val="auto"/>
              </w:rPr>
              <w:t>Valuation allowance</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(446,714)</w:t>
            </w:r>
          </w:p>
        </w:tc>
      </w:tr>
      <w:tr>
        <w:trPr>
          <w:trHeight w:val="185"/>
        </w:trPr>
        <w:tc>
          <w:tcPr>
            <w:tcW w:w="4180" w:type="dxa"/>
            <w:vAlign w:val="bottom"/>
          </w:tcPr>
          <w:p>
            <w:pPr>
              <w:spacing w:after="0"/>
              <w:rPr>
                <w:sz w:val="16"/>
                <w:szCs w:val="16"/>
                <w:color w:val="auto"/>
              </w:rPr>
            </w:pPr>
          </w:p>
        </w:tc>
        <w:tc>
          <w:tcPr>
            <w:tcW w:w="1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180" w:type="dxa"/>
            <w:vAlign w:val="bottom"/>
          </w:tcPr>
          <w:p>
            <w:pPr>
              <w:ind w:left="960"/>
              <w:spacing w:after="0"/>
              <w:rPr>
                <w:sz w:val="20"/>
                <w:szCs w:val="20"/>
                <w:color w:val="auto"/>
              </w:rPr>
            </w:pPr>
            <w:r>
              <w:rPr>
                <w:rFonts w:ascii="Courier New" w:cs="Courier New" w:eastAsia="Courier New" w:hAnsi="Courier New"/>
                <w:sz w:val="16"/>
                <w:szCs w:val="16"/>
                <w:color w:val="auto"/>
              </w:rPr>
              <w:t>Net deferred tax assets</w:t>
            </w:r>
          </w:p>
        </w:tc>
        <w:tc>
          <w:tcPr>
            <w:tcW w:w="1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$5,132,113</w:t>
            </w:r>
          </w:p>
        </w:tc>
      </w:tr>
      <w:tr>
        <w:trPr>
          <w:trHeight w:val="185"/>
        </w:trPr>
        <w:tc>
          <w:tcPr>
            <w:tcW w:w="4180" w:type="dxa"/>
            <w:vAlign w:val="bottom"/>
          </w:tcPr>
          <w:p>
            <w:pPr>
              <w:spacing w:after="0"/>
              <w:rPr>
                <w:sz w:val="16"/>
                <w:szCs w:val="16"/>
                <w:color w:val="auto"/>
              </w:rPr>
            </w:pPr>
          </w:p>
        </w:tc>
        <w:tc>
          <w:tcPr>
            <w:tcW w:w="1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180" w:type="dxa"/>
            <w:vAlign w:val="bottom"/>
          </w:tcPr>
          <w:p>
            <w:pPr>
              <w:spacing w:after="0"/>
              <w:rPr>
                <w:sz w:val="16"/>
                <w:szCs w:val="16"/>
                <w:color w:val="auto"/>
              </w:rPr>
            </w:pPr>
          </w:p>
        </w:tc>
        <w:tc>
          <w:tcPr>
            <w:tcW w:w="1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Continued</w:t>
      </w:r>
    </w:p>
    <w:p>
      <w:pPr>
        <w:spacing w:after="0" w:line="4" w:lineRule="exact"/>
        <w:rPr>
          <w:sz w:val="20"/>
          <w:szCs w:val="20"/>
          <w:color w:val="auto"/>
        </w:rPr>
      </w:pPr>
    </w:p>
    <w:p>
      <w:pPr>
        <w:ind w:left="3941"/>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21"/>
          </w:cols>
          <w:pgMar w:left="239" w:top="485" w:right="1440" w:bottom="1440" w:gutter="0" w:footer="0" w:header="0"/>
        </w:sectPr>
      </w:pPr>
    </w:p>
    <w:bookmarkStart w:id="15" w:name="page16"/>
    <w:bookmarkEnd w:id="15"/>
    <w:p>
      <w:pPr>
        <w:ind w:left="2681"/>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81" w:hanging="381"/>
        <w:spacing w:after="0"/>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 Continued:</w:t>
      </w:r>
    </w:p>
    <w:p>
      <w:pPr>
        <w:spacing w:after="0" w:line="190" w:lineRule="exact"/>
        <w:rPr>
          <w:rFonts w:ascii="Courier New" w:cs="Courier New" w:eastAsia="Courier New" w:hAnsi="Courier New"/>
          <w:sz w:val="16"/>
          <w:szCs w:val="16"/>
          <w:color w:val="auto"/>
        </w:rPr>
      </w:pPr>
    </w:p>
    <w:p>
      <w:pPr>
        <w:ind w:left="38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has provided a valuation allowance against those net operating loss carryforwards and temporary differences which are estimated to expire before they can be utilized. This valuation allowance relates entirely to the deferred tax assets of Hardie Europe. Management has not provided a valuation allowance against deferred tax assets related to Hardie U.S. or Hardie Australia, as management believes it is more likely than not that sufficient taxable income will be generated in the foreseeable future to realize these deferred tax assets. At March 31, 1996, net operating loss carryforwards available to offset future taxable income of Hardie Italy expire as follows:</w:t>
      </w:r>
    </w:p>
    <w:p>
      <w:pPr>
        <w:spacing w:after="0" w:line="188"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2020" w:type="dxa"/>
            <w:vAlign w:val="bottom"/>
          </w:tcPr>
          <w:p>
            <w:pPr>
              <w:jc w:val="right"/>
              <w:ind w:right="1560"/>
              <w:spacing w:after="0"/>
              <w:rPr>
                <w:sz w:val="20"/>
                <w:szCs w:val="20"/>
                <w:color w:val="auto"/>
              </w:rPr>
            </w:pPr>
            <w:r>
              <w:rPr>
                <w:rFonts w:ascii="Courier New" w:cs="Courier New" w:eastAsia="Courier New" w:hAnsi="Courier New"/>
                <w:sz w:val="16"/>
                <w:szCs w:val="16"/>
                <w:color w:val="auto"/>
                <w:w w:val="93"/>
              </w:rPr>
              <w:t>1999</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$1,963,000</w:t>
            </w:r>
          </w:p>
        </w:tc>
      </w:tr>
      <w:tr>
        <w:trPr>
          <w:trHeight w:val="185"/>
        </w:trPr>
        <w:tc>
          <w:tcPr>
            <w:tcW w:w="2020" w:type="dxa"/>
            <w:vAlign w:val="bottom"/>
          </w:tcPr>
          <w:p>
            <w:pPr>
              <w:jc w:val="right"/>
              <w:ind w:right="1560"/>
              <w:spacing w:after="0"/>
              <w:rPr>
                <w:sz w:val="20"/>
                <w:szCs w:val="20"/>
                <w:color w:val="auto"/>
              </w:rPr>
            </w:pPr>
            <w:r>
              <w:rPr>
                <w:rFonts w:ascii="Courier New" w:cs="Courier New" w:eastAsia="Courier New" w:hAnsi="Courier New"/>
                <w:sz w:val="16"/>
                <w:szCs w:val="16"/>
                <w:color w:val="auto"/>
                <w:w w:val="93"/>
              </w:rPr>
              <w:t>2000</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128,000</w:t>
            </w:r>
          </w:p>
        </w:tc>
      </w:tr>
      <w:tr>
        <w:trPr>
          <w:trHeight w:val="185"/>
        </w:trPr>
        <w:tc>
          <w:tcPr>
            <w:tcW w:w="2020" w:type="dxa"/>
            <w:vAlign w:val="bottom"/>
          </w:tcPr>
          <w:p>
            <w:pPr>
              <w:jc w:val="right"/>
              <w:ind w:right="1560"/>
              <w:spacing w:after="0"/>
              <w:rPr>
                <w:sz w:val="20"/>
                <w:szCs w:val="20"/>
                <w:color w:val="auto"/>
              </w:rPr>
            </w:pPr>
            <w:r>
              <w:rPr>
                <w:rFonts w:ascii="Courier New" w:cs="Courier New" w:eastAsia="Courier New" w:hAnsi="Courier New"/>
                <w:sz w:val="16"/>
                <w:szCs w:val="16"/>
                <w:color w:val="auto"/>
                <w:w w:val="93"/>
              </w:rPr>
              <w:t>2001</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355,000</w:t>
            </w:r>
          </w:p>
        </w:tc>
      </w:tr>
    </w:tbl>
    <w:p>
      <w:pPr>
        <w:spacing w:after="0" w:line="4"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38"/>
        <w:spacing w:after="0"/>
        <w:rPr>
          <w:sz w:val="20"/>
          <w:szCs w:val="20"/>
          <w:color w:val="auto"/>
        </w:rPr>
      </w:pPr>
      <w:r>
        <w:rPr>
          <w:rFonts w:ascii="Courier New" w:cs="Courier New" w:eastAsia="Courier New" w:hAnsi="Courier New"/>
          <w:sz w:val="16"/>
          <w:szCs w:val="16"/>
          <w:color w:val="auto"/>
        </w:rPr>
        <w:t>$2,446,000</w:t>
      </w:r>
    </w:p>
    <w:p>
      <w:pPr>
        <w:spacing w:after="0" w:line="4"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381" w:right="2639"/>
        <w:spacing w:after="0" w:line="243" w:lineRule="auto"/>
        <w:rPr>
          <w:sz w:val="20"/>
          <w:szCs w:val="20"/>
          <w:color w:val="auto"/>
        </w:rPr>
      </w:pPr>
      <w:r>
        <w:rPr>
          <w:rFonts w:ascii="Courier New" w:cs="Courier New" w:eastAsia="Courier New" w:hAnsi="Courier New"/>
          <w:sz w:val="16"/>
          <w:szCs w:val="16"/>
          <w:color w:val="auto"/>
        </w:rPr>
        <w:t>The following is a reconciliation of income taxes at the federal statutory rates with income taxes recorded by the Companies for the fiscal year ended March 31, 1996:</w:t>
      </w:r>
    </w:p>
    <w:p>
      <w:pPr>
        <w:spacing w:after="0" w:line="187" w:lineRule="exact"/>
        <w:rPr>
          <w:sz w:val="20"/>
          <w:szCs w:val="20"/>
          <w:color w:val="auto"/>
        </w:rPr>
      </w:pPr>
    </w:p>
    <w:tbl>
      <w:tblPr>
        <w:tblLayout w:type="fixed"/>
        <w:tblInd w:w="381" w:type="dxa"/>
        <w:tblCellMar>
          <w:top w:w="0" w:type="dxa"/>
          <w:left w:w="0" w:type="dxa"/>
          <w:bottom w:w="0" w:type="dxa"/>
          <w:right w:w="0" w:type="dxa"/>
        </w:tblCellMar>
      </w:tblPr>
      <w:tr>
        <w:trPr>
          <w:trHeight w:val="181"/>
        </w:trPr>
        <w:tc>
          <w:tcPr>
            <w:tcW w:w="5040" w:type="dxa"/>
            <w:vAlign w:val="bottom"/>
          </w:tcPr>
          <w:p>
            <w:pPr>
              <w:spacing w:after="0"/>
              <w:rPr>
                <w:sz w:val="20"/>
                <w:szCs w:val="20"/>
                <w:color w:val="auto"/>
              </w:rPr>
            </w:pPr>
            <w:r>
              <w:rPr>
                <w:rFonts w:ascii="Courier New" w:cs="Courier New" w:eastAsia="Courier New" w:hAnsi="Courier New"/>
                <w:sz w:val="16"/>
                <w:szCs w:val="16"/>
                <w:color w:val="auto"/>
              </w:rPr>
              <w:t>U.S. income tax benefit</w:t>
            </w:r>
          </w:p>
        </w:tc>
        <w:tc>
          <w:tcPr>
            <w:tcW w:w="1980" w:type="dxa"/>
            <w:vAlign w:val="bottom"/>
          </w:tcPr>
          <w:p>
            <w:pPr>
              <w:spacing w:after="0"/>
              <w:rPr>
                <w:sz w:val="15"/>
                <w:szCs w:val="15"/>
                <w:color w:val="auto"/>
              </w:rPr>
            </w:pPr>
          </w:p>
        </w:tc>
      </w:tr>
      <w:tr>
        <w:trPr>
          <w:trHeight w:val="185"/>
        </w:trPr>
        <w:tc>
          <w:tcPr>
            <w:tcW w:w="5040" w:type="dxa"/>
            <w:vAlign w:val="bottom"/>
          </w:tcPr>
          <w:p>
            <w:pPr>
              <w:ind w:left="300"/>
              <w:spacing w:after="0"/>
              <w:rPr>
                <w:sz w:val="20"/>
                <w:szCs w:val="20"/>
                <w:color w:val="auto"/>
              </w:rPr>
            </w:pPr>
            <w:r>
              <w:rPr>
                <w:rFonts w:ascii="Courier New" w:cs="Courier New" w:eastAsia="Courier New" w:hAnsi="Courier New"/>
                <w:sz w:val="16"/>
                <w:szCs w:val="16"/>
                <w:color w:val="auto"/>
              </w:rPr>
              <w:t>computed at the statutory rate of 34%</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($34,501)</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State income taxes, net of federal benefit</w:t>
            </w:r>
          </w:p>
        </w:tc>
        <w:tc>
          <w:tcPr>
            <w:tcW w:w="1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6,575</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Effect of permanent differences, net</w:t>
            </w:r>
          </w:p>
        </w:tc>
        <w:tc>
          <w:tcPr>
            <w:tcW w:w="1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179,673</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1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2,172</w:t>
            </w:r>
          </w:p>
        </w:tc>
      </w:tr>
      <w:tr>
        <w:trPr>
          <w:trHeight w:val="185"/>
        </w:trPr>
        <w:tc>
          <w:tcPr>
            <w:tcW w:w="5040" w:type="dxa"/>
            <w:vAlign w:val="bottom"/>
          </w:tcPr>
          <w:p>
            <w:pPr>
              <w:spacing w:after="0"/>
              <w:rPr>
                <w:sz w:val="16"/>
                <w:szCs w:val="16"/>
                <w:color w:val="auto"/>
              </w:rPr>
            </w:pPr>
          </w:p>
        </w:tc>
        <w:tc>
          <w:tcPr>
            <w:tcW w:w="1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ind w:left="380"/>
              <w:spacing w:after="0"/>
              <w:rPr>
                <w:sz w:val="20"/>
                <w:szCs w:val="20"/>
                <w:color w:val="auto"/>
              </w:rPr>
            </w:pPr>
            <w:r>
              <w:rPr>
                <w:rFonts w:ascii="Courier New" w:cs="Courier New" w:eastAsia="Courier New" w:hAnsi="Courier New"/>
                <w:sz w:val="16"/>
                <w:szCs w:val="16"/>
                <w:color w:val="auto"/>
              </w:rPr>
              <w:t>U.S. income tax provision</w:t>
            </w:r>
          </w:p>
        </w:tc>
        <w:tc>
          <w:tcPr>
            <w:tcW w:w="1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153,919</w:t>
            </w:r>
          </w:p>
        </w:tc>
      </w:tr>
      <w:tr>
        <w:trPr>
          <w:trHeight w:val="185"/>
        </w:trPr>
        <w:tc>
          <w:tcPr>
            <w:tcW w:w="5040" w:type="dxa"/>
            <w:vAlign w:val="bottom"/>
          </w:tcPr>
          <w:p>
            <w:pPr>
              <w:spacing w:after="0"/>
              <w:rPr>
                <w:sz w:val="16"/>
                <w:szCs w:val="16"/>
                <w:color w:val="auto"/>
              </w:rPr>
            </w:pPr>
          </w:p>
        </w:tc>
        <w:tc>
          <w:tcPr>
            <w:tcW w:w="1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Australian income tax provision</w:t>
            </w:r>
          </w:p>
        </w:tc>
        <w:tc>
          <w:tcPr>
            <w:tcW w:w="1980" w:type="dxa"/>
            <w:vAlign w:val="bottom"/>
          </w:tcPr>
          <w:p>
            <w:pPr>
              <w:spacing w:after="0"/>
              <w:rPr>
                <w:sz w:val="24"/>
                <w:szCs w:val="24"/>
                <w:color w:val="auto"/>
              </w:rPr>
            </w:pPr>
          </w:p>
        </w:tc>
      </w:tr>
      <w:tr>
        <w:trPr>
          <w:trHeight w:val="185"/>
        </w:trPr>
        <w:tc>
          <w:tcPr>
            <w:tcW w:w="5040" w:type="dxa"/>
            <w:vAlign w:val="bottom"/>
          </w:tcPr>
          <w:p>
            <w:pPr>
              <w:ind w:left="380"/>
              <w:spacing w:after="0"/>
              <w:rPr>
                <w:sz w:val="20"/>
                <w:szCs w:val="20"/>
                <w:color w:val="auto"/>
              </w:rPr>
            </w:pPr>
            <w:r>
              <w:rPr>
                <w:rFonts w:ascii="Courier New" w:cs="Courier New" w:eastAsia="Courier New" w:hAnsi="Courier New"/>
                <w:sz w:val="16"/>
                <w:szCs w:val="16"/>
                <w:color w:val="auto"/>
              </w:rPr>
              <w:t>computed at the statutory rate of 36%</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(1,845)</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Effect of permanent differences, net</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(57,712)</w:t>
            </w:r>
          </w:p>
        </w:tc>
      </w:tr>
      <w:tr>
        <w:trPr>
          <w:trHeight w:val="185"/>
        </w:trPr>
        <w:tc>
          <w:tcPr>
            <w:tcW w:w="5040" w:type="dxa"/>
            <w:vAlign w:val="bottom"/>
          </w:tcPr>
          <w:p>
            <w:pPr>
              <w:spacing w:after="0"/>
              <w:rPr>
                <w:sz w:val="16"/>
                <w:szCs w:val="16"/>
                <w:color w:val="auto"/>
              </w:rPr>
            </w:pPr>
          </w:p>
        </w:tc>
        <w:tc>
          <w:tcPr>
            <w:tcW w:w="198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5040" w:type="dxa"/>
            <w:vAlign w:val="bottom"/>
          </w:tcPr>
          <w:p>
            <w:pPr>
              <w:ind w:left="380"/>
              <w:spacing w:after="0"/>
              <w:rPr>
                <w:sz w:val="20"/>
                <w:szCs w:val="20"/>
                <w:color w:val="auto"/>
              </w:rPr>
            </w:pPr>
            <w:r>
              <w:rPr>
                <w:rFonts w:ascii="Courier New" w:cs="Courier New" w:eastAsia="Courier New" w:hAnsi="Courier New"/>
                <w:sz w:val="16"/>
                <w:szCs w:val="16"/>
                <w:color w:val="auto"/>
              </w:rPr>
              <w:t>Australian income tax benefit</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(59,557)</w:t>
            </w:r>
          </w:p>
        </w:tc>
      </w:tr>
      <w:tr>
        <w:trPr>
          <w:trHeight w:val="185"/>
        </w:trPr>
        <w:tc>
          <w:tcPr>
            <w:tcW w:w="5040" w:type="dxa"/>
            <w:vAlign w:val="bottom"/>
          </w:tcPr>
          <w:p>
            <w:pPr>
              <w:spacing w:after="0"/>
              <w:rPr>
                <w:sz w:val="16"/>
                <w:szCs w:val="16"/>
                <w:color w:val="auto"/>
              </w:rPr>
            </w:pPr>
          </w:p>
        </w:tc>
        <w:tc>
          <w:tcPr>
            <w:tcW w:w="1980" w:type="dxa"/>
            <w:vAlign w:val="bottom"/>
          </w:tcPr>
          <w:p>
            <w:pPr>
              <w:jc w:val="center"/>
              <w:ind w:left="104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Italian income tax benefit computed at</w:t>
            </w:r>
          </w:p>
        </w:tc>
        <w:tc>
          <w:tcPr>
            <w:tcW w:w="1980" w:type="dxa"/>
            <w:vAlign w:val="bottom"/>
          </w:tcPr>
          <w:p>
            <w:pPr>
              <w:spacing w:after="0"/>
              <w:rPr>
                <w:sz w:val="24"/>
                <w:szCs w:val="24"/>
                <w:color w:val="auto"/>
              </w:rPr>
            </w:pPr>
          </w:p>
        </w:tc>
      </w:tr>
      <w:tr>
        <w:trPr>
          <w:trHeight w:val="185"/>
        </w:trPr>
        <w:tc>
          <w:tcPr>
            <w:tcW w:w="5040" w:type="dxa"/>
            <w:vAlign w:val="bottom"/>
          </w:tcPr>
          <w:p>
            <w:pPr>
              <w:ind w:left="380"/>
              <w:spacing w:after="0"/>
              <w:rPr>
                <w:sz w:val="20"/>
                <w:szCs w:val="20"/>
                <w:color w:val="auto"/>
              </w:rPr>
            </w:pPr>
            <w:r>
              <w:rPr>
                <w:rFonts w:ascii="Courier New" w:cs="Courier New" w:eastAsia="Courier New" w:hAnsi="Courier New"/>
                <w:sz w:val="16"/>
                <w:szCs w:val="16"/>
                <w:color w:val="auto"/>
              </w:rPr>
              <w:t>the statutory rate of 52.3%</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(183,485)</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Effect of non recognition of income tax</w:t>
            </w:r>
          </w:p>
        </w:tc>
        <w:tc>
          <w:tcPr>
            <w:tcW w:w="1980" w:type="dxa"/>
            <w:vAlign w:val="bottom"/>
          </w:tcPr>
          <w:p>
            <w:pPr>
              <w:spacing w:after="0"/>
              <w:rPr>
                <w:sz w:val="16"/>
                <w:szCs w:val="16"/>
                <w:color w:val="auto"/>
              </w:rPr>
            </w:pPr>
          </w:p>
        </w:tc>
      </w:tr>
      <w:tr>
        <w:trPr>
          <w:trHeight w:val="185"/>
        </w:trPr>
        <w:tc>
          <w:tcPr>
            <w:tcW w:w="5040" w:type="dxa"/>
            <w:vAlign w:val="bottom"/>
          </w:tcPr>
          <w:p>
            <w:pPr>
              <w:ind w:left="380"/>
              <w:spacing w:after="0"/>
              <w:rPr>
                <w:sz w:val="20"/>
                <w:szCs w:val="20"/>
                <w:color w:val="auto"/>
              </w:rPr>
            </w:pPr>
            <w:r>
              <w:rPr>
                <w:rFonts w:ascii="Courier New" w:cs="Courier New" w:eastAsia="Courier New" w:hAnsi="Courier New"/>
                <w:sz w:val="16"/>
                <w:szCs w:val="16"/>
                <w:color w:val="auto"/>
              </w:rPr>
              <w:t>benefit related to net operating loss</w:t>
            </w:r>
          </w:p>
        </w:tc>
        <w:tc>
          <w:tcPr>
            <w:tcW w:w="1980" w:type="dxa"/>
            <w:vAlign w:val="bottom"/>
          </w:tcPr>
          <w:p>
            <w:pPr>
              <w:spacing w:after="0"/>
              <w:rPr>
                <w:sz w:val="16"/>
                <w:szCs w:val="16"/>
                <w:color w:val="auto"/>
              </w:rPr>
            </w:pPr>
          </w:p>
        </w:tc>
      </w:tr>
      <w:tr>
        <w:trPr>
          <w:trHeight w:val="185"/>
        </w:trPr>
        <w:tc>
          <w:tcPr>
            <w:tcW w:w="5040" w:type="dxa"/>
            <w:vAlign w:val="bottom"/>
          </w:tcPr>
          <w:p>
            <w:pPr>
              <w:ind w:left="380"/>
              <w:spacing w:after="0"/>
              <w:rPr>
                <w:sz w:val="20"/>
                <w:szCs w:val="20"/>
                <w:color w:val="auto"/>
              </w:rPr>
            </w:pPr>
            <w:r>
              <w:rPr>
                <w:rFonts w:ascii="Courier New" w:cs="Courier New" w:eastAsia="Courier New" w:hAnsi="Courier New"/>
                <w:sz w:val="16"/>
                <w:szCs w:val="16"/>
                <w:color w:val="auto"/>
              </w:rPr>
              <w:t>and increase in valuation allowance</w:t>
            </w:r>
          </w:p>
        </w:tc>
        <w:tc>
          <w:tcPr>
            <w:tcW w:w="1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183,485</w:t>
            </w:r>
          </w:p>
        </w:tc>
      </w:tr>
      <w:tr>
        <w:trPr>
          <w:trHeight w:val="185"/>
        </w:trPr>
        <w:tc>
          <w:tcPr>
            <w:tcW w:w="5040" w:type="dxa"/>
            <w:vAlign w:val="bottom"/>
          </w:tcPr>
          <w:p>
            <w:pPr>
              <w:spacing w:after="0"/>
              <w:rPr>
                <w:sz w:val="16"/>
                <w:szCs w:val="16"/>
                <w:color w:val="auto"/>
              </w:rPr>
            </w:pPr>
          </w:p>
        </w:tc>
        <w:tc>
          <w:tcPr>
            <w:tcW w:w="1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ind w:left="380"/>
              <w:spacing w:after="0"/>
              <w:rPr>
                <w:sz w:val="20"/>
                <w:szCs w:val="20"/>
                <w:color w:val="auto"/>
              </w:rPr>
            </w:pPr>
            <w:r>
              <w:rPr>
                <w:rFonts w:ascii="Courier New" w:cs="Courier New" w:eastAsia="Courier New" w:hAnsi="Courier New"/>
                <w:sz w:val="16"/>
                <w:szCs w:val="16"/>
                <w:color w:val="auto"/>
              </w:rPr>
              <w:t>Italian income tax (benefit) provision</w:t>
            </w:r>
          </w:p>
        </w:tc>
        <w:tc>
          <w:tcPr>
            <w:tcW w:w="1980" w:type="dxa"/>
            <w:vAlign w:val="bottom"/>
          </w:tcPr>
          <w:p>
            <w:pPr>
              <w:jc w:val="center"/>
              <w:ind w:left="104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spacing w:after="0"/>
              <w:rPr>
                <w:sz w:val="16"/>
                <w:szCs w:val="16"/>
                <w:color w:val="auto"/>
              </w:rPr>
            </w:pPr>
          </w:p>
        </w:tc>
        <w:tc>
          <w:tcPr>
            <w:tcW w:w="1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1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94,362</w:t>
            </w:r>
          </w:p>
        </w:tc>
      </w:tr>
      <w:tr>
        <w:trPr>
          <w:trHeight w:val="185"/>
        </w:trPr>
        <w:tc>
          <w:tcPr>
            <w:tcW w:w="5040" w:type="dxa"/>
            <w:vAlign w:val="bottom"/>
          </w:tcPr>
          <w:p>
            <w:pPr>
              <w:spacing w:after="0"/>
              <w:rPr>
                <w:sz w:val="16"/>
                <w:szCs w:val="16"/>
                <w:color w:val="auto"/>
              </w:rPr>
            </w:pPr>
          </w:p>
        </w:tc>
        <w:tc>
          <w:tcPr>
            <w:tcW w:w="1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spacing w:after="0"/>
              <w:rPr>
                <w:sz w:val="16"/>
                <w:szCs w:val="16"/>
                <w:color w:val="auto"/>
              </w:rPr>
            </w:pPr>
          </w:p>
        </w:tc>
        <w:tc>
          <w:tcPr>
            <w:tcW w:w="1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Continued</w:t>
      </w:r>
    </w:p>
    <w:p>
      <w:pPr>
        <w:spacing w:after="0" w:line="4" w:lineRule="exact"/>
        <w:rPr>
          <w:sz w:val="20"/>
          <w:szCs w:val="20"/>
          <w:color w:val="auto"/>
        </w:rPr>
      </w:pPr>
    </w:p>
    <w:p>
      <w:pPr>
        <w:ind w:left="3941"/>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21"/>
          </w:cols>
          <w:pgMar w:left="239" w:top="669" w:right="1440" w:bottom="1440" w:gutter="0" w:footer="0" w:header="0"/>
        </w:sectPr>
      </w:pPr>
    </w:p>
    <w:bookmarkStart w:id="16" w:name="page17"/>
    <w:bookmarkEnd w:id="16"/>
    <w:p>
      <w:pPr>
        <w:ind w:left="2681"/>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81" w:hanging="381"/>
        <w:spacing w:after="0"/>
        <w:tabs>
          <w:tab w:leader="none" w:pos="3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Accrued Expenses and Other Liabilities:</w:t>
      </w:r>
    </w:p>
    <w:p>
      <w:pPr>
        <w:spacing w:after="0" w:line="190" w:lineRule="exact"/>
        <w:rPr>
          <w:sz w:val="20"/>
          <w:szCs w:val="20"/>
          <w:color w:val="auto"/>
        </w:rPr>
      </w:pPr>
    </w:p>
    <w:p>
      <w:pPr>
        <w:ind w:left="381" w:right="2719"/>
        <w:spacing w:after="0" w:line="242" w:lineRule="auto"/>
        <w:rPr>
          <w:sz w:val="20"/>
          <w:szCs w:val="20"/>
          <w:color w:val="auto"/>
        </w:rPr>
      </w:pPr>
      <w:r>
        <w:rPr>
          <w:rFonts w:ascii="Courier New" w:cs="Courier New" w:eastAsia="Courier New" w:hAnsi="Courier New"/>
          <w:sz w:val="16"/>
          <w:szCs w:val="16"/>
          <w:color w:val="auto"/>
        </w:rPr>
        <w:t>Accrued expenses and other liabilities consist of the following components as of March 31, 1996:</w:t>
      </w:r>
    </w:p>
    <w:p>
      <w:pPr>
        <w:spacing w:after="0" w:line="187" w:lineRule="exact"/>
        <w:rPr>
          <w:sz w:val="20"/>
          <w:szCs w:val="20"/>
          <w:color w:val="auto"/>
        </w:rPr>
      </w:pPr>
    </w:p>
    <w:tbl>
      <w:tblPr>
        <w:tblLayout w:type="fixed"/>
        <w:tblInd w:w="381" w:type="dxa"/>
        <w:tblCellMar>
          <w:top w:w="0" w:type="dxa"/>
          <w:left w:w="0" w:type="dxa"/>
          <w:bottom w:w="0" w:type="dxa"/>
          <w:right w:w="0" w:type="dxa"/>
        </w:tblCellMar>
      </w:tblPr>
      <w:tr>
        <w:trPr>
          <w:trHeight w:val="181"/>
        </w:trPr>
        <w:tc>
          <w:tcPr>
            <w:tcW w:w="4040" w:type="dxa"/>
            <w:vAlign w:val="bottom"/>
          </w:tcPr>
          <w:p>
            <w:pPr>
              <w:spacing w:after="0"/>
              <w:rPr>
                <w:sz w:val="20"/>
                <w:szCs w:val="20"/>
                <w:color w:val="auto"/>
              </w:rPr>
            </w:pPr>
            <w:r>
              <w:rPr>
                <w:rFonts w:ascii="Courier New" w:cs="Courier New" w:eastAsia="Courier New" w:hAnsi="Courier New"/>
                <w:sz w:val="16"/>
                <w:szCs w:val="16"/>
                <w:color w:val="auto"/>
              </w:rPr>
              <w:t>Warranty</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$1,544,535</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Advertising and promotion</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992,440</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Cooperative advertising</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880,156</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Vacation</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1,629,918</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Sales commissions</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486,584</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Employee profit sharing and pension</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181,357</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Accrued payroll</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607,898</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760,295</w:t>
            </w:r>
          </w:p>
        </w:tc>
      </w:tr>
      <w:tr>
        <w:trPr>
          <w:trHeight w:val="185"/>
        </w:trPr>
        <w:tc>
          <w:tcPr>
            <w:tcW w:w="40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$7,083,183</w:t>
            </w:r>
          </w:p>
        </w:tc>
      </w:tr>
      <w:tr>
        <w:trPr>
          <w:trHeight w:val="185"/>
        </w:trPr>
        <w:tc>
          <w:tcPr>
            <w:tcW w:w="40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381" w:hanging="381"/>
        <w:spacing w:after="0"/>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conduct their operations from certain facilities that are leased under operating leases over the next 3 to 7 years. There are options to renew certain leases for additional periods of 2 to 5 years at renegotiated rental amounts. Certain of these leases contain escalation clauses and/or require the Companies to pay property taxes, insurance, and maintenance costs. The Companies also lease certain vehicles and equipment under operating lease agreements from various third parties with terms up to 5 years.</w:t>
      </w:r>
    </w:p>
    <w:p>
      <w:pPr>
        <w:spacing w:after="0" w:line="188" w:lineRule="exact"/>
        <w:rPr>
          <w:rFonts w:ascii="Courier New" w:cs="Courier New" w:eastAsia="Courier New" w:hAnsi="Courier New"/>
          <w:sz w:val="16"/>
          <w:szCs w:val="16"/>
          <w:color w:val="auto"/>
        </w:rPr>
      </w:pPr>
    </w:p>
    <w:p>
      <w:pPr>
        <w:ind w:left="381"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are the remaining future minimum rental payments required under the above operating leases for each of the next five fiscal years and in total thereafter:</w:t>
      </w:r>
    </w:p>
    <w:p>
      <w:pPr>
        <w:spacing w:after="0" w:line="187"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$1,386,376</w:t>
            </w:r>
          </w:p>
        </w:tc>
      </w:tr>
      <w:tr>
        <w:trPr>
          <w:trHeight w:val="185"/>
        </w:trPr>
        <w:tc>
          <w:tcPr>
            <w:tcW w:w="158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728,450</w:t>
            </w:r>
          </w:p>
        </w:tc>
      </w:tr>
      <w:tr>
        <w:trPr>
          <w:trHeight w:val="185"/>
        </w:trPr>
        <w:tc>
          <w:tcPr>
            <w:tcW w:w="158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307,883</w:t>
            </w:r>
          </w:p>
        </w:tc>
      </w:tr>
      <w:tr>
        <w:trPr>
          <w:trHeight w:val="185"/>
        </w:trPr>
        <w:tc>
          <w:tcPr>
            <w:tcW w:w="158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172,972</w:t>
            </w:r>
          </w:p>
        </w:tc>
      </w:tr>
      <w:tr>
        <w:trPr>
          <w:trHeight w:val="185"/>
        </w:trPr>
        <w:tc>
          <w:tcPr>
            <w:tcW w:w="15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172,972</w:t>
            </w:r>
          </w:p>
        </w:tc>
      </w:tr>
      <w:tr>
        <w:trPr>
          <w:trHeight w:val="185"/>
        </w:trPr>
        <w:tc>
          <w:tcPr>
            <w:tcW w:w="158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92,275</w:t>
            </w:r>
          </w:p>
        </w:tc>
      </w:tr>
      <w:tr>
        <w:trPr>
          <w:trHeight w:val="185"/>
        </w:trPr>
        <w:tc>
          <w:tcPr>
            <w:tcW w:w="15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$2,860,928</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Rent expense was $1,175,348 for the fiscal year ended March 31, 1996.</w:t>
      </w:r>
    </w:p>
    <w:p>
      <w:pPr>
        <w:spacing w:after="0" w:line="190" w:lineRule="exact"/>
        <w:rPr>
          <w:sz w:val="20"/>
          <w:szCs w:val="20"/>
          <w:color w:val="auto"/>
        </w:rPr>
      </w:pPr>
    </w:p>
    <w:p>
      <w:pPr>
        <w:ind w:left="381" w:right="2639"/>
        <w:spacing w:after="0" w:line="243" w:lineRule="auto"/>
        <w:rPr>
          <w:sz w:val="20"/>
          <w:szCs w:val="20"/>
          <w:color w:val="auto"/>
        </w:rPr>
      </w:pPr>
      <w:r>
        <w:rPr>
          <w:rFonts w:ascii="Courier New" w:cs="Courier New" w:eastAsia="Courier New" w:hAnsi="Courier New"/>
          <w:sz w:val="16"/>
          <w:szCs w:val="16"/>
          <w:color w:val="auto"/>
        </w:rPr>
        <w:t>Letters of credit are issued by the Companies during the ordinary course of business, as required by certain vendor contracts. The Companies have commitments for letters of credit totaling $2,822,880 at March 31, 1996.</w:t>
      </w:r>
    </w:p>
    <w:p>
      <w:pPr>
        <w:spacing w:after="0" w:line="37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Continued</w:t>
      </w:r>
    </w:p>
    <w:p>
      <w:pPr>
        <w:spacing w:after="0" w:line="4" w:lineRule="exact"/>
        <w:rPr>
          <w:sz w:val="20"/>
          <w:szCs w:val="20"/>
          <w:color w:val="auto"/>
        </w:rPr>
      </w:pPr>
    </w:p>
    <w:p>
      <w:pPr>
        <w:ind w:left="3941"/>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21"/>
          </w:cols>
          <w:pgMar w:left="239" w:top="669" w:right="1440" w:bottom="1440" w:gutter="0" w:footer="0" w:header="0"/>
        </w:sectPr>
      </w:pPr>
    </w:p>
    <w:bookmarkStart w:id="17" w:name="page18"/>
    <w:bookmarkEnd w:id="17"/>
    <w:p>
      <w:pPr>
        <w:ind w:left="2681"/>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81" w:hanging="381"/>
        <w:spacing w:after="0"/>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Continued:</w:t>
      </w:r>
    </w:p>
    <w:p>
      <w:pPr>
        <w:spacing w:after="0" w:line="190" w:lineRule="exact"/>
        <w:rPr>
          <w:rFonts w:ascii="Courier New" w:cs="Courier New" w:eastAsia="Courier New" w:hAnsi="Courier New"/>
          <w:sz w:val="16"/>
          <w:szCs w:val="16"/>
          <w:color w:val="auto"/>
        </w:rPr>
      </w:pPr>
    </w:p>
    <w:p>
      <w:pPr>
        <w:ind w:left="38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are responsible for the repair of defective products and certain related expenses under the terms of the Companies' warranty programs. The Companies' warranty programs provide a limited warranty against original manufacturing defects on all products for periods ranging from 1 to 10 years from the date of original sale. The Companies record a provision for the estimated warranty claims including an estimate for claims incurred but not reported through year-end.</w:t>
      </w:r>
    </w:p>
    <w:p>
      <w:pPr>
        <w:spacing w:after="0" w:line="188"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Hardie Australia borrowed $273,352 (A$350,000) from the State Government on March 30, 1990 as part of the funding for establishing one of the Australian facilities. Subject to compliance with the conditions of the loan, which include a requirement that Hardie Australia employ a minimum number of permanent staff, the loan is non-interest bearing and repayable on March 30, 2089.</w:t>
      </w:r>
    </w:p>
    <w:p>
      <w:pPr>
        <w:spacing w:after="0" w:line="187" w:lineRule="exact"/>
        <w:rPr>
          <w:rFonts w:ascii="Courier New" w:cs="Courier New" w:eastAsia="Courier New" w:hAnsi="Courier New"/>
          <w:sz w:val="16"/>
          <w:szCs w:val="16"/>
          <w:color w:val="auto"/>
        </w:rPr>
      </w:pPr>
    </w:p>
    <w:p>
      <w:pPr>
        <w:ind w:left="38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Hardie Australia has not met the requirement to employ a certain number of permanent staff, the State Government of South Australia has demanded repayment of $85,911 (A$110,000). This amount is included in the combined financial statements in the category described as "Accrued Expenses and Other Liabilities." Should the number of permanent staff continue to decrease, or if the manufacturing facility was moved out of South Australia, the State Government of South Australia may demand repayment of the remaining $187,441 (A$240,000). However, should Hardie Australia meet the above requirements by June 2000, the State Government of South Australia has indicated that it may return the amount of $85,911 (A$110,000) to the Company and not demand early repayment of the remaining $187,441 (A$240,000).</w:t>
      </w:r>
    </w:p>
    <w:p>
      <w:pPr>
        <w:spacing w:after="0" w:line="190" w:lineRule="exact"/>
        <w:rPr>
          <w:rFonts w:ascii="Courier New" w:cs="Courier New" w:eastAsia="Courier New" w:hAnsi="Courier New"/>
          <w:sz w:val="16"/>
          <w:szCs w:val="16"/>
          <w:color w:val="auto"/>
        </w:rPr>
      </w:pPr>
    </w:p>
    <w:p>
      <w:pPr>
        <w:ind w:left="381"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$187,441 (A$240,000) has not been recognized in the combined financial statements as a liability on the basis that the net present value of the amount payable in 2089 is negligible.</w:t>
      </w:r>
    </w:p>
    <w:p>
      <w:pPr>
        <w:spacing w:after="0" w:line="188" w:lineRule="exact"/>
        <w:rPr>
          <w:rFonts w:ascii="Courier New" w:cs="Courier New" w:eastAsia="Courier New" w:hAnsi="Courier New"/>
          <w:sz w:val="16"/>
          <w:szCs w:val="16"/>
          <w:color w:val="auto"/>
        </w:rPr>
      </w:pPr>
    </w:p>
    <w:p>
      <w:pPr>
        <w:ind w:left="38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a value-added-tax (VAT) investigation for fiscal year 1994, Italian authorities have indicated their intention to assess penalties against Hardie Europe. Management has accrued for the estimated amount of the claim.</w:t>
      </w:r>
    </w:p>
    <w:p>
      <w:pPr>
        <w:spacing w:after="0" w:line="189" w:lineRule="exact"/>
        <w:rPr>
          <w:rFonts w:ascii="Courier New" w:cs="Courier New" w:eastAsia="Courier New" w:hAnsi="Courier New"/>
          <w:sz w:val="16"/>
          <w:szCs w:val="16"/>
          <w:color w:val="auto"/>
        </w:rPr>
      </w:pPr>
    </w:p>
    <w:p>
      <w:pPr>
        <w:ind w:left="381" w:right="30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are involved in certain asserted and unasserted potential claims which have not been finally adjudicated. In the opinion of management, the resolution of these matters will not have a material adverse effect on the Companies' financial position or results of operations.</w:t>
      </w:r>
    </w:p>
    <w:p>
      <w:pPr>
        <w:spacing w:after="0" w:line="370"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Continued</w:t>
      </w:r>
    </w:p>
    <w:p>
      <w:pPr>
        <w:spacing w:after="0" w:line="4" w:lineRule="exact"/>
        <w:rPr>
          <w:sz w:val="20"/>
          <w:szCs w:val="20"/>
          <w:color w:val="auto"/>
        </w:rPr>
      </w:pPr>
    </w:p>
    <w:p>
      <w:pPr>
        <w:ind w:left="3941"/>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21"/>
          </w:cols>
          <w:pgMar w:left="239" w:top="669" w:right="1440" w:bottom="1440" w:gutter="0" w:footer="0" w:header="0"/>
        </w:sectPr>
      </w:pPr>
    </w:p>
    <w:bookmarkStart w:id="18" w:name="page19"/>
    <w:bookmarkEnd w:id="18"/>
    <w:p>
      <w:pPr>
        <w:ind w:left="2681"/>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81" w:hanging="381"/>
        <w:spacing w:after="0"/>
        <w:tabs>
          <w:tab w:leader="none" w:pos="3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U.S. Parent sponsors a 401(k) defined contribution plan for Hardie U.S. employees who have completed one year of service and are at least 21 years of age. Employees may contribute up to 14% of their compensation on a before-tax basis, subject to the maximum dollar amount allowed under Section 404(a) of the Internal Revenue Code, as amended. The Company matches 100% of each employee's contribution, limited to 6% of the employee's compensation. Participants become immediately 100% vested in their contributions and earnings thereon. All contributions vest over a five-year period. The expense for Hardie U.S. related to this plan was $673,618 for the fiscal year ended March 31, 1996.</w:t>
      </w:r>
    </w:p>
    <w:p>
      <w:pPr>
        <w:spacing w:after="0" w:line="189" w:lineRule="exact"/>
        <w:rPr>
          <w:rFonts w:ascii="Courier New" w:cs="Courier New" w:eastAsia="Courier New" w:hAnsi="Courier New"/>
          <w:sz w:val="16"/>
          <w:szCs w:val="16"/>
          <w:color w:val="auto"/>
        </w:rPr>
      </w:pPr>
    </w:p>
    <w:p>
      <w:pPr>
        <w:ind w:left="381" w:right="26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Parent also sponsors a defined contribution plan for employees of Hardie Australia. Employees are eligible immediately upon commencement of permanent employment, and may contribute up to 10% of their salary on a before-tax basis. Hardie Australia provides a minimum benefit of at least the superannuation guarantee amount determined by the Federal Government in Australia (currently 6% of salary). Vesting is based on years of credited service. Participants become immediately 100% vested in employee contributions and earnings thereon. The expense for Hardie Australia related to this plan was $501,294 for the fiscal year ended March 31, 1996.</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have short-term amounts receivable and payable to James Hardie Industries Limited, the U.S. Parent and affiliates which are shown net in the accompanying financial statements. These amounts are related to various intercompany transactions including, among others, sales of products to affiliates, purchases of product from affiliates, current income taxes, and the allocation of certain operating expenses to the Companies by James Hardie Industries Limited, the U.S. Parent and affiliates. These amounts are due and payable on demand and do not bear interest.</w:t>
      </w:r>
    </w:p>
    <w:p>
      <w:pPr>
        <w:spacing w:after="0" w:line="189" w:lineRule="exact"/>
        <w:rPr>
          <w:rFonts w:ascii="Courier New" w:cs="Courier New" w:eastAsia="Courier New" w:hAnsi="Courier New"/>
          <w:sz w:val="16"/>
          <w:szCs w:val="16"/>
          <w:color w:val="auto"/>
        </w:rPr>
      </w:pPr>
    </w:p>
    <w:p>
      <w:pPr>
        <w:ind w:left="3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products to affiliates totaled approximately $1,510,000 for the fiscal year ended March 31, 1996. Purchases of product from affiliates were not significant.</w:t>
      </w:r>
    </w:p>
    <w:p>
      <w:pPr>
        <w:spacing w:after="0" w:line="188" w:lineRule="exact"/>
        <w:rPr>
          <w:rFonts w:ascii="Courier New" w:cs="Courier New" w:eastAsia="Courier New" w:hAnsi="Courier New"/>
          <w:sz w:val="16"/>
          <w:szCs w:val="16"/>
          <w:color w:val="auto"/>
        </w:rPr>
      </w:pPr>
    </w:p>
    <w:p>
      <w:pPr>
        <w:ind w:left="381"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Hardie U.S. has a loan payable to the U.S. Parent which bears interest at the average six month LIBOR rate plus 0.4%. The effective interest rate on this loan was 5.9% at March 31, 1996.</w:t>
      </w:r>
    </w:p>
    <w:p>
      <w:pPr>
        <w:spacing w:after="0" w:line="188"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Hardie Europe has a loan due to James Hardie Holdings Ltd., which bears interest at the one-month LIBOR plus 0.75%. The effective interest rate on this loan was 6.102% at March 31, 1996. The principal amount of this loan is $5,000,000. In addition, Hardie Europe has a non-interest bearing loan totaling $2,133,375 due to RIS International Finance N.V., an affiliate of the Parent. This loan is denominated in Italian Lira.</w:t>
      </w:r>
    </w:p>
    <w:p>
      <w:pPr>
        <w:spacing w:after="0" w:line="187" w:lineRule="exact"/>
        <w:rPr>
          <w:rFonts w:ascii="Courier New" w:cs="Courier New" w:eastAsia="Courier New" w:hAnsi="Courier New"/>
          <w:sz w:val="16"/>
          <w:szCs w:val="16"/>
          <w:color w:val="auto"/>
        </w:rPr>
      </w:pPr>
    </w:p>
    <w:p>
      <w:pPr>
        <w:ind w:left="38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Hardie U.S. receives interest income from or pays interest expense to the U.S. Parent based upon the level of working capital employed. Hardie U.S. also pays a management fee to the U.S. Parent and is allocated certain general and administrative expenses.</w:t>
      </w:r>
    </w:p>
    <w:p>
      <w:pPr>
        <w:spacing w:after="0" w:line="37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Continued</w:t>
      </w:r>
    </w:p>
    <w:p>
      <w:pPr>
        <w:spacing w:after="0" w:line="4" w:lineRule="exact"/>
        <w:rPr>
          <w:sz w:val="20"/>
          <w:szCs w:val="20"/>
          <w:color w:val="auto"/>
        </w:rPr>
      </w:pPr>
    </w:p>
    <w:p>
      <w:pPr>
        <w:ind w:left="3941"/>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21"/>
          </w:cols>
          <w:pgMar w:left="239" w:top="669" w:right="1440" w:bottom="1440" w:gutter="0" w:footer="0" w:header="0"/>
        </w:sectPr>
      </w:pPr>
    </w:p>
    <w:bookmarkStart w:id="19" w:name="page20"/>
    <w:bookmarkEnd w:id="19"/>
    <w:p>
      <w:pPr>
        <w:ind w:left="2681"/>
        <w:spacing w:after="0"/>
        <w:rPr>
          <w:sz w:val="20"/>
          <w:szCs w:val="20"/>
          <w:color w:val="auto"/>
        </w:rPr>
      </w:pPr>
      <w:r>
        <w:rPr>
          <w:rFonts w:ascii="Courier New" w:cs="Courier New" w:eastAsia="Courier New" w:hAnsi="Courier New"/>
          <w:sz w:val="16"/>
          <w:szCs w:val="16"/>
          <w:color w:val="auto"/>
        </w:rPr>
        <w:t>JAMES HARDIE IRRIGATION GROUP</w:t>
      </w:r>
    </w:p>
    <w:p>
      <w:pPr>
        <w:spacing w:after="0" w:line="188"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NOTES TO THE COMBINED FINANCIAL STATEMENTS</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for the fiscal year ended March 31, 1996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81" w:hanging="381"/>
        <w:spacing w:after="0"/>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w:t>
      </w:r>
    </w:p>
    <w:p>
      <w:pPr>
        <w:spacing w:after="0" w:line="190" w:lineRule="exact"/>
        <w:rPr>
          <w:rFonts w:ascii="Courier New" w:cs="Courier New" w:eastAsia="Courier New" w:hAnsi="Courier New"/>
          <w:sz w:val="16"/>
          <w:szCs w:val="16"/>
          <w:color w:val="auto"/>
        </w:rPr>
      </w:pPr>
    </w:p>
    <w:p>
      <w:pPr>
        <w:ind w:left="38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12, 1996, Hardie Australia sold their investment interest in certain depositary receipts issued by the Stichting Administration RIS International Finance N.V. This investment was acquired in fiscal year 1988 at an initial cost of $11,318,722 (A$15,235,000) and was written down to zero prior to the fiscal year ended March 31, 1996. Hardie Australia did not receive cash in connection with this transaction but reduced an intercompany payable account and recognized a gain of $6,730,326 (A$9,057,000) for the full amount of the sales price.</w:t>
      </w:r>
    </w:p>
    <w:p>
      <w:pPr>
        <w:spacing w:after="0" w:line="188" w:lineRule="exact"/>
        <w:rPr>
          <w:rFonts w:ascii="Courier New" w:cs="Courier New" w:eastAsia="Courier New" w:hAnsi="Courier New"/>
          <w:sz w:val="16"/>
          <w:szCs w:val="16"/>
          <w:color w:val="auto"/>
        </w:rPr>
      </w:pPr>
    </w:p>
    <w:p>
      <w:pPr>
        <w:ind w:left="38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18, 1996, the Parent entered into an agreement to sell all of the issued and outstanding shares of the Companies to The Toro Company for an initial purchase price of $131,500,000. The purchase price was subsequently adjusted to $119,125,000 based on the unaudited aggregate shareholders' equity on December 1, 1996, and is subject to further adjustment based upon final audit results.</w:t>
      </w:r>
    </w:p>
    <w:p>
      <w:pPr>
        <w:spacing w:after="0" w:line="37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Continued</w:t>
      </w:r>
    </w:p>
    <w:p>
      <w:pPr>
        <w:spacing w:after="0" w:line="4" w:lineRule="exact"/>
        <w:rPr>
          <w:sz w:val="20"/>
          <w:szCs w:val="20"/>
          <w:color w:val="auto"/>
        </w:rPr>
      </w:pPr>
    </w:p>
    <w:p>
      <w:pPr>
        <w:ind w:left="3941"/>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21"/>
          </w:cols>
          <w:pgMar w:left="239" w:top="669"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1"/>
        </w:trPr>
        <w:tc>
          <w:tcPr>
            <w:tcW w:w="6300" w:type="dxa"/>
            <w:vAlign w:val="bottom"/>
          </w:tcPr>
          <w:p>
            <w:pPr>
              <w:ind w:left="2680"/>
              <w:spacing w:after="0"/>
              <w:rPr>
                <w:sz w:val="20"/>
                <w:szCs w:val="20"/>
                <w:color w:val="auto"/>
              </w:rPr>
            </w:pPr>
            <w:r>
              <w:rPr>
                <w:rFonts w:ascii="Courier New" w:cs="Courier New" w:eastAsia="Courier New" w:hAnsi="Courier New"/>
                <w:sz w:val="16"/>
                <w:szCs w:val="16"/>
                <w:color w:val="auto"/>
              </w:rPr>
              <w:t>James Hardie Irrigation Group</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5"/>
        </w:trPr>
        <w:tc>
          <w:tcPr>
            <w:tcW w:w="6300" w:type="dxa"/>
            <w:vAlign w:val="bottom"/>
          </w:tcPr>
          <w:p>
            <w:pPr>
              <w:ind w:left="1920"/>
              <w:spacing w:after="0"/>
              <w:rPr>
                <w:sz w:val="20"/>
                <w:szCs w:val="20"/>
                <w:color w:val="auto"/>
              </w:rPr>
            </w:pPr>
            <w:r>
              <w:rPr>
                <w:rFonts w:ascii="Courier New" w:cs="Courier New" w:eastAsia="Courier New" w:hAnsi="Courier New"/>
                <w:sz w:val="16"/>
                <w:szCs w:val="16"/>
                <w:color w:val="auto"/>
              </w:rPr>
              <w:t>Condensed Combined Balance Sheet (unaudited)</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6300" w:type="dxa"/>
            <w:vAlign w:val="bottom"/>
          </w:tcPr>
          <w:p>
            <w:pPr>
              <w:ind w:left="3080"/>
              <w:spacing w:after="0"/>
              <w:rPr>
                <w:sz w:val="20"/>
                <w:szCs w:val="20"/>
                <w:color w:val="auto"/>
              </w:rPr>
            </w:pPr>
            <w:r>
              <w:rPr>
                <w:rFonts w:ascii="Courier New" w:cs="Courier New" w:eastAsia="Courier New" w:hAnsi="Courier New"/>
                <w:sz w:val="16"/>
                <w:szCs w:val="16"/>
                <w:color w:val="auto"/>
              </w:rPr>
              <w:t>as of October 31, 1996</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6300" w:type="dxa"/>
            <w:vAlign w:val="bottom"/>
          </w:tcPr>
          <w:p>
            <w:pPr>
              <w:ind w:left="3080"/>
              <w:spacing w:after="0"/>
              <w:rPr>
                <w:sz w:val="20"/>
                <w:szCs w:val="20"/>
                <w:color w:val="auto"/>
              </w:rPr>
            </w:pPr>
            <w:r>
              <w:rPr>
                <w:rFonts w:ascii="Courier New" w:cs="Courier New" w:eastAsia="Courier New" w:hAnsi="Courier New"/>
                <w:sz w:val="16"/>
                <w:szCs w:val="16"/>
                <w:color w:val="auto"/>
              </w:rPr>
              <w:t>(Dollars in thousands)</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739"/>
        </w:trPr>
        <w:tc>
          <w:tcPr>
            <w:tcW w:w="63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Receivables (net)</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29,522</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30,703</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2,307</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860"/>
              <w:spacing w:after="0"/>
              <w:rPr>
                <w:sz w:val="20"/>
                <w:szCs w:val="20"/>
                <w:color w:val="auto"/>
              </w:rPr>
            </w:pPr>
            <w:r>
              <w:rPr>
                <w:rFonts w:ascii="Courier New" w:cs="Courier New" w:eastAsia="Courier New" w:hAnsi="Courier New"/>
                <w:sz w:val="16"/>
                <w:szCs w:val="16"/>
                <w:color w:val="auto"/>
              </w:rPr>
              <w:t>Total current assets</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62,565</w:t>
            </w: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32,869</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3,044</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5,624</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860"/>
              <w:spacing w:after="0"/>
              <w:rPr>
                <w:sz w:val="20"/>
                <w:szCs w:val="20"/>
                <w:color w:val="auto"/>
              </w:rPr>
            </w:pPr>
            <w:r>
              <w:rPr>
                <w:rFonts w:ascii="Courier New" w:cs="Courier New" w:eastAsia="Courier New" w:hAnsi="Courier New"/>
                <w:sz w:val="16"/>
                <w:szCs w:val="16"/>
                <w:color w:val="auto"/>
              </w:rPr>
              <w:t>Total assets</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104,102</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Bank overdraft</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1,330</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liabilities</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17,922</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860"/>
              <w:spacing w:after="0"/>
              <w:rPr>
                <w:sz w:val="20"/>
                <w:szCs w:val="20"/>
                <w:color w:val="auto"/>
              </w:rPr>
            </w:pPr>
            <w:r>
              <w:rPr>
                <w:rFonts w:ascii="Courier New" w:cs="Courier New" w:eastAsia="Courier New" w:hAnsi="Courier New"/>
                <w:sz w:val="16"/>
                <w:szCs w:val="16"/>
                <w:color w:val="auto"/>
              </w:rPr>
              <w:t>Total current liabilites</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19,252</w:t>
            </w: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Loans due to U.S. Parent and affiliates</w:t>
            </w:r>
          </w:p>
        </w:tc>
        <w:tc>
          <w:tcPr>
            <w:tcW w:w="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72,401</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156</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860"/>
              <w:spacing w:after="0"/>
              <w:rPr>
                <w:sz w:val="20"/>
                <w:szCs w:val="20"/>
                <w:color w:val="auto"/>
              </w:rPr>
            </w:pPr>
            <w:r>
              <w:rPr>
                <w:rFonts w:ascii="Courier New" w:cs="Courier New" w:eastAsia="Courier New" w:hAnsi="Courier New"/>
                <w:sz w:val="16"/>
                <w:szCs w:val="16"/>
                <w:color w:val="auto"/>
              </w:rPr>
              <w:t>Total liabilities</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91,809</w:t>
            </w: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Common shareholders' equity</w:t>
            </w:r>
          </w:p>
        </w:tc>
        <w:tc>
          <w:tcPr>
            <w:tcW w:w="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12,293</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300" w:type="dxa"/>
            <w:vAlign w:val="bottom"/>
          </w:tcPr>
          <w:p>
            <w:pPr>
              <w:ind w:left="860"/>
              <w:spacing w:after="0"/>
              <w:rPr>
                <w:sz w:val="20"/>
                <w:szCs w:val="20"/>
                <w:color w:val="auto"/>
              </w:rPr>
            </w:pPr>
            <w:r>
              <w:rPr>
                <w:rFonts w:ascii="Courier New" w:cs="Courier New" w:eastAsia="Courier New" w:hAnsi="Courier New"/>
                <w:sz w:val="16"/>
                <w:szCs w:val="16"/>
                <w:color w:val="auto"/>
              </w:rPr>
              <w:t>Total liabilities and equity</w:t>
            </w:r>
          </w:p>
        </w:tc>
        <w:tc>
          <w:tcPr>
            <w:tcW w:w="4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104,102</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the condensed combined financial statements.</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10219"/>
          </w:cols>
          <w:pgMar w:left="240" w:top="669"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1"/>
        </w:trPr>
        <w:tc>
          <w:tcPr>
            <w:tcW w:w="6300" w:type="dxa"/>
            <w:vAlign w:val="bottom"/>
          </w:tcPr>
          <w:p>
            <w:pPr>
              <w:ind w:left="2680"/>
              <w:spacing w:after="0"/>
              <w:rPr>
                <w:sz w:val="20"/>
                <w:szCs w:val="20"/>
                <w:color w:val="auto"/>
              </w:rPr>
            </w:pPr>
            <w:r>
              <w:rPr>
                <w:rFonts w:ascii="Courier New" w:cs="Courier New" w:eastAsia="Courier New" w:hAnsi="Courier New"/>
                <w:sz w:val="16"/>
                <w:szCs w:val="16"/>
                <w:color w:val="auto"/>
              </w:rPr>
              <w:t>James Hardie Irrigation Group</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5"/>
        </w:trPr>
        <w:tc>
          <w:tcPr>
            <w:tcW w:w="6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Condensed Combined Statement of Operations (unaudited)</w:t>
            </w:r>
          </w:p>
        </w:tc>
        <w:tc>
          <w:tcPr>
            <w:tcW w:w="720" w:type="dxa"/>
            <w:vAlign w:val="bottom"/>
          </w:tcPr>
          <w:p>
            <w:pPr>
              <w:spacing w:after="0"/>
              <w:rPr>
                <w:sz w:val="16"/>
                <w:szCs w:val="16"/>
                <w:color w:val="auto"/>
              </w:rPr>
            </w:pPr>
          </w:p>
        </w:tc>
      </w:tr>
      <w:tr>
        <w:trPr>
          <w:trHeight w:val="185"/>
        </w:trPr>
        <w:tc>
          <w:tcPr>
            <w:tcW w:w="6300" w:type="dxa"/>
            <w:vAlign w:val="bottom"/>
          </w:tcPr>
          <w:p>
            <w:pPr>
              <w:ind w:left="2020"/>
              <w:spacing w:after="0"/>
              <w:rPr>
                <w:sz w:val="20"/>
                <w:szCs w:val="20"/>
                <w:color w:val="auto"/>
              </w:rPr>
            </w:pPr>
            <w:r>
              <w:rPr>
                <w:rFonts w:ascii="Courier New" w:cs="Courier New" w:eastAsia="Courier New" w:hAnsi="Courier New"/>
                <w:sz w:val="16"/>
                <w:szCs w:val="16"/>
                <w:color w:val="auto"/>
              </w:rPr>
              <w:t>for the seven months ended October 31, 1996</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6300" w:type="dxa"/>
            <w:vAlign w:val="bottom"/>
          </w:tcPr>
          <w:p>
            <w:pPr>
              <w:ind w:left="3080"/>
              <w:spacing w:after="0"/>
              <w:rPr>
                <w:sz w:val="20"/>
                <w:szCs w:val="20"/>
                <w:color w:val="auto"/>
              </w:rPr>
            </w:pPr>
            <w:r>
              <w:rPr>
                <w:rFonts w:ascii="Courier New" w:cs="Courier New" w:eastAsia="Courier New" w:hAnsi="Courier New"/>
                <w:sz w:val="16"/>
                <w:szCs w:val="16"/>
                <w:color w:val="auto"/>
              </w:rPr>
              <w:t>(Dollars in thousands)</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554"/>
        </w:trPr>
        <w:tc>
          <w:tcPr>
            <w:tcW w:w="63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75,632</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54,104</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860"/>
              <w:spacing w:after="0"/>
              <w:rPr>
                <w:sz w:val="20"/>
                <w:szCs w:val="20"/>
                <w:color w:val="auto"/>
              </w:rPr>
            </w:pPr>
            <w:r>
              <w:rPr>
                <w:rFonts w:ascii="Courier New" w:cs="Courier New" w:eastAsia="Courier New" w:hAnsi="Courier New"/>
                <w:sz w:val="16"/>
                <w:szCs w:val="16"/>
                <w:color w:val="auto"/>
              </w:rPr>
              <w:t>Gross profit</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21,528</w:t>
            </w: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20,749</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860"/>
              <w:spacing w:after="0"/>
              <w:rPr>
                <w:sz w:val="20"/>
                <w:szCs w:val="20"/>
                <w:color w:val="auto"/>
              </w:rPr>
            </w:pPr>
            <w:r>
              <w:rPr>
                <w:rFonts w:ascii="Courier New" w:cs="Courier New" w:eastAsia="Courier New" w:hAnsi="Courier New"/>
                <w:sz w:val="16"/>
                <w:szCs w:val="16"/>
                <w:color w:val="auto"/>
              </w:rPr>
              <w:t>Earnings from operations</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779</w:t>
            </w: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Interest expense to third parties</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Management fees and other expenses to affiliates</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301</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Interest expense to affiliates</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2,057</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Interest income from affiliates</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(953)</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(7,069)</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860"/>
              <w:spacing w:after="0"/>
              <w:rPr>
                <w:sz w:val="20"/>
                <w:szCs w:val="20"/>
                <w:color w:val="auto"/>
              </w:rPr>
            </w:pPr>
            <w:r>
              <w:rPr>
                <w:rFonts w:ascii="Courier New" w:cs="Courier New" w:eastAsia="Courier New" w:hAnsi="Courier New"/>
                <w:sz w:val="16"/>
                <w:szCs w:val="16"/>
                <w:color w:val="auto"/>
              </w:rPr>
              <w:t>Earnings before income taxes</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6,328</w:t>
            </w: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410</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860"/>
              <w:spacing w:after="0"/>
              <w:rPr>
                <w:sz w:val="20"/>
                <w:szCs w:val="20"/>
                <w:color w:val="auto"/>
              </w:rPr>
            </w:pPr>
            <w:r>
              <w:rPr>
                <w:rFonts w:ascii="Courier New" w:cs="Courier New" w:eastAsia="Courier New" w:hAnsi="Courier New"/>
                <w:sz w:val="16"/>
                <w:szCs w:val="16"/>
                <w:color w:val="auto"/>
              </w:rPr>
              <w:t>Net earnings</w:t>
            </w:r>
          </w:p>
        </w:tc>
        <w:tc>
          <w:tcPr>
            <w:tcW w:w="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6,738</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the condensed combined financial statements.</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10219"/>
          </w:cols>
          <w:pgMar w:left="240" w:top="669" w:right="1440" w:bottom="1440" w:gutter="0" w:footer="0" w:header="0"/>
        </w:sectPr>
      </w:pPr>
    </w:p>
    <w:bookmarkStart w:id="22" w:name="page23"/>
    <w:bookmarkEnd w:id="22"/>
    <w:p>
      <w:pPr>
        <w:jc w:val="center"/>
        <w:ind w:right="2059"/>
        <w:spacing w:after="0"/>
        <w:rPr>
          <w:sz w:val="20"/>
          <w:szCs w:val="20"/>
          <w:color w:val="auto"/>
        </w:rPr>
      </w:pPr>
      <w:r>
        <w:rPr>
          <w:rFonts w:ascii="Courier New" w:cs="Courier New" w:eastAsia="Courier New" w:hAnsi="Courier New"/>
          <w:sz w:val="16"/>
          <w:szCs w:val="16"/>
          <w:color w:val="auto"/>
        </w:rPr>
        <w:t>James Hardie Irrigation Group</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Condensed Combined Statement of Cash Flows (unaudited)</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for the seven months ended October 31, 1996</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4620" w:type="dxa"/>
            <w:vAlign w:val="bottom"/>
          </w:tcPr>
          <w:p>
            <w:pPr>
              <w:ind w:left="1880"/>
              <w:spacing w:after="0"/>
              <w:rPr>
                <w:sz w:val="20"/>
                <w:szCs w:val="20"/>
                <w:color w:val="auto"/>
              </w:rPr>
            </w:pPr>
            <w:r>
              <w:rPr>
                <w:rFonts w:ascii="Courier New" w:cs="Courier New" w:eastAsia="Courier New" w:hAnsi="Courier New"/>
                <w:sz w:val="16"/>
                <w:szCs w:val="16"/>
                <w:color w:val="auto"/>
              </w:rPr>
              <w:t>(Dollars in thousands)</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7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51,845</w:t>
            </w:r>
          </w:p>
        </w:tc>
      </w:tr>
      <w:tr>
        <w:trPr>
          <w:trHeight w:val="37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5"/>
        </w:trPr>
        <w:tc>
          <w:tcPr>
            <w:tcW w:w="5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Capital expenditures</w:t>
            </w:r>
          </w:p>
        </w:tc>
        <w:tc>
          <w:tcPr>
            <w:tcW w:w="8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(2,468)</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Increase</w:t>
            </w:r>
          </w:p>
        </w:tc>
        <w:tc>
          <w:tcPr>
            <w:tcW w:w="4620" w:type="dxa"/>
            <w:vAlign w:val="bottom"/>
          </w:tcPr>
          <w:p>
            <w:pPr>
              <w:ind w:left="40"/>
              <w:spacing w:after="0"/>
              <w:rPr>
                <w:sz w:val="20"/>
                <w:szCs w:val="20"/>
                <w:color w:val="auto"/>
              </w:rPr>
            </w:pPr>
            <w:r>
              <w:rPr>
                <w:rFonts w:ascii="Courier New" w:cs="Courier New" w:eastAsia="Courier New" w:hAnsi="Courier New"/>
                <w:sz w:val="16"/>
                <w:szCs w:val="16"/>
                <w:color w:val="auto"/>
              </w:rPr>
              <w:t>in purchased software</w:t>
            </w:r>
          </w:p>
        </w:tc>
        <w:tc>
          <w:tcPr>
            <w:tcW w:w="8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(842)</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Proceeds</w:t>
            </w:r>
          </w:p>
        </w:tc>
        <w:tc>
          <w:tcPr>
            <w:tcW w:w="4620" w:type="dxa"/>
            <w:vAlign w:val="bottom"/>
          </w:tcPr>
          <w:p>
            <w:pPr>
              <w:ind w:left="40"/>
              <w:spacing w:after="0"/>
              <w:rPr>
                <w:sz w:val="20"/>
                <w:szCs w:val="20"/>
                <w:color w:val="auto"/>
              </w:rPr>
            </w:pPr>
            <w:r>
              <w:rPr>
                <w:rFonts w:ascii="Courier New" w:cs="Courier New" w:eastAsia="Courier New" w:hAnsi="Courier New"/>
                <w:sz w:val="16"/>
                <w:szCs w:val="16"/>
                <w:color w:val="auto"/>
              </w:rPr>
              <w:t>from sale of fixed assets</w:t>
            </w:r>
          </w:p>
        </w:tc>
        <w:tc>
          <w:tcPr>
            <w:tcW w:w="80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w:t>
            </w:r>
          </w:p>
        </w:tc>
      </w:tr>
      <w:tr>
        <w:trPr>
          <w:trHeight w:val="185"/>
        </w:trPr>
        <w:tc>
          <w:tcPr>
            <w:tcW w:w="12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4620" w:type="dxa"/>
            <w:vAlign w:val="bottom"/>
          </w:tcPr>
          <w:p>
            <w:pPr>
              <w:ind w:left="40"/>
              <w:spacing w:after="0"/>
              <w:rPr>
                <w:sz w:val="20"/>
                <w:szCs w:val="20"/>
                <w:color w:val="auto"/>
              </w:rPr>
            </w:pPr>
            <w:r>
              <w:rPr>
                <w:rFonts w:ascii="Courier New" w:cs="Courier New" w:eastAsia="Courier New" w:hAnsi="Courier New"/>
                <w:sz w:val="16"/>
                <w:szCs w:val="16"/>
                <w:color w:val="auto"/>
              </w:rPr>
              <w:t>cash used in investing activities</w:t>
            </w:r>
          </w:p>
        </w:tc>
        <w:tc>
          <w:tcPr>
            <w:tcW w:w="8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(3,270)</w:t>
            </w:r>
          </w:p>
        </w:tc>
      </w:tr>
      <w:tr>
        <w:trPr>
          <w:trHeight w:val="37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Decrease</w:t>
            </w:r>
          </w:p>
        </w:tc>
        <w:tc>
          <w:tcPr>
            <w:tcW w:w="4620" w:type="dxa"/>
            <w:vAlign w:val="bottom"/>
          </w:tcPr>
          <w:p>
            <w:pPr>
              <w:ind w:left="40"/>
              <w:spacing w:after="0"/>
              <w:rPr>
                <w:sz w:val="20"/>
                <w:szCs w:val="20"/>
                <w:color w:val="auto"/>
              </w:rPr>
            </w:pPr>
            <w:r>
              <w:rPr>
                <w:rFonts w:ascii="Courier New" w:cs="Courier New" w:eastAsia="Courier New" w:hAnsi="Courier New"/>
                <w:sz w:val="16"/>
                <w:szCs w:val="16"/>
                <w:color w:val="auto"/>
              </w:rPr>
              <w:t>in bank overdraft</w:t>
            </w:r>
          </w:p>
        </w:tc>
        <w:tc>
          <w:tcPr>
            <w:tcW w:w="8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(1,676)</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Decrease</w:t>
            </w:r>
          </w:p>
        </w:tc>
        <w:tc>
          <w:tcPr>
            <w:tcW w:w="4620" w:type="dxa"/>
            <w:vAlign w:val="bottom"/>
          </w:tcPr>
          <w:p>
            <w:pPr>
              <w:ind w:left="40"/>
              <w:spacing w:after="0"/>
              <w:rPr>
                <w:sz w:val="20"/>
                <w:szCs w:val="20"/>
                <w:color w:val="auto"/>
              </w:rPr>
            </w:pPr>
            <w:r>
              <w:rPr>
                <w:rFonts w:ascii="Courier New" w:cs="Courier New" w:eastAsia="Courier New" w:hAnsi="Courier New"/>
                <w:sz w:val="16"/>
                <w:szCs w:val="16"/>
                <w:color w:val="auto"/>
              </w:rPr>
              <w:t>in loans due to affiliates</w:t>
            </w:r>
          </w:p>
        </w:tc>
        <w:tc>
          <w:tcPr>
            <w:tcW w:w="8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(49,048)</w:t>
            </w:r>
          </w:p>
        </w:tc>
      </w:tr>
      <w:tr>
        <w:trPr>
          <w:trHeight w:val="185"/>
        </w:trPr>
        <w:tc>
          <w:tcPr>
            <w:tcW w:w="12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4620" w:type="dxa"/>
            <w:vAlign w:val="bottom"/>
          </w:tcPr>
          <w:p>
            <w:pPr>
              <w:ind w:left="40"/>
              <w:spacing w:after="0"/>
              <w:rPr>
                <w:sz w:val="20"/>
                <w:szCs w:val="20"/>
                <w:color w:val="auto"/>
              </w:rPr>
            </w:pPr>
            <w:r>
              <w:rPr>
                <w:rFonts w:ascii="Courier New" w:cs="Courier New" w:eastAsia="Courier New" w:hAnsi="Courier New"/>
                <w:sz w:val="16"/>
                <w:szCs w:val="16"/>
                <w:color w:val="auto"/>
              </w:rPr>
              <w:t>cash used in financing activities</w:t>
            </w:r>
          </w:p>
        </w:tc>
        <w:tc>
          <w:tcPr>
            <w:tcW w:w="8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(50,724)</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4620" w:type="dxa"/>
            <w:vAlign w:val="bottom"/>
          </w:tcPr>
          <w:p>
            <w:pPr>
              <w:ind w:left="40"/>
              <w:spacing w:after="0"/>
              <w:rPr>
                <w:sz w:val="20"/>
                <w:szCs w:val="20"/>
                <w:color w:val="auto"/>
              </w:rPr>
            </w:pPr>
            <w:r>
              <w:rPr>
                <w:rFonts w:ascii="Courier New" w:cs="Courier New" w:eastAsia="Courier New" w:hAnsi="Courier New"/>
                <w:sz w:val="16"/>
                <w:szCs w:val="16"/>
                <w:color w:val="auto"/>
              </w:rPr>
              <w:t>decrease in cash and cash equivalents</w:t>
            </w:r>
          </w:p>
        </w:tc>
        <w:tc>
          <w:tcPr>
            <w:tcW w:w="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(2,149)</w:t>
            </w:r>
          </w:p>
        </w:tc>
      </w:tr>
      <w:tr>
        <w:trPr>
          <w:trHeight w:val="37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80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2,182</w:t>
            </w:r>
          </w:p>
        </w:tc>
      </w:tr>
      <w:tr>
        <w:trPr>
          <w:trHeight w:val="185"/>
        </w:trPr>
        <w:tc>
          <w:tcPr>
            <w:tcW w:w="12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w:t>
            </w:r>
          </w:p>
        </w:tc>
      </w:tr>
      <w:tr>
        <w:trPr>
          <w:trHeight w:val="185"/>
        </w:trPr>
        <w:tc>
          <w:tcPr>
            <w:tcW w:w="12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2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the condensed combined financial statements.</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669" w:right="1440" w:bottom="1440" w:gutter="0" w:footer="0" w:header="0"/>
        </w:sectPr>
      </w:pPr>
    </w:p>
    <w:bookmarkStart w:id="23" w:name="page24"/>
    <w:bookmarkEnd w:id="23"/>
    <w:p>
      <w:pPr>
        <w:jc w:val="center"/>
        <w:ind w:right="2058"/>
        <w:spacing w:after="0"/>
        <w:rPr>
          <w:sz w:val="20"/>
          <w:szCs w:val="20"/>
          <w:color w:val="auto"/>
        </w:rPr>
      </w:pPr>
      <w:r>
        <w:rPr>
          <w:rFonts w:ascii="Courier New" w:cs="Courier New" w:eastAsia="Courier New" w:hAnsi="Courier New"/>
          <w:sz w:val="16"/>
          <w:szCs w:val="16"/>
          <w:color w:val="auto"/>
        </w:rPr>
        <w:t>James Hardie Irrigation Group</w:t>
      </w:r>
    </w:p>
    <w:p>
      <w:pPr>
        <w:spacing w:after="0" w:line="4" w:lineRule="exact"/>
        <w:rPr>
          <w:sz w:val="20"/>
          <w:szCs w:val="20"/>
          <w:color w:val="auto"/>
        </w:rPr>
      </w:pPr>
    </w:p>
    <w:p>
      <w:pPr>
        <w:jc w:val="center"/>
        <w:ind w:right="2158"/>
        <w:spacing w:after="0"/>
        <w:rPr>
          <w:sz w:val="20"/>
          <w:szCs w:val="20"/>
          <w:color w:val="auto"/>
        </w:rPr>
      </w:pPr>
      <w:r>
        <w:rPr>
          <w:rFonts w:ascii="Courier New" w:cs="Courier New" w:eastAsia="Courier New" w:hAnsi="Courier New"/>
          <w:sz w:val="16"/>
          <w:szCs w:val="16"/>
          <w:color w:val="auto"/>
        </w:rPr>
        <w:t>Notes to Condensed Combined Financial Statements (unaudited)</w:t>
      </w:r>
    </w:p>
    <w:p>
      <w:pPr>
        <w:spacing w:after="0" w:line="4" w:lineRule="exact"/>
        <w:rPr>
          <w:sz w:val="20"/>
          <w:szCs w:val="20"/>
          <w:color w:val="auto"/>
        </w:rPr>
      </w:pPr>
    </w:p>
    <w:p>
      <w:pPr>
        <w:jc w:val="center"/>
        <w:ind w:right="1958"/>
        <w:spacing w:after="0"/>
        <w:rPr>
          <w:sz w:val="20"/>
          <w:szCs w:val="20"/>
          <w:color w:val="auto"/>
        </w:rPr>
      </w:pPr>
      <w:r>
        <w:rPr>
          <w:rFonts w:ascii="Courier New" w:cs="Courier New" w:eastAsia="Courier New" w:hAnsi="Courier New"/>
          <w:sz w:val="16"/>
          <w:szCs w:val="16"/>
          <w:color w:val="auto"/>
        </w:rPr>
        <w:t>October 31, 1996</w:t>
      </w:r>
    </w:p>
    <w:p>
      <w:pPr>
        <w:spacing w:after="0" w:line="188" w:lineRule="exact"/>
        <w:rPr>
          <w:sz w:val="20"/>
          <w:szCs w:val="20"/>
          <w:color w:val="auto"/>
        </w:rPr>
      </w:pPr>
    </w:p>
    <w:p>
      <w:pPr>
        <w:ind w:left="381" w:hanging="381"/>
        <w:spacing w:after="0"/>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condensed combined financial statements are unaudited and do not include all the information and notes required by generally accepted accounting principles for complete financial statements. In the opinion of management, the unaudited statements include all adjustments, consisting primarily of recurring accruals, considered necessary for a fair presentation of the financial position and results of operations. The interim financial results are not necessarily indicative of the results of operations for a full fiscal year.</w:t>
      </w:r>
    </w:p>
    <w:p>
      <w:pPr>
        <w:spacing w:after="0" w:line="371"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88"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at October 31, 1996 consist of the following:</w:t>
      </w:r>
    </w:p>
    <w:p>
      <w:pPr>
        <w:spacing w:after="0" w:line="188"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288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  7,425</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Work-in-process</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3,627</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23,491</w:t>
            </w:r>
          </w:p>
        </w:tc>
      </w:tr>
      <w:tr>
        <w:trPr>
          <w:trHeight w:val="185"/>
        </w:trPr>
        <w:tc>
          <w:tcPr>
            <w:tcW w:w="3760" w:type="dxa"/>
            <w:vAlign w:val="bottom"/>
            <w:gridSpan w:val="2"/>
          </w:tcPr>
          <w:p>
            <w:pPr>
              <w:ind w:left="278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288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34,543</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Valuation allowance</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(3,840)</w:t>
            </w:r>
          </w:p>
        </w:tc>
      </w:tr>
      <w:tr>
        <w:trPr>
          <w:trHeight w:val="185"/>
        </w:trPr>
        <w:tc>
          <w:tcPr>
            <w:tcW w:w="3760" w:type="dxa"/>
            <w:vAlign w:val="bottom"/>
            <w:gridSpan w:val="2"/>
          </w:tcPr>
          <w:p>
            <w:pPr>
              <w:ind w:left="278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2880" w:type="dxa"/>
            <w:vAlign w:val="bottom"/>
          </w:tcPr>
          <w:p>
            <w:pPr>
              <w:ind w:left="278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30,703</w:t>
            </w:r>
          </w:p>
        </w:tc>
      </w:tr>
    </w:tbl>
    <w:p>
      <w:pPr>
        <w:spacing w:after="0" w:line="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81" w:hanging="381"/>
        <w:spacing w:after="0"/>
        <w:tabs>
          <w:tab w:leader="none" w:pos="3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w:t>
      </w:r>
    </w:p>
    <w:p>
      <w:pPr>
        <w:spacing w:after="0" w:line="190" w:lineRule="exact"/>
        <w:rPr>
          <w:rFonts w:ascii="Courier New" w:cs="Courier New" w:eastAsia="Courier New" w:hAnsi="Courier New"/>
          <w:sz w:val="16"/>
          <w:szCs w:val="16"/>
          <w:color w:val="auto"/>
        </w:rPr>
      </w:pPr>
    </w:p>
    <w:p>
      <w:pPr>
        <w:ind w:left="38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18, 1996, the Parent entered into an agreement to sell all of the issued and outstanding shares of the Companies to The Toro Company for an initial purchase price of $131,500,000. The purchase price was subsequently adjusted to $119,125,000 based on the unaudited aggregate shareholders' equity on December 1, 1996, and is subject to further adjustment based upon final audit results.</w:t>
      </w:r>
    </w:p>
    <w:p>
      <w:pPr>
        <w:spacing w:after="0" w:line="370"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0" w:lineRule="exact"/>
        <w:rPr>
          <w:rFonts w:ascii="Courier New" w:cs="Courier New" w:eastAsia="Courier New" w:hAnsi="Courier New"/>
          <w:sz w:val="16"/>
          <w:szCs w:val="16"/>
          <w:color w:val="auto"/>
        </w:rPr>
      </w:pPr>
    </w:p>
    <w:p>
      <w:pPr>
        <w:ind w:left="381" w:right="30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are involved in certain asserted and unasserted potential claims which have not been finally adjudicated. In the opinion of management, the resolution of these matters will not have a material adverse effect on the Companies' financial position or results of operations.</w:t>
      </w:r>
    </w:p>
    <w:p>
      <w:pPr>
        <w:spacing w:after="0" w:line="370" w:lineRule="exact"/>
        <w:rPr>
          <w:sz w:val="20"/>
          <w:szCs w:val="20"/>
          <w:color w:val="auto"/>
        </w:rPr>
      </w:pPr>
    </w:p>
    <w:p>
      <w:pPr>
        <w:ind w:left="3941"/>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21"/>
          </w:cols>
          <w:pgMar w:left="239" w:top="669" w:right="1440" w:bottom="1440" w:gutter="0" w:footer="0" w:header="0"/>
        </w:sectPr>
      </w:pPr>
    </w:p>
    <w:bookmarkStart w:id="24" w:name="page25"/>
    <w:bookmarkEnd w:id="24"/>
    <w:p>
      <w:pPr>
        <w:jc w:val="center"/>
        <w:ind w:right="1959"/>
        <w:spacing w:after="0"/>
        <w:rPr>
          <w:sz w:val="20"/>
          <w:szCs w:val="20"/>
          <w:color w:val="auto"/>
        </w:rPr>
      </w:pPr>
      <w:r>
        <w:rPr>
          <w:rFonts w:ascii="Courier New" w:cs="Courier New" w:eastAsia="Courier New" w:hAnsi="Courier New"/>
          <w:sz w:val="16"/>
          <w:szCs w:val="16"/>
          <w:color w:val="auto"/>
        </w:rPr>
        <w:t>The Toro Company</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6"/>
          <w:szCs w:val="16"/>
          <w:color w:val="auto"/>
        </w:rPr>
        <w:t>Unaudited Pro Forma Condensed Financial Statements</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On September 18, 1996, the Parent of James Hardie Irrigation Group entered into an agreement to sell all of the issued and outstanding shares of the Companies to The Toro Company for an initial purchase price of $131,500,000. The purchase price was subsequently adjusted to $119,125,000 based on the unaudited aggregate shareholders' equity on December 1, 1996, and is subject to further adjustment based upon final audit results. The acquisition was financed with proceeds from a $160 million revolving line of credit.</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acquisition is accounted for using the purchase accounting method and, accordingly, the purchase price will be allocated to the assets acquired and liabilities assumed based on the estimated fair value of such assets at the date of acquisition. The excess of the purchase price over the fair value of the net tangible assets will be recorded as goodwill and amortized on a straight-line basis over 20 years. The unaudited condensed pro forma balance sheet and results of operations are based on available information and certain assumptions regarding the allocation of the purchase price, which could change significantly based on the results of appraisals, finalization of the purchase price as a result of a closing date audit and other analysis.</w:t>
      </w:r>
    </w:p>
    <w:p>
      <w:pPr>
        <w:spacing w:after="0" w:line="190" w:lineRule="exact"/>
        <w:rPr>
          <w:sz w:val="20"/>
          <w:szCs w:val="20"/>
          <w:color w:val="auto"/>
        </w:rPr>
      </w:pPr>
    </w:p>
    <w:p>
      <w:pPr>
        <w:ind w:right="2639"/>
        <w:spacing w:after="0" w:line="264" w:lineRule="auto"/>
        <w:rPr>
          <w:sz w:val="20"/>
          <w:szCs w:val="20"/>
          <w:color w:val="auto"/>
        </w:rPr>
      </w:pPr>
      <w:r>
        <w:rPr>
          <w:rFonts w:ascii="Courier New" w:cs="Courier New" w:eastAsia="Courier New" w:hAnsi="Courier New"/>
          <w:sz w:val="15"/>
          <w:szCs w:val="15"/>
          <w:color w:val="auto"/>
        </w:rPr>
        <w:t>The accompanying condensed pro forma consolidated financial statements illustrate the effect of the acquisition on The Toro Company's financial position at October 31, 1996 and results of operations for the year then ended as if the acquisition had taken place on October 31, 1996 with respect to the balance sheet and November 1, 1995 with respect to the statement of operations.</w:t>
      </w:r>
    </w:p>
    <w:p>
      <w:pPr>
        <w:spacing w:after="0" w:line="174"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The pro forma condensed consolidated results of operations may not be indicative of actual results which would have been obtained if the acquisition had occurred on November 1, 1995.</w:t>
      </w:r>
    </w:p>
    <w:p>
      <w:pPr>
        <w:spacing w:after="0" w:line="37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669" w:right="1440" w:bottom="1440" w:gutter="0" w:footer="0" w:header="0"/>
        </w:sectPr>
      </w:pPr>
    </w:p>
    <w:bookmarkStart w:id="25" w:name="page26"/>
    <w:bookmarkEnd w:id="25"/>
    <w:p>
      <w:pPr>
        <w:jc w:val="center"/>
        <w:ind w:right="1959"/>
        <w:spacing w:after="0"/>
        <w:rPr>
          <w:sz w:val="20"/>
          <w:szCs w:val="20"/>
          <w:color w:val="auto"/>
        </w:rPr>
      </w:pPr>
      <w:r>
        <w:rPr>
          <w:rFonts w:ascii="Courier New" w:cs="Courier New" w:eastAsia="Courier New" w:hAnsi="Courier New"/>
          <w:sz w:val="16"/>
          <w:szCs w:val="16"/>
          <w:color w:val="auto"/>
        </w:rPr>
        <w:t>The Toro Company</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Unaudited Pro Forma Condensed Balance Sheet</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As of October 31, 1996</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(Dollars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Hardie</w:t>
            </w: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5"/>
        </w:trPr>
        <w:tc>
          <w:tcPr>
            <w:tcW w:w="3500" w:type="dxa"/>
            <w:vAlign w:val="bottom"/>
          </w:tcPr>
          <w:p>
            <w:pPr>
              <w:spacing w:after="0"/>
              <w:rPr>
                <w:sz w:val="16"/>
                <w:szCs w:val="16"/>
                <w:color w:val="auto"/>
              </w:rPr>
            </w:pPr>
          </w:p>
        </w:tc>
        <w:tc>
          <w:tcPr>
            <w:tcW w:w="23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Toro</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Irrigation</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The Toro</w:t>
            </w:r>
          </w:p>
        </w:tc>
      </w:tr>
      <w:tr>
        <w:trPr>
          <w:trHeight w:val="185"/>
        </w:trPr>
        <w:tc>
          <w:tcPr>
            <w:tcW w:w="3500" w:type="dxa"/>
            <w:vAlign w:val="bottom"/>
          </w:tcPr>
          <w:p>
            <w:pPr>
              <w:spacing w:after="0"/>
              <w:rPr>
                <w:sz w:val="16"/>
                <w:szCs w:val="16"/>
                <w:color w:val="auto"/>
              </w:rPr>
            </w:pPr>
          </w:p>
        </w:tc>
        <w:tc>
          <w:tcPr>
            <w:tcW w:w="2360" w:type="dxa"/>
            <w:vAlign w:val="bottom"/>
            <w:gridSpan w:val="2"/>
          </w:tcPr>
          <w:p>
            <w:pPr>
              <w:jc w:val="right"/>
              <w:ind w:right="1360"/>
              <w:spacing w:after="0"/>
              <w:rPr>
                <w:sz w:val="20"/>
                <w:szCs w:val="20"/>
                <w:color w:val="auto"/>
              </w:rPr>
            </w:pPr>
            <w:r>
              <w:rPr>
                <w:rFonts w:ascii="Courier New" w:cs="Courier New" w:eastAsia="Courier New" w:hAnsi="Courier New"/>
                <w:sz w:val="16"/>
                <w:szCs w:val="16"/>
                <w:color w:val="auto"/>
              </w:rPr>
              <w:t>Company</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Group</w:t>
            </w: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w w:val="97"/>
              </w:rPr>
              <w:t>Pro forma</w:t>
            </w:r>
          </w:p>
        </w:tc>
        <w:tc>
          <w:tcPr>
            <w:tcW w:w="48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Company</w:t>
            </w:r>
          </w:p>
        </w:tc>
      </w:tr>
      <w:tr>
        <w:trPr>
          <w:trHeight w:val="185"/>
        </w:trPr>
        <w:tc>
          <w:tcPr>
            <w:tcW w:w="3500" w:type="dxa"/>
            <w:vAlign w:val="bottom"/>
          </w:tcPr>
          <w:p>
            <w:pPr>
              <w:spacing w:after="0"/>
              <w:rPr>
                <w:sz w:val="16"/>
                <w:szCs w:val="16"/>
                <w:color w:val="auto"/>
              </w:rPr>
            </w:pPr>
          </w:p>
        </w:tc>
        <w:tc>
          <w:tcPr>
            <w:tcW w:w="23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(Historical)</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(Historical)</w:t>
            </w:r>
          </w:p>
        </w:tc>
        <w:tc>
          <w:tcPr>
            <w:tcW w:w="1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adjustments</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w w:val="98"/>
              </w:rPr>
              <w:t>(Pro forma)</w:t>
            </w:r>
          </w:p>
        </w:tc>
      </w:tr>
      <w:tr>
        <w:trPr>
          <w:trHeight w:val="185"/>
        </w:trPr>
        <w:tc>
          <w:tcPr>
            <w:tcW w:w="3500" w:type="dxa"/>
            <w:vAlign w:val="bottom"/>
          </w:tcPr>
          <w:p>
            <w:pPr>
              <w:spacing w:after="0"/>
              <w:rPr>
                <w:sz w:val="16"/>
                <w:szCs w:val="16"/>
                <w:color w:val="auto"/>
              </w:rPr>
            </w:pPr>
          </w:p>
        </w:tc>
        <w:tc>
          <w:tcPr>
            <w:tcW w:w="6200" w:type="dxa"/>
            <w:vAlign w:val="bottom"/>
            <w:gridSpan w:val="6"/>
          </w:tcPr>
          <w:p>
            <w:pPr>
              <w:ind w:left="24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66</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33</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99</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Receivables, net</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239,637</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29,522</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269,159</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130,288</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30,703</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160,991</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35,010</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2,307</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37,317</w:t>
            </w:r>
          </w:p>
        </w:tc>
      </w:tr>
      <w:tr>
        <w:trPr>
          <w:trHeight w:val="18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3500" w:type="dxa"/>
            <w:vAlign w:val="bottom"/>
          </w:tcPr>
          <w:p>
            <w:pPr>
              <w:ind w:left="860"/>
              <w:spacing w:after="0"/>
              <w:rPr>
                <w:sz w:val="20"/>
                <w:szCs w:val="20"/>
                <w:color w:val="auto"/>
              </w:rPr>
            </w:pPr>
            <w:r>
              <w:rPr>
                <w:rFonts w:ascii="Courier New" w:cs="Courier New" w:eastAsia="Courier New" w:hAnsi="Courier New"/>
                <w:sz w:val="16"/>
                <w:szCs w:val="16"/>
                <w:color w:val="auto"/>
              </w:rPr>
              <w:t>Total current assets</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405,001</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62,565</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467,566</w:t>
            </w:r>
          </w:p>
        </w:tc>
      </w:tr>
      <w:tr>
        <w:trPr>
          <w:trHeight w:val="18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net</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73,810</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32,869</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106,679</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18,066</w:t>
            </w: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8,668</w:t>
            </w:r>
          </w:p>
        </w:tc>
        <w:tc>
          <w:tcPr>
            <w:tcW w:w="14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(4,250)(1)</w:t>
            </w:r>
          </w:p>
        </w:tc>
        <w:tc>
          <w:tcPr>
            <w:tcW w:w="11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66,109</w:t>
            </w:r>
          </w:p>
        </w:tc>
      </w:tr>
      <w:tr>
        <w:trPr>
          <w:trHeight w:val="18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43,625</w:t>
            </w:r>
          </w:p>
        </w:tc>
        <w:tc>
          <w:tcPr>
            <w:tcW w:w="4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(1)</w:t>
            </w:r>
          </w:p>
        </w:tc>
        <w:tc>
          <w:tcPr>
            <w:tcW w:w="1160" w:type="dxa"/>
            <w:vAlign w:val="bottom"/>
          </w:tcPr>
          <w:p>
            <w:pPr>
              <w:spacing w:after="0"/>
              <w:rPr>
                <w:sz w:val="16"/>
                <w:szCs w:val="16"/>
                <w:color w:val="auto"/>
              </w:rPr>
            </w:pPr>
          </w:p>
        </w:tc>
      </w:tr>
      <w:tr>
        <w:trPr>
          <w:trHeight w:val="18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3500" w:type="dxa"/>
            <w:vAlign w:val="bottom"/>
          </w:tcPr>
          <w:p>
            <w:pPr>
              <w:ind w:left="860"/>
              <w:spacing w:after="0"/>
              <w:rPr>
                <w:sz w:val="20"/>
                <w:szCs w:val="20"/>
                <w:color w:val="auto"/>
              </w:rPr>
            </w:pPr>
            <w:r>
              <w:rPr>
                <w:rFonts w:ascii="Courier New" w:cs="Courier New" w:eastAsia="Courier New" w:hAnsi="Courier New"/>
                <w:sz w:val="16"/>
                <w:szCs w:val="16"/>
                <w:color w:val="auto"/>
              </w:rPr>
              <w:t>Total assets</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496,877</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104,102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39,375</w:t>
            </w:r>
          </w:p>
        </w:tc>
        <w:tc>
          <w:tcPr>
            <w:tcW w:w="48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640,354</w:t>
            </w:r>
          </w:p>
        </w:tc>
      </w:tr>
      <w:tr>
        <w:trPr>
          <w:trHeight w:val="18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LIABILITIES AND EQUITY</w:t>
            </w: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Bank overdraft</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2020" w:type="dxa"/>
            <w:vAlign w:val="bottom"/>
          </w:tcPr>
          <w:p>
            <w:pPr>
              <w:jc w:val="right"/>
              <w:ind w:right="13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1,330</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1,330</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Current portion of long-term</w:t>
            </w: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debt</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350</w:t>
            </w: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350</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Short-term borrowing</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41,025</w:t>
            </w: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124,069 (2)</w:t>
            </w: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165,094</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Accounts payable and accrued</w:t>
            </w: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liabilites</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166,482</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17,922</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184,404</w:t>
            </w:r>
          </w:p>
        </w:tc>
      </w:tr>
      <w:tr>
        <w:trPr>
          <w:trHeight w:val="18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3500" w:type="dxa"/>
            <w:vAlign w:val="bottom"/>
          </w:tcPr>
          <w:p>
            <w:pPr>
              <w:ind w:left="860"/>
              <w:spacing w:after="0"/>
              <w:rPr>
                <w:sz w:val="20"/>
                <w:szCs w:val="20"/>
                <w:color w:val="auto"/>
              </w:rPr>
            </w:pPr>
            <w:r>
              <w:rPr>
                <w:rFonts w:ascii="Courier New" w:cs="Courier New" w:eastAsia="Courier New" w:hAnsi="Courier New"/>
                <w:sz w:val="16"/>
                <w:szCs w:val="16"/>
                <w:color w:val="auto"/>
              </w:rPr>
              <w:t>Total current liabilities</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207,857</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19,252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124,069</w:t>
            </w: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351,178</w:t>
            </w:r>
          </w:p>
        </w:tc>
      </w:tr>
      <w:tr>
        <w:trPr>
          <w:trHeight w:val="18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Long-term debt, less current</w:t>
            </w: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3500" w:type="dxa"/>
            <w:vAlign w:val="bottom"/>
          </w:tcPr>
          <w:p>
            <w:pPr>
              <w:ind w:left="380"/>
              <w:spacing w:after="0"/>
              <w:rPr>
                <w:sz w:val="20"/>
                <w:szCs w:val="20"/>
                <w:color w:val="auto"/>
              </w:rPr>
            </w:pPr>
            <w:r>
              <w:rPr>
                <w:rFonts w:ascii="Courier New" w:cs="Courier New" w:eastAsia="Courier New" w:hAnsi="Courier New"/>
                <w:sz w:val="16"/>
                <w:szCs w:val="16"/>
                <w:color w:val="auto"/>
              </w:rPr>
              <w:t>portion</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53,015</w:t>
            </w: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53,015</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Payable to affiliates</w:t>
            </w:r>
          </w:p>
        </w:tc>
        <w:tc>
          <w:tcPr>
            <w:tcW w:w="340" w:type="dxa"/>
            <w:vAlign w:val="bottom"/>
          </w:tcPr>
          <w:p>
            <w:pPr>
              <w:spacing w:after="0"/>
              <w:rPr>
                <w:sz w:val="16"/>
                <w:szCs w:val="16"/>
                <w:color w:val="auto"/>
              </w:rPr>
            </w:pPr>
          </w:p>
        </w:tc>
        <w:tc>
          <w:tcPr>
            <w:tcW w:w="2020" w:type="dxa"/>
            <w:vAlign w:val="bottom"/>
          </w:tcPr>
          <w:p>
            <w:pPr>
              <w:jc w:val="right"/>
              <w:ind w:right="13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72,401</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(72,401) (1)</w:t>
            </w:r>
          </w:p>
        </w:tc>
        <w:tc>
          <w:tcPr>
            <w:tcW w:w="116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Other long term liabilities</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22,438</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156</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22,594</w:t>
            </w:r>
          </w:p>
        </w:tc>
      </w:tr>
      <w:tr>
        <w:trPr>
          <w:trHeight w:val="18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3500" w:type="dxa"/>
            <w:vAlign w:val="bottom"/>
          </w:tcPr>
          <w:p>
            <w:pPr>
              <w:ind w:left="860"/>
              <w:spacing w:after="0"/>
              <w:rPr>
                <w:sz w:val="20"/>
                <w:szCs w:val="20"/>
                <w:color w:val="auto"/>
              </w:rPr>
            </w:pPr>
            <w:r>
              <w:rPr>
                <w:rFonts w:ascii="Courier New" w:cs="Courier New" w:eastAsia="Courier New" w:hAnsi="Courier New"/>
                <w:sz w:val="16"/>
                <w:szCs w:val="16"/>
                <w:color w:val="auto"/>
              </w:rPr>
              <w:t>Total liabilities</w:t>
            </w:r>
          </w:p>
        </w:tc>
        <w:tc>
          <w:tcPr>
            <w:tcW w:w="340" w:type="dxa"/>
            <w:vAlign w:val="bottom"/>
          </w:tcPr>
          <w:p>
            <w:pPr>
              <w:spacing w:after="0"/>
              <w:rPr>
                <w:sz w:val="16"/>
                <w:szCs w:val="16"/>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283,310</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91,809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51,668</w:t>
            </w: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426,787</w:t>
            </w: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Common shareholders' equity</w:t>
            </w:r>
          </w:p>
        </w:tc>
        <w:tc>
          <w:tcPr>
            <w:tcW w:w="340" w:type="dxa"/>
            <w:vAlign w:val="bottom"/>
          </w:tcPr>
          <w:p>
            <w:pPr>
              <w:spacing w:after="0"/>
              <w:rPr>
                <w:sz w:val="24"/>
                <w:szCs w:val="24"/>
                <w:color w:val="auto"/>
              </w:rPr>
            </w:pP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213,567</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12,293</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(12,293) (1)</w:t>
            </w: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213,567</w:t>
            </w:r>
          </w:p>
        </w:tc>
      </w:tr>
      <w:tr>
        <w:trPr>
          <w:trHeight w:val="18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3500" w:type="dxa"/>
            <w:vAlign w:val="bottom"/>
          </w:tcPr>
          <w:p>
            <w:pPr>
              <w:ind w:left="860"/>
              <w:spacing w:after="0"/>
              <w:rPr>
                <w:sz w:val="20"/>
                <w:szCs w:val="20"/>
                <w:color w:val="auto"/>
              </w:rPr>
            </w:pPr>
            <w:r>
              <w:rPr>
                <w:rFonts w:ascii="Courier New" w:cs="Courier New" w:eastAsia="Courier New" w:hAnsi="Courier New"/>
                <w:sz w:val="16"/>
                <w:szCs w:val="16"/>
                <w:color w:val="auto"/>
              </w:rPr>
              <w:t>Total liabilities and</w:t>
            </w: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3500" w:type="dxa"/>
            <w:vAlign w:val="bottom"/>
          </w:tcPr>
          <w:p>
            <w:pPr>
              <w:ind w:left="860"/>
              <w:spacing w:after="0"/>
              <w:rPr>
                <w:sz w:val="20"/>
                <w:szCs w:val="20"/>
                <w:color w:val="auto"/>
              </w:rPr>
            </w:pPr>
            <w:r>
              <w:rPr>
                <w:rFonts w:ascii="Courier New" w:cs="Courier New" w:eastAsia="Courier New" w:hAnsi="Courier New"/>
                <w:sz w:val="16"/>
                <w:szCs w:val="16"/>
                <w:color w:val="auto"/>
              </w:rPr>
              <w:t>common stockholders'</w:t>
            </w: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3500" w:type="dxa"/>
            <w:vAlign w:val="bottom"/>
          </w:tcPr>
          <w:p>
            <w:pPr>
              <w:ind w:left="860"/>
              <w:spacing w:after="0"/>
              <w:rPr>
                <w:sz w:val="20"/>
                <w:szCs w:val="20"/>
                <w:color w:val="auto"/>
              </w:rPr>
            </w:pPr>
            <w:r>
              <w:rPr>
                <w:rFonts w:ascii="Courier New" w:cs="Courier New" w:eastAsia="Courier New" w:hAnsi="Courier New"/>
                <w:sz w:val="16"/>
                <w:szCs w:val="16"/>
                <w:color w:val="auto"/>
              </w:rPr>
              <w:t>equity</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202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496,877</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104,102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39,375</w:t>
            </w: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640,354</w:t>
            </w:r>
          </w:p>
        </w:tc>
      </w:tr>
      <w:tr>
        <w:trPr>
          <w:trHeight w:val="18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r>
      <w:tr>
        <w:trPr>
          <w:trHeight w:val="924"/>
        </w:trPr>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jc w:val="right"/>
              <w:ind w:right="1560"/>
              <w:spacing w:after="0"/>
              <w:rPr>
                <w:sz w:val="20"/>
                <w:szCs w:val="20"/>
                <w:color w:val="auto"/>
              </w:rPr>
            </w:pPr>
            <w:r>
              <w:rPr>
                <w:rFonts w:ascii="Courier New" w:cs="Courier New" w:eastAsia="Courier New" w:hAnsi="Courier New"/>
                <w:sz w:val="16"/>
                <w:szCs w:val="16"/>
                <w:color w:val="auto"/>
              </w:rPr>
              <w:t>B-2</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26" w:name="page27"/>
    <w:bookmarkEnd w:id="26"/>
    <w:p>
      <w:pPr>
        <w:jc w:val="center"/>
        <w:ind w:right="1959"/>
        <w:spacing w:after="0"/>
        <w:rPr>
          <w:sz w:val="20"/>
          <w:szCs w:val="20"/>
          <w:color w:val="auto"/>
        </w:rPr>
      </w:pPr>
      <w:r>
        <w:rPr>
          <w:rFonts w:ascii="Courier New" w:cs="Courier New" w:eastAsia="Courier New" w:hAnsi="Courier New"/>
          <w:sz w:val="16"/>
          <w:szCs w:val="16"/>
          <w:color w:val="auto"/>
        </w:rPr>
        <w:t>The Toro Company</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Unaudited Pro Forma Condensed Statement of Operations</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For the fiscal year ended October 31, 1996</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Hardie</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3460" w:type="dxa"/>
            <w:vAlign w:val="bottom"/>
          </w:tcPr>
          <w:p>
            <w:pPr>
              <w:spacing w:after="0"/>
              <w:rPr>
                <w:sz w:val="16"/>
                <w:szCs w:val="16"/>
                <w:color w:val="auto"/>
              </w:rPr>
            </w:pPr>
          </w:p>
        </w:tc>
        <w:tc>
          <w:tcPr>
            <w:tcW w:w="19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The Toro</w:t>
            </w:r>
          </w:p>
        </w:tc>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Irrigation</w:t>
            </w:r>
          </w:p>
        </w:tc>
        <w:tc>
          <w:tcPr>
            <w:tcW w:w="13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The Toro</w:t>
            </w:r>
          </w:p>
        </w:tc>
      </w:tr>
      <w:tr>
        <w:trPr>
          <w:trHeight w:val="185"/>
        </w:trPr>
        <w:tc>
          <w:tcPr>
            <w:tcW w:w="3460" w:type="dxa"/>
            <w:vAlign w:val="bottom"/>
          </w:tcPr>
          <w:p>
            <w:pPr>
              <w:spacing w:after="0"/>
              <w:rPr>
                <w:sz w:val="16"/>
                <w:szCs w:val="16"/>
                <w:color w:val="auto"/>
              </w:rPr>
            </w:pPr>
          </w:p>
        </w:tc>
        <w:tc>
          <w:tcPr>
            <w:tcW w:w="19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Company</w:t>
            </w:r>
          </w:p>
        </w:tc>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Group</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Pro forma</w:t>
            </w:r>
          </w:p>
        </w:tc>
        <w:tc>
          <w:tcPr>
            <w:tcW w:w="12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Company</w:t>
            </w:r>
          </w:p>
        </w:tc>
      </w:tr>
      <w:tr>
        <w:trPr>
          <w:trHeight w:val="185"/>
        </w:trPr>
        <w:tc>
          <w:tcPr>
            <w:tcW w:w="3460" w:type="dxa"/>
            <w:vAlign w:val="bottom"/>
          </w:tcPr>
          <w:p>
            <w:pPr>
              <w:spacing w:after="0"/>
              <w:rPr>
                <w:sz w:val="16"/>
                <w:szCs w:val="16"/>
                <w:color w:val="auto"/>
              </w:rPr>
            </w:pPr>
          </w:p>
        </w:tc>
        <w:tc>
          <w:tcPr>
            <w:tcW w:w="19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(Historical)</w:t>
            </w:r>
          </w:p>
        </w:tc>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(Historical)</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adjustments</w:t>
            </w:r>
          </w:p>
        </w:tc>
        <w:tc>
          <w:tcPr>
            <w:tcW w:w="12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(Pro forma)</w:t>
            </w:r>
          </w:p>
        </w:tc>
      </w:tr>
      <w:tr>
        <w:trPr>
          <w:trHeight w:val="185"/>
        </w:trPr>
        <w:tc>
          <w:tcPr>
            <w:tcW w:w="3460" w:type="dxa"/>
            <w:vAlign w:val="bottom"/>
          </w:tcPr>
          <w:p>
            <w:pPr>
              <w:spacing w:after="0"/>
              <w:rPr>
                <w:sz w:val="16"/>
                <w:szCs w:val="16"/>
                <w:color w:val="auto"/>
              </w:rPr>
            </w:pPr>
          </w:p>
        </w:tc>
        <w:tc>
          <w:tcPr>
            <w:tcW w:w="624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930,909</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141,449</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1,072,358</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480" w:type="dxa"/>
            <w:vAlign w:val="bottom"/>
          </w:tcPr>
          <w:p>
            <w:pPr>
              <w:spacing w:after="0"/>
              <w:rPr>
                <w:sz w:val="16"/>
                <w:szCs w:val="16"/>
                <w:color w:val="auto"/>
              </w:rPr>
            </w:pP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589,186</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101,514</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690,700</w:t>
            </w:r>
          </w:p>
        </w:tc>
      </w:tr>
      <w:tr>
        <w:trPr>
          <w:trHeight w:val="185"/>
        </w:trPr>
        <w:tc>
          <w:tcPr>
            <w:tcW w:w="3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13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Gross profit</w:t>
            </w:r>
          </w:p>
        </w:tc>
        <w:tc>
          <w:tcPr>
            <w:tcW w:w="480" w:type="dxa"/>
            <w:vAlign w:val="bottom"/>
          </w:tcPr>
          <w:p>
            <w:pPr>
              <w:spacing w:after="0"/>
              <w:rPr>
                <w:sz w:val="16"/>
                <w:szCs w:val="16"/>
                <w:color w:val="auto"/>
              </w:rPr>
            </w:pP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341,723</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39,935</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381,658</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3460" w:type="dxa"/>
            <w:vAlign w:val="bottom"/>
          </w:tcPr>
          <w:p>
            <w:pPr>
              <w:ind w:left="480"/>
              <w:spacing w:after="0"/>
              <w:rPr>
                <w:sz w:val="20"/>
                <w:szCs w:val="20"/>
                <w:color w:val="auto"/>
              </w:rPr>
            </w:pPr>
            <w:r>
              <w:rPr>
                <w:rFonts w:ascii="Courier New" w:cs="Courier New" w:eastAsia="Courier New" w:hAnsi="Courier New"/>
                <w:sz w:val="16"/>
                <w:szCs w:val="16"/>
                <w:color w:val="auto"/>
              </w:rPr>
              <w:t>administrative expenses</w:t>
            </w:r>
          </w:p>
        </w:tc>
        <w:tc>
          <w:tcPr>
            <w:tcW w:w="480" w:type="dxa"/>
            <w:vAlign w:val="bottom"/>
          </w:tcPr>
          <w:p>
            <w:pPr>
              <w:spacing w:after="0"/>
              <w:rPr>
                <w:sz w:val="16"/>
                <w:szCs w:val="16"/>
                <w:color w:val="auto"/>
              </w:rPr>
            </w:pP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278,284</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35,862</w:t>
            </w:r>
          </w:p>
        </w:tc>
        <w:tc>
          <w:tcPr>
            <w:tcW w:w="13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2,181 (3)</w:t>
            </w:r>
          </w:p>
        </w:tc>
        <w:tc>
          <w:tcPr>
            <w:tcW w:w="28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315,945</w:t>
            </w:r>
          </w:p>
        </w:tc>
      </w:tr>
      <w:tr>
        <w:trPr>
          <w:trHeight w:val="185"/>
        </w:trPr>
        <w:tc>
          <w:tcPr>
            <w:tcW w:w="3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(382)(5)</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w w:val="74"/>
              </w:rPr>
              <w:t>--------------------------------------------</w:t>
            </w:r>
          </w:p>
        </w:tc>
        <w:tc>
          <w:tcPr>
            <w:tcW w:w="13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Earnings from operations</w:t>
            </w:r>
          </w:p>
        </w:tc>
        <w:tc>
          <w:tcPr>
            <w:tcW w:w="480" w:type="dxa"/>
            <w:vAlign w:val="bottom"/>
          </w:tcPr>
          <w:p>
            <w:pPr>
              <w:spacing w:after="0"/>
              <w:rPr>
                <w:sz w:val="16"/>
                <w:szCs w:val="16"/>
                <w:color w:val="auto"/>
              </w:rPr>
            </w:pP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63,439</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4,073</w:t>
            </w:r>
          </w:p>
        </w:tc>
        <w:tc>
          <w:tcPr>
            <w:tcW w:w="13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(1,799)</w:t>
            </w:r>
          </w:p>
        </w:tc>
        <w:tc>
          <w:tcPr>
            <w:tcW w:w="28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65,713</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Interest expense to third parties</w:t>
            </w:r>
          </w:p>
        </w:tc>
        <w:tc>
          <w:tcPr>
            <w:tcW w:w="480" w:type="dxa"/>
            <w:vAlign w:val="bottom"/>
          </w:tcPr>
          <w:p>
            <w:pPr>
              <w:spacing w:after="0"/>
              <w:rPr>
                <w:sz w:val="24"/>
                <w:szCs w:val="24"/>
                <w:color w:val="auto"/>
              </w:rPr>
            </w:pP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13,590</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197</w:t>
            </w:r>
          </w:p>
        </w:tc>
        <w:tc>
          <w:tcPr>
            <w:tcW w:w="13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9,063 (4)</w:t>
            </w:r>
          </w:p>
        </w:tc>
        <w:tc>
          <w:tcPr>
            <w:tcW w:w="280" w:type="dxa"/>
            <w:vAlign w:val="bottom"/>
          </w:tcPr>
          <w:p>
            <w:pPr>
              <w:spacing w:after="0"/>
              <w:rPr>
                <w:sz w:val="24"/>
                <w:szCs w:val="24"/>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22,850</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Management fees to affiliates</w:t>
            </w:r>
          </w:p>
        </w:tc>
        <w:tc>
          <w:tcPr>
            <w:tcW w:w="480" w:type="dxa"/>
            <w:vAlign w:val="bottom"/>
          </w:tcPr>
          <w:p>
            <w:pPr>
              <w:spacing w:after="0"/>
              <w:rPr>
                <w:sz w:val="16"/>
                <w:szCs w:val="16"/>
                <w:color w:val="auto"/>
              </w:rPr>
            </w:pP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549</w:t>
            </w:r>
          </w:p>
        </w:tc>
        <w:tc>
          <w:tcPr>
            <w:tcW w:w="13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(549)(5)</w:t>
            </w:r>
          </w:p>
        </w:tc>
        <w:tc>
          <w:tcPr>
            <w:tcW w:w="28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Interest expense to affiliates</w:t>
            </w:r>
          </w:p>
        </w:tc>
        <w:tc>
          <w:tcPr>
            <w:tcW w:w="480" w:type="dxa"/>
            <w:vAlign w:val="bottom"/>
          </w:tcPr>
          <w:p>
            <w:pPr>
              <w:spacing w:after="0"/>
              <w:rPr>
                <w:sz w:val="16"/>
                <w:szCs w:val="16"/>
                <w:color w:val="auto"/>
              </w:rPr>
            </w:pP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5,828</w:t>
            </w:r>
          </w:p>
        </w:tc>
        <w:tc>
          <w:tcPr>
            <w:tcW w:w="13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(5,828)(5)</w:t>
            </w:r>
          </w:p>
        </w:tc>
        <w:tc>
          <w:tcPr>
            <w:tcW w:w="28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Interest income from affiliates</w:t>
            </w:r>
          </w:p>
        </w:tc>
        <w:tc>
          <w:tcPr>
            <w:tcW w:w="480" w:type="dxa"/>
            <w:vAlign w:val="bottom"/>
          </w:tcPr>
          <w:p>
            <w:pPr>
              <w:spacing w:after="0"/>
              <w:rPr>
                <w:sz w:val="16"/>
                <w:szCs w:val="16"/>
                <w:color w:val="auto"/>
              </w:rPr>
            </w:pP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(2,090)</w:t>
            </w:r>
          </w:p>
        </w:tc>
        <w:tc>
          <w:tcPr>
            <w:tcW w:w="13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2,090 (5)</w:t>
            </w:r>
          </w:p>
        </w:tc>
        <w:tc>
          <w:tcPr>
            <w:tcW w:w="28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48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(10,331)</w:t>
            </w:r>
          </w:p>
        </w:tc>
        <w:tc>
          <w:tcPr>
            <w:tcW w:w="17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(6,480)</w:t>
            </w:r>
          </w:p>
        </w:tc>
        <w:tc>
          <w:tcPr>
            <w:tcW w:w="13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6,730 (6)</w:t>
            </w:r>
          </w:p>
        </w:tc>
        <w:tc>
          <w:tcPr>
            <w:tcW w:w="2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(10,587)</w:t>
            </w:r>
          </w:p>
        </w:tc>
      </w:tr>
      <w:tr>
        <w:trPr>
          <w:trHeight w:val="185"/>
        </w:trPr>
        <w:tc>
          <w:tcPr>
            <w:tcW w:w="3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(506)(5)</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w w:val="74"/>
              </w:rPr>
              <w:t>--------------------------------------------</w:t>
            </w:r>
          </w:p>
        </w:tc>
        <w:tc>
          <w:tcPr>
            <w:tcW w:w="13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Earnings before income</w:t>
            </w: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460" w:type="dxa"/>
            <w:vAlign w:val="bottom"/>
          </w:tcPr>
          <w:p>
            <w:pPr>
              <w:ind w:left="860"/>
              <w:spacing w:after="0"/>
              <w:rPr>
                <w:sz w:val="20"/>
                <w:szCs w:val="20"/>
                <w:color w:val="auto"/>
              </w:rPr>
            </w:pPr>
            <w:r>
              <w:rPr>
                <w:rFonts w:ascii="Courier New" w:cs="Courier New" w:eastAsia="Courier New" w:hAnsi="Courier New"/>
                <w:sz w:val="16"/>
                <w:szCs w:val="16"/>
                <w:color w:val="auto"/>
              </w:rPr>
              <w:t>taxes</w:t>
            </w:r>
          </w:p>
        </w:tc>
        <w:tc>
          <w:tcPr>
            <w:tcW w:w="480" w:type="dxa"/>
            <w:vAlign w:val="bottom"/>
          </w:tcPr>
          <w:p>
            <w:pPr>
              <w:spacing w:after="0"/>
              <w:rPr>
                <w:sz w:val="16"/>
                <w:szCs w:val="16"/>
                <w:color w:val="auto"/>
              </w:rPr>
            </w:pP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60,180</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6,069</w:t>
            </w:r>
          </w:p>
        </w:tc>
        <w:tc>
          <w:tcPr>
            <w:tcW w:w="13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(12,799)</w:t>
            </w:r>
          </w:p>
        </w:tc>
        <w:tc>
          <w:tcPr>
            <w:tcW w:w="28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53,450</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Income tax provision (benefit)</w:t>
            </w:r>
          </w:p>
        </w:tc>
        <w:tc>
          <w:tcPr>
            <w:tcW w:w="480" w:type="dxa"/>
            <w:vAlign w:val="bottom"/>
          </w:tcPr>
          <w:p>
            <w:pPr>
              <w:spacing w:after="0"/>
              <w:rPr>
                <w:sz w:val="16"/>
                <w:szCs w:val="16"/>
                <w:color w:val="auto"/>
              </w:rPr>
            </w:pP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23,771</w:t>
            </w:r>
          </w:p>
        </w:tc>
        <w:tc>
          <w:tcPr>
            <w:tcW w:w="17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(410)</w:t>
            </w:r>
          </w:p>
        </w:tc>
        <w:tc>
          <w:tcPr>
            <w:tcW w:w="13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(2,260)(7)</w:t>
            </w:r>
          </w:p>
        </w:tc>
        <w:tc>
          <w:tcPr>
            <w:tcW w:w="28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21,101</w:t>
            </w:r>
          </w:p>
        </w:tc>
      </w:tr>
      <w:tr>
        <w:trPr>
          <w:trHeight w:val="185"/>
        </w:trPr>
        <w:tc>
          <w:tcPr>
            <w:tcW w:w="3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w w:val="74"/>
              </w:rPr>
              <w:t>--------------------------------------------</w:t>
            </w:r>
          </w:p>
        </w:tc>
        <w:tc>
          <w:tcPr>
            <w:tcW w:w="13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Net earnings</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36,409</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6,479</w:t>
            </w:r>
          </w:p>
        </w:tc>
        <w:tc>
          <w:tcPr>
            <w:tcW w:w="13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(10,539)</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32,349</w:t>
            </w:r>
          </w:p>
        </w:tc>
      </w:tr>
      <w:tr>
        <w:trPr>
          <w:trHeight w:val="185"/>
        </w:trPr>
        <w:tc>
          <w:tcPr>
            <w:tcW w:w="3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w w:val="74"/>
              </w:rPr>
              <w:t>--------------------------------------------</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3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w w:val="74"/>
              </w:rPr>
              <w:t>--------------------------------------------</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earnings per share of</w:t>
            </w: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common stock and</w:t>
            </w: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common stock equivalent</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2.90</w:t>
            </w: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2.58</w:t>
            </w:r>
          </w:p>
        </w:tc>
      </w:tr>
      <w:tr>
        <w:trPr>
          <w:trHeight w:val="185"/>
        </w:trPr>
        <w:tc>
          <w:tcPr>
            <w:tcW w:w="3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3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Weighted average shares of</w:t>
            </w: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common stock  and common</w:t>
            </w: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stock equivalents outstanding</w:t>
            </w: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for the year (primary and</w:t>
            </w: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fully diluted)</w:t>
            </w:r>
          </w:p>
        </w:tc>
        <w:tc>
          <w:tcPr>
            <w:tcW w:w="192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12,554,715</w:t>
            </w: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12,554,715</w:t>
            </w:r>
          </w:p>
        </w:tc>
      </w:tr>
      <w:tr>
        <w:trPr>
          <w:trHeight w:val="185"/>
        </w:trPr>
        <w:tc>
          <w:tcPr>
            <w:tcW w:w="3460" w:type="dxa"/>
            <w:vAlign w:val="bottom"/>
          </w:tcPr>
          <w:p>
            <w:pPr>
              <w:spacing w:after="0"/>
              <w:rPr>
                <w:sz w:val="16"/>
                <w:szCs w:val="16"/>
                <w:color w:val="auto"/>
              </w:rPr>
            </w:pPr>
          </w:p>
        </w:tc>
        <w:tc>
          <w:tcPr>
            <w:tcW w:w="19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60" w:type="dxa"/>
            <w:vAlign w:val="bottom"/>
          </w:tcPr>
          <w:p>
            <w:pPr>
              <w:spacing w:after="0"/>
              <w:rPr>
                <w:sz w:val="16"/>
                <w:szCs w:val="16"/>
                <w:color w:val="auto"/>
              </w:rPr>
            </w:pPr>
          </w:p>
        </w:tc>
        <w:tc>
          <w:tcPr>
            <w:tcW w:w="19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10219"/>
          </w:cols>
          <w:pgMar w:left="240" w:top="669" w:right="1440" w:bottom="1440" w:gutter="0" w:footer="0" w:header="0"/>
        </w:sectPr>
      </w:pPr>
    </w:p>
    <w:bookmarkStart w:id="27" w:name="page28"/>
    <w:bookmarkEnd w:id="27"/>
    <w:p>
      <w:pPr>
        <w:ind w:left="3361"/>
        <w:spacing w:after="0"/>
        <w:rPr>
          <w:sz w:val="20"/>
          <w:szCs w:val="20"/>
          <w:color w:val="auto"/>
        </w:rPr>
      </w:pPr>
      <w:r>
        <w:rPr>
          <w:rFonts w:ascii="Courier New" w:cs="Courier New" w:eastAsia="Courier New" w:hAnsi="Courier New"/>
          <w:sz w:val="16"/>
          <w:szCs w:val="16"/>
          <w:color w:val="auto"/>
        </w:rPr>
        <w:t>The Toro Company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Notes to Unaudited Pro Forma Condensed Balance Sheet and Statement of Operations</w:t>
      </w:r>
    </w:p>
    <w:p>
      <w:pPr>
        <w:spacing w:after="0" w:line="200" w:lineRule="exact"/>
        <w:rPr>
          <w:sz w:val="20"/>
          <w:szCs w:val="20"/>
          <w:color w:val="auto"/>
        </w:rPr>
      </w:pPr>
    </w:p>
    <w:p>
      <w:pPr>
        <w:ind w:left="381" w:right="2819" w:hanging="381"/>
        <w:spacing w:after="0" w:line="244" w:lineRule="auto"/>
        <w:tabs>
          <w:tab w:leader="none" w:pos="3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reflect the acquisition of James Hardie Irrigation Group (JHI) and the allocation of the estimated purchase price and related capitalized acquisition costs on the basis of estimated fair values of assets acquired and liabilities assumed. The actual purchase price is based on the assets acquired and liabilities assumed as of December 1, 1996, and is subject to adjustment based on final audit results. For purposes of the pro forma financial statements at October 31, 1996, the components of the purchase price have been computed based on assets and liabilities of JHI as of October 31, 1996. The estimated excess of the purchase price over net assets acquired, estimated fair value adjustments and estimated capitalized acquisition costs are based on the actual acquisition date of December 1,1996.</w:t>
      </w:r>
    </w:p>
    <w:p>
      <w:pPr>
        <w:spacing w:after="0" w:line="189"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4760" w:type="dxa"/>
            <w:vAlign w:val="bottom"/>
          </w:tcPr>
          <w:p>
            <w:pPr>
              <w:spacing w:after="0"/>
              <w:rPr>
                <w:sz w:val="20"/>
                <w:szCs w:val="20"/>
                <w:color w:val="auto"/>
              </w:rPr>
            </w:pPr>
            <w:r>
              <w:rPr>
                <w:rFonts w:ascii="Courier New" w:cs="Courier New" w:eastAsia="Courier New" w:hAnsi="Courier New"/>
                <w:sz w:val="16"/>
                <w:szCs w:val="16"/>
                <w:color w:val="auto"/>
              </w:rPr>
              <w:t>JHI shareholder's equity at October 31, 1996</w:t>
            </w:r>
          </w:p>
        </w:tc>
        <w:tc>
          <w:tcPr>
            <w:tcW w:w="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12,293</w:t>
            </w:r>
          </w:p>
        </w:tc>
      </w:tr>
      <w:tr>
        <w:trPr>
          <w:trHeight w:val="185"/>
        </w:trPr>
        <w:tc>
          <w:tcPr>
            <w:tcW w:w="4760" w:type="dxa"/>
            <w:vAlign w:val="bottom"/>
          </w:tcPr>
          <w:p>
            <w:pPr>
              <w:spacing w:after="0"/>
              <w:rPr>
                <w:sz w:val="20"/>
                <w:szCs w:val="20"/>
                <w:color w:val="auto"/>
              </w:rPr>
            </w:pPr>
            <w:r>
              <w:rPr>
                <w:rFonts w:ascii="Courier New" w:cs="Courier New" w:eastAsia="Courier New" w:hAnsi="Courier New"/>
                <w:sz w:val="16"/>
                <w:szCs w:val="16"/>
                <w:color w:val="auto"/>
              </w:rPr>
              <w:t>Plus liabilities not assumed</w:t>
            </w:r>
          </w:p>
        </w:tc>
        <w:tc>
          <w:tcPr>
            <w:tcW w:w="4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72,401</w:t>
            </w:r>
          </w:p>
        </w:tc>
      </w:tr>
      <w:tr>
        <w:trPr>
          <w:trHeight w:val="185"/>
        </w:trPr>
        <w:tc>
          <w:tcPr>
            <w:tcW w:w="4760" w:type="dxa"/>
            <w:vAlign w:val="bottom"/>
          </w:tcPr>
          <w:p>
            <w:pPr>
              <w:spacing w:after="0"/>
              <w:rPr>
                <w:sz w:val="20"/>
                <w:szCs w:val="20"/>
                <w:color w:val="auto"/>
              </w:rPr>
            </w:pPr>
            <w:r>
              <w:rPr>
                <w:rFonts w:ascii="Courier New" w:cs="Courier New" w:eastAsia="Courier New" w:hAnsi="Courier New"/>
                <w:sz w:val="16"/>
                <w:szCs w:val="16"/>
                <w:color w:val="auto"/>
              </w:rPr>
              <w:t>Less assets not acquired</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(4,250)</w:t>
            </w:r>
          </w:p>
        </w:tc>
      </w:tr>
      <w:tr>
        <w:trPr>
          <w:trHeight w:val="185"/>
        </w:trPr>
        <w:tc>
          <w:tcPr>
            <w:tcW w:w="4760" w:type="dxa"/>
            <w:vAlign w:val="bottom"/>
          </w:tcPr>
          <w:p>
            <w:pPr>
              <w:spacing w:after="0"/>
              <w:rPr>
                <w:sz w:val="20"/>
                <w:szCs w:val="20"/>
                <w:color w:val="auto"/>
              </w:rPr>
            </w:pPr>
            <w:r>
              <w:rPr>
                <w:rFonts w:ascii="Courier New" w:cs="Courier New" w:eastAsia="Courier New" w:hAnsi="Courier New"/>
                <w:sz w:val="16"/>
                <w:szCs w:val="16"/>
                <w:color w:val="auto"/>
              </w:rPr>
              <w:t>Excess of purchase price over net book value of</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760" w:type="dxa"/>
            <w:vAlign w:val="bottom"/>
          </w:tcPr>
          <w:p>
            <w:pPr>
              <w:ind w:left="580"/>
              <w:spacing w:after="0"/>
              <w:rPr>
                <w:sz w:val="20"/>
                <w:szCs w:val="20"/>
                <w:color w:val="auto"/>
              </w:rPr>
            </w:pPr>
            <w:r>
              <w:rPr>
                <w:rFonts w:ascii="Courier New" w:cs="Courier New" w:eastAsia="Courier New" w:hAnsi="Courier New"/>
                <w:sz w:val="16"/>
                <w:szCs w:val="16"/>
                <w:color w:val="auto"/>
              </w:rPr>
              <w:t>assets acquired</w:t>
            </w:r>
          </w:p>
        </w:tc>
        <w:tc>
          <w:tcPr>
            <w:tcW w:w="4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26,900</w:t>
            </w:r>
          </w:p>
        </w:tc>
      </w:tr>
      <w:tr>
        <w:trPr>
          <w:trHeight w:val="185"/>
        </w:trPr>
        <w:tc>
          <w:tcPr>
            <w:tcW w:w="476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760" w:type="dxa"/>
            <w:vAlign w:val="bottom"/>
          </w:tcPr>
          <w:p>
            <w:pPr>
              <w:ind w:left="480"/>
              <w:spacing w:after="0"/>
              <w:rPr>
                <w:sz w:val="20"/>
                <w:szCs w:val="20"/>
                <w:color w:val="auto"/>
              </w:rPr>
            </w:pPr>
            <w:r>
              <w:rPr>
                <w:rFonts w:ascii="Courier New" w:cs="Courier New" w:eastAsia="Courier New" w:hAnsi="Courier New"/>
                <w:sz w:val="16"/>
                <w:szCs w:val="16"/>
                <w:color w:val="auto"/>
              </w:rPr>
              <w:t>Purchase price as if acquisition price were</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760" w:type="dxa"/>
            <w:vAlign w:val="bottom"/>
          </w:tcPr>
          <w:p>
            <w:pPr>
              <w:ind w:left="960"/>
              <w:spacing w:after="0"/>
              <w:rPr>
                <w:sz w:val="20"/>
                <w:szCs w:val="20"/>
                <w:color w:val="auto"/>
              </w:rPr>
            </w:pPr>
            <w:r>
              <w:rPr>
                <w:rFonts w:ascii="Courier New" w:cs="Courier New" w:eastAsia="Courier New" w:hAnsi="Courier New"/>
                <w:sz w:val="16"/>
                <w:szCs w:val="16"/>
                <w:color w:val="auto"/>
              </w:rPr>
              <w:t>determined on 10/31/96</w:t>
            </w:r>
          </w:p>
        </w:tc>
        <w:tc>
          <w:tcPr>
            <w:tcW w:w="4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107,344</w:t>
            </w:r>
          </w:p>
        </w:tc>
      </w:tr>
      <w:tr>
        <w:trPr>
          <w:trHeight w:val="185"/>
        </w:trPr>
        <w:tc>
          <w:tcPr>
            <w:tcW w:w="4760" w:type="dxa"/>
            <w:vAlign w:val="bottom"/>
          </w:tcPr>
          <w:p>
            <w:pPr>
              <w:spacing w:after="0"/>
              <w:rPr>
                <w:sz w:val="20"/>
                <w:szCs w:val="20"/>
                <w:color w:val="auto"/>
              </w:rPr>
            </w:pPr>
            <w:r>
              <w:rPr>
                <w:rFonts w:ascii="Courier New" w:cs="Courier New" w:eastAsia="Courier New" w:hAnsi="Courier New"/>
                <w:sz w:val="16"/>
                <w:szCs w:val="16"/>
                <w:color w:val="auto"/>
              </w:rPr>
              <w:t>Estimated capitalized acquisition costs</w:t>
            </w:r>
          </w:p>
        </w:tc>
        <w:tc>
          <w:tcPr>
            <w:tcW w:w="4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16,725</w:t>
            </w:r>
          </w:p>
        </w:tc>
      </w:tr>
      <w:tr>
        <w:trPr>
          <w:trHeight w:val="185"/>
        </w:trPr>
        <w:tc>
          <w:tcPr>
            <w:tcW w:w="476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76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124,069</w:t>
            </w:r>
          </w:p>
        </w:tc>
      </w:tr>
      <w:tr>
        <w:trPr>
          <w:trHeight w:val="185"/>
        </w:trPr>
        <w:tc>
          <w:tcPr>
            <w:tcW w:w="476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76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381" w:right="2719" w:hanging="381"/>
        <w:spacing w:after="0" w:line="243"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has initially been financed with temporary short-term bank debt; however, the Company has filed a shelf registration for issuance of public debt which would replace all or a portion of the short-term debt with long-term debt.</w:t>
      </w:r>
    </w:p>
    <w:p>
      <w:pPr>
        <w:spacing w:after="0" w:line="189" w:lineRule="exact"/>
        <w:rPr>
          <w:rFonts w:ascii="Courier New" w:cs="Courier New" w:eastAsia="Courier New" w:hAnsi="Courier New"/>
          <w:sz w:val="16"/>
          <w:szCs w:val="16"/>
          <w:color w:val="auto"/>
        </w:rPr>
      </w:pPr>
    </w:p>
    <w:p>
      <w:pPr>
        <w:ind w:left="381" w:right="3019" w:hanging="381"/>
        <w:spacing w:after="0" w:line="242"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amortization of the excess purchase price on a straight-line basis over 20 years.</w:t>
      </w:r>
    </w:p>
    <w:p>
      <w:pPr>
        <w:spacing w:after="0" w:line="188" w:lineRule="exact"/>
        <w:rPr>
          <w:rFonts w:ascii="Courier New" w:cs="Courier New" w:eastAsia="Courier New" w:hAnsi="Courier New"/>
          <w:sz w:val="16"/>
          <w:szCs w:val="16"/>
          <w:color w:val="auto"/>
        </w:rPr>
      </w:pPr>
    </w:p>
    <w:p>
      <w:pPr>
        <w:ind w:left="381" w:right="2639" w:hanging="381"/>
        <w:spacing w:after="0" w:line="244"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interest expense related to the acquisition, assuming average borrowings for acquisition debt and Hardie working capital of $125 million at an annual interest rate of 7.25% representing the approximate average of the long and short-term rates for the year. See Note 2 above regarding the acquisition debt.</w:t>
      </w:r>
    </w:p>
    <w:p>
      <w:pPr>
        <w:spacing w:after="0" w:line="187" w:lineRule="exact"/>
        <w:rPr>
          <w:rFonts w:ascii="Courier New" w:cs="Courier New" w:eastAsia="Courier New" w:hAnsi="Courier New"/>
          <w:sz w:val="16"/>
          <w:szCs w:val="16"/>
          <w:color w:val="auto"/>
        </w:rPr>
      </w:pPr>
    </w:p>
    <w:p>
      <w:pPr>
        <w:jc w:val="both"/>
        <w:ind w:left="381" w:right="2719" w:hanging="381"/>
        <w:spacing w:after="0" w:line="243"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intercompany interest income, interest expense, management fees and other expenses to affiliates of JHI which will not be recurring after the acquisition.</w:t>
      </w:r>
    </w:p>
    <w:p>
      <w:pPr>
        <w:spacing w:after="0" w:line="188" w:lineRule="exact"/>
        <w:rPr>
          <w:rFonts w:ascii="Courier New" w:cs="Courier New" w:eastAsia="Courier New" w:hAnsi="Courier New"/>
          <w:sz w:val="16"/>
          <w:szCs w:val="16"/>
          <w:color w:val="auto"/>
        </w:rPr>
      </w:pPr>
    </w:p>
    <w:p>
      <w:pPr>
        <w:ind w:left="381" w:right="2719" w:hanging="381"/>
        <w:spacing w:after="0" w:line="243"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1996, JHI sold a depositary receipt and realized a gain of $6,730. This gain is not expected to be a recurring item subsequent to the acquisition.</w:t>
      </w:r>
    </w:p>
    <w:p>
      <w:pPr>
        <w:spacing w:after="0" w:line="188" w:lineRule="exact"/>
        <w:rPr>
          <w:rFonts w:ascii="Courier New" w:cs="Courier New" w:eastAsia="Courier New" w:hAnsi="Courier New"/>
          <w:sz w:val="16"/>
          <w:szCs w:val="16"/>
          <w:color w:val="auto"/>
        </w:rPr>
      </w:pPr>
    </w:p>
    <w:p>
      <w:pPr>
        <w:ind w:left="381" w:right="2719" w:hanging="381"/>
        <w:spacing w:after="0" w:line="243"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adjustment to tax expense required to arrive at a consolidated pro forma tax rate of 39.5%. The income tax rate is based on The Toro Company's tax structure and no attempt was made to determine the actual income tax rate under the post acquisition structure.</w:t>
      </w:r>
    </w:p>
    <w:p>
      <w:pPr>
        <w:spacing w:after="0" w:line="373" w:lineRule="exact"/>
        <w:rPr>
          <w:sz w:val="20"/>
          <w:szCs w:val="20"/>
          <w:color w:val="auto"/>
        </w:rPr>
      </w:pPr>
    </w:p>
    <w:p>
      <w:pPr>
        <w:ind w:left="3941"/>
        <w:spacing w:after="0"/>
        <w:rPr>
          <w:sz w:val="20"/>
          <w:szCs w:val="20"/>
          <w:color w:val="auto"/>
        </w:rPr>
      </w:pPr>
      <w:r>
        <w:rPr>
          <w:rFonts w:ascii="Courier New" w:cs="Courier New" w:eastAsia="Courier New" w:hAnsi="Courier New"/>
          <w:sz w:val="16"/>
          <w:szCs w:val="16"/>
          <w:color w:val="auto"/>
        </w:rPr>
        <w:t>B-4</w:t>
      </w:r>
    </w:p>
    <w:p>
      <w:pPr>
        <w:sectPr>
          <w:pgSz w:w="11900" w:h="16838" w:orient="portrait"/>
          <w:cols w:equalWidth="0" w:num="1">
            <w:col w:w="10221"/>
          </w:cols>
          <w:pgMar w:left="239" w:top="669" w:right="1440" w:bottom="1440" w:gutter="0" w:footer="0" w:header="0"/>
        </w:sectPr>
      </w:pPr>
    </w:p>
    <w:bookmarkStart w:id="28" w:name="page29"/>
    <w:bookmarkEnd w:id="28"/>
    <w:p>
      <w:pPr>
        <w:jc w:val="right"/>
        <w:ind w:right="2539"/>
        <w:spacing w:after="0"/>
        <w:rPr>
          <w:sz w:val="20"/>
          <w:szCs w:val="20"/>
          <w:color w:val="auto"/>
        </w:rPr>
      </w:pPr>
      <w:r>
        <w:rPr>
          <w:rFonts w:ascii="Courier New" w:cs="Courier New" w:eastAsia="Courier New" w:hAnsi="Courier New"/>
          <w:sz w:val="16"/>
          <w:szCs w:val="16"/>
          <w:color w:val="auto"/>
        </w:rPr>
        <w:t>Exhibit 23.1</w:t>
      </w:r>
    </w:p>
    <w:p>
      <w:pPr>
        <w:spacing w:after="0" w:line="373"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of The Toro Company on Forms S-3 and S-8 (File Nos. 33-26268, 33-31586, 33-38308, 33-44668, 33-51563, 33-55550, 33-59563, 33-62743, 333-4521, and 333-20901) of our report dated February 18, 1997, on our audit of the combined balance sheet of the James Hardie Irrigation Group as of March 31, 1996 and the related combined statements of operations and cash flows for the fiscal year ended March 31, 1996, which report appears elsewhere in this Form 8K/A.</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Coopers &amp; Lybrand L.L.P.</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 Angeles,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18, 1997</w:t>
      </w:r>
    </w:p>
    <w:sectPr>
      <w:pgSz w:w="11900" w:h="16838" w:orient="portrait"/>
      <w:cols w:equalWidth="0" w:num="1">
        <w:col w:w="10219"/>
      </w:cols>
      <w:pgMar w:left="240" w:top="6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3"/>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1."/>
      <w:numFmt w:val="decimal"/>
      <w:start w:val="5"/>
    </w:lvl>
  </w:abstractNum>
  <w:abstractNum w:abstractNumId="9">
    <w:nsid w:val="7FDCC233"/>
    <w:multiLevelType w:val="hybridMultilevel"/>
    <w:lvl w:ilvl="0">
      <w:lvlJc w:val="left"/>
      <w:lvlText w:val="%1."/>
      <w:numFmt w:val="decimal"/>
      <w:start w:val="6"/>
    </w:lvl>
  </w:abstractNum>
  <w:abstractNum w:abstractNumId="10">
    <w:nsid w:val="1BEFD79F"/>
    <w:multiLevelType w:val="hybridMultilevel"/>
    <w:lvl w:ilvl="0">
      <w:lvlJc w:val="left"/>
      <w:lvlText w:val="%1."/>
      <w:numFmt w:val="decimal"/>
      <w:start w:val="7"/>
    </w:lvl>
  </w:abstractNum>
  <w:abstractNum w:abstractNumId="11">
    <w:nsid w:val="41A7C4C9"/>
    <w:multiLevelType w:val="hybridMultilevel"/>
    <w:lvl w:ilvl="0">
      <w:lvlJc w:val="left"/>
      <w:lvlText w:val="%1."/>
      <w:numFmt w:val="decimal"/>
      <w:start w:val="8"/>
    </w:lvl>
  </w:abstractNum>
  <w:abstractNum w:abstractNumId="12">
    <w:nsid w:val="6B68079A"/>
    <w:multiLevelType w:val="hybridMultilevel"/>
    <w:lvl w:ilvl="0">
      <w:lvlJc w:val="left"/>
      <w:lvlText w:val="%1."/>
      <w:numFmt w:val="decimal"/>
      <w:start w:val="8"/>
    </w:lvl>
  </w:abstractNum>
  <w:abstractNum w:abstractNumId="13">
    <w:nsid w:val="4E6AFB66"/>
    <w:multiLevelType w:val="hybridMultilevel"/>
    <w:lvl w:ilvl="0">
      <w:lvlJc w:val="left"/>
      <w:lvlText w:val="%1."/>
      <w:numFmt w:val="decimal"/>
      <w:start w:val="9"/>
    </w:lvl>
  </w:abstractNum>
  <w:abstractNum w:abstractNumId="14">
    <w:nsid w:val="25E45D32"/>
    <w:multiLevelType w:val="hybridMultilevel"/>
    <w:lvl w:ilvl="0">
      <w:lvlJc w:val="left"/>
      <w:lvlText w:val="%1."/>
      <w:numFmt w:val="decimal"/>
      <w:start w:val="1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3"/>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2019-12-13T14:05:24Z</dcterms:created>
  <dcterms:modified xsi:type="dcterms:W3CDTF">2019-12-13T14:05:24Z</dcterms:modified>
</cp:coreProperties>
</file>