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313930" cy="7245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3930" cy="724535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FORM 10-K</w:t>
      </w: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For Fiscal Year Ended October 31, 2004.</w:t>
      </w:r>
    </w:p>
    <w:p>
      <w:pPr>
        <w:spacing w:after="0" w:line="194" w:lineRule="exact"/>
        <w:rPr>
          <w:sz w:val="20"/>
          <w:szCs w:val="20"/>
          <w:color w:val="auto"/>
        </w:rPr>
      </w:pPr>
    </w:p>
    <w:p>
      <w:pPr>
        <w:jc w:val="center"/>
        <w:ind w:left="360"/>
        <w:spacing w:after="0"/>
        <w:rPr>
          <w:sz w:val="20"/>
          <w:szCs w:val="20"/>
          <w:color w:val="auto"/>
        </w:rPr>
      </w:pPr>
      <w:r>
        <w:rPr>
          <w:rFonts w:ascii="Arial" w:cs="Arial" w:eastAsia="Arial" w:hAnsi="Arial"/>
          <w:sz w:val="42"/>
          <w:szCs w:val="42"/>
          <w:b w:val="1"/>
          <w:bCs w:val="1"/>
          <w:color w:val="auto"/>
        </w:rPr>
        <w:t>THE TORO COMPANY</w:t>
      </w:r>
    </w:p>
    <w:p>
      <w:pPr>
        <w:spacing w:after="0" w:line="25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(Exact name of registrant as specified in its charter)</w:t>
      </w:r>
    </w:p>
    <w:p>
      <w:pPr>
        <w:spacing w:after="0" w:line="222" w:lineRule="exact"/>
        <w:rPr>
          <w:sz w:val="20"/>
          <w:szCs w:val="20"/>
          <w:color w:val="auto"/>
        </w:rPr>
      </w:pPr>
    </w:p>
    <w:p>
      <w:pPr>
        <w:ind w:left="1840"/>
        <w:spacing w:after="0"/>
        <w:tabs>
          <w:tab w:leader="none" w:pos="6220" w:val="left"/>
          <w:tab w:leader="none" w:pos="974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1-8649</w:t>
      </w:r>
      <w:r>
        <w:rPr>
          <w:sz w:val="20"/>
          <w:szCs w:val="20"/>
          <w:color w:val="auto"/>
        </w:rPr>
        <w:tab/>
      </w:r>
      <w:r>
        <w:rPr>
          <w:rFonts w:ascii="Arial" w:cs="Arial" w:eastAsia="Arial" w:hAnsi="Arial"/>
          <w:sz w:val="15"/>
          <w:szCs w:val="15"/>
          <w:b w:val="1"/>
          <w:bCs w:val="1"/>
          <w:color w:val="auto"/>
        </w:rPr>
        <w:t>41-0580470</w:t>
      </w:r>
    </w:p>
    <w:p>
      <w:pPr>
        <w:spacing w:after="0" w:line="28" w:lineRule="exact"/>
        <w:rPr>
          <w:sz w:val="20"/>
          <w:szCs w:val="20"/>
          <w:color w:val="auto"/>
        </w:rPr>
      </w:pPr>
    </w:p>
    <w:p>
      <w:pPr>
        <w:jc w:val="right"/>
        <w:spacing w:after="0"/>
        <w:tabs>
          <w:tab w:leader="none" w:pos="5980" w:val="left"/>
          <w:tab w:leader="none" w:pos="2740" w:val="left"/>
        </w:tabs>
        <w:rPr>
          <w:sz w:val="20"/>
          <w:szCs w:val="20"/>
          <w:color w:val="auto"/>
        </w:rPr>
      </w:pPr>
      <w:r>
        <w:rPr>
          <w:rFonts w:ascii="Arial" w:cs="Arial" w:eastAsia="Arial" w:hAnsi="Arial"/>
          <w:sz w:val="17"/>
          <w:szCs w:val="17"/>
          <w:color w:val="auto"/>
        </w:rPr>
        <w:t>(State of incorporation)</w:t>
      </w:r>
      <w:r>
        <w:rPr>
          <w:sz w:val="20"/>
          <w:szCs w:val="20"/>
          <w:color w:val="auto"/>
        </w:rPr>
        <w:tab/>
      </w:r>
      <w:r>
        <w:rPr>
          <w:rFonts w:ascii="Arial" w:cs="Arial" w:eastAsia="Arial" w:hAnsi="Arial"/>
          <w:sz w:val="17"/>
          <w:szCs w:val="17"/>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16"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8111 Lyndale Avenue South</w:t>
      </w:r>
    </w:p>
    <w:p>
      <w:pPr>
        <w:spacing w:after="0" w:line="228"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Bloomington, Minnesota 55420-1196</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Telephone number: (952) 888-8801</w:t>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ectPr>
          <w:pgSz w:w="11900" w:h="16838" w:orient="portrait"/>
          <w:cols w:equalWidth="0" w:num="1">
            <w:col w:w="11520"/>
          </w:cols>
          <w:pgMar w:left="240" w:top="12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Title of Each Class</w:t>
      </w:r>
    </w:p>
    <w:p>
      <w:pPr>
        <w:spacing w:after="0" w:line="28" w:lineRule="exact"/>
        <w:rPr>
          <w:sz w:val="20"/>
          <w:szCs w:val="20"/>
          <w:color w:val="auto"/>
        </w:rPr>
      </w:pPr>
    </w:p>
    <w:p>
      <w:pPr>
        <w:ind w:left="180" w:right="100"/>
        <w:spacing w:after="0" w:line="312" w:lineRule="auto"/>
        <w:rPr>
          <w:sz w:val="20"/>
          <w:szCs w:val="20"/>
          <w:color w:val="auto"/>
        </w:rPr>
      </w:pPr>
      <w:r>
        <w:rPr>
          <w:rFonts w:ascii="Arial" w:cs="Arial" w:eastAsia="Arial" w:hAnsi="Arial"/>
          <w:sz w:val="16"/>
          <w:szCs w:val="16"/>
          <w:color w:val="auto"/>
        </w:rPr>
        <w:t>Common Stock, par value $1.00 per share Preferred Share Purchase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0" w:lineRule="exact"/>
        <w:rPr>
          <w:sz w:val="20"/>
          <w:szCs w:val="20"/>
          <w:color w:val="auto"/>
        </w:rPr>
      </w:pPr>
    </w:p>
    <w:p>
      <w:pPr>
        <w:spacing w:after="0" w:line="234"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1"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New York Stock Exchange</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New York Stock Exchange</w:t>
      </w:r>
    </w:p>
    <w:p>
      <w:pPr>
        <w:spacing w:after="0" w:line="222" w:lineRule="exact"/>
        <w:rPr>
          <w:sz w:val="20"/>
          <w:szCs w:val="20"/>
          <w:color w:val="auto"/>
        </w:rPr>
      </w:pPr>
    </w:p>
    <w:p>
      <w:pPr>
        <w:jc w:val="center"/>
        <w:ind w:right="366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5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3180" w:space="720"/>
            <w:col w:w="7620"/>
          </w:cols>
          <w:pgMar w:left="240" w:top="122" w:right="139" w:bottom="0" w:gutter="0" w:footer="0" w:header="0"/>
          <w:type w:val="continuous"/>
        </w:sectPr>
      </w:pPr>
    </w:p>
    <w:p>
      <w:pPr>
        <w:spacing w:after="0" w:line="28" w:lineRule="exact"/>
        <w:rPr>
          <w:sz w:val="20"/>
          <w:szCs w:val="20"/>
          <w:color w:val="auto"/>
        </w:rPr>
      </w:pPr>
    </w:p>
    <w:p>
      <w:pPr>
        <w:ind w:left="180" w:right="140"/>
        <w:spacing w:after="0" w:line="25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Arial" w:cs="Arial" w:eastAsia="Arial" w:hAnsi="Arial"/>
          <w:sz w:val="21"/>
          <w:szCs w:val="21"/>
          <w:color w:val="auto"/>
        </w:rPr>
        <w:t>o</w:t>
      </w:r>
    </w:p>
    <w:p>
      <w:pPr>
        <w:spacing w:after="0" w:line="170" w:lineRule="exact"/>
        <w:rPr>
          <w:sz w:val="20"/>
          <w:szCs w:val="20"/>
          <w:color w:val="auto"/>
        </w:rPr>
      </w:pPr>
    </w:p>
    <w:p>
      <w:pPr>
        <w:ind w:left="180"/>
        <w:spacing w:after="0" w:line="341" w:lineRule="auto"/>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color w:val="auto"/>
        </w:rPr>
        <w:t>o</w:t>
      </w:r>
    </w:p>
    <w:p>
      <w:pPr>
        <w:spacing w:after="0" w:line="83" w:lineRule="exact"/>
        <w:rPr>
          <w:sz w:val="20"/>
          <w:szCs w:val="20"/>
          <w:color w:val="auto"/>
        </w:rPr>
      </w:pPr>
    </w:p>
    <w:p>
      <w:pPr>
        <w:ind w:left="180"/>
        <w:spacing w:after="0" w:line="230" w:lineRule="exact"/>
        <w:tabs>
          <w:tab w:leader="none" w:pos="846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Exchange Act Rule 12b-2).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Arial" w:cs="Arial" w:eastAsia="Arial" w:hAnsi="Arial"/>
          <w:sz w:val="19"/>
          <w:szCs w:val="19"/>
          <w:color w:val="auto"/>
        </w:rPr>
        <w:t>o</w:t>
      </w:r>
    </w:p>
    <w:p>
      <w:pPr>
        <w:spacing w:after="0" w:line="273" w:lineRule="exact"/>
        <w:rPr>
          <w:sz w:val="20"/>
          <w:szCs w:val="20"/>
          <w:color w:val="auto"/>
        </w:rPr>
      </w:pPr>
    </w:p>
    <w:p>
      <w:pPr>
        <w:ind w:left="180" w:right="180"/>
        <w:spacing w:after="0" w:line="356" w:lineRule="auto"/>
        <w:rPr>
          <w:sz w:val="20"/>
          <w:szCs w:val="20"/>
          <w:color w:val="auto"/>
        </w:rPr>
      </w:pPr>
      <w:r>
        <w:rPr>
          <w:rFonts w:ascii="Arial" w:cs="Arial" w:eastAsia="Arial" w:hAnsi="Arial"/>
          <w:sz w:val="15"/>
          <w:szCs w:val="15"/>
          <w:color w:val="auto"/>
        </w:rPr>
        <w:t>The aggregate market value of the voting stock held by non-affiliates of the registrant, based on the closing price of the Common Stock on April 30, 2004, the last business day of the registrant’s most recently completed second fiscal quarter, as reported by the New York Stock Exchange, was approximately $1,408,994,620.</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number of shares of Common Stock outstanding as of December 17, 2004 was 23,278,656.</w:t>
      </w: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the Annual Meeting of Stockholders to be held March 15, 2005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16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900" w:type="dxa"/>
            <w:vAlign w:val="bottom"/>
            <w:gridSpan w:val="4"/>
          </w:tcPr>
          <w:p>
            <w:pPr>
              <w:jc w:val="center"/>
              <w:ind w:right="1720"/>
              <w:spacing w:after="0"/>
              <w:rPr>
                <w:sz w:val="20"/>
                <w:szCs w:val="20"/>
                <w:color w:val="auto"/>
              </w:rPr>
            </w:pPr>
            <w:r>
              <w:rPr>
                <w:rFonts w:ascii="Arial" w:cs="Arial" w:eastAsia="Arial" w:hAnsi="Arial"/>
                <w:sz w:val="21"/>
                <w:szCs w:val="21"/>
                <w:b w:val="1"/>
                <w:bCs w:val="1"/>
                <w:color w:val="auto"/>
              </w:rPr>
              <w:t>THE TORO COMPANY</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gridSpan w:val="4"/>
          </w:tcPr>
          <w:p>
            <w:pPr>
              <w:jc w:val="center"/>
              <w:ind w:right="1720"/>
              <w:spacing w:after="0"/>
              <w:rPr>
                <w:sz w:val="20"/>
                <w:szCs w:val="20"/>
                <w:color w:val="auto"/>
              </w:rPr>
            </w:pPr>
            <w:r>
              <w:rPr>
                <w:rFonts w:ascii="Arial" w:cs="Arial" w:eastAsia="Arial" w:hAnsi="Arial"/>
                <w:sz w:val="21"/>
                <w:szCs w:val="21"/>
                <w:b w:val="1"/>
                <w:bCs w:val="1"/>
                <w:color w:val="auto"/>
              </w:rPr>
              <w:t>FORM 10-K</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900" w:type="dxa"/>
            <w:vAlign w:val="bottom"/>
            <w:gridSpan w:val="4"/>
          </w:tcPr>
          <w:p>
            <w:pPr>
              <w:jc w:val="center"/>
              <w:ind w:right="1720"/>
              <w:spacing w:after="0"/>
              <w:rPr>
                <w:sz w:val="20"/>
                <w:szCs w:val="20"/>
                <w:color w:val="auto"/>
              </w:rPr>
            </w:pPr>
            <w:r>
              <w:rPr>
                <w:rFonts w:ascii="Arial" w:cs="Arial" w:eastAsia="Arial" w:hAnsi="Arial"/>
                <w:sz w:val="21"/>
                <w:szCs w:val="21"/>
                <w:b w:val="1"/>
                <w:bCs w:val="1"/>
                <w:color w:val="auto"/>
                <w:w w:val="99"/>
              </w:rPr>
              <w:t>TABLE OF CONTENTS</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0" w:type="dxa"/>
            <w:vAlign w:val="bottom"/>
            <w:gridSpan w:val="8"/>
          </w:tcPr>
          <w:p>
            <w:pPr>
              <w:ind w:left="980"/>
              <w:spacing w:after="0"/>
              <w:rPr>
                <w:sz w:val="20"/>
                <w:szCs w:val="20"/>
                <w:color w:val="auto"/>
              </w:rPr>
            </w:pPr>
            <w:r>
              <w:rPr>
                <w:rFonts w:ascii="Arial" w:cs="Arial" w:eastAsia="Arial" w:hAnsi="Arial"/>
                <w:sz w:val="13"/>
                <w:szCs w:val="13"/>
                <w:color w:val="auto"/>
              </w:rPr>
              <w:t>Description</w:t>
            </w:r>
          </w:p>
        </w:tc>
        <w:tc>
          <w:tcPr>
            <w:tcW w:w="1260" w:type="dxa"/>
            <w:vAlign w:val="bottom"/>
          </w:tcPr>
          <w:p>
            <w:pPr>
              <w:jc w:val="right"/>
              <w:spacing w:after="0"/>
              <w:rPr>
                <w:sz w:val="20"/>
                <w:szCs w:val="20"/>
                <w:color w:val="auto"/>
              </w:rPr>
            </w:pPr>
            <w:r>
              <w:rPr>
                <w:rFonts w:ascii="Arial" w:cs="Arial" w:eastAsia="Arial" w:hAnsi="Arial"/>
                <w:sz w:val="13"/>
                <w:szCs w:val="13"/>
                <w:color w:val="auto"/>
              </w:rPr>
              <w:t>Page Numbers</w:t>
            </w:r>
          </w:p>
        </w:tc>
        <w:tc>
          <w:tcPr>
            <w:tcW w:w="0" w:type="dxa"/>
            <w:vAlign w:val="bottom"/>
          </w:tcPr>
          <w:p>
            <w:pPr>
              <w:spacing w:after="0"/>
              <w:rPr>
                <w:sz w:val="1"/>
                <w:szCs w:val="1"/>
                <w:color w:val="auto"/>
              </w:rPr>
            </w:pPr>
          </w:p>
        </w:tc>
      </w:tr>
      <w:tr>
        <w:trPr>
          <w:trHeight w:val="94"/>
        </w:trPr>
        <w:tc>
          <w:tcPr>
            <w:tcW w:w="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20" w:type="dxa"/>
            <w:vAlign w:val="bottom"/>
            <w:tcBorders>
              <w:bottom w:val="single" w:sz="8" w:color="0000EE"/>
            </w:tcBorders>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7"/>
                <w:szCs w:val="17"/>
                <w:b w:val="1"/>
                <w:bCs w:val="1"/>
                <w:color w:val="0000EE"/>
                <w:w w:val="97"/>
              </w:rPr>
            </w:pPr>
            <w:hyperlink w:anchor="page4">
              <w:r>
                <w:rPr>
                  <w:rFonts w:ascii="Arial" w:cs="Arial" w:eastAsia="Arial" w:hAnsi="Arial"/>
                  <w:sz w:val="17"/>
                  <w:szCs w:val="17"/>
                  <w:b w:val="1"/>
                  <w:bCs w:val="1"/>
                  <w:color w:val="0000EE"/>
                  <w:w w:val="97"/>
                </w:rPr>
                <w:t>ITEM 1.</w:t>
              </w:r>
            </w:hyperlink>
          </w:p>
        </w:tc>
        <w:tc>
          <w:tcPr>
            <w:tcW w:w="102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5560" w:type="dxa"/>
            <w:vAlign w:val="bottom"/>
            <w:gridSpan w:val="6"/>
          </w:tcPr>
          <w:p>
            <w:pPr>
              <w:spacing w:after="0"/>
              <w:rPr>
                <w:sz w:val="16"/>
                <w:szCs w:val="16"/>
                <w:color w:val="auto"/>
              </w:rPr>
            </w:pPr>
          </w:p>
        </w:tc>
        <w:tc>
          <w:tcPr>
            <w:tcW w:w="1260" w:type="dxa"/>
            <w:vAlign w:val="bottom"/>
          </w:tcPr>
          <w:p>
            <w:pPr>
              <w:jc w:val="right"/>
              <w:spacing w:after="0" w:line="192" w:lineRule="exact"/>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Pr>
          <w:p>
            <w:pPr>
              <w:spacing w:after="0" w:line="192" w:lineRule="exact"/>
              <w:rPr>
                <w:rFonts w:ascii="Arial" w:cs="Arial" w:eastAsia="Arial" w:hAnsi="Arial"/>
                <w:sz w:val="17"/>
                <w:szCs w:val="17"/>
                <w:b w:val="1"/>
                <w:bCs w:val="1"/>
                <w:color w:val="0000EE"/>
                <w:w w:val="97"/>
              </w:rPr>
            </w:pPr>
            <w:hyperlink w:anchor="page12">
              <w:r>
                <w:rPr>
                  <w:rFonts w:ascii="Arial" w:cs="Arial" w:eastAsia="Arial" w:hAnsi="Arial"/>
                  <w:sz w:val="17"/>
                  <w:szCs w:val="17"/>
                  <w:b w:val="1"/>
                  <w:bCs w:val="1"/>
                  <w:color w:val="0000EE"/>
                  <w:w w:val="97"/>
                </w:rPr>
                <w:t>ITEM 2.</w:t>
              </w:r>
            </w:hyperlink>
          </w:p>
        </w:tc>
        <w:tc>
          <w:tcPr>
            <w:tcW w:w="1020" w:type="dxa"/>
            <w:vAlign w:val="bottom"/>
          </w:tcPr>
          <w:p>
            <w:pPr>
              <w:spacing w:after="0"/>
              <w:rPr>
                <w:sz w:val="16"/>
                <w:szCs w:val="16"/>
                <w:color w:val="auto"/>
              </w:rPr>
            </w:pPr>
          </w:p>
        </w:tc>
        <w:tc>
          <w:tcPr>
            <w:tcW w:w="6180" w:type="dxa"/>
            <w:vAlign w:val="bottom"/>
            <w:gridSpan w:val="7"/>
          </w:tcPr>
          <w:p>
            <w:pPr>
              <w:spacing w:after="0" w:line="192" w:lineRule="exact"/>
              <w:rPr>
                <w:rFonts w:ascii="Arial" w:cs="Arial" w:eastAsia="Arial" w:hAnsi="Arial"/>
                <w:sz w:val="17"/>
                <w:szCs w:val="17"/>
                <w:color w:val="0000EE"/>
              </w:rPr>
            </w:pPr>
            <w:hyperlink w:anchor="page12">
              <w:r>
                <w:rPr>
                  <w:rFonts w:ascii="Arial" w:cs="Arial" w:eastAsia="Arial" w:hAnsi="Arial"/>
                  <w:sz w:val="17"/>
                  <w:szCs w:val="17"/>
                  <w:color w:val="0000EE"/>
                </w:rPr>
                <w:t>Properties</w:t>
              </w:r>
            </w:hyperlink>
          </w:p>
        </w:tc>
        <w:tc>
          <w:tcPr>
            <w:tcW w:w="1260" w:type="dxa"/>
            <w:vAlign w:val="bottom"/>
          </w:tcPr>
          <w:p>
            <w:pPr>
              <w:jc w:val="right"/>
              <w:spacing w:after="0" w:line="192"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Pr>
          <w:p>
            <w:pPr>
              <w:spacing w:after="0" w:line="192" w:lineRule="exact"/>
              <w:rPr>
                <w:rFonts w:ascii="Arial" w:cs="Arial" w:eastAsia="Arial" w:hAnsi="Arial"/>
                <w:sz w:val="17"/>
                <w:szCs w:val="17"/>
                <w:b w:val="1"/>
                <w:bCs w:val="1"/>
                <w:color w:val="0000EE"/>
                <w:w w:val="97"/>
              </w:rPr>
            </w:pPr>
            <w:hyperlink w:anchor="page12">
              <w:r>
                <w:rPr>
                  <w:rFonts w:ascii="Arial" w:cs="Arial" w:eastAsia="Arial" w:hAnsi="Arial"/>
                  <w:sz w:val="17"/>
                  <w:szCs w:val="17"/>
                  <w:b w:val="1"/>
                  <w:bCs w:val="1"/>
                  <w:color w:val="0000EE"/>
                  <w:w w:val="97"/>
                </w:rPr>
                <w:t>ITEM 3.</w:t>
              </w:r>
            </w:hyperlink>
          </w:p>
        </w:tc>
        <w:tc>
          <w:tcPr>
            <w:tcW w:w="1020" w:type="dxa"/>
            <w:vAlign w:val="bottom"/>
          </w:tcPr>
          <w:p>
            <w:pPr>
              <w:spacing w:after="0"/>
              <w:rPr>
                <w:sz w:val="16"/>
                <w:szCs w:val="16"/>
                <w:color w:val="auto"/>
              </w:rPr>
            </w:pPr>
          </w:p>
        </w:tc>
        <w:tc>
          <w:tcPr>
            <w:tcW w:w="6180" w:type="dxa"/>
            <w:vAlign w:val="bottom"/>
            <w:gridSpan w:val="7"/>
          </w:tcPr>
          <w:p>
            <w:pPr>
              <w:spacing w:after="0" w:line="192" w:lineRule="exact"/>
              <w:rPr>
                <w:rFonts w:ascii="Arial" w:cs="Arial" w:eastAsia="Arial" w:hAnsi="Arial"/>
                <w:sz w:val="17"/>
                <w:szCs w:val="17"/>
                <w:color w:val="0000EE"/>
              </w:rPr>
            </w:pPr>
            <w:hyperlink w:anchor="page12">
              <w:r>
                <w:rPr>
                  <w:rFonts w:ascii="Arial" w:cs="Arial" w:eastAsia="Arial" w:hAnsi="Arial"/>
                  <w:sz w:val="17"/>
                  <w:szCs w:val="17"/>
                  <w:color w:val="0000EE"/>
                </w:rPr>
                <w:t>Legal Proceedings</w:t>
              </w:r>
            </w:hyperlink>
          </w:p>
        </w:tc>
        <w:tc>
          <w:tcPr>
            <w:tcW w:w="1260" w:type="dxa"/>
            <w:vAlign w:val="bottom"/>
          </w:tcPr>
          <w:p>
            <w:pPr>
              <w:jc w:val="right"/>
              <w:spacing w:after="0" w:line="192"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top w:val="single" w:sz="8" w:color="0000EE"/>
            </w:tcBorders>
            <w:vMerge w:val="restart"/>
          </w:tcPr>
          <w:p>
            <w:pPr>
              <w:spacing w:after="0" w:line="192" w:lineRule="exact"/>
              <w:rPr>
                <w:rFonts w:ascii="Arial" w:cs="Arial" w:eastAsia="Arial" w:hAnsi="Arial"/>
                <w:sz w:val="17"/>
                <w:szCs w:val="17"/>
                <w:b w:val="1"/>
                <w:bCs w:val="1"/>
                <w:color w:val="0000EE"/>
                <w:w w:val="97"/>
              </w:rPr>
            </w:pPr>
            <w:hyperlink w:anchor="page12">
              <w:r>
                <w:rPr>
                  <w:rFonts w:ascii="Arial" w:cs="Arial" w:eastAsia="Arial" w:hAnsi="Arial"/>
                  <w:sz w:val="17"/>
                  <w:szCs w:val="17"/>
                  <w:b w:val="1"/>
                  <w:bCs w:val="1"/>
                  <w:color w:val="0000EE"/>
                  <w:w w:val="97"/>
                </w:rPr>
                <w:t>ITEM 4.</w:t>
              </w:r>
            </w:hyperlink>
          </w:p>
        </w:tc>
        <w:tc>
          <w:tcPr>
            <w:tcW w:w="1020" w:type="dxa"/>
            <w:vAlign w:val="bottom"/>
          </w:tcPr>
          <w:p>
            <w:pPr>
              <w:spacing w:after="0" w:line="20" w:lineRule="exact"/>
              <w:rPr>
                <w:sz w:val="1"/>
                <w:szCs w:val="1"/>
                <w:color w:val="auto"/>
              </w:rPr>
            </w:pPr>
          </w:p>
        </w:tc>
        <w:tc>
          <w:tcPr>
            <w:tcW w:w="1280" w:type="dxa"/>
            <w:vAlign w:val="bottom"/>
            <w:tcBorders>
              <w:top w:val="single" w:sz="8" w:color="0000EE"/>
            </w:tcBorders>
            <w:gridSpan w:val="3"/>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6180" w:type="dxa"/>
            <w:vAlign w:val="bottom"/>
            <w:gridSpan w:val="7"/>
          </w:tcPr>
          <w:p>
            <w:pPr>
              <w:spacing w:after="0" w:line="172" w:lineRule="exact"/>
              <w:rPr>
                <w:rFonts w:ascii="Arial" w:cs="Arial" w:eastAsia="Arial" w:hAnsi="Arial"/>
                <w:sz w:val="17"/>
                <w:szCs w:val="17"/>
                <w:color w:val="0000EE"/>
              </w:rPr>
            </w:pPr>
            <w:hyperlink w:anchor="page12">
              <w:r>
                <w:rPr>
                  <w:rFonts w:ascii="Arial" w:cs="Arial" w:eastAsia="Arial" w:hAnsi="Arial"/>
                  <w:sz w:val="17"/>
                  <w:szCs w:val="17"/>
                  <w:color w:val="0000EE"/>
                </w:rPr>
                <w:t>Submission of Matters to a Vote of Security Holders</w:t>
              </w:r>
            </w:hyperlink>
          </w:p>
        </w:tc>
        <w:tc>
          <w:tcPr>
            <w:tcW w:w="1260" w:type="dxa"/>
            <w:vAlign w:val="bottom"/>
          </w:tcPr>
          <w:p>
            <w:pPr>
              <w:jc w:val="right"/>
              <w:spacing w:after="0" w:line="172"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020" w:type="dxa"/>
            <w:vAlign w:val="bottom"/>
          </w:tcPr>
          <w:p>
            <w:pPr>
              <w:spacing w:after="0"/>
              <w:rPr>
                <w:sz w:val="16"/>
                <w:szCs w:val="16"/>
                <w:color w:val="auto"/>
              </w:rPr>
            </w:pPr>
          </w:p>
        </w:tc>
        <w:tc>
          <w:tcPr>
            <w:tcW w:w="3600" w:type="dxa"/>
            <w:vAlign w:val="bottom"/>
            <w:tcBorders>
              <w:top w:val="single" w:sz="8" w:color="0000EE"/>
            </w:tcBorders>
            <w:gridSpan w:val="5"/>
          </w:tcPr>
          <w:p>
            <w:pPr>
              <w:spacing w:after="0" w:line="192" w:lineRule="exact"/>
              <w:rPr>
                <w:rFonts w:ascii="Arial" w:cs="Arial" w:eastAsia="Arial" w:hAnsi="Arial"/>
                <w:sz w:val="17"/>
                <w:szCs w:val="17"/>
                <w:color w:val="0000EE"/>
              </w:rPr>
            </w:pPr>
            <w:hyperlink w:anchor="page13">
              <w:r>
                <w:rPr>
                  <w:rFonts w:ascii="Arial" w:cs="Arial" w:eastAsia="Arial" w:hAnsi="Arial"/>
                  <w:sz w:val="17"/>
                  <w:szCs w:val="17"/>
                  <w:color w:val="0000EE"/>
                </w:rPr>
                <w:t>Executive Officers of the Registrant</w:t>
              </w:r>
            </w:hyperlink>
          </w:p>
        </w:tc>
        <w:tc>
          <w:tcPr>
            <w:tcW w:w="2580" w:type="dxa"/>
            <w:vAlign w:val="bottom"/>
            <w:gridSpan w:val="2"/>
          </w:tcPr>
          <w:p>
            <w:pPr>
              <w:spacing w:after="0"/>
              <w:rPr>
                <w:sz w:val="16"/>
                <w:szCs w:val="16"/>
                <w:color w:val="auto"/>
              </w:rPr>
            </w:pPr>
          </w:p>
        </w:tc>
        <w:tc>
          <w:tcPr>
            <w:tcW w:w="1260" w:type="dxa"/>
            <w:vAlign w:val="bottom"/>
          </w:tcPr>
          <w:p>
            <w:pPr>
              <w:jc w:val="right"/>
              <w:spacing w:after="0" w:line="192"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7"/>
                <w:szCs w:val="17"/>
                <w:b w:val="1"/>
                <w:bCs w:val="1"/>
                <w:color w:val="0000EE"/>
                <w:w w:val="95"/>
              </w:rPr>
            </w:pPr>
            <w:hyperlink w:anchor="page15">
              <w:r>
                <w:rPr>
                  <w:rFonts w:ascii="Arial" w:cs="Arial" w:eastAsia="Arial" w:hAnsi="Arial"/>
                  <w:sz w:val="17"/>
                  <w:szCs w:val="17"/>
                  <w:b w:val="1"/>
                  <w:bCs w:val="1"/>
                  <w:color w:val="0000EE"/>
                  <w:w w:val="95"/>
                </w:rPr>
                <w:t>PART II</w:t>
              </w:r>
            </w:hyperlink>
          </w:p>
        </w:tc>
        <w:tc>
          <w:tcPr>
            <w:tcW w:w="10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Pr>
          <w:p>
            <w:pPr>
              <w:spacing w:after="0" w:line="192" w:lineRule="exact"/>
              <w:rPr>
                <w:rFonts w:ascii="Arial" w:cs="Arial" w:eastAsia="Arial" w:hAnsi="Arial"/>
                <w:sz w:val="17"/>
                <w:szCs w:val="17"/>
                <w:b w:val="1"/>
                <w:bCs w:val="1"/>
                <w:color w:val="0000EE"/>
                <w:w w:val="97"/>
              </w:rPr>
            </w:pPr>
            <w:hyperlink w:anchor="page15">
              <w:r>
                <w:rPr>
                  <w:rFonts w:ascii="Arial" w:cs="Arial" w:eastAsia="Arial" w:hAnsi="Arial"/>
                  <w:sz w:val="17"/>
                  <w:szCs w:val="17"/>
                  <w:b w:val="1"/>
                  <w:bCs w:val="1"/>
                  <w:color w:val="0000EE"/>
                  <w:w w:val="97"/>
                </w:rPr>
                <w:t>ITEM 5.</w:t>
              </w:r>
            </w:hyperlink>
          </w:p>
        </w:tc>
        <w:tc>
          <w:tcPr>
            <w:tcW w:w="1020" w:type="dxa"/>
            <w:vAlign w:val="bottom"/>
          </w:tcPr>
          <w:p>
            <w:pPr>
              <w:spacing w:after="0"/>
              <w:rPr>
                <w:sz w:val="16"/>
                <w:szCs w:val="16"/>
                <w:color w:val="auto"/>
              </w:rPr>
            </w:pPr>
          </w:p>
        </w:tc>
        <w:tc>
          <w:tcPr>
            <w:tcW w:w="6180" w:type="dxa"/>
            <w:vAlign w:val="bottom"/>
            <w:gridSpan w:val="7"/>
          </w:tcPr>
          <w:p>
            <w:pPr>
              <w:spacing w:after="0" w:line="192" w:lineRule="exact"/>
              <w:rPr>
                <w:rFonts w:ascii="Arial" w:cs="Arial" w:eastAsia="Arial" w:hAnsi="Arial"/>
                <w:sz w:val="17"/>
                <w:szCs w:val="17"/>
                <w:color w:val="0000EE"/>
              </w:rPr>
            </w:pPr>
            <w:hyperlink w:anchor="page15">
              <w:r>
                <w:rPr>
                  <w:rFonts w:ascii="Arial" w:cs="Arial" w:eastAsia="Arial" w:hAnsi="Arial"/>
                  <w:sz w:val="17"/>
                  <w:szCs w:val="17"/>
                  <w:color w:val="0000EE"/>
                </w:rPr>
                <w:t>Market for Registrant’s Common Equity, Related Stockholder Matters, and Issuer</w:t>
              </w:r>
            </w:hyperlink>
          </w:p>
        </w:tc>
        <w:tc>
          <w:tcPr>
            <w:tcW w:w="1260" w:type="dxa"/>
            <w:vAlign w:val="bottom"/>
          </w:tcPr>
          <w:p>
            <w:pPr>
              <w:jc w:val="right"/>
              <w:spacing w:after="0" w:line="192"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122" w:right="1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40" w:type="dxa"/>
            <w:vAlign w:val="bottom"/>
            <w:gridSpan w:val="5"/>
            <w:vMerge w:val="restart"/>
          </w:tcPr>
          <w:p>
            <w:pPr>
              <w:spacing w:after="0"/>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ITEM 6.</w:t>
              </w:r>
            </w:hyperlink>
          </w:p>
        </w:tc>
        <w:tc>
          <w:tcPr>
            <w:tcW w:w="100" w:type="dxa"/>
            <w:vAlign w:val="bottom"/>
          </w:tcPr>
          <w:p>
            <w:pPr>
              <w:spacing w:after="0"/>
              <w:rPr>
                <w:sz w:val="16"/>
                <w:szCs w:val="16"/>
                <w:color w:val="auto"/>
              </w:rPr>
            </w:pPr>
          </w:p>
        </w:tc>
        <w:tc>
          <w:tcPr>
            <w:tcW w:w="2100" w:type="dxa"/>
            <w:vAlign w:val="bottom"/>
            <w:tcBorders>
              <w:bottom w:val="single" w:sz="8" w:color="0000EE"/>
            </w:tcBorders>
            <w:gridSpan w:val="10"/>
          </w:tcPr>
          <w:p>
            <w:pPr>
              <w:spacing w:after="0"/>
              <w:rPr>
                <w:rFonts w:ascii="Arial" w:cs="Arial" w:eastAsia="Arial" w:hAnsi="Arial"/>
                <w:sz w:val="17"/>
                <w:szCs w:val="17"/>
                <w:color w:val="0000EE"/>
                <w:w w:val="90"/>
              </w:rPr>
            </w:pPr>
            <w:hyperlink w:anchor="page15">
              <w:r>
                <w:rPr>
                  <w:rFonts w:ascii="Arial" w:cs="Arial" w:eastAsia="Arial" w:hAnsi="Arial"/>
                  <w:sz w:val="17"/>
                  <w:szCs w:val="17"/>
                  <w:color w:val="0000EE"/>
                  <w:w w:val="90"/>
                </w:rPr>
                <w:t>Purchases of Equity Securities</w:t>
              </w:r>
            </w:hyperlink>
          </w:p>
        </w:tc>
        <w:tc>
          <w:tcPr>
            <w:tcW w:w="4020" w:type="dxa"/>
            <w:vAlign w:val="bottom"/>
            <w:gridSpan w:val="15"/>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40" w:type="dxa"/>
            <w:vAlign w:val="bottom"/>
            <w:gridSpan w:val="5"/>
            <w:vMerge w:val="continue"/>
          </w:tcPr>
          <w:p>
            <w:pPr>
              <w:spacing w:after="0"/>
              <w:rPr>
                <w:sz w:val="16"/>
                <w:szCs w:val="16"/>
                <w:color w:val="auto"/>
              </w:rPr>
            </w:pPr>
          </w:p>
        </w:tc>
        <w:tc>
          <w:tcPr>
            <w:tcW w:w="6220" w:type="dxa"/>
            <w:vAlign w:val="bottom"/>
            <w:gridSpan w:val="26"/>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Selected Financial Data</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17">
              <w:r>
                <w:rPr>
                  <w:rFonts w:ascii="Arial" w:cs="Arial" w:eastAsia="Arial" w:hAnsi="Arial"/>
                  <w:sz w:val="17"/>
                  <w:szCs w:val="17"/>
                  <w:b w:val="1"/>
                  <w:bCs w:val="1"/>
                  <w:color w:val="0000EE"/>
                </w:rPr>
                <w:t>ITEM 7.</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17">
              <w:r>
                <w:rPr>
                  <w:rFonts w:ascii="Arial" w:cs="Arial" w:eastAsia="Arial" w:hAnsi="Arial"/>
                  <w:sz w:val="17"/>
                  <w:szCs w:val="17"/>
                  <w:color w:val="0000EE"/>
                </w:rPr>
                <w:t>Management’s Discussion and Analysis of Financial Condition and Results of</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gridSpan w:val="5"/>
            <w:vMerge w:val="restart"/>
          </w:tcPr>
          <w:p>
            <w:pPr>
              <w:spacing w:after="0" w:line="192" w:lineRule="exact"/>
              <w:rPr>
                <w:rFonts w:ascii="Arial" w:cs="Arial" w:eastAsia="Arial" w:hAnsi="Arial"/>
                <w:sz w:val="17"/>
                <w:szCs w:val="17"/>
                <w:color w:val="0000EE"/>
                <w:w w:val="88"/>
              </w:rPr>
            </w:pPr>
            <w:hyperlink w:anchor="page17">
              <w:r>
                <w:rPr>
                  <w:rFonts w:ascii="Arial" w:cs="Arial" w:eastAsia="Arial" w:hAnsi="Arial"/>
                  <w:sz w:val="17"/>
                  <w:szCs w:val="17"/>
                  <w:color w:val="0000EE"/>
                  <w:w w:val="88"/>
                </w:rPr>
                <w:t>Operations</w:t>
              </w:r>
            </w:hyperlink>
          </w:p>
        </w:tc>
        <w:tc>
          <w:tcPr>
            <w:tcW w:w="4560" w:type="dxa"/>
            <w:vAlign w:val="bottom"/>
            <w:tcBorders>
              <w:top w:val="single" w:sz="8" w:color="0000EE"/>
            </w:tcBorders>
            <w:gridSpan w:val="19"/>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220" w:type="dxa"/>
            <w:vAlign w:val="bottom"/>
            <w:vMerge w:val="restart"/>
          </w:tcPr>
          <w:p>
            <w:pPr>
              <w:jc w:val="right"/>
              <w:spacing w:after="0" w:line="192" w:lineRule="exact"/>
              <w:rPr>
                <w:sz w:val="20"/>
                <w:szCs w:val="20"/>
                <w:color w:val="auto"/>
              </w:rPr>
            </w:pPr>
            <w:r>
              <w:rPr>
                <w:rFonts w:ascii="Arial" w:cs="Arial" w:eastAsia="Arial" w:hAnsi="Arial"/>
                <w:sz w:val="17"/>
                <w:szCs w:val="17"/>
                <w:color w:val="auto"/>
              </w:rPr>
              <w:t>14-26</w:t>
            </w:r>
          </w:p>
        </w:tc>
        <w:tc>
          <w:tcPr>
            <w:tcW w:w="0" w:type="dxa"/>
            <w:vAlign w:val="bottom"/>
          </w:tcPr>
          <w:p>
            <w:pPr>
              <w:spacing w:after="0" w:line="20" w:lineRule="exact"/>
              <w:rPr>
                <w:sz w:val="1"/>
                <w:szCs w:val="1"/>
                <w:color w:val="auto"/>
              </w:rPr>
            </w:pPr>
          </w:p>
        </w:tc>
      </w:tr>
      <w:tr>
        <w:trPr>
          <w:trHeight w:val="177"/>
        </w:trPr>
        <w:tc>
          <w:tcPr>
            <w:tcW w:w="760" w:type="dxa"/>
            <w:vAlign w:val="bottom"/>
            <w:gridSpan w:val="4"/>
            <w:vMerge w:val="restart"/>
          </w:tcPr>
          <w:p>
            <w:pPr>
              <w:spacing w:after="0"/>
              <w:rPr>
                <w:rFonts w:ascii="Arial" w:cs="Arial" w:eastAsia="Arial" w:hAnsi="Arial"/>
                <w:sz w:val="17"/>
                <w:szCs w:val="17"/>
                <w:b w:val="1"/>
                <w:bCs w:val="1"/>
                <w:color w:val="0000EE"/>
              </w:rPr>
            </w:pPr>
            <w:hyperlink w:anchor="page31">
              <w:r>
                <w:rPr>
                  <w:rFonts w:ascii="Arial" w:cs="Arial" w:eastAsia="Arial" w:hAnsi="Arial"/>
                  <w:sz w:val="17"/>
                  <w:szCs w:val="17"/>
                  <w:b w:val="1"/>
                  <w:bCs w:val="1"/>
                  <w:color w:val="0000EE"/>
                </w:rPr>
                <w:t>ITEM 7A.</w:t>
              </w:r>
            </w:hyperlink>
          </w:p>
        </w:tc>
        <w:tc>
          <w:tcPr>
            <w:tcW w:w="8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0000EE"/>
            </w:tcBorders>
            <w:gridSpan w:val="5"/>
            <w:vMerge w:val="continue"/>
          </w:tcPr>
          <w:p>
            <w:pPr>
              <w:spacing w:after="0"/>
              <w:rPr>
                <w:sz w:val="14"/>
                <w:szCs w:val="14"/>
                <w:color w:val="auto"/>
              </w:rPr>
            </w:pPr>
          </w:p>
        </w:tc>
        <w:tc>
          <w:tcPr>
            <w:tcW w:w="4560" w:type="dxa"/>
            <w:vAlign w:val="bottom"/>
            <w:gridSpan w:val="19"/>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0" w:type="dxa"/>
            <w:vAlign w:val="bottom"/>
            <w:gridSpan w:val="4"/>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6220" w:type="dxa"/>
            <w:vAlign w:val="bottom"/>
            <w:gridSpan w:val="26"/>
          </w:tcPr>
          <w:p>
            <w:pPr>
              <w:spacing w:after="0" w:line="192" w:lineRule="exact"/>
              <w:rPr>
                <w:rFonts w:ascii="Arial" w:cs="Arial" w:eastAsia="Arial" w:hAnsi="Arial"/>
                <w:sz w:val="17"/>
                <w:szCs w:val="17"/>
                <w:color w:val="0000EE"/>
              </w:rPr>
            </w:pPr>
            <w:hyperlink w:anchor="page31">
              <w:r>
                <w:rPr>
                  <w:rFonts w:ascii="Arial" w:cs="Arial" w:eastAsia="Arial" w:hAnsi="Arial"/>
                  <w:sz w:val="17"/>
                  <w:szCs w:val="17"/>
                  <w:color w:val="0000EE"/>
                </w:rPr>
                <w:t>Quantitative and Qualitative Disclosures about Market Risk</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26-27</w:t>
            </w:r>
          </w:p>
        </w:tc>
        <w:tc>
          <w:tcPr>
            <w:tcW w:w="0" w:type="dxa"/>
            <w:vAlign w:val="bottom"/>
          </w:tcPr>
          <w:p>
            <w:pPr>
              <w:spacing w:after="0"/>
              <w:rPr>
                <w:sz w:val="1"/>
                <w:szCs w:val="1"/>
                <w:color w:val="auto"/>
              </w:rPr>
            </w:pPr>
          </w:p>
        </w:tc>
      </w:tr>
      <w:tr>
        <w:trPr>
          <w:trHeight w:val="192"/>
        </w:trPr>
        <w:tc>
          <w:tcPr>
            <w:tcW w:w="760" w:type="dxa"/>
            <w:vAlign w:val="bottom"/>
            <w:tcBorders>
              <w:top w:val="single" w:sz="8" w:color="0000EE"/>
            </w:tcBorders>
            <w:gridSpan w:val="4"/>
          </w:tcPr>
          <w:p>
            <w:pPr>
              <w:spacing w:after="0" w:line="192"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ITEM 8.</w:t>
              </w:r>
            </w:hyperlink>
          </w:p>
        </w:tc>
        <w:tc>
          <w:tcPr>
            <w:tcW w:w="880" w:type="dxa"/>
            <w:vAlign w:val="bottom"/>
          </w:tcPr>
          <w:p>
            <w:pPr>
              <w:spacing w:after="0"/>
              <w:rPr>
                <w:sz w:val="16"/>
                <w:szCs w:val="16"/>
                <w:color w:val="auto"/>
              </w:rPr>
            </w:pPr>
          </w:p>
        </w:tc>
        <w:tc>
          <w:tcPr>
            <w:tcW w:w="412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33">
              <w:r>
                <w:rPr>
                  <w:rFonts w:ascii="Arial" w:cs="Arial" w:eastAsia="Arial" w:hAnsi="Arial"/>
                  <w:sz w:val="17"/>
                  <w:szCs w:val="17"/>
                  <w:color w:val="0000EE"/>
                </w:rPr>
                <w:t>Financial Statements and Supplementary Data</w:t>
              </w:r>
            </w:hyperlink>
          </w:p>
        </w:tc>
        <w:tc>
          <w:tcPr>
            <w:tcW w:w="2100" w:type="dxa"/>
            <w:vAlign w:val="bottom"/>
            <w:gridSpan w:val="4"/>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60" w:type="dxa"/>
            <w:vAlign w:val="bottom"/>
            <w:tcBorders>
              <w:bottom w:val="single" w:sz="8" w:color="0000EE"/>
            </w:tcBorders>
            <w:gridSpan w:val="21"/>
          </w:tcPr>
          <w:p>
            <w:pPr>
              <w:spacing w:after="0" w:line="172" w:lineRule="exact"/>
              <w:rPr>
                <w:rFonts w:ascii="Arial" w:cs="Arial" w:eastAsia="Arial" w:hAnsi="Arial"/>
                <w:sz w:val="17"/>
                <w:szCs w:val="17"/>
                <w:color w:val="0000EE"/>
                <w:w w:val="92"/>
              </w:rPr>
            </w:pPr>
            <w:hyperlink w:anchor="page33">
              <w:r>
                <w:rPr>
                  <w:rFonts w:ascii="Arial" w:cs="Arial" w:eastAsia="Arial" w:hAnsi="Arial"/>
                  <w:sz w:val="17"/>
                  <w:szCs w:val="17"/>
                  <w:color w:val="0000EE"/>
                  <w:w w:val="92"/>
                </w:rPr>
                <w:t>Report of Independent Registered Public Accounting Firm</w:t>
              </w:r>
            </w:hyperlink>
          </w:p>
        </w:tc>
        <w:tc>
          <w:tcPr>
            <w:tcW w:w="1540" w:type="dxa"/>
            <w:vAlign w:val="bottom"/>
            <w:gridSpan w:val="3"/>
          </w:tcPr>
          <w:p>
            <w:pPr>
              <w:spacing w:after="0"/>
              <w:rPr>
                <w:sz w:val="14"/>
                <w:szCs w:val="14"/>
                <w:color w:val="auto"/>
              </w:rPr>
            </w:pPr>
          </w:p>
        </w:tc>
        <w:tc>
          <w:tcPr>
            <w:tcW w:w="1220" w:type="dxa"/>
            <w:vAlign w:val="bottom"/>
          </w:tcPr>
          <w:p>
            <w:pPr>
              <w:jc w:val="right"/>
              <w:spacing w:after="0" w:line="172"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0" w:type="dxa"/>
            <w:vAlign w:val="bottom"/>
            <w:gridSpan w:val="24"/>
          </w:tcPr>
          <w:p>
            <w:pPr>
              <w:spacing w:after="0" w:line="192" w:lineRule="exact"/>
              <w:rPr>
                <w:rFonts w:ascii="Arial" w:cs="Arial" w:eastAsia="Arial" w:hAnsi="Arial"/>
                <w:sz w:val="17"/>
                <w:szCs w:val="17"/>
                <w:color w:val="0000EE"/>
              </w:rPr>
            </w:pPr>
            <w:hyperlink w:anchor="page34">
              <w:r>
                <w:rPr>
                  <w:rFonts w:ascii="Arial" w:cs="Arial" w:eastAsia="Arial" w:hAnsi="Arial"/>
                  <w:sz w:val="17"/>
                  <w:szCs w:val="17"/>
                  <w:color w:val="0000EE"/>
                </w:rPr>
                <w:t>Consolidated Statements of Earnings</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tcBorders>
              <w:bottom w:val="single" w:sz="8" w:color="0000EE"/>
            </w:tcBorders>
            <w:gridSpan w:val="20"/>
          </w:tcPr>
          <w:p>
            <w:pPr>
              <w:spacing w:after="0" w:line="192" w:lineRule="exact"/>
              <w:rPr>
                <w:rFonts w:ascii="Arial" w:cs="Arial" w:eastAsia="Arial" w:hAnsi="Arial"/>
                <w:sz w:val="17"/>
                <w:szCs w:val="17"/>
                <w:color w:val="0000EE"/>
                <w:w w:val="89"/>
              </w:rPr>
            </w:pPr>
            <w:hyperlink w:anchor="page34">
              <w:r>
                <w:rPr>
                  <w:rFonts w:ascii="Arial" w:cs="Arial" w:eastAsia="Arial" w:hAnsi="Arial"/>
                  <w:sz w:val="17"/>
                  <w:szCs w:val="17"/>
                  <w:color w:val="0000EE"/>
                  <w:w w:val="89"/>
                </w:rPr>
                <w:t>for the fiscal years ended October 31, 2004, 2003, and 2002</w:t>
              </w:r>
            </w:hyperlink>
          </w:p>
        </w:tc>
        <w:tc>
          <w:tcPr>
            <w:tcW w:w="1380" w:type="dxa"/>
            <w:vAlign w:val="bottom"/>
            <w:gridSpan w:val="2"/>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0" w:type="dxa"/>
            <w:vAlign w:val="bottom"/>
            <w:gridSpan w:val="24"/>
          </w:tcPr>
          <w:p>
            <w:pPr>
              <w:spacing w:after="0" w:line="192" w:lineRule="exact"/>
              <w:rPr>
                <w:rFonts w:ascii="Arial" w:cs="Arial" w:eastAsia="Arial" w:hAnsi="Arial"/>
                <w:sz w:val="17"/>
                <w:szCs w:val="17"/>
                <w:color w:val="0000EE"/>
              </w:rPr>
            </w:pPr>
            <w:hyperlink w:anchor="page35">
              <w:r>
                <w:rPr>
                  <w:rFonts w:ascii="Arial" w:cs="Arial" w:eastAsia="Arial" w:hAnsi="Arial"/>
                  <w:sz w:val="17"/>
                  <w:szCs w:val="17"/>
                  <w:color w:val="0000EE"/>
                </w:rPr>
                <w:t>Consolidated Balance Sheets</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80" w:type="dxa"/>
            <w:vAlign w:val="bottom"/>
            <w:gridSpan w:val="22"/>
          </w:tcPr>
          <w:p>
            <w:pPr>
              <w:spacing w:after="0" w:line="192" w:lineRule="exact"/>
              <w:rPr>
                <w:rFonts w:ascii="Arial" w:cs="Arial" w:eastAsia="Arial" w:hAnsi="Arial"/>
                <w:sz w:val="17"/>
                <w:szCs w:val="17"/>
                <w:color w:val="0000EE"/>
              </w:rPr>
            </w:pPr>
            <w:hyperlink w:anchor="page35">
              <w:r>
                <w:rPr>
                  <w:rFonts w:ascii="Arial" w:cs="Arial" w:eastAsia="Arial" w:hAnsi="Arial"/>
                  <w:sz w:val="17"/>
                  <w:szCs w:val="17"/>
                  <w:color w:val="0000EE"/>
                </w:rPr>
                <w:t>as of October 31, 2004 and 2003</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0" w:type="dxa"/>
            <w:vAlign w:val="bottom"/>
            <w:gridSpan w:val="24"/>
          </w:tcPr>
          <w:p>
            <w:pPr>
              <w:spacing w:after="0" w:line="192" w:lineRule="exact"/>
              <w:rPr>
                <w:rFonts w:ascii="Arial" w:cs="Arial" w:eastAsia="Arial" w:hAnsi="Arial"/>
                <w:sz w:val="17"/>
                <w:szCs w:val="17"/>
                <w:color w:val="0000EE"/>
              </w:rPr>
            </w:pPr>
            <w:hyperlink w:anchor="page36">
              <w:r>
                <w:rPr>
                  <w:rFonts w:ascii="Arial" w:cs="Arial" w:eastAsia="Arial" w:hAnsi="Arial"/>
                  <w:sz w:val="17"/>
                  <w:szCs w:val="17"/>
                  <w:color w:val="0000EE"/>
                </w:rPr>
                <w:t>Consolidated Statements of Cash Flows</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tcBorders>
              <w:bottom w:val="single" w:sz="8" w:color="0000EE"/>
            </w:tcBorders>
            <w:gridSpan w:val="20"/>
          </w:tcPr>
          <w:p>
            <w:pPr>
              <w:spacing w:after="0" w:line="192" w:lineRule="exact"/>
              <w:rPr>
                <w:rFonts w:ascii="Arial" w:cs="Arial" w:eastAsia="Arial" w:hAnsi="Arial"/>
                <w:sz w:val="17"/>
                <w:szCs w:val="17"/>
                <w:color w:val="0000EE"/>
                <w:w w:val="89"/>
              </w:rPr>
            </w:pPr>
            <w:hyperlink w:anchor="page36">
              <w:r>
                <w:rPr>
                  <w:rFonts w:ascii="Arial" w:cs="Arial" w:eastAsia="Arial" w:hAnsi="Arial"/>
                  <w:sz w:val="17"/>
                  <w:szCs w:val="17"/>
                  <w:color w:val="0000EE"/>
                  <w:w w:val="89"/>
                </w:rPr>
                <w:t>for the fiscal years ended October 31, 2004, 2003, and 2002</w:t>
              </w:r>
            </w:hyperlink>
          </w:p>
        </w:tc>
        <w:tc>
          <w:tcPr>
            <w:tcW w:w="1380" w:type="dxa"/>
            <w:vAlign w:val="bottom"/>
            <w:gridSpan w:val="2"/>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0" w:type="dxa"/>
            <w:vAlign w:val="bottom"/>
            <w:gridSpan w:val="24"/>
          </w:tcPr>
          <w:p>
            <w:pPr>
              <w:spacing w:after="0" w:line="192" w:lineRule="exact"/>
              <w:rPr>
                <w:rFonts w:ascii="Arial" w:cs="Arial" w:eastAsia="Arial" w:hAnsi="Arial"/>
                <w:sz w:val="17"/>
                <w:szCs w:val="17"/>
                <w:color w:val="0000EE"/>
              </w:rPr>
            </w:pPr>
            <w:hyperlink w:anchor="page37">
              <w:r>
                <w:rPr>
                  <w:rFonts w:ascii="Arial" w:cs="Arial" w:eastAsia="Arial" w:hAnsi="Arial"/>
                  <w:sz w:val="17"/>
                  <w:szCs w:val="17"/>
                  <w:color w:val="0000EE"/>
                </w:rPr>
                <w:t>Consolidated Statements of Stockholders’ Equity</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tcBorders>
              <w:bottom w:val="single" w:sz="8" w:color="0000EE"/>
            </w:tcBorders>
            <w:gridSpan w:val="20"/>
          </w:tcPr>
          <w:p>
            <w:pPr>
              <w:spacing w:after="0" w:line="192" w:lineRule="exact"/>
              <w:rPr>
                <w:rFonts w:ascii="Arial" w:cs="Arial" w:eastAsia="Arial" w:hAnsi="Arial"/>
                <w:sz w:val="17"/>
                <w:szCs w:val="17"/>
                <w:color w:val="0000EE"/>
                <w:w w:val="89"/>
              </w:rPr>
            </w:pPr>
            <w:hyperlink w:anchor="page37">
              <w:r>
                <w:rPr>
                  <w:rFonts w:ascii="Arial" w:cs="Arial" w:eastAsia="Arial" w:hAnsi="Arial"/>
                  <w:sz w:val="17"/>
                  <w:szCs w:val="17"/>
                  <w:color w:val="0000EE"/>
                  <w:w w:val="89"/>
                </w:rPr>
                <w:t>for the fiscal years ended October 31, 2004, 2003, and 2002</w:t>
              </w:r>
            </w:hyperlink>
          </w:p>
        </w:tc>
        <w:tc>
          <w:tcPr>
            <w:tcW w:w="1380" w:type="dxa"/>
            <w:vAlign w:val="bottom"/>
            <w:gridSpan w:val="2"/>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92"/>
        </w:trPr>
        <w:tc>
          <w:tcPr>
            <w:tcW w:w="1640" w:type="dxa"/>
            <w:vAlign w:val="bottom"/>
            <w:gridSpan w:val="5"/>
            <w:vMerge w:val="restart"/>
          </w:tcPr>
          <w:p>
            <w:pPr>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ITEM 9.</w:t>
              </w:r>
            </w:hyperlink>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0" w:type="dxa"/>
            <w:vAlign w:val="bottom"/>
            <w:gridSpan w:val="24"/>
          </w:tcPr>
          <w:p>
            <w:pPr>
              <w:spacing w:after="0" w:line="192" w:lineRule="exact"/>
              <w:rPr>
                <w:rFonts w:ascii="Arial" w:cs="Arial" w:eastAsia="Arial" w:hAnsi="Arial"/>
                <w:sz w:val="17"/>
                <w:szCs w:val="17"/>
                <w:color w:val="0000EE"/>
              </w:rPr>
            </w:pPr>
            <w:hyperlink w:anchor="page38">
              <w:r>
                <w:rPr>
                  <w:rFonts w:ascii="Arial" w:cs="Arial" w:eastAsia="Arial" w:hAnsi="Arial"/>
                  <w:sz w:val="17"/>
                  <w:szCs w:val="17"/>
                  <w:color w:val="0000EE"/>
                </w:rPr>
                <w:t>Notes to Consolidated Financial Statements</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33-46</w:t>
            </w:r>
          </w:p>
        </w:tc>
        <w:tc>
          <w:tcPr>
            <w:tcW w:w="0" w:type="dxa"/>
            <w:vAlign w:val="bottom"/>
          </w:tcPr>
          <w:p>
            <w:pPr>
              <w:spacing w:after="0"/>
              <w:rPr>
                <w:sz w:val="1"/>
                <w:szCs w:val="1"/>
                <w:color w:val="auto"/>
              </w:rPr>
            </w:pPr>
          </w:p>
        </w:tc>
      </w:tr>
      <w:tr>
        <w:trPr>
          <w:trHeight w:val="20"/>
        </w:trPr>
        <w:tc>
          <w:tcPr>
            <w:tcW w:w="1640" w:type="dxa"/>
            <w:vAlign w:val="bottom"/>
            <w:gridSpan w:val="5"/>
            <w:vMerge w:val="continu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vMerge w:val="continue"/>
          </w:tcPr>
          <w:p>
            <w:pPr>
              <w:spacing w:after="0"/>
              <w:rPr>
                <w:sz w:val="16"/>
                <w:szCs w:val="16"/>
                <w:color w:val="auto"/>
              </w:rPr>
            </w:pPr>
          </w:p>
        </w:tc>
        <w:tc>
          <w:tcPr>
            <w:tcW w:w="6220" w:type="dxa"/>
            <w:vAlign w:val="bottom"/>
            <w:gridSpan w:val="26"/>
          </w:tcPr>
          <w:p>
            <w:pPr>
              <w:spacing w:after="0" w:line="192" w:lineRule="exact"/>
              <w:rPr>
                <w:rFonts w:ascii="Arial" w:cs="Arial" w:eastAsia="Arial" w:hAnsi="Arial"/>
                <w:sz w:val="17"/>
                <w:szCs w:val="17"/>
                <w:color w:val="0000EE"/>
              </w:rPr>
            </w:pPr>
            <w:hyperlink w:anchor="page58">
              <w:r>
                <w:rPr>
                  <w:rFonts w:ascii="Arial" w:cs="Arial" w:eastAsia="Arial" w:hAnsi="Arial"/>
                  <w:sz w:val="17"/>
                  <w:szCs w:val="17"/>
                  <w:color w:val="0000EE"/>
                </w:rPr>
                <w:t>Changes in and Disagreements with Accountants on Accounting and Financial</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 w:type="dxa"/>
            <w:vAlign w:val="bottom"/>
            <w:gridSpan w:val="4"/>
            <w:vMerge w:val="restart"/>
          </w:tcPr>
          <w:p>
            <w:pPr>
              <w:spacing w:after="0"/>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9A.</w:t>
              </w:r>
            </w:hyperlink>
          </w:p>
        </w:tc>
        <w:tc>
          <w:tcPr>
            <w:tcW w:w="8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0000EE"/>
            </w:tcBorders>
            <w:gridSpan w:val="4"/>
          </w:tcPr>
          <w:p>
            <w:pPr>
              <w:spacing w:after="0" w:line="192" w:lineRule="exact"/>
              <w:rPr>
                <w:rFonts w:ascii="Arial" w:cs="Arial" w:eastAsia="Arial" w:hAnsi="Arial"/>
                <w:sz w:val="17"/>
                <w:szCs w:val="17"/>
                <w:color w:val="0000EE"/>
                <w:w w:val="90"/>
              </w:rPr>
            </w:pPr>
            <w:hyperlink w:anchor="page58">
              <w:r>
                <w:rPr>
                  <w:rFonts w:ascii="Arial" w:cs="Arial" w:eastAsia="Arial" w:hAnsi="Arial"/>
                  <w:sz w:val="17"/>
                  <w:szCs w:val="17"/>
                  <w:color w:val="0000EE"/>
                  <w:w w:val="90"/>
                </w:rPr>
                <w:t>Disclosure</w:t>
              </w:r>
            </w:hyperlink>
          </w:p>
        </w:tc>
        <w:tc>
          <w:tcPr>
            <w:tcW w:w="5380" w:type="dxa"/>
            <w:vAlign w:val="bottom"/>
            <w:gridSpan w:val="21"/>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92"/>
        </w:trPr>
        <w:tc>
          <w:tcPr>
            <w:tcW w:w="760" w:type="dxa"/>
            <w:vAlign w:val="bottom"/>
            <w:tcBorders>
              <w:bottom w:val="single" w:sz="8" w:color="0000EE"/>
            </w:tcBorders>
            <w:gridSpan w:val="4"/>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00" w:type="dxa"/>
            <w:vAlign w:val="bottom"/>
            <w:tcBorders>
              <w:bottom w:val="single" w:sz="8" w:color="0000EE"/>
            </w:tcBorders>
            <w:gridSpan w:val="9"/>
          </w:tcPr>
          <w:p>
            <w:pPr>
              <w:spacing w:after="0" w:line="192" w:lineRule="exact"/>
              <w:rPr>
                <w:rFonts w:ascii="Arial" w:cs="Arial" w:eastAsia="Arial" w:hAnsi="Arial"/>
                <w:sz w:val="17"/>
                <w:szCs w:val="17"/>
                <w:color w:val="0000EE"/>
                <w:w w:val="89"/>
              </w:rPr>
            </w:pPr>
            <w:hyperlink w:anchor="page59">
              <w:r>
                <w:rPr>
                  <w:rFonts w:ascii="Arial" w:cs="Arial" w:eastAsia="Arial" w:hAnsi="Arial"/>
                  <w:sz w:val="17"/>
                  <w:szCs w:val="17"/>
                  <w:color w:val="0000EE"/>
                  <w:w w:val="89"/>
                </w:rPr>
                <w:t>Controls and Procedures</w:t>
              </w:r>
            </w:hyperlink>
          </w:p>
        </w:tc>
        <w:tc>
          <w:tcPr>
            <w:tcW w:w="4520" w:type="dxa"/>
            <w:vAlign w:val="bottom"/>
            <w:gridSpan w:val="17"/>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92"/>
        </w:trPr>
        <w:tc>
          <w:tcPr>
            <w:tcW w:w="740" w:type="dxa"/>
            <w:vAlign w:val="bottom"/>
            <w:gridSpan w:val="3"/>
          </w:tcPr>
          <w:p>
            <w:pPr>
              <w:spacing w:after="0" w:line="192"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9B.</w:t>
              </w:r>
            </w:hyperlink>
          </w:p>
        </w:tc>
        <w:tc>
          <w:tcPr>
            <w:tcW w:w="900" w:type="dxa"/>
            <w:vAlign w:val="bottom"/>
            <w:gridSpan w:val="2"/>
          </w:tcPr>
          <w:p>
            <w:pPr>
              <w:spacing w:after="0"/>
              <w:rPr>
                <w:sz w:val="16"/>
                <w:szCs w:val="16"/>
                <w:color w:val="auto"/>
              </w:rPr>
            </w:pPr>
          </w:p>
        </w:tc>
        <w:tc>
          <w:tcPr>
            <w:tcW w:w="6220" w:type="dxa"/>
            <w:vAlign w:val="bottom"/>
            <w:gridSpan w:val="26"/>
          </w:tcPr>
          <w:p>
            <w:pPr>
              <w:spacing w:after="0" w:line="192" w:lineRule="exact"/>
              <w:rPr>
                <w:rFonts w:ascii="Arial" w:cs="Arial" w:eastAsia="Arial" w:hAnsi="Arial"/>
                <w:sz w:val="17"/>
                <w:szCs w:val="17"/>
                <w:color w:val="0000EE"/>
              </w:rPr>
            </w:pPr>
            <w:hyperlink w:anchor="page59">
              <w:r>
                <w:rPr>
                  <w:rFonts w:ascii="Arial" w:cs="Arial" w:eastAsia="Arial" w:hAnsi="Arial"/>
                  <w:sz w:val="17"/>
                  <w:szCs w:val="17"/>
                  <w:color w:val="0000EE"/>
                </w:rPr>
                <w:t>Other Information</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403"/>
        </w:trPr>
        <w:tc>
          <w:tcPr>
            <w:tcW w:w="700" w:type="dxa"/>
            <w:vAlign w:val="bottom"/>
            <w:tcBorders>
              <w:top w:val="single" w:sz="8" w:color="0000EE"/>
              <w:bottom w:val="single" w:sz="8" w:color="0000EE"/>
            </w:tcBorders>
            <w:gridSpan w:val="2"/>
          </w:tcPr>
          <w:p>
            <w:pPr>
              <w:spacing w:after="0"/>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PART III</w:t>
              </w:r>
            </w:hyperlink>
          </w:p>
        </w:tc>
        <w:tc>
          <w:tcPr>
            <w:tcW w:w="40" w:type="dxa"/>
            <w:vAlign w:val="bottom"/>
            <w:tcBorders>
              <w:top w:val="single" w:sz="8" w:color="0000EE"/>
            </w:tcBorders>
          </w:tcPr>
          <w:p>
            <w:pPr>
              <w:spacing w:after="0"/>
              <w:rPr>
                <w:sz w:val="24"/>
                <w:szCs w:val="24"/>
                <w:color w:val="auto"/>
              </w:rPr>
            </w:pPr>
          </w:p>
        </w:tc>
        <w:tc>
          <w:tcPr>
            <w:tcW w:w="900" w:type="dxa"/>
            <w:vAlign w:val="bottom"/>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10.</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59">
              <w:r>
                <w:rPr>
                  <w:rFonts w:ascii="Arial" w:cs="Arial" w:eastAsia="Arial" w:hAnsi="Arial"/>
                  <w:sz w:val="17"/>
                  <w:szCs w:val="17"/>
                  <w:color w:val="0000EE"/>
                </w:rPr>
                <w:t>Directors and Executive Officers of the Registrant</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11.</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59">
              <w:r>
                <w:rPr>
                  <w:rFonts w:ascii="Arial" w:cs="Arial" w:eastAsia="Arial" w:hAnsi="Arial"/>
                  <w:sz w:val="17"/>
                  <w:szCs w:val="17"/>
                  <w:color w:val="0000EE"/>
                </w:rPr>
                <w:t>Executive Compensation</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tcBorders>
              <w:right w:val="single" w:sz="8" w:color="0000EE"/>
            </w:tcBorders>
            <w:gridSpan w:val="4"/>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12.</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59">
              <w:r>
                <w:rPr>
                  <w:rFonts w:ascii="Arial" w:cs="Arial" w:eastAsia="Arial" w:hAnsi="Arial"/>
                  <w:sz w:val="17"/>
                  <w:szCs w:val="17"/>
                  <w:color w:val="0000EE"/>
                </w:rPr>
                <w:t>Security Ownership of Certain Beneficial Owners and Management</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ITEM 13.</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60">
              <w:r>
                <w:rPr>
                  <w:rFonts w:ascii="Arial" w:cs="Arial" w:eastAsia="Arial" w:hAnsi="Arial"/>
                  <w:sz w:val="17"/>
                  <w:szCs w:val="17"/>
                  <w:color w:val="0000EE"/>
                </w:rPr>
                <w:t>Certain Relationships and Related Transactions</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ITEM 14.</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60">
              <w:r>
                <w:rPr>
                  <w:rFonts w:ascii="Arial" w:cs="Arial" w:eastAsia="Arial" w:hAnsi="Arial"/>
                  <w:sz w:val="17"/>
                  <w:szCs w:val="17"/>
                  <w:color w:val="0000EE"/>
                </w:rPr>
                <w:t>Principal Accountant Fees and Services</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403"/>
        </w:trPr>
        <w:tc>
          <w:tcPr>
            <w:tcW w:w="700" w:type="dxa"/>
            <w:vAlign w:val="bottom"/>
            <w:tcBorders>
              <w:top w:val="single" w:sz="8" w:color="0000EE"/>
              <w:bottom w:val="single" w:sz="8" w:color="0000EE"/>
            </w:tcBorders>
            <w:gridSpan w:val="2"/>
          </w:tcPr>
          <w:p>
            <w:pPr>
              <w:spacing w:after="0"/>
              <w:rPr>
                <w:rFonts w:ascii="Arial" w:cs="Arial" w:eastAsia="Arial" w:hAnsi="Arial"/>
                <w:sz w:val="17"/>
                <w:szCs w:val="17"/>
                <w:b w:val="1"/>
                <w:bCs w:val="1"/>
                <w:color w:val="0000EE"/>
                <w:w w:val="98"/>
              </w:rPr>
            </w:pPr>
            <w:hyperlink w:anchor="page60">
              <w:r>
                <w:rPr>
                  <w:rFonts w:ascii="Arial" w:cs="Arial" w:eastAsia="Arial" w:hAnsi="Arial"/>
                  <w:sz w:val="17"/>
                  <w:szCs w:val="17"/>
                  <w:b w:val="1"/>
                  <w:bCs w:val="1"/>
                  <w:color w:val="0000EE"/>
                  <w:w w:val="98"/>
                </w:rPr>
                <w:t>PART IV</w:t>
              </w:r>
            </w:hyperlink>
          </w:p>
        </w:tc>
        <w:tc>
          <w:tcPr>
            <w:tcW w:w="940" w:type="dxa"/>
            <w:vAlign w:val="bottom"/>
            <w:gridSpan w:val="3"/>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40" w:type="dxa"/>
            <w:vAlign w:val="bottom"/>
            <w:gridSpan w:val="5"/>
          </w:tcPr>
          <w:p>
            <w:pPr>
              <w:spacing w:after="0" w:line="192" w:lineRule="exact"/>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ITEM 15.</w:t>
              </w:r>
            </w:hyperlink>
          </w:p>
        </w:tc>
        <w:tc>
          <w:tcPr>
            <w:tcW w:w="6220" w:type="dxa"/>
            <w:vAlign w:val="bottom"/>
            <w:gridSpan w:val="26"/>
          </w:tcPr>
          <w:p>
            <w:pPr>
              <w:spacing w:after="0" w:line="192" w:lineRule="exact"/>
              <w:rPr>
                <w:rFonts w:ascii="Arial" w:cs="Arial" w:eastAsia="Arial" w:hAnsi="Arial"/>
                <w:sz w:val="17"/>
                <w:szCs w:val="17"/>
                <w:color w:val="0000EE"/>
              </w:rPr>
            </w:pPr>
            <w:hyperlink w:anchor="page60">
              <w:r>
                <w:rPr>
                  <w:rFonts w:ascii="Arial" w:cs="Arial" w:eastAsia="Arial" w:hAnsi="Arial"/>
                  <w:sz w:val="17"/>
                  <w:szCs w:val="17"/>
                  <w:color w:val="0000EE"/>
                </w:rPr>
                <w:t>Exhibits and Financial Statement Schedules</w:t>
              </w:r>
            </w:hyperlink>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48-50</w:t>
            </w:r>
          </w:p>
        </w:tc>
        <w:tc>
          <w:tcPr>
            <w:tcW w:w="0" w:type="dxa"/>
            <w:vAlign w:val="bottom"/>
          </w:tcPr>
          <w:p>
            <w:pPr>
              <w:spacing w:after="0"/>
              <w:rPr>
                <w:sz w:val="1"/>
                <w:szCs w:val="1"/>
                <w:color w:val="auto"/>
              </w:rPr>
            </w:pPr>
          </w:p>
        </w:tc>
      </w:tr>
      <w:tr>
        <w:trPr>
          <w:trHeight w:val="192"/>
        </w:trPr>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86"/>
              </w:rPr>
            </w:pPr>
            <w:hyperlink w:anchor="page63">
              <w:r>
                <w:rPr>
                  <w:rFonts w:ascii="Arial" w:cs="Arial" w:eastAsia="Arial" w:hAnsi="Arial"/>
                  <w:sz w:val="17"/>
                  <w:szCs w:val="17"/>
                  <w:color w:val="0000EE"/>
                  <w:w w:val="86"/>
                </w:rPr>
                <w:t>Signatures</w:t>
              </w:r>
            </w:hyperlink>
          </w:p>
        </w:tc>
        <w:tc>
          <w:tcPr>
            <w:tcW w:w="2280" w:type="dxa"/>
            <w:vAlign w:val="bottom"/>
            <w:tcBorders>
              <w:top w:val="single" w:sz="8" w:color="0000EE"/>
            </w:tcBorders>
            <w:gridSpan w:val="11"/>
          </w:tcPr>
          <w:p>
            <w:pPr>
              <w:spacing w:after="0"/>
              <w:rPr>
                <w:sz w:val="16"/>
                <w:szCs w:val="16"/>
                <w:color w:val="auto"/>
              </w:rPr>
            </w:pPr>
          </w:p>
        </w:tc>
        <w:tc>
          <w:tcPr>
            <w:tcW w:w="3200" w:type="dxa"/>
            <w:vAlign w:val="bottom"/>
            <w:gridSpan w:val="11"/>
          </w:tcPr>
          <w:p>
            <w:pPr>
              <w:spacing w:after="0"/>
              <w:rPr>
                <w:sz w:val="16"/>
                <w:szCs w:val="16"/>
                <w:color w:val="auto"/>
              </w:rPr>
            </w:pPr>
          </w:p>
        </w:tc>
        <w:tc>
          <w:tcPr>
            <w:tcW w:w="1220" w:type="dxa"/>
            <w:vAlign w:val="bottom"/>
          </w:tcPr>
          <w:p>
            <w:pPr>
              <w:jc w:val="right"/>
              <w:spacing w:after="0" w:line="192"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Specimen Form of Common Stock Certificate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2000 Directors Stock Plan, as amended</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Computation of Ratio of Earnings to Fixed Charges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Consent of Independent Registered Public Accounting Firm</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Pursuant to Rule 13a-14(a)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Pursuant to Rule 13a-14(a)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Pursuant to 18 U.S.C. Section 1350</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147955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80"/>
          </w:cols>
          <w:pgMar w:left="1440" w:top="116" w:right="1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Introduction</w:t>
      </w: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 xml:space="preserve">The Toro Company was incorporated in Minnesota in 1935 as a successor to a business founded in 1914 and reincorporated in Delaware in 1983. Unless the context indicates otherwise, the terms “company,” “Toro,” and “we” refer to The Toro Company and its subsidiaries. Our executive offices are located at 8111 Lyndale Avenue South, Bloomington, Minnesota 55420-1196, telephone number (952) 888-8801. Our Internet address is </w:t>
      </w:r>
      <w:r>
        <w:rPr>
          <w:rFonts w:ascii="Arial" w:cs="Arial" w:eastAsia="Arial" w:hAnsi="Arial"/>
          <w:sz w:val="16"/>
          <w:szCs w:val="16"/>
          <w:u w:val="single" w:color="auto"/>
          <w:color w:val="auto"/>
        </w:rPr>
        <w:t>www.toro.com</w:t>
      </w:r>
      <w:r>
        <w:rPr>
          <w:rFonts w:ascii="Arial" w:cs="Arial" w:eastAsia="Arial" w:hAnsi="Arial"/>
          <w:sz w:val="16"/>
          <w:szCs w:val="16"/>
          <w:color w:val="auto"/>
        </w:rPr>
        <w:t xml:space="preserve"> for Toro branded product related information and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for corporate and investor information. The information contained on our web site or connected to our web site is not incorporated by reference into this Annual Report on Form 10-K and should not be considered part of this report.</w:t>
      </w:r>
    </w:p>
    <w:p>
      <w:pPr>
        <w:spacing w:after="0" w:line="2" w:lineRule="exact"/>
        <w:rPr>
          <w:sz w:val="20"/>
          <w:szCs w:val="20"/>
          <w:color w:val="auto"/>
        </w:rPr>
      </w:pPr>
    </w:p>
    <w:p>
      <w:pPr>
        <w:ind w:right="40" w:firstLine="83"/>
        <w:spacing w:after="0" w:line="259" w:lineRule="auto"/>
        <w:rPr>
          <w:sz w:val="20"/>
          <w:szCs w:val="20"/>
          <w:color w:val="auto"/>
        </w:rPr>
      </w:pPr>
      <w:r>
        <w:rPr>
          <w:rFonts w:ascii="Arial" w:cs="Arial" w:eastAsia="Arial" w:hAnsi="Arial"/>
          <w:sz w:val="17"/>
          <w:szCs w:val="17"/>
          <w:color w:val="auto"/>
        </w:rPr>
        <w:t>We design, manufacture, and market professional turf maintenance equipment and services, turf and agricultural irrigation systems, landscaping equipment, and residential yard products. We produced our first lawn mower for golf course usage in 1921 and our first lawn mower for home use in 1939, and we have continued to enhance our product lines ever since. We classify our operations into three reportable segments: professional, residential, and distribution. A fourth segment called “other” consists of corporate functions and Toro Credit Company, a wholly owned financing subsidiary. Net sales of our segments accounted for the following approximate percentages of our consolidated net sales for fiscal years 2004, 2003, and 2002: Professional, 62 percent; Residential, 34 percent; Distribution and Other, 4 percent.</w:t>
      </w:r>
    </w:p>
    <w:p>
      <w:pPr>
        <w:spacing w:after="0" w:line="4" w:lineRule="exact"/>
        <w:rPr>
          <w:sz w:val="20"/>
          <w:szCs w:val="20"/>
          <w:color w:val="auto"/>
        </w:rPr>
      </w:pPr>
    </w:p>
    <w:p>
      <w:pPr>
        <w:ind w:right="40" w:firstLine="86"/>
        <w:spacing w:after="0" w:line="263" w:lineRule="auto"/>
        <w:rPr>
          <w:sz w:val="20"/>
          <w:szCs w:val="20"/>
          <w:color w:val="auto"/>
        </w:rPr>
      </w:pPr>
      <w:r>
        <w:rPr>
          <w:rFonts w:ascii="Arial" w:cs="Arial" w:eastAsia="Arial" w:hAnsi="Arial"/>
          <w:sz w:val="17"/>
          <w:szCs w:val="17"/>
          <w:color w:val="auto"/>
        </w:rPr>
        <w:t>Our products are nationally advertised and sold at the retail level under the primary trademarks of Toro®, Toro® Wheel Horse®, Lawn-Boy®, Irritrol® Systems, Exmark®, Toro® Dingo®, Aqua-TraXX®, Pope®, and Lawn Genie®, most of which are registered in the United States and in the principal foreign countries where we market our products. This report also contains trademarks, trade names, and service marks that are owned by other persons or entities, such as The Home Depot. We emphasize quality and innovation in our customer service, products,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significant portion of our revenues has historically been attributable to new and enhanced products.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Strategy</w:t>
      </w:r>
    </w:p>
    <w:p>
      <w:pPr>
        <w:spacing w:after="0" w:line="227"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Fiscal 2004 marked the beginning of our next generation initiative called “6 + 8: Teamwork to the Top.” The goals of this initiative are to achieve a consistent after-tax return on sales of 6 percent or more and grow revenues at an average annual rate of 8 percent or more over the three-year period ending October 31, 2006.</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focus areas of this initiative are:</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Lean/No Waste. </w:t>
      </w:r>
      <w:r>
        <w:rPr>
          <w:rFonts w:ascii="Arial" w:cs="Arial" w:eastAsia="Arial" w:hAnsi="Arial"/>
          <w:sz w:val="16"/>
          <w:szCs w:val="16"/>
          <w:color w:val="auto"/>
        </w:rPr>
        <w:t>The mindset of driving change and process improvement developed with our former “5 by Five” initiative during fiscal years 2000 through 2003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continued with this new initiative that is linked to applying “Lean” methods in our manufacturing plants and offices. Throughout the organization, we are rethinking our business and manufacturing processes to make us more efficient and responsive. Employees are engaged in cross-functional teams of line and staff employees to take a fresh look at their jobs and processes to eliminate waste and unnecessary steps that do not add value.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Investing in Growth. </w:t>
      </w:r>
      <w:r>
        <w:rPr>
          <w:rFonts w:ascii="Arial" w:cs="Arial" w:eastAsia="Arial" w:hAnsi="Arial"/>
          <w:sz w:val="17"/>
          <w:szCs w:val="17"/>
          <w:color w:val="auto"/>
        </w:rPr>
        <w:t>At the same time, we recognize the need to drive stronger revenue growth through accelerated investments in innovative products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branding, new technologies, and expansion in current and new markets. We are redirecting a portion of our Lean/ No Waste savings to finding new and better solutions that address customer problems to create market differentiation, generate higher margins, and build strong and unique brands. As sales increase, we will continue to reinvest in research and development to sustain our legacy of market leadership.</w:t>
      </w:r>
    </w:p>
    <w:p>
      <w:pPr>
        <w:spacing w:after="0" w:line="185" w:lineRule="exact"/>
        <w:rPr>
          <w:sz w:val="20"/>
          <w:szCs w:val="20"/>
          <w:color w:val="auto"/>
        </w:rPr>
      </w:pPr>
    </w:p>
    <w:p>
      <w:pPr>
        <w:ind w:right="220"/>
        <w:spacing w:after="0" w:line="315" w:lineRule="auto"/>
        <w:rPr>
          <w:sz w:val="20"/>
          <w:szCs w:val="20"/>
          <w:color w:val="auto"/>
        </w:rPr>
      </w:pPr>
      <w:r>
        <w:rPr>
          <w:rFonts w:ascii="Arial" w:cs="Arial" w:eastAsia="Arial" w:hAnsi="Arial"/>
          <w:sz w:val="15"/>
          <w:szCs w:val="15"/>
          <w:b w:val="1"/>
          <w:bCs w:val="1"/>
          <w:i w:val="1"/>
          <w:iCs w:val="1"/>
          <w:color w:val="auto"/>
        </w:rPr>
        <w:t xml:space="preserve">Strengthening Culture. </w:t>
      </w:r>
      <w:r>
        <w:rPr>
          <w:rFonts w:ascii="Arial" w:cs="Arial" w:eastAsia="Arial" w:hAnsi="Arial"/>
          <w:sz w:val="15"/>
          <w:szCs w:val="15"/>
          <w:color w:val="auto"/>
        </w:rPr>
        <w:t>We are taking steps to continue to strengthen our long-standing cultural values that are designed to maximize our organizational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effectiveness and creativity, with particular emphasis on teamwork and partnership, communication, job requirements, and customer responsiveness. We recognize that the collective contributions, energy, and commitment of our employees are the key factors in our success. Therefore, we will continue to invest in education, surveys, focus groups, and other methods to ensure all employees are engaged in a mindset of continuous improvement that will deliver sustainable results.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 by Market</w:t>
      </w:r>
    </w:p>
    <w:p>
      <w:pPr>
        <w:spacing w:after="0" w:line="22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continue to be a leader in adapting advanced technologies to products and services that provide solutions for landscape, turf care maintenance, and residential demands. Following is a summary of our products by market for the professional and residential segments: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Professional – </w:t>
      </w:r>
      <w:r>
        <w:rPr>
          <w:rFonts w:ascii="Arial" w:cs="Arial" w:eastAsia="Arial" w:hAnsi="Arial"/>
          <w:sz w:val="16"/>
          <w:szCs w:val="16"/>
          <w:color w:val="auto"/>
        </w:rPr>
        <w:t>We design professional turf products and market them worldwide through a network of distributors and dealers as well as directly to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and rental centers.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that began in 1921 with tractor-towed mowers for golf courses. Over time, we have expanded our product lines to include products designed for large turf areas, such as golf courses, schools, parks, cemeteries, sports fields, industrial sites, apartments, and townhouse complexes.</w:t>
      </w:r>
    </w:p>
    <w:p>
      <w:pPr>
        <w:spacing w:after="0" w:line="172"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i w:val="1"/>
          <w:iCs w:val="1"/>
          <w:color w:val="auto"/>
        </w:rPr>
        <w:t xml:space="preserve">Landscape Contractor Market. </w:t>
      </w:r>
      <w:r>
        <w:rPr>
          <w:rFonts w:ascii="Arial" w:cs="Arial" w:eastAsia="Arial" w:hAnsi="Arial"/>
          <w:sz w:val="15"/>
          <w:szCs w:val="15"/>
          <w:color w:val="auto"/>
        </w:rPr>
        <w:t>Products for the landscape contractor market include zero-turning radius riding mowers, 21-inch heavy-duty walk behind mowers,</w:t>
      </w:r>
      <w:r>
        <w:rPr>
          <w:rFonts w:ascii="Arial" w:cs="Arial" w:eastAsia="Arial" w:hAnsi="Arial"/>
          <w:sz w:val="15"/>
          <w:szCs w:val="15"/>
          <w:i w:val="1"/>
          <w:iCs w:val="1"/>
          <w:color w:val="auto"/>
        </w:rPr>
        <w:t xml:space="preserve"> </w:t>
      </w:r>
      <w:r>
        <w:rPr>
          <w:rFonts w:ascii="Arial" w:cs="Arial" w:eastAsia="Arial" w:hAnsi="Arial"/>
          <w:sz w:val="15"/>
          <w:szCs w:val="15"/>
          <w:color w:val="auto"/>
        </w:rPr>
        <w:t>mid-size walk behind mowers, and compact utility loaders. These products are sold through distributors and dealers, and are also available through rental centers to individuals and companies who maintain and create residential and commercial landscapes on behalf of property owners. We market products to landscape contractors under the Toro, Exmark, and Lawn-Boy brands. In fiscal 2004, we introduced a new line of Toro 400 Series compact zero-turning radius riding mowers.</w:t>
      </w:r>
    </w:p>
    <w:p>
      <w:pPr>
        <w:spacing w:after="0" w:line="153" w:lineRule="exact"/>
        <w:rPr>
          <w:sz w:val="20"/>
          <w:szCs w:val="20"/>
          <w:color w:val="auto"/>
        </w:rPr>
      </w:pPr>
    </w:p>
    <w:p>
      <w:pPr>
        <w:ind w:firstLine="86"/>
        <w:spacing w:after="0" w:line="273" w:lineRule="auto"/>
        <w:rPr>
          <w:sz w:val="20"/>
          <w:szCs w:val="20"/>
          <w:color w:val="auto"/>
        </w:rPr>
      </w:pPr>
      <w:r>
        <w:rPr>
          <w:rFonts w:ascii="Arial" w:cs="Arial" w:eastAsia="Arial" w:hAnsi="Arial"/>
          <w:sz w:val="17"/>
          <w:szCs w:val="17"/>
          <w:color w:val="auto"/>
        </w:rPr>
        <w:t>Our compact utility loaders are cornerstone products for the Toro Sitework Systems product line. These products are designed to improve efficiency in the creation of landscapes. We offer over 35 attachments for our compact utility loaders, including trenchers, augers, vibratory plows, and backhoes. In fiscal 2004, we introduced the Toro Dingo TX 413, our smallest utility loader, offered with a specially designed trailer for the rental market.</w:t>
      </w:r>
    </w:p>
    <w:p>
      <w:pPr>
        <w:spacing w:after="0" w:line="180"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i w:val="1"/>
          <w:iCs w:val="1"/>
          <w:color w:val="auto"/>
        </w:rPr>
        <w:t xml:space="preserve">Sports Fields and Grounds Market. </w:t>
      </w:r>
      <w:r>
        <w:rPr>
          <w:rFonts w:ascii="Arial" w:cs="Arial" w:eastAsia="Arial" w:hAnsi="Arial"/>
          <w:sz w:val="15"/>
          <w:szCs w:val="15"/>
          <w:color w:val="auto"/>
        </w:rPr>
        <w:t>Products for the sports fields and grounds market include riding rotary units with cutting decks ranging from 52 inches to 16 feet,</w:t>
      </w:r>
      <w:r>
        <w:rPr>
          <w:rFonts w:ascii="Arial" w:cs="Arial" w:eastAsia="Arial" w:hAnsi="Arial"/>
          <w:sz w:val="15"/>
          <w:szCs w:val="15"/>
          <w:i w:val="1"/>
          <w:iCs w:val="1"/>
          <w:color w:val="auto"/>
        </w:rPr>
        <w:t xml:space="preserve"> </w:t>
      </w:r>
      <w:r>
        <w:rPr>
          <w:rFonts w:ascii="Arial" w:cs="Arial" w:eastAsia="Arial" w:hAnsi="Arial"/>
          <w:sz w:val="15"/>
          <w:szCs w:val="15"/>
          <w:color w:val="auto"/>
        </w:rPr>
        <w:t>aerators, attachments, and debris management products, which include versatile debris vacuums, blowers, and sweepers. Other products include multipurpose vehicles, such as the Workman®, that can be used for turf maintenance, towing, and industrial hauling. These products are sold through distributors, who then sell to owners and/or managers of sports fields, municipal and institutional properties, cemeteries, and facilities such as airports and corporate headquarters.</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 xml:space="preserve">Residential/ Commercial Irrigation Market. </w:t>
      </w:r>
      <w:r>
        <w:rPr>
          <w:rFonts w:ascii="Arial" w:cs="Arial" w:eastAsia="Arial" w:hAnsi="Arial"/>
          <w:sz w:val="17"/>
          <w:szCs w:val="17"/>
          <w:color w:val="auto"/>
        </w:rPr>
        <w:t>Turf irrigation products marketed under the Toro and Irritrol Systems brand names include sprinkler heads, brass and</w:t>
      </w:r>
      <w:r>
        <w:rPr>
          <w:rFonts w:ascii="Arial" w:cs="Arial" w:eastAsia="Arial" w:hAnsi="Arial"/>
          <w:sz w:val="17"/>
          <w:szCs w:val="17"/>
          <w:i w:val="1"/>
          <w:iCs w:val="1"/>
          <w:color w:val="auto"/>
        </w:rPr>
        <w:t xml:space="preserve"> </w:t>
      </w:r>
      <w:r>
        <w:rPr>
          <w:rFonts w:ascii="Arial" w:cs="Arial" w:eastAsia="Arial" w:hAnsi="Arial"/>
          <w:sz w:val="17"/>
          <w:szCs w:val="17"/>
          <w:color w:val="auto"/>
        </w:rPr>
        <w:t>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 We also offer wireless rain and freeze switches on some products in an effort to conserve water usage.</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i w:val="1"/>
          <w:iCs w:val="1"/>
          <w:color w:val="auto"/>
        </w:rPr>
        <w:t xml:space="preserve">Golf Course Market. </w:t>
      </w:r>
      <w:r>
        <w:rPr>
          <w:rFonts w:ascii="Arial" w:cs="Arial" w:eastAsia="Arial" w:hAnsi="Arial"/>
          <w:sz w:val="15"/>
          <w:szCs w:val="15"/>
          <w:color w:val="auto"/>
        </w:rPr>
        <w:t>Products for the golf course market include large reel and rotary riding products for fairway, rough and trim cutting; riding and walking mowers</w:t>
      </w:r>
      <w:r>
        <w:rPr>
          <w:rFonts w:ascii="Arial" w:cs="Arial" w:eastAsia="Arial" w:hAnsi="Arial"/>
          <w:sz w:val="15"/>
          <w:szCs w:val="15"/>
          <w:i w:val="1"/>
          <w:iCs w:val="1"/>
          <w:color w:val="auto"/>
        </w:rPr>
        <w:t xml:space="preserve"> </w:t>
      </w:r>
      <w:r>
        <w:rPr>
          <w:rFonts w:ascii="Arial" w:cs="Arial" w:eastAsia="Arial" w:hAnsi="Arial"/>
          <w:sz w:val="15"/>
          <w:szCs w:val="15"/>
          <w:color w:val="auto"/>
        </w:rPr>
        <w:t>for putting greens and specialty areas; turf sprayer equipment, utility vehicles, turf aerators, and bunker maintenance equipment. We also manufacture and market underground irrigation systems including sprinkler heads and controllers that activate electric, battery-operated, or hydraulic valves. Our professional irrigation systems are designed to use computerized management systems and a variety of technologies to help customers manage water use. In fiscal 2004, we introduced the</w:t>
      </w:r>
    </w:p>
    <w:p>
      <w:pPr>
        <w:spacing w:after="0" w:line="1" w:lineRule="exact"/>
        <w:rPr>
          <w:sz w:val="20"/>
          <w:szCs w:val="20"/>
          <w:color w:val="auto"/>
        </w:rPr>
      </w:pPr>
    </w:p>
    <w:p>
      <w:pPr>
        <w:ind w:right="700"/>
        <w:spacing w:after="0" w:line="214" w:lineRule="auto"/>
        <w:rPr>
          <w:sz w:val="20"/>
          <w:szCs w:val="20"/>
          <w:color w:val="auto"/>
        </w:rPr>
      </w:pPr>
      <w:r>
        <w:rPr>
          <w:rFonts w:ascii="Arial" w:cs="Arial" w:eastAsia="Arial" w:hAnsi="Arial"/>
          <w:sz w:val="17"/>
          <w:szCs w:val="17"/>
          <w:color w:val="auto"/>
        </w:rPr>
        <w:t>ProCore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648 walk-behind aerator with innovative wheel placement and high productivity for golf course aeration. In late fiscal 2004, we also introduced 835S/855S Series golf sprinklers that provide improved water distribution uniformity, nozzle flexibility, and system efficiency.</w:t>
      </w:r>
    </w:p>
    <w:p>
      <w:pPr>
        <w:spacing w:after="0" w:line="208" w:lineRule="exact"/>
        <w:rPr>
          <w:sz w:val="20"/>
          <w:szCs w:val="20"/>
          <w:color w:val="auto"/>
        </w:rPr>
      </w:pPr>
    </w:p>
    <w:p>
      <w:pPr>
        <w:jc w:val="both"/>
        <w:ind w:right="200"/>
        <w:spacing w:after="0" w:line="232" w:lineRule="auto"/>
        <w:rPr>
          <w:sz w:val="20"/>
          <w:szCs w:val="20"/>
          <w:color w:val="auto"/>
        </w:rPr>
      </w:pPr>
      <w:r>
        <w:rPr>
          <w:rFonts w:ascii="Arial" w:cs="Arial" w:eastAsia="Arial" w:hAnsi="Arial"/>
          <w:sz w:val="17"/>
          <w:szCs w:val="17"/>
          <w:i w:val="1"/>
          <w:iCs w:val="1"/>
          <w:color w:val="auto"/>
        </w:rPr>
        <w:t xml:space="preserve">Agricultural Irrigation Market. </w:t>
      </w:r>
      <w:r>
        <w:rPr>
          <w:rFonts w:ascii="Arial" w:cs="Arial" w:eastAsia="Arial" w:hAnsi="Arial"/>
          <w:sz w:val="17"/>
          <w:szCs w:val="17"/>
          <w:color w:val="auto"/>
        </w:rPr>
        <w:t>Products for the agricultural irrigation market include irrigation emission devices that regulate the flow of drip irrigation,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Blue Stripe</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polyethylene tubing, Aqua-TraXX irrigation tape, and Drip In® drip line, all used in low water volume agricultural applications. These products are sold through dealers who then sell to growers for use primarily in vegetable fields, fruit and nut orchards, and vineyards.</w:t>
      </w: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 xml:space="preserve">Residential – </w:t>
      </w:r>
      <w:r>
        <w:rPr>
          <w:rFonts w:ascii="Arial" w:cs="Arial" w:eastAsia="Arial" w:hAnsi="Arial"/>
          <w:sz w:val="17"/>
          <w:szCs w:val="17"/>
          <w:color w:val="auto"/>
        </w:rPr>
        <w:t>We market our residential products to homeowners through a variety of distribution channels, including dealers, hardware retailers, home centers, mass</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retailers, and over the Internet. These products are sold mainly in North America, Europe, and Australia, with the exception of snow removal products, which are sold primarily in North America and Europe.</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 xml:space="preserve">Walk Power Mower Products. </w:t>
      </w:r>
      <w:r>
        <w:rPr>
          <w:rFonts w:ascii="Arial" w:cs="Arial" w:eastAsia="Arial" w:hAnsi="Arial"/>
          <w:sz w:val="17"/>
          <w:szCs w:val="17"/>
          <w:color w:val="auto"/>
        </w:rPr>
        <w:t>We manufacture and market numerous models under our brand names Toro and Lawn-Boy. Models differ as to cutting width, type of</w:t>
      </w:r>
      <w:r>
        <w:rPr>
          <w:rFonts w:ascii="Arial" w:cs="Arial" w:eastAsia="Arial" w:hAnsi="Arial"/>
          <w:sz w:val="17"/>
          <w:szCs w:val="17"/>
          <w:i w:val="1"/>
          <w:iCs w:val="1"/>
          <w:color w:val="auto"/>
        </w:rPr>
        <w:t xml:space="preserve"> </w:t>
      </w:r>
      <w:r>
        <w:rPr>
          <w:rFonts w:ascii="Arial" w:cs="Arial" w:eastAsia="Arial" w:hAnsi="Arial"/>
          <w:sz w:val="17"/>
          <w:szCs w:val="17"/>
          <w:color w:val="auto"/>
        </w:rPr>
        <w:t>starter mechanism, ability to mulch, bag or side discharge grass clippings, cast aluminum or steel decks, controls, and power sources, and are either self-propelled or push mowers. Toro brand lawn mowers are backed by our “Guaranteed To Start” program. In fiscal 2004, we introduced a new special featured value-priced Toro walk power mower model and a new line of Gold Series® Lawn-Boy walk power mowers. In fiscal 2004, we also introduced a new walk power mower sold under the Pope brand name in Australia.</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Riding Products. </w:t>
      </w:r>
      <w:r>
        <w:rPr>
          <w:rFonts w:ascii="Arial" w:cs="Arial" w:eastAsia="Arial" w:hAnsi="Arial"/>
          <w:sz w:val="17"/>
          <w:szCs w:val="17"/>
          <w:color w:val="auto"/>
        </w:rPr>
        <w:t>We manufacture and market riding products under the Toro brand name. Riding mowers and tractors include a rear engine riding mower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manufactured and sold in the European market; lawn tractor models; and garden tractor models, some equipped with a diesel engine. Many models are available with a variety of decks and accessories. Recycler®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40"/>
        <w:spacing w:after="0" w:line="273" w:lineRule="auto"/>
        <w:rPr>
          <w:sz w:val="20"/>
          <w:szCs w:val="20"/>
          <w:color w:val="auto"/>
        </w:rPr>
      </w:pPr>
      <w:r>
        <w:rPr>
          <w:rFonts w:ascii="Arial" w:cs="Arial" w:eastAsia="Arial" w:hAnsi="Arial"/>
          <w:sz w:val="17"/>
          <w:szCs w:val="17"/>
          <w:color w:val="auto"/>
        </w:rPr>
        <w:t>cutting decks are available on some models. Models can be equipped with manual or hydrostatic transmissions. In recent years, we introduced a new line of riding products, the TimeCutter® zero-turning radius riding mowers. We also manufacture riding mower products plus attachments for a third party under a private label agreement.</w:t>
      </w:r>
    </w:p>
    <w:p>
      <w:pPr>
        <w:spacing w:after="0" w:line="180" w:lineRule="exact"/>
        <w:rPr>
          <w:sz w:val="20"/>
          <w:szCs w:val="20"/>
          <w:color w:val="auto"/>
        </w:rPr>
      </w:pPr>
    </w:p>
    <w:p>
      <w:pPr>
        <w:jc w:val="both"/>
        <w:ind w:right="300"/>
        <w:spacing w:after="0" w:line="297" w:lineRule="auto"/>
        <w:rPr>
          <w:sz w:val="20"/>
          <w:szCs w:val="20"/>
          <w:color w:val="auto"/>
        </w:rPr>
      </w:pPr>
      <w:r>
        <w:rPr>
          <w:rFonts w:ascii="Arial" w:cs="Arial" w:eastAsia="Arial" w:hAnsi="Arial"/>
          <w:sz w:val="16"/>
          <w:szCs w:val="16"/>
          <w:i w:val="1"/>
          <w:iCs w:val="1"/>
          <w:color w:val="auto"/>
        </w:rPr>
        <w:t xml:space="preserve">Home Solutions Products. </w:t>
      </w:r>
      <w:r>
        <w:rPr>
          <w:rFonts w:ascii="Arial" w:cs="Arial" w:eastAsia="Arial" w:hAnsi="Arial"/>
          <w:sz w:val="16"/>
          <w:szCs w:val="16"/>
          <w:color w:val="auto"/>
        </w:rPr>
        <w:t>We design and market electrical products under the Toro brand name. These products include electric and battery operated flexible line</w:t>
      </w:r>
      <w:r>
        <w:rPr>
          <w:rFonts w:ascii="Arial" w:cs="Arial" w:eastAsia="Arial" w:hAnsi="Arial"/>
          <w:sz w:val="16"/>
          <w:szCs w:val="16"/>
          <w:i w:val="1"/>
          <w:iCs w:val="1"/>
          <w:color w:val="auto"/>
        </w:rPr>
        <w:t xml:space="preserve"> </w:t>
      </w:r>
      <w:r>
        <w:rPr>
          <w:rFonts w:ascii="Arial" w:cs="Arial" w:eastAsia="Arial" w:hAnsi="Arial"/>
          <w:sz w:val="16"/>
          <w:szCs w:val="16"/>
          <w:color w:val="auto"/>
        </w:rPr>
        <w:t>grass trimmers, electric blowers, and electric blower vacuums. In late fiscal 2004, we introduced the electric Power Shovel Plus, an innovative machine for every season that can clear snow up to six inches deep and sweep away dirt, leaves, and other debris on hard surfaces.</w:t>
      </w:r>
    </w:p>
    <w:p>
      <w:pPr>
        <w:spacing w:after="0" w:line="164" w:lineRule="exact"/>
        <w:rPr>
          <w:sz w:val="20"/>
          <w:szCs w:val="20"/>
          <w:color w:val="auto"/>
        </w:rPr>
      </w:pPr>
    </w:p>
    <w:p>
      <w:pPr>
        <w:ind w:right="220"/>
        <w:spacing w:after="0" w:line="325" w:lineRule="auto"/>
        <w:rPr>
          <w:sz w:val="20"/>
          <w:szCs w:val="20"/>
          <w:color w:val="auto"/>
        </w:rPr>
      </w:pPr>
      <w:r>
        <w:rPr>
          <w:rFonts w:ascii="Arial" w:cs="Arial" w:eastAsia="Arial" w:hAnsi="Arial"/>
          <w:sz w:val="15"/>
          <w:szCs w:val="15"/>
          <w:i w:val="1"/>
          <w:iCs w:val="1"/>
          <w:color w:val="auto"/>
        </w:rPr>
        <w:t xml:space="preserve">Retail Irrigation Products. </w:t>
      </w:r>
      <w:r>
        <w:rPr>
          <w:rFonts w:ascii="Arial" w:cs="Arial" w:eastAsia="Arial" w:hAnsi="Arial"/>
          <w:sz w:val="15"/>
          <w:szCs w:val="15"/>
          <w:color w:val="auto"/>
        </w:rPr>
        <w:t>We design and market underground retail irrigation products under the Toro and Lawn Genie brand names. In Australia, we also design</w:t>
      </w:r>
      <w:r>
        <w:rPr>
          <w:rFonts w:ascii="Arial" w:cs="Arial" w:eastAsia="Arial" w:hAnsi="Arial"/>
          <w:sz w:val="15"/>
          <w:szCs w:val="15"/>
          <w:i w:val="1"/>
          <w:iCs w:val="1"/>
          <w:color w:val="auto"/>
        </w:rPr>
        <w:t xml:space="preserve"> </w:t>
      </w:r>
      <w:r>
        <w:rPr>
          <w:rFonts w:ascii="Arial" w:cs="Arial" w:eastAsia="Arial" w:hAnsi="Arial"/>
          <w:sz w:val="15"/>
          <w:szCs w:val="15"/>
          <w:color w:val="auto"/>
        </w:rPr>
        <w:t>and market underground and hose-end retail irrigation products under the Pope brand name. These products are designed for homeowner installation and include sprinkler heads, valves, and electronic and mechanical timers. We also design and market drip irrigation systems for residential landscapes and gardens.</w:t>
      </w:r>
    </w:p>
    <w:p>
      <w:pPr>
        <w:spacing w:after="0" w:line="1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Snow Removal Products. </w:t>
      </w:r>
      <w:r>
        <w:rPr>
          <w:rFonts w:ascii="Arial" w:cs="Arial" w:eastAsia="Arial" w:hAnsi="Arial"/>
          <w:sz w:val="16"/>
          <w:szCs w:val="16"/>
          <w:color w:val="auto"/>
        </w:rPr>
        <w:t>We manufacture and market a range of gas and electric single-stage and gas two-stage snow thrower models under the Toro brand name.</w:t>
      </w:r>
      <w:r>
        <w:rPr>
          <w:rFonts w:ascii="Arial" w:cs="Arial" w:eastAsia="Arial" w:hAnsi="Arial"/>
          <w:sz w:val="16"/>
          <w:szCs w:val="16"/>
          <w:i w:val="1"/>
          <w:iCs w:val="1"/>
          <w:color w:val="auto"/>
        </w:rPr>
        <w:t xml:space="preserve"> </w:t>
      </w:r>
      <w:r>
        <w:rPr>
          <w:rFonts w:ascii="Arial" w:cs="Arial" w:eastAsia="Arial" w:hAnsi="Arial"/>
          <w:sz w:val="16"/>
          <w:szCs w:val="16"/>
          <w:color w:val="auto"/>
        </w:rPr>
        <w:t>Single-stage snow throwers are walk behind units with lightweight two-cycle gasoline engines. Most gas and electric single-stage snow thrower models include Power Curve® snow thrower technology. Two-stage snow throwers are designed for relatively large areas of deep, heavy snowfalls and use two- and four-cycle engines. We also manufacture and market hybrid models with single-stage snow thrower technology that is self-propelling, providing the operational ease of a single-stage snow thrower with the power of a two-stage unit. In late fiscal 2003, we introduced a new line of innovative two-stage snow thrower models featuring the Power Max</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auger system for performance and safer operation, and the Quick Stick</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chute control technology.</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Information About Foreign Operations and Business Segments</w:t>
      </w:r>
    </w:p>
    <w:p>
      <w:pPr>
        <w:spacing w:after="0" w:line="227"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We manufacture our products in the United States, Mexico, Australia, and Italy for sale throughout the world and maintain sales offices in the United States, Canada, Belgium, the United Kingdom, France, Australia, Singapore, Japan, China, and Italy. New product development is pursued primarily in the United States. Our net sales outside the United States were 20.7 percent, 19.3 percent, and 18.7 percent of total consolidated net sales for fiscal 2004, 2003, and 2002, respectively.</w:t>
      </w:r>
    </w:p>
    <w:p>
      <w:pPr>
        <w:ind w:firstLine="77"/>
        <w:spacing w:after="0" w:line="264" w:lineRule="auto"/>
        <w:rPr>
          <w:sz w:val="20"/>
          <w:szCs w:val="20"/>
          <w:color w:val="auto"/>
        </w:rPr>
      </w:pPr>
      <w:r>
        <w:rPr>
          <w:rFonts w:ascii="Arial" w:cs="Arial" w:eastAsia="Arial" w:hAnsi="Arial"/>
          <w:sz w:val="17"/>
          <w:szCs w:val="17"/>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certain foreign currency exchange contracts, see Item 7A entitled “Quantitative and Qualitative Disclosures about Market Risk.” For additional financial information regarding our foreign operations and each of our segments, see Note 12 of Notes to Consolidated Financial Statements entitled “Segment Data,” included in Item 8 of Part II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 and Production</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every product. Operations are also designed to be flexible enough to accommodate product design changes required to respond to market demand.</w:t>
      </w:r>
    </w:p>
    <w:p>
      <w:pPr>
        <w:spacing w:after="0" w:line="1" w:lineRule="exact"/>
        <w:rPr>
          <w:sz w:val="20"/>
          <w:szCs w:val="20"/>
          <w:color w:val="auto"/>
        </w:rPr>
      </w:pPr>
    </w:p>
    <w:p>
      <w:pPr>
        <w:ind w:firstLine="86"/>
        <w:spacing w:after="0" w:line="259" w:lineRule="auto"/>
        <w:rPr>
          <w:sz w:val="20"/>
          <w:szCs w:val="20"/>
          <w:color w:val="auto"/>
        </w:rPr>
      </w:pPr>
      <w:r>
        <w:rPr>
          <w:rFonts w:ascii="Arial" w:cs="Arial" w:eastAsia="Arial" w:hAnsi="Arial"/>
          <w:sz w:val="17"/>
          <w:szCs w:val="17"/>
          <w:color w:val="auto"/>
        </w:rPr>
        <w:t>In order to utilize manufacturing facilities and technology more effectively, we pursue continuous improvements in manufacturing processes. We have some flexible assembly lines that can handle a wide product mix and deliver products when customers require them. Additionally, considerable effort is spent to reduce manufacturing costs through process improvement, product and platform design, application of advanced technology, enhanced environmental management systems, SKU consolidation, and better supply-chain management. We also manufacture products sold under a private label agreement to a third party on a competitive basis. Our professional products are manufactured throughout the year. Our residential spring and summer products are also generally manufactured throughout the year; however, our residential fall and winter products are generally manufactured in the summer and fall months. In addition, our products are tested in conditions and locations similar to those in which they are used. We use computer-aided design and manufacturing systems to shorten the time between initial concept and final production.</w:t>
      </w:r>
    </w:p>
    <w:p>
      <w:pPr>
        <w:spacing w:after="0" w:line="6" w:lineRule="exact"/>
        <w:rPr>
          <w:sz w:val="20"/>
          <w:szCs w:val="20"/>
          <w:color w:val="auto"/>
        </w:rPr>
      </w:pPr>
    </w:p>
    <w:p>
      <w:pPr>
        <w:ind w:right="180" w:firstLine="86"/>
        <w:spacing w:after="0" w:line="269" w:lineRule="auto"/>
        <w:rPr>
          <w:sz w:val="20"/>
          <w:szCs w:val="20"/>
          <w:color w:val="auto"/>
        </w:rPr>
      </w:pPr>
      <w:r>
        <w:rPr>
          <w:rFonts w:ascii="Arial" w:cs="Arial" w:eastAsia="Arial" w:hAnsi="Arial"/>
          <w:sz w:val="17"/>
          <w:szCs w:val="17"/>
          <w:color w:val="auto"/>
        </w:rPr>
        <w:t>Our production levels and inventory management goals are based on estimates of demand for our products, taking into account production capacity, timing of shipments, and field inventory levels. We also periodically shut down production to allow for maintenance, rearrangement, and capital equipment installation at the manufacturing facilities.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Capital expenditures for fiscal 2005 are expected to be approximately $5 to $10 million higher than fiscal 2004 capital expenditures as we continue to invest in information service technology, manufacturing equipment, and tooling for new products.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Engineering and Research</w:t>
      </w:r>
    </w:p>
    <w:p>
      <w:pPr>
        <w:spacing w:after="0" w:line="22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We are committed to an ongoing engineering program dedicated to innovating new products and improvements in the quality and performance of existing products. However, a focus on innovation also carries certain risks that new technology will be slow to be accepted by the marketplace. Management mitigates this risk through focus on and commitment to understanding our customers’ needs and requirements. Our engineering expenses are primarily incurred in connection with the improvements of existing products, cost reduction efforts, and the development of new products that may have additional applications or represent extensions of existing product lines. Our expenditures for engineering and research were approximately $48.0 million (2.9 percent of net sales) in fiscal 2004, $41.5 million</w:t>
      </w:r>
    </w:p>
    <w:p>
      <w:pPr>
        <w:ind w:right="280"/>
        <w:spacing w:after="0" w:line="312" w:lineRule="auto"/>
        <w:rPr>
          <w:sz w:val="20"/>
          <w:szCs w:val="20"/>
          <w:color w:val="auto"/>
        </w:rPr>
      </w:pPr>
      <w:r>
        <w:rPr>
          <w:rFonts w:ascii="Arial" w:cs="Arial" w:eastAsia="Arial" w:hAnsi="Arial"/>
          <w:sz w:val="16"/>
          <w:szCs w:val="16"/>
          <w:color w:val="auto"/>
        </w:rPr>
        <w:t>(2.8 percent of net sales) in fiscal 2003, and $38.5 million (2.7 percent of net sales) in fiscal 2002. In fiscal 2005, we anticipate engineering and research costs to increase compared to fiscal 2004 as we continue to invest in new product development as part of our “6 + 8: Teamwork to the Top” initiative.</w:t>
      </w:r>
    </w:p>
    <w:p>
      <w:pPr>
        <w:spacing w:after="0" w:line="1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Sources and Availability of Raw Materials</w:t>
      </w:r>
    </w:p>
    <w:p>
      <w:pPr>
        <w:spacing w:after="0" w:line="227"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Most of the components of our products are commercially available from a number of sources and in adequate supply. Therefore, we are generally not dependent on any one supplier, except for engines from Japanese suppliers used in some of our professional segment products. We have agreed with some of these suppliers to share the impact of exchange rate fluctuations between the U.S. dollar and the Japanese yen on a 50/50 split based on a predetermined range of rates.</w:t>
      </w:r>
    </w:p>
    <w:p>
      <w:pPr>
        <w:ind w:right="100" w:firstLine="86"/>
        <w:spacing w:after="0" w:line="294" w:lineRule="auto"/>
        <w:rPr>
          <w:sz w:val="20"/>
          <w:szCs w:val="20"/>
          <w:color w:val="auto"/>
        </w:rPr>
      </w:pPr>
      <w:r>
        <w:rPr>
          <w:rFonts w:ascii="Arial" w:cs="Arial" w:eastAsia="Arial" w:hAnsi="Arial"/>
          <w:sz w:val="16"/>
          <w:szCs w:val="16"/>
          <w:color w:val="auto"/>
        </w:rPr>
        <w:t>In fiscal 2004, we experienced no significant work stoppages as a result of shortages of raw materials or commodities. The highest value component costs are generally engines, steel, transmissions, transaxles, hydraulics, electric motors, and plastic resin purchased from several suppliers around the world. We have certain long-term commitments for the purchase of various component parts and raw materials that are unlikely to be terminated prematurely.</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Service and Warranty</w:t>
      </w:r>
    </w:p>
    <w:p>
      <w:pPr>
        <w:spacing w:after="0" w:line="227"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Our products are warranted to ensure customer confidence in design, workmanship, and overall quality. Warranty length varies depending on whether product usage is for “residential” or “professional” applications within individual product lines. Some products have an over-the-counter exchange option and some have a 30-day satisfaction guarantee.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our prescribed standards. Warranty expense is accrued at the time of sale based on, among other factors, historical claims experience by individual product lines. Warranty reserves are also accrued for major rework campaigns. Service support outside of the warranty period is provided by independent Toro distributors and dealers at the customer’s expense. We also sell extended warranty coverage on select products when the factory warranty period expires.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 Liability</w:t>
      </w:r>
    </w:p>
    <w:p>
      <w:pPr>
        <w:spacing w:after="0" w:line="2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w:t>
      </w:r>
    </w:p>
    <w:p>
      <w:pPr>
        <w:spacing w:after="0" w:line="227"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We hold patents in the United States and foreign countries and apply for patents as applicable. Although management believes patents have value to us, patent protection does not deter competitors from attempting to develop similar products. Patent protection is considered to be very beneficial, but we are not materially dependent on any one or more of our patents.</w:t>
      </w:r>
    </w:p>
    <w:p>
      <w:pPr>
        <w:ind w:firstLine="83"/>
        <w:spacing w:after="0" w:line="264" w:lineRule="auto"/>
        <w:rPr>
          <w:sz w:val="20"/>
          <w:szCs w:val="20"/>
          <w:color w:val="auto"/>
        </w:rPr>
      </w:pPr>
      <w:r>
        <w:rPr>
          <w:rFonts w:ascii="Arial" w:cs="Arial" w:eastAsia="Arial" w:hAnsi="Arial"/>
          <w:sz w:val="17"/>
          <w:szCs w:val="17"/>
          <w:color w:val="auto"/>
        </w:rPr>
        <w:t>To prevent possible infringement of our patents by others, we periodically review competitors’ products. To avoid potential liability with respect to others’ patents, we regularly review patents issued by the U.S. Patent and Trademark Office and foreign patent offices as needed. These activities help us minimize risk of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effect on our consolidated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Seasonality</w:t>
      </w:r>
    </w:p>
    <w:p>
      <w:pPr>
        <w:spacing w:after="0" w:line="22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Sales of our residential products, which accounted for approximately 34 percent of total consolidated net sales in fiscal 2004,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professional product sales also exists, but is tempered because the selling season in the West Coast, Southern states, and our markets in the Southern hemisphere such as Australia, Latin America, and Asia continues for a longer portion of the year than in northern regions of the world. Overall, worldwide sales levels are historically highest in our fiscal second quarter. Historically, accounts receivable balances increase between January and April as a result of higher sales volumes and extended payment terms made available to our customers. Accounts receivable balances decrease between May and December when payments are received. Seasonal cash requirements of the business are financed from operations and with our bank credit lines. Peak borrowing usually occurs between February and May.</w:t>
      </w:r>
    </w:p>
    <w:p>
      <w:pPr>
        <w:ind w:left="80"/>
        <w:spacing w:after="0"/>
        <w:rPr>
          <w:sz w:val="20"/>
          <w:szCs w:val="20"/>
          <w:color w:val="auto"/>
        </w:rPr>
      </w:pPr>
      <w:r>
        <w:rPr>
          <w:rFonts w:ascii="Arial" w:cs="Arial" w:eastAsia="Arial" w:hAnsi="Arial"/>
          <w:sz w:val="17"/>
          <w:szCs w:val="17"/>
          <w:color w:val="auto"/>
        </w:rPr>
        <w:t>The following table shows total net sales and net earnings for each quarter as a percentage of the 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213995</wp:posOffset>
            </wp:positionV>
            <wp:extent cx="7106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460" w:type="dxa"/>
            <w:vAlign w:val="bottom"/>
          </w:tcPr>
          <w:p>
            <w:pPr>
              <w:ind w:left="3800"/>
              <w:spacing w:after="0"/>
              <w:rPr>
                <w:sz w:val="20"/>
                <w:szCs w:val="20"/>
                <w:color w:val="auto"/>
              </w:rPr>
            </w:pPr>
            <w:r>
              <w:rPr>
                <w:rFonts w:ascii="Arial" w:cs="Arial" w:eastAsia="Arial" w:hAnsi="Arial"/>
                <w:sz w:val="13"/>
                <w:szCs w:val="13"/>
                <w:b w:val="1"/>
                <w:bCs w:val="1"/>
                <w:color w:val="auto"/>
                <w:w w:val="92"/>
              </w:rPr>
              <w:t>Fiscal 2004</w:t>
            </w:r>
          </w:p>
        </w:tc>
        <w:tc>
          <w:tcPr>
            <w:tcW w:w="1020" w:type="dxa"/>
            <w:vAlign w:val="bottom"/>
          </w:tcPr>
          <w:p>
            <w:pPr>
              <w:spacing w:after="0"/>
              <w:rPr>
                <w:sz w:val="13"/>
                <w:szCs w:val="13"/>
                <w:color w:val="auto"/>
              </w:rPr>
            </w:pPr>
          </w:p>
        </w:tc>
        <w:tc>
          <w:tcPr>
            <w:tcW w:w="1860" w:type="dxa"/>
            <w:vAlign w:val="bottom"/>
            <w:gridSpan w:val="3"/>
          </w:tcPr>
          <w:p>
            <w:pPr>
              <w:ind w:left="600"/>
              <w:spacing w:after="0"/>
              <w:rPr>
                <w:sz w:val="20"/>
                <w:szCs w:val="20"/>
                <w:color w:val="auto"/>
              </w:rPr>
            </w:pPr>
            <w:r>
              <w:rPr>
                <w:rFonts w:ascii="Arial" w:cs="Arial" w:eastAsia="Arial" w:hAnsi="Arial"/>
                <w:sz w:val="13"/>
                <w:szCs w:val="13"/>
                <w:color w:val="auto"/>
              </w:rPr>
              <w:t>Fiscal 2003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60" w:type="dxa"/>
            <w:vAlign w:val="bottom"/>
          </w:tcPr>
          <w:p>
            <w:pPr>
              <w:jc w:val="right"/>
              <w:ind w:right="563"/>
              <w:spacing w:after="0" w:line="146" w:lineRule="exact"/>
              <w:rPr>
                <w:sz w:val="20"/>
                <w:szCs w:val="20"/>
                <w:color w:val="auto"/>
              </w:rPr>
            </w:pPr>
            <w:r>
              <w:rPr>
                <w:rFonts w:ascii="Arial" w:cs="Arial" w:eastAsia="Arial" w:hAnsi="Arial"/>
                <w:sz w:val="13"/>
                <w:szCs w:val="13"/>
                <w:b w:val="1"/>
                <w:bCs w:val="1"/>
                <w:color w:val="auto"/>
              </w:rPr>
              <w:t>Net</w:t>
            </w:r>
          </w:p>
        </w:tc>
        <w:tc>
          <w:tcPr>
            <w:tcW w:w="1020" w:type="dxa"/>
            <w:vAlign w:val="bottom"/>
          </w:tcPr>
          <w:p>
            <w:pPr>
              <w:jc w:val="right"/>
              <w:ind w:right="421"/>
              <w:spacing w:after="0" w:line="146" w:lineRule="exact"/>
              <w:rPr>
                <w:sz w:val="20"/>
                <w:szCs w:val="20"/>
                <w:color w:val="auto"/>
              </w:rPr>
            </w:pPr>
            <w:r>
              <w:rPr>
                <w:rFonts w:ascii="Arial" w:cs="Arial" w:eastAsia="Arial" w:hAnsi="Arial"/>
                <w:sz w:val="13"/>
                <w:szCs w:val="13"/>
                <w:b w:val="1"/>
                <w:bCs w:val="1"/>
                <w:color w:val="auto"/>
              </w:rPr>
              <w:t>Net</w:t>
            </w:r>
          </w:p>
        </w:tc>
        <w:tc>
          <w:tcPr>
            <w:tcW w:w="960" w:type="dxa"/>
            <w:vAlign w:val="bottom"/>
          </w:tcPr>
          <w:p>
            <w:pPr>
              <w:jc w:val="right"/>
              <w:ind w:right="283"/>
              <w:spacing w:after="0" w:line="146" w:lineRule="exact"/>
              <w:rPr>
                <w:sz w:val="20"/>
                <w:szCs w:val="20"/>
                <w:color w:val="auto"/>
              </w:rPr>
            </w:pPr>
            <w:r>
              <w:rPr>
                <w:rFonts w:ascii="Arial" w:cs="Arial" w:eastAsia="Arial" w:hAnsi="Arial"/>
                <w:sz w:val="13"/>
                <w:szCs w:val="13"/>
                <w:color w:val="auto"/>
              </w:rPr>
              <w:t>Net</w:t>
            </w:r>
          </w:p>
        </w:tc>
        <w:tc>
          <w:tcPr>
            <w:tcW w:w="9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Net</w:t>
            </w:r>
          </w:p>
        </w:tc>
        <w:tc>
          <w:tcPr>
            <w:tcW w:w="0" w:type="dxa"/>
            <w:vAlign w:val="bottom"/>
          </w:tcPr>
          <w:p>
            <w:pPr>
              <w:spacing w:after="0"/>
              <w:rPr>
                <w:sz w:val="1"/>
                <w:szCs w:val="1"/>
                <w:color w:val="auto"/>
              </w:rPr>
            </w:pPr>
          </w:p>
        </w:tc>
      </w:tr>
      <w:tr>
        <w:trPr>
          <w:trHeight w:val="170"/>
        </w:trPr>
        <w:tc>
          <w:tcPr>
            <w:tcW w:w="4080" w:type="dxa"/>
            <w:vAlign w:val="bottom"/>
            <w:gridSpan w:val="2"/>
          </w:tcPr>
          <w:p>
            <w:pPr>
              <w:spacing w:after="0"/>
              <w:rPr>
                <w:sz w:val="20"/>
                <w:szCs w:val="20"/>
                <w:color w:val="auto"/>
              </w:rPr>
            </w:pPr>
            <w:r>
              <w:rPr>
                <w:rFonts w:ascii="Arial" w:cs="Arial" w:eastAsia="Arial" w:hAnsi="Arial"/>
                <w:sz w:val="13"/>
                <w:szCs w:val="13"/>
                <w:color w:val="auto"/>
              </w:rPr>
              <w:t>Quarter</w:t>
            </w:r>
          </w:p>
        </w:tc>
        <w:tc>
          <w:tcPr>
            <w:tcW w:w="4460" w:type="dxa"/>
            <w:vAlign w:val="bottom"/>
          </w:tcPr>
          <w:p>
            <w:pPr>
              <w:jc w:val="right"/>
              <w:ind w:right="563"/>
              <w:spacing w:after="0"/>
              <w:rPr>
                <w:sz w:val="20"/>
                <w:szCs w:val="20"/>
                <w:color w:val="auto"/>
              </w:rPr>
            </w:pPr>
            <w:r>
              <w:rPr>
                <w:rFonts w:ascii="Arial" w:cs="Arial" w:eastAsia="Arial" w:hAnsi="Arial"/>
                <w:sz w:val="13"/>
                <w:szCs w:val="13"/>
                <w:b w:val="1"/>
                <w:bCs w:val="1"/>
                <w:color w:val="auto"/>
              </w:rPr>
              <w:t>Sales</w:t>
            </w:r>
          </w:p>
        </w:tc>
        <w:tc>
          <w:tcPr>
            <w:tcW w:w="1020" w:type="dxa"/>
            <w:vAlign w:val="bottom"/>
          </w:tcPr>
          <w:p>
            <w:pPr>
              <w:jc w:val="right"/>
              <w:ind w:right="421"/>
              <w:spacing w:after="0"/>
              <w:rPr>
                <w:sz w:val="20"/>
                <w:szCs w:val="20"/>
                <w:color w:val="auto"/>
              </w:rPr>
            </w:pPr>
            <w:r>
              <w:rPr>
                <w:rFonts w:ascii="Arial" w:cs="Arial" w:eastAsia="Arial" w:hAnsi="Arial"/>
                <w:sz w:val="13"/>
                <w:szCs w:val="13"/>
                <w:b w:val="1"/>
                <w:bCs w:val="1"/>
                <w:color w:val="auto"/>
                <w:w w:val="89"/>
              </w:rPr>
              <w:t>Earnings</w:t>
            </w:r>
          </w:p>
        </w:tc>
        <w:tc>
          <w:tcPr>
            <w:tcW w:w="960" w:type="dxa"/>
            <w:vAlign w:val="bottom"/>
          </w:tcPr>
          <w:p>
            <w:pPr>
              <w:jc w:val="right"/>
              <w:ind w:right="283"/>
              <w:spacing w:after="0"/>
              <w:rPr>
                <w:sz w:val="20"/>
                <w:szCs w:val="20"/>
                <w:color w:val="auto"/>
              </w:rPr>
            </w:pPr>
            <w:r>
              <w:rPr>
                <w:rFonts w:ascii="Arial" w:cs="Arial" w:eastAsia="Arial" w:hAnsi="Arial"/>
                <w:sz w:val="13"/>
                <w:szCs w:val="13"/>
                <w:color w:val="auto"/>
              </w:rPr>
              <w:t>Sales</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Earnings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First</w:t>
            </w:r>
          </w:p>
        </w:tc>
        <w:tc>
          <w:tcPr>
            <w:tcW w:w="4460" w:type="dxa"/>
            <w:vAlign w:val="bottom"/>
            <w:shd w:val="clear" w:color="auto" w:fill="EEEEEE"/>
          </w:tcPr>
          <w:p>
            <w:pPr>
              <w:ind w:left="3660"/>
              <w:spacing w:after="0"/>
              <w:rPr>
                <w:sz w:val="20"/>
                <w:szCs w:val="20"/>
                <w:color w:val="auto"/>
              </w:rPr>
            </w:pPr>
            <w:r>
              <w:rPr>
                <w:rFonts w:ascii="Arial" w:cs="Arial" w:eastAsia="Arial" w:hAnsi="Arial"/>
                <w:sz w:val="17"/>
                <w:szCs w:val="17"/>
                <w:b w:val="1"/>
                <w:bCs w:val="1"/>
                <w:color w:val="auto"/>
              </w:rPr>
              <w:t>19%</w:t>
            </w:r>
          </w:p>
        </w:tc>
        <w:tc>
          <w:tcPr>
            <w:tcW w:w="1020" w:type="dxa"/>
            <w:vAlign w:val="bottom"/>
            <w:shd w:val="clear" w:color="auto" w:fill="EEEEEE"/>
          </w:tcPr>
          <w:p>
            <w:pPr>
              <w:jc w:val="right"/>
              <w:ind w:right="241"/>
              <w:spacing w:after="0"/>
              <w:rPr>
                <w:sz w:val="20"/>
                <w:szCs w:val="20"/>
                <w:color w:val="auto"/>
              </w:rPr>
            </w:pPr>
            <w:r>
              <w:rPr>
                <w:rFonts w:ascii="Arial" w:cs="Arial" w:eastAsia="Arial" w:hAnsi="Arial"/>
                <w:sz w:val="17"/>
                <w:szCs w:val="17"/>
                <w:b w:val="1"/>
                <w:bCs w:val="1"/>
                <w:color w:val="auto"/>
              </w:rPr>
              <w:t>9%</w:t>
            </w:r>
          </w:p>
        </w:tc>
        <w:tc>
          <w:tcPr>
            <w:tcW w:w="960" w:type="dxa"/>
            <w:vAlign w:val="bottom"/>
            <w:shd w:val="clear" w:color="auto" w:fill="EEEEEE"/>
          </w:tcPr>
          <w:p>
            <w:pPr>
              <w:ind w:left="440"/>
              <w:spacing w:after="0"/>
              <w:rPr>
                <w:sz w:val="20"/>
                <w:szCs w:val="20"/>
                <w:color w:val="auto"/>
              </w:rPr>
            </w:pPr>
            <w:r>
              <w:rPr>
                <w:rFonts w:ascii="Arial" w:cs="Arial" w:eastAsia="Arial" w:hAnsi="Arial"/>
                <w:sz w:val="17"/>
                <w:szCs w:val="17"/>
                <w:color w:val="auto"/>
              </w:rPr>
              <w:t>20%</w:t>
            </w:r>
          </w:p>
        </w:tc>
        <w:tc>
          <w:tcPr>
            <w:tcW w:w="900" w:type="dxa"/>
            <w:vAlign w:val="bottom"/>
            <w:gridSpan w:val="2"/>
            <w:shd w:val="clear" w:color="auto" w:fill="EEEEEE"/>
          </w:tcPr>
          <w:p>
            <w:pPr>
              <w:jc w:val="right"/>
              <w:ind w:right="8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Second</w:t>
            </w:r>
          </w:p>
        </w:tc>
        <w:tc>
          <w:tcPr>
            <w:tcW w:w="4460" w:type="dxa"/>
            <w:vAlign w:val="bottom"/>
          </w:tcPr>
          <w:p>
            <w:pPr>
              <w:ind w:left="3660"/>
              <w:spacing w:after="0"/>
              <w:rPr>
                <w:sz w:val="20"/>
                <w:szCs w:val="20"/>
                <w:color w:val="auto"/>
              </w:rPr>
            </w:pPr>
            <w:r>
              <w:rPr>
                <w:rFonts w:ascii="Arial" w:cs="Arial" w:eastAsia="Arial" w:hAnsi="Arial"/>
                <w:sz w:val="17"/>
                <w:szCs w:val="17"/>
                <w:b w:val="1"/>
                <w:bCs w:val="1"/>
                <w:color w:val="auto"/>
              </w:rPr>
              <w:t>33</w:t>
            </w:r>
          </w:p>
        </w:tc>
        <w:tc>
          <w:tcPr>
            <w:tcW w:w="1020" w:type="dxa"/>
            <w:vAlign w:val="bottom"/>
          </w:tcPr>
          <w:p>
            <w:pPr>
              <w:jc w:val="right"/>
              <w:ind w:right="421"/>
              <w:spacing w:after="0"/>
              <w:rPr>
                <w:sz w:val="20"/>
                <w:szCs w:val="20"/>
                <w:color w:val="auto"/>
              </w:rPr>
            </w:pPr>
            <w:r>
              <w:rPr>
                <w:rFonts w:ascii="Arial" w:cs="Arial" w:eastAsia="Arial" w:hAnsi="Arial"/>
                <w:sz w:val="17"/>
                <w:szCs w:val="17"/>
                <w:b w:val="1"/>
                <w:bCs w:val="1"/>
                <w:color w:val="auto"/>
              </w:rPr>
              <w:t>51</w:t>
            </w:r>
          </w:p>
        </w:tc>
        <w:tc>
          <w:tcPr>
            <w:tcW w:w="960" w:type="dxa"/>
            <w:vAlign w:val="bottom"/>
          </w:tcPr>
          <w:p>
            <w:pPr>
              <w:ind w:left="440"/>
              <w:spacing w:after="0"/>
              <w:rPr>
                <w:sz w:val="20"/>
                <w:szCs w:val="20"/>
                <w:color w:val="auto"/>
              </w:rPr>
            </w:pPr>
            <w:r>
              <w:rPr>
                <w:rFonts w:ascii="Arial" w:cs="Arial" w:eastAsia="Arial" w:hAnsi="Arial"/>
                <w:sz w:val="17"/>
                <w:szCs w:val="17"/>
                <w:color w:val="auto"/>
              </w:rPr>
              <w:t>33</w:t>
            </w:r>
          </w:p>
        </w:tc>
        <w:tc>
          <w:tcPr>
            <w:tcW w:w="680" w:type="dxa"/>
            <w:vAlign w:val="bottom"/>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Third</w:t>
            </w:r>
          </w:p>
        </w:tc>
        <w:tc>
          <w:tcPr>
            <w:tcW w:w="4460" w:type="dxa"/>
            <w:vAlign w:val="bottom"/>
            <w:shd w:val="clear" w:color="auto" w:fill="EEEEEE"/>
          </w:tcPr>
          <w:p>
            <w:pPr>
              <w:ind w:left="3660"/>
              <w:spacing w:after="0"/>
              <w:rPr>
                <w:sz w:val="20"/>
                <w:szCs w:val="20"/>
                <w:color w:val="auto"/>
              </w:rPr>
            </w:pPr>
            <w:r>
              <w:rPr>
                <w:rFonts w:ascii="Arial" w:cs="Arial" w:eastAsia="Arial" w:hAnsi="Arial"/>
                <w:sz w:val="17"/>
                <w:szCs w:val="17"/>
                <w:b w:val="1"/>
                <w:bCs w:val="1"/>
                <w:color w:val="auto"/>
              </w:rPr>
              <w:t>28</w:t>
            </w:r>
          </w:p>
        </w:tc>
        <w:tc>
          <w:tcPr>
            <w:tcW w:w="1020" w:type="dxa"/>
            <w:vAlign w:val="bottom"/>
            <w:shd w:val="clear" w:color="auto" w:fill="EEEEEE"/>
          </w:tcPr>
          <w:p>
            <w:pPr>
              <w:jc w:val="right"/>
              <w:ind w:right="421"/>
              <w:spacing w:after="0"/>
              <w:rPr>
                <w:sz w:val="20"/>
                <w:szCs w:val="20"/>
                <w:color w:val="auto"/>
              </w:rPr>
            </w:pPr>
            <w:r>
              <w:rPr>
                <w:rFonts w:ascii="Arial" w:cs="Arial" w:eastAsia="Arial" w:hAnsi="Arial"/>
                <w:sz w:val="17"/>
                <w:szCs w:val="17"/>
                <w:b w:val="1"/>
                <w:bCs w:val="1"/>
                <w:color w:val="auto"/>
              </w:rPr>
              <w:t>33</w:t>
            </w:r>
          </w:p>
        </w:tc>
        <w:tc>
          <w:tcPr>
            <w:tcW w:w="960" w:type="dxa"/>
            <w:vAlign w:val="bottom"/>
            <w:shd w:val="clear" w:color="auto" w:fill="EEEEEE"/>
          </w:tcPr>
          <w:p>
            <w:pPr>
              <w:ind w:left="440"/>
              <w:spacing w:after="0"/>
              <w:rPr>
                <w:sz w:val="20"/>
                <w:szCs w:val="20"/>
                <w:color w:val="auto"/>
              </w:rPr>
            </w:pPr>
            <w:r>
              <w:rPr>
                <w:rFonts w:ascii="Arial" w:cs="Arial" w:eastAsia="Arial" w:hAnsi="Arial"/>
                <w:sz w:val="17"/>
                <w:szCs w:val="17"/>
                <w:color w:val="auto"/>
              </w:rPr>
              <w:t>26</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Fourth</w:t>
            </w:r>
          </w:p>
        </w:tc>
        <w:tc>
          <w:tcPr>
            <w:tcW w:w="4460" w:type="dxa"/>
            <w:vAlign w:val="bottom"/>
          </w:tcPr>
          <w:p>
            <w:pPr>
              <w:ind w:left="3660"/>
              <w:spacing w:after="0"/>
              <w:rPr>
                <w:sz w:val="20"/>
                <w:szCs w:val="20"/>
                <w:color w:val="auto"/>
              </w:rPr>
            </w:pPr>
            <w:r>
              <w:rPr>
                <w:rFonts w:ascii="Arial" w:cs="Arial" w:eastAsia="Arial" w:hAnsi="Arial"/>
                <w:sz w:val="17"/>
                <w:szCs w:val="17"/>
                <w:b w:val="1"/>
                <w:bCs w:val="1"/>
                <w:color w:val="auto"/>
              </w:rPr>
              <w:t>20</w:t>
            </w:r>
          </w:p>
        </w:tc>
        <w:tc>
          <w:tcPr>
            <w:tcW w:w="1020" w:type="dxa"/>
            <w:vAlign w:val="bottom"/>
          </w:tcPr>
          <w:p>
            <w:pPr>
              <w:jc w:val="right"/>
              <w:ind w:right="421"/>
              <w:spacing w:after="0"/>
              <w:rPr>
                <w:sz w:val="20"/>
                <w:szCs w:val="20"/>
                <w:color w:val="auto"/>
              </w:rPr>
            </w:pPr>
            <w:r>
              <w:rPr>
                <w:rFonts w:ascii="Arial" w:cs="Arial" w:eastAsia="Arial" w:hAnsi="Arial"/>
                <w:sz w:val="17"/>
                <w:szCs w:val="17"/>
                <w:b w:val="1"/>
                <w:bCs w:val="1"/>
                <w:color w:val="auto"/>
              </w:rPr>
              <w:t>7</w:t>
            </w:r>
          </w:p>
        </w:tc>
        <w:tc>
          <w:tcPr>
            <w:tcW w:w="960" w:type="dxa"/>
            <w:vAlign w:val="bottom"/>
          </w:tcPr>
          <w:p>
            <w:pPr>
              <w:ind w:left="440"/>
              <w:spacing w:after="0"/>
              <w:rPr>
                <w:sz w:val="20"/>
                <w:szCs w:val="20"/>
                <w:color w:val="auto"/>
              </w:rPr>
            </w:pPr>
            <w:r>
              <w:rPr>
                <w:rFonts w:ascii="Arial" w:cs="Arial" w:eastAsia="Arial" w:hAnsi="Arial"/>
                <w:sz w:val="17"/>
                <w:szCs w:val="17"/>
                <w:color w:val="auto"/>
              </w:rPr>
              <w:t>21</w:t>
            </w:r>
          </w:p>
        </w:tc>
        <w:tc>
          <w:tcPr>
            <w:tcW w:w="6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Weather</w:t>
      </w:r>
    </w:p>
    <w:p>
      <w:pPr>
        <w:spacing w:after="0" w:line="2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From time to time, unusual weather conditions in a particular worldwide region may adversely affect retail sales of our products. We work to mitigate this effect by taking orders in advance of the selling season. Nonetheless, weather conditions could materially affect our future sales.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 and Marketing</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market the majority of our products through approximately 50 domestic and 100 foreign distributors, as well as a number of hardware retailers, home centers, and mass retailers in more than 94 countries worldwide.</w:t>
      </w:r>
    </w:p>
    <w:p>
      <w:pPr>
        <w:ind w:right="280" w:firstLine="83"/>
        <w:spacing w:after="0" w:line="294" w:lineRule="auto"/>
        <w:rPr>
          <w:sz w:val="20"/>
          <w:szCs w:val="20"/>
          <w:color w:val="auto"/>
        </w:rPr>
      </w:pPr>
      <w:r>
        <w:rPr>
          <w:rFonts w:ascii="Arial" w:cs="Arial" w:eastAsia="Arial" w:hAnsi="Arial"/>
          <w:sz w:val="15"/>
          <w:szCs w:val="15"/>
          <w:color w:val="auto"/>
        </w:rPr>
        <w:t>Toro and Lawn-Boy residential products, such as walk power mowers, riding products, and snow throwers, are sold to distributors, including Toro-owned distributors, for resale to retail dealers throughout the United States. Walk power mowers, snow throwers, and riding products are also sold directly to dealers and home centers. Home solutions products and retail irrigation products are sold directly to dealers, hardware retailers, home centers, and mass retailers. We also sell selected residential products over the Internet, mainly through Internet retailers. Internationally, residential products are sold direct to retail dealers and mass merchandisers in Australia and Canada. In most other countries, products are sold to distributors for resale to dealers and mass merchandisers.</w:t>
      </w:r>
    </w:p>
    <w:p>
      <w:pPr>
        <w:spacing w:after="0" w:line="2" w:lineRule="exact"/>
        <w:rPr>
          <w:sz w:val="20"/>
          <w:szCs w:val="20"/>
          <w:color w:val="auto"/>
        </w:rPr>
      </w:pPr>
    </w:p>
    <w:p>
      <w:pPr>
        <w:ind w:right="40" w:firstLine="83"/>
        <w:spacing w:after="0" w:line="276" w:lineRule="auto"/>
        <w:rPr>
          <w:sz w:val="20"/>
          <w:szCs w:val="20"/>
          <w:color w:val="auto"/>
        </w:rPr>
      </w:pPr>
      <w:r>
        <w:rPr>
          <w:rFonts w:ascii="Arial" w:cs="Arial" w:eastAsia="Arial" w:hAnsi="Arial"/>
          <w:sz w:val="16"/>
          <w:szCs w:val="16"/>
          <w:color w:val="auto"/>
        </w:rPr>
        <w:t>Worldwide, professional products are sold mainly to distributors for resale to dealers, sports complexes, industrial facilities, contractors, municipalities, rental stores, and golf courses. We also sell some professional segment products directly to government customers and rental centers. Selected residential/commercial irrigation products are also sold directly to professional irrigation distributors. Compact utility loaders and attachments are sold directly to dealers and rental centers. As of October 31, 2004, we owned three domestic distribution companies. Our primary purposes in owning domestic distributorships are to develop a best-practices model of distribution that could be replicated by our independent distributors and to facilitate ownership transfers while improving operations. These distribution companies sell professional and residential products directly to retail dealers and customers primarily in the United States and a majority of the revenues are derived from Toro-manufactured products. In the fourth quarter of fiscal 2004, we sold our southeastern-based distribution company. We also completed the sale of our southwestern-based distribution company in the first quarter of fiscal 2005.</w:t>
      </w:r>
    </w:p>
    <w:p>
      <w:pPr>
        <w:spacing w:after="0" w:line="1" w:lineRule="exact"/>
        <w:rPr>
          <w:sz w:val="20"/>
          <w:szCs w:val="20"/>
          <w:color w:val="auto"/>
        </w:rPr>
      </w:pPr>
    </w:p>
    <w:p>
      <w:pPr>
        <w:ind w:right="600" w:firstLine="86"/>
        <w:spacing w:after="0" w:line="259" w:lineRule="auto"/>
        <w:rPr>
          <w:sz w:val="20"/>
          <w:szCs w:val="20"/>
          <w:color w:val="auto"/>
        </w:rPr>
      </w:pPr>
      <w:r>
        <w:rPr>
          <w:rFonts w:ascii="Arial" w:cs="Arial" w:eastAsia="Arial" w:hAnsi="Arial"/>
          <w:sz w:val="17"/>
          <w:szCs w:val="17"/>
          <w:color w:val="auto"/>
        </w:rPr>
        <w:t>Our distribution systems are intended to assure quality of sales and market presence as well as effective after-purchase service and support. We consider our distribution network to be a competitive advantage in marketing our products.</w:t>
      </w:r>
    </w:p>
    <w:p>
      <w:pPr>
        <w:spacing w:after="0" w:line="1" w:lineRule="exact"/>
        <w:rPr>
          <w:sz w:val="20"/>
          <w:szCs w:val="20"/>
          <w:color w:val="auto"/>
        </w:rPr>
      </w:pPr>
    </w:p>
    <w:p>
      <w:pPr>
        <w:ind w:right="340" w:firstLine="86"/>
        <w:spacing w:after="0" w:line="259" w:lineRule="auto"/>
        <w:rPr>
          <w:sz w:val="20"/>
          <w:szCs w:val="20"/>
          <w:color w:val="auto"/>
        </w:rPr>
      </w:pPr>
      <w:r>
        <w:rPr>
          <w:rFonts w:ascii="Arial" w:cs="Arial" w:eastAsia="Arial" w:hAnsi="Arial"/>
          <w:sz w:val="17"/>
          <w:szCs w:val="17"/>
          <w:color w:val="auto"/>
        </w:rPr>
        <w:t>Our current marketing strategy is to maintain distinct brands and brand identification for Toro®, Lawn-Boy®, Exmark®, Lawn Genie®, Irritrol® Systems, and Pope® products.</w:t>
      </w:r>
    </w:p>
    <w:p>
      <w:pPr>
        <w:spacing w:after="0" w:line="1" w:lineRule="exact"/>
        <w:rPr>
          <w:sz w:val="20"/>
          <w:szCs w:val="20"/>
          <w:color w:val="auto"/>
        </w:rPr>
      </w:pPr>
    </w:p>
    <w:p>
      <w:pPr>
        <w:ind w:right="300" w:firstLine="83"/>
        <w:spacing w:after="0" w:line="321" w:lineRule="auto"/>
        <w:rPr>
          <w:sz w:val="20"/>
          <w:szCs w:val="20"/>
          <w:color w:val="auto"/>
        </w:rPr>
      </w:pPr>
      <w:r>
        <w:rPr>
          <w:rFonts w:ascii="Arial" w:cs="Arial" w:eastAsia="Arial" w:hAnsi="Arial"/>
          <w:sz w:val="15"/>
          <w:szCs w:val="15"/>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purchased directly by the company as well as through cooperative programs with distributors, dealers, hardware retailers, home centers, and mass retailers.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Customers</w:t>
      </w:r>
    </w:p>
    <w:p>
      <w:pPr>
        <w:spacing w:after="0" w:line="22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Overall, management believes that long-term we are not dependent on a single customer. However, The Home Depot accounted for greater than 10 percent of our total consolidated net sales in fiscal 2004, 2003, and 2002. The residential segment is largely dependent on The Home Depot as a customer. While the loss of any substantial customer could have a material short-term impact on our business, we believe that our diverse distribution channels and customer base should reduce the long-term impact of any such loss.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 of Orders</w:t>
      </w:r>
    </w:p>
    <w:p>
      <w:pPr>
        <w:spacing w:after="0" w:line="22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The approximate backlog of orders believed to be firm as of October 31, 2004 and 2003 was $156.3 million and $105.6 million, respectively, a 48.0 percent increase. The increase reflects continued strong demand for our products as we entered fiscal 2005. In addition, we received 2005 stock orders from some of our international customers earlier than compared to prior years. We expect the existing backlog of orders will be filled in fiscal 2005.</w:t>
      </w:r>
    </w:p>
    <w:p>
      <w:pPr>
        <w:sectPr>
          <w:pgSz w:w="11900" w:h="16838" w:orient="portrait"/>
          <w:cols w:equalWidth="0" w:num="1">
            <w:col w:w="11420"/>
          </w:cols>
          <w:pgMar w:left="240" w:top="413" w:right="2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Our products are sold in highly competitive markets throughout the world. The principal competitive factors in our markets are pricing, product innovation, quality and reliability, product support and customer service, warranty, reputation, distribution, shelf space, and financing options. Pricing has become an increasingly important factor in competition for a majority of our products. Management believes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all product lines with numerous manufacturers, many of who have substantially greater financial resources than we do. Management believes that we have a competitive advantage because we manufacture a broad range of product lines and have a strong focus in maintaining landscapes. In addition, management believes Toro’s commitment to customer service, product innovation, and distribution channels position us well to compete in various markets.</w:t>
      </w:r>
    </w:p>
    <w:p>
      <w:pPr>
        <w:jc w:val="both"/>
        <w:ind w:right="160" w:firstLine="86"/>
        <w:spacing w:after="0" w:line="321" w:lineRule="auto"/>
        <w:rPr>
          <w:sz w:val="20"/>
          <w:szCs w:val="20"/>
          <w:color w:val="auto"/>
        </w:rPr>
      </w:pPr>
      <w:r>
        <w:rPr>
          <w:rFonts w:ascii="Arial" w:cs="Arial" w:eastAsia="Arial" w:hAnsi="Arial"/>
          <w:sz w:val="15"/>
          <w:szCs w:val="15"/>
          <w:color w:val="auto"/>
        </w:rPr>
        <w:t>Internationally, residential segment products can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Matters and Other Governmental Regulation</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subject to a wide variety of federal, state, and international environmental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Management does not expect that these matters will have a material adverse effect on our consolidated financial position or results of operations.</w:t>
      </w:r>
    </w:p>
    <w:p>
      <w:pPr>
        <w:spacing w:after="0" w:line="2" w:lineRule="exact"/>
        <w:rPr>
          <w:sz w:val="20"/>
          <w:szCs w:val="20"/>
          <w:color w:val="auto"/>
        </w:rPr>
      </w:pPr>
    </w:p>
    <w:p>
      <w:pPr>
        <w:ind w:right="40" w:firstLine="83"/>
        <w:spacing w:after="0" w:line="276" w:lineRule="auto"/>
        <w:rPr>
          <w:sz w:val="20"/>
          <w:szCs w:val="20"/>
          <w:color w:val="auto"/>
        </w:rPr>
      </w:pPr>
      <w:r>
        <w:rPr>
          <w:rFonts w:ascii="Arial" w:cs="Arial" w:eastAsia="Arial" w:hAnsi="Arial"/>
          <w:sz w:val="16"/>
          <w:szCs w:val="16"/>
          <w:color w:val="auto"/>
        </w:rPr>
        <w:t>The United States Environmental Protection Agency (EPA) released Phase I regulations for all gas engines under 25 horsepower in June 1995. Our engine suppliers and our manufactured snow thrower two-cycle engines are currently in compliance with these regulations. We received certification from the EPA on these engines that allowed us to produce two-cycle walk power mower engines at our Oxford, Mississippi plant through calendar year 2002. However, we are unable to economically manufacture a two-cycle engine for walk power mowers in order to meet the required Phase II regulation emission levels. This resulted in the decision to close our two-cycle engine manufacturing facility in Oxford, Mississippi. We produced an adequate quantity of two-cycle engines for snow thrower products to meet demand through the 2004-2005 winter season before operations ceased on April 30, 2004. In fiscal 2004, we entered into a joint venture agreement with a leading engine manufacturer to source two-cycle snow thrower engines for us and other customers. Our 2004 Lawn-Boy two-cycle engine walk power mowers were replaced with four-cycle engines purchased from a third party supplier.</w:t>
      </w:r>
    </w:p>
    <w:p>
      <w:pPr>
        <w:spacing w:after="0" w:line="1" w:lineRule="exact"/>
        <w:rPr>
          <w:sz w:val="20"/>
          <w:szCs w:val="20"/>
          <w:color w:val="auto"/>
        </w:rPr>
      </w:pPr>
    </w:p>
    <w:p>
      <w:pPr>
        <w:ind w:right="300" w:firstLine="86"/>
        <w:spacing w:after="0" w:line="266" w:lineRule="auto"/>
        <w:rPr>
          <w:sz w:val="20"/>
          <w:szCs w:val="20"/>
          <w:color w:val="auto"/>
        </w:rPr>
      </w:pPr>
      <w:r>
        <w:rPr>
          <w:rFonts w:ascii="Arial" w:cs="Arial" w:eastAsia="Arial" w:hAnsi="Arial"/>
          <w:sz w:val="17"/>
          <w:szCs w:val="17"/>
          <w:color w:val="auto"/>
        </w:rPr>
        <w:t>Our residential products are subject to various United States statutes designed to protect consumers and are subject to the administrative jurisdiction of the Consumer Product Safety Commission. We are also subject to international, federal and state environmental, occupational safety, transportation, and other regulations, none of which has had a materially adverse effect on our operations or business. Management believes we are in substantial compliance with all such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 Financing</w:t>
      </w:r>
    </w:p>
    <w:p>
      <w:pPr>
        <w:spacing w:after="0" w:line="22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color w:val="auto"/>
        </w:rPr>
        <w:t xml:space="preserve">Wholesale Financing – </w:t>
      </w:r>
      <w:r>
        <w:rPr>
          <w:rFonts w:ascii="Arial" w:cs="Arial" w:eastAsia="Arial" w:hAnsi="Arial"/>
          <w:sz w:val="17"/>
          <w:szCs w:val="17"/>
          <w:color w:val="auto"/>
        </w:rPr>
        <w:t>Toro Credit Company, our wholly owned finance subsidiary, provides financing for select products we manufacture for North American</w:t>
      </w:r>
      <w:r>
        <w:rPr>
          <w:rFonts w:ascii="Arial" w:cs="Arial" w:eastAsia="Arial" w:hAnsi="Arial"/>
          <w:sz w:val="17"/>
          <w:szCs w:val="17"/>
          <w:b w:val="1"/>
          <w:bCs w:val="1"/>
          <w:color w:val="auto"/>
        </w:rPr>
        <w:t xml:space="preserve"> </w:t>
      </w:r>
      <w:r>
        <w:rPr>
          <w:rFonts w:ascii="Arial" w:cs="Arial" w:eastAsia="Arial" w:hAnsi="Arial"/>
          <w:sz w:val="17"/>
          <w:szCs w:val="17"/>
          <w:color w:val="auto"/>
        </w:rPr>
        <w:t>Toro distributors and approximately 200 U.S. dealers. Toro Credit Company purchases select receivables from The Toro Company and our distributors for extended periods that assists the distributors and dealers to carry representative inventories of equipment. Down payments are not required and, depending on the finance program for each product line, finance charges are incurred by us, shared between us and the distributor or dealer, or paid by the distributor or dealer. A security interest is retained in the distributors’ and dealers’ inventories, and periodic physical checks are made of those inventories. Generally, terms to the distributors and dealers require payments as the equipment, which secures the indebtedness, is sold to customers, or when payment terms become due, whichever occurs first. Rates are generally fixed or based on prime rate plus a fixed percentage that differs based on whether the financing is for a distributor or dealer. Rates may also vary based on the product that is financed.</w:t>
      </w:r>
    </w:p>
    <w:p>
      <w:pPr>
        <w:spacing w:after="0" w:line="4" w:lineRule="exact"/>
        <w:rPr>
          <w:sz w:val="20"/>
          <w:szCs w:val="20"/>
          <w:color w:val="auto"/>
        </w:rPr>
      </w:pPr>
    </w:p>
    <w:p>
      <w:pPr>
        <w:jc w:val="both"/>
        <w:ind w:right="60" w:firstLine="86"/>
        <w:spacing w:after="0" w:line="269" w:lineRule="auto"/>
        <w:rPr>
          <w:sz w:val="20"/>
          <w:szCs w:val="20"/>
          <w:color w:val="auto"/>
        </w:rPr>
      </w:pPr>
      <w:r>
        <w:rPr>
          <w:rFonts w:ascii="Arial" w:cs="Arial" w:eastAsia="Arial" w:hAnsi="Arial"/>
          <w:sz w:val="17"/>
          <w:szCs w:val="17"/>
          <w:color w:val="auto"/>
        </w:rPr>
        <w:t>Independent Toro dealers that do not finance through Toro Credit Company finance their inventories with third party sources. The finance charges represent interest for a pre-established length of time based on a predefined rate by a contract with third party financing sources. Exmark and some international products sold through dealers are financed primarily with third party financing sources or by the distributor.</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color w:val="auto"/>
        </w:rPr>
        <w:t xml:space="preserve">End-User Financing – </w:t>
      </w:r>
      <w:r>
        <w:rPr>
          <w:rFonts w:ascii="Arial" w:cs="Arial" w:eastAsia="Arial" w:hAnsi="Arial"/>
          <w:sz w:val="17"/>
          <w:szCs w:val="17"/>
          <w:color w:val="auto"/>
        </w:rPr>
        <w:t>We have an agreement with a third party financing company to provide lease-financing options to domestic golf course and sports fields and</w:t>
      </w:r>
      <w:r>
        <w:rPr>
          <w:rFonts w:ascii="Arial" w:cs="Arial" w:eastAsia="Arial" w:hAnsi="Arial"/>
          <w:sz w:val="17"/>
          <w:szCs w:val="17"/>
          <w:b w:val="1"/>
          <w:bCs w:val="1"/>
          <w:color w:val="auto"/>
        </w:rPr>
        <w:t xml:space="preserve"> </w:t>
      </w:r>
      <w:r>
        <w:rPr>
          <w:rFonts w:ascii="Arial" w:cs="Arial" w:eastAsia="Arial" w:hAnsi="Arial"/>
          <w:sz w:val="17"/>
          <w:szCs w:val="17"/>
          <w:color w:val="auto"/>
        </w:rPr>
        <w:t>grounds equipment customers. The purpose of the agreement is to increase sales by giving end-user buyers of our products alternative financing options when purchasing our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86"/>
        <w:spacing w:after="0" w:line="319" w:lineRule="auto"/>
        <w:rPr>
          <w:sz w:val="20"/>
          <w:szCs w:val="20"/>
          <w:color w:val="auto"/>
        </w:rPr>
      </w:pPr>
      <w:r>
        <w:rPr>
          <w:rFonts w:ascii="Arial" w:cs="Arial" w:eastAsia="Arial" w:hAnsi="Arial"/>
          <w:sz w:val="16"/>
          <w:szCs w:val="16"/>
          <w:color w:val="auto"/>
        </w:rPr>
        <w:t>During fiscal 2004, we entered into a multi-year agreement with a third party financing company to provide financing programs under a private label program. This program, offered primarily to Toro and Exmark dealers, provides end-user customers a revolving line of credit for Toro and Exmark parts and services.</w:t>
      </w:r>
    </w:p>
    <w:p>
      <w:pPr>
        <w:spacing w:after="0" w:line="140"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color w:val="auto"/>
        </w:rPr>
        <w:t xml:space="preserve">Distributor Financing </w:t>
      </w:r>
      <w:r>
        <w:rPr>
          <w:rFonts w:ascii="Arial" w:cs="Arial" w:eastAsia="Arial" w:hAnsi="Arial"/>
          <w:sz w:val="17"/>
          <w:szCs w:val="17"/>
          <w:color w:val="auto"/>
        </w:rPr>
        <w:t>– We enter into long-term loan agreements with some distributors. These transactions are used for expansion of the distributors’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refinancing working capital agreements, or ownership changes.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fiscal 2004, we employed an average of 5,164 employees. The total number of employees as of October 31, 2004 was 5,071. Three collective bargaining agreements cover approximately 17 percent of these employees, each expiring in the following periods: October 2005, May 2006, and October 2006. From time to time, we also retain consultants, independent contractors, and temporary and part-time workers.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Available Information</w:t>
      </w:r>
    </w:p>
    <w:p>
      <w:pPr>
        <w:spacing w:after="0" w:line="22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We are a reporting company under the Securities Exchange Act of 1934, as amended, and file reports, proxy statements, and other information with the Securities and Exchange Commission (SEC). Copies of these reports, proxy statements, and other information can be inspected and copied at the SEC’s Public Reference Room at 450 Fifth Street N.W.,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 w:lineRule="exact"/>
        <w:rPr>
          <w:sz w:val="20"/>
          <w:szCs w:val="20"/>
          <w:color w:val="auto"/>
        </w:rPr>
      </w:pPr>
    </w:p>
    <w:p>
      <w:pPr>
        <w:ind w:right="40" w:firstLine="83"/>
        <w:spacing w:after="0" w:line="301" w:lineRule="auto"/>
        <w:rPr>
          <w:sz w:val="20"/>
          <w:szCs w:val="20"/>
          <w:color w:val="auto"/>
        </w:rPr>
      </w:pPr>
      <w:r>
        <w:rPr>
          <w:rFonts w:ascii="Arial" w:cs="Arial" w:eastAsia="Arial" w:hAnsi="Arial"/>
          <w:sz w:val="15"/>
          <w:szCs w:val="15"/>
          <w:color w:val="auto"/>
        </w:rPr>
        <w:t>We make available, free of charge on our Internet web site www.thetorocompany.com,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We also make available, free of charge on our Internet web site www.thetorocompany.com and in print to any stockholder who requests, our corporate governance guidelines, the charters of our board committees, and our Code of Ethics for the CEO and Senior Financial Officers and Code of Conduct for all employees. Requests for copies can be directed to Investor Relations, telephone: 952-887-7141. The information contained on our web site or connected to our web site is not incorporated by reference into this Annual Report on Form 10-K and should not be considered part of this report. We have attached the required certifications under Section 302 of the Sarbanes-Oxley Act of 2002 regarding the quality of our public disclosures as Exhibits 31(a) and 31(b) to this report. We have filed with the New York Stock Exchange (NYSE) the CEO certification regarding our compliance with the NYSE’s corporate governance listing standards as required by NYSE Rule 3030A.12(a) on April 12, 2004.</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i w:val="1"/>
          <w:iCs w:val="1"/>
          <w:color w:val="auto"/>
        </w:rPr>
        <w:t>This Annual Report on Form 10-K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 are forward-looking and reflect expectations and assumptions. We try to identify forward-looking statements in this report and elsewhere by using words such as “expect”, “looking ahead”, “anticipate”, “plan”, “estimate”, “believe”, “should”, “may”, “intend”, and similar expressions. 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 w:lineRule="exact"/>
        <w:rPr>
          <w:sz w:val="20"/>
          <w:szCs w:val="20"/>
          <w:color w:val="auto"/>
        </w:rPr>
      </w:pPr>
    </w:p>
    <w:p>
      <w:pPr>
        <w:ind w:right="180" w:firstLine="86"/>
        <w:spacing w:after="0" w:line="259" w:lineRule="auto"/>
        <w:rPr>
          <w:sz w:val="20"/>
          <w:szCs w:val="20"/>
          <w:color w:val="auto"/>
        </w:rPr>
      </w:pPr>
      <w:r>
        <w:rPr>
          <w:rFonts w:ascii="Arial" w:cs="Arial" w:eastAsia="Arial" w:hAnsi="Arial"/>
          <w:sz w:val="17"/>
          <w:szCs w:val="17"/>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120" w:right="8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global and domestic economies, including but not limited to slow growth rate, slow down in home sales, rise in interest rates, inflation, unemployment, weaker consumer confidence, and currency exchange rates, which could have a negative impact on our financial results.</w:t>
      </w:r>
    </w:p>
    <w:p>
      <w:pPr>
        <w:spacing w:after="0" w:line="1" w:lineRule="exact"/>
        <w:rPr>
          <w:rFonts w:ascii="Arial" w:cs="Arial" w:eastAsia="Arial" w:hAnsi="Arial"/>
          <w:sz w:val="17"/>
          <w:szCs w:val="17"/>
          <w:color w:val="auto"/>
        </w:rPr>
      </w:pPr>
    </w:p>
    <w:p>
      <w:pPr>
        <w:ind w:left="120" w:right="24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the cost and availability of raw materials, such as steel and other commodities, and increased dependence on suppliers and our ability to maintain favorable supplier arrangements and relationships.</w:t>
      </w:r>
    </w:p>
    <w:p>
      <w:pPr>
        <w:spacing w:after="0" w:line="1" w:lineRule="exact"/>
        <w:rPr>
          <w:rFonts w:ascii="Arial" w:cs="Arial" w:eastAsia="Arial" w:hAnsi="Arial"/>
          <w:sz w:val="17"/>
          <w:szCs w:val="17"/>
          <w:color w:val="auto"/>
        </w:rPr>
      </w:pPr>
    </w:p>
    <w:p>
      <w:pPr>
        <w:ind w:left="120" w:right="10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goals of the “6 + 8: Teamwork to the Top” initiative that is intended to achieve a consistent after-tax return on sales of 6 percent or more and grow revenues at an average annual rate of 8 percent or more over the three-year period ending October 31, 2006.</w:t>
      </w:r>
    </w:p>
    <w:p>
      <w:pPr>
        <w:spacing w:after="0" w:line="1" w:lineRule="exact"/>
        <w:rPr>
          <w:rFonts w:ascii="Arial" w:cs="Arial" w:eastAsia="Arial" w:hAnsi="Arial"/>
          <w:sz w:val="17"/>
          <w:szCs w:val="17"/>
          <w:color w:val="auto"/>
        </w:rPr>
      </w:pPr>
    </w:p>
    <w:p>
      <w:pPr>
        <w:ind w:left="120" w:right="2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implement lean manufacturing and other productivity improvement initiatives, which are intended to improve gross margins, offset a portion of rising raw material costs, and provide investment funding for new products and services.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dependence on The Home Depot, Inc. as a customer for the residential segment.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80" w:hanging="114"/>
        <w:spacing w:after="0" w:line="263"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Increased competition, including competitive pricing pressures, new competitors entering the markets we serve, potential loss of market share, new product introductions, and financing programs offered by both domestic and foreign companies.</w:t>
      </w:r>
    </w:p>
    <w:p>
      <w:pPr>
        <w:ind w:left="120" w:right="14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Rising transportation costs as a result of higher fuel costs, capacity issues in the transportation industry, and government regulation that limits the hours of service and increases fuel consumption.</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our relationship with and terms from third party financing sources utilized by our customers.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Weather conditions that reduce demand for our products.</w:t>
      </w:r>
    </w:p>
    <w:p>
      <w:pPr>
        <w:spacing w:after="0" w:line="16" w:lineRule="exact"/>
        <w:rPr>
          <w:rFonts w:ascii="Arial" w:cs="Arial" w:eastAsia="Arial" w:hAnsi="Arial"/>
          <w:sz w:val="17"/>
          <w:szCs w:val="17"/>
          <w:color w:val="auto"/>
        </w:rPr>
      </w:pPr>
    </w:p>
    <w:p>
      <w:pPr>
        <w:ind w:left="120" w:right="36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Continued threat of terrorist acts and war, which may result in heightened security and higher costs for import and export shipments of components or finished goods, and contraction of the U.S. and worldwide economies.</w:t>
      </w:r>
    </w:p>
    <w:p>
      <w:pPr>
        <w:spacing w:after="0" w:line="1" w:lineRule="exact"/>
        <w:rPr>
          <w:rFonts w:ascii="Arial" w:cs="Arial" w:eastAsia="Arial" w:hAnsi="Arial"/>
          <w:sz w:val="17"/>
          <w:szCs w:val="17"/>
          <w:color w:val="auto"/>
        </w:rPr>
      </w:pPr>
    </w:p>
    <w:p>
      <w:pPr>
        <w:ind w:left="120" w:right="32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acquire, develop, integrate new businesses, and manage alliances and joint venture arrangements successfully, both of which are important to our revenue growth.</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achieve projected sales and earnings growth for fiscal 2005.</w:t>
      </w:r>
    </w:p>
    <w:p>
      <w:pPr>
        <w:spacing w:after="0" w:line="16" w:lineRule="exact"/>
        <w:rPr>
          <w:rFonts w:ascii="Arial" w:cs="Arial" w:eastAsia="Arial" w:hAnsi="Arial"/>
          <w:sz w:val="17"/>
          <w:szCs w:val="17"/>
          <w:color w:val="auto"/>
        </w:rPr>
      </w:pPr>
    </w:p>
    <w:p>
      <w:pPr>
        <w:ind w:left="12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develop and introduce new products and 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2"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Elimination or reduction of shelf space for our products at retailers.</w:t>
      </w:r>
    </w:p>
    <w:p>
      <w:pPr>
        <w:spacing w:after="0" w:line="16" w:lineRule="exact"/>
        <w:rPr>
          <w:rFonts w:ascii="Arial" w:cs="Arial" w:eastAsia="Arial" w:hAnsi="Arial"/>
          <w:sz w:val="17"/>
          <w:szCs w:val="17"/>
          <w:color w:val="auto"/>
        </w:rPr>
      </w:pPr>
    </w:p>
    <w:p>
      <w:pPr>
        <w:ind w:left="120" w:right="8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Unforeseen inventory adjustments or changes in purchasing patterns by our customers, which could reduce sales and necessitate lowering manufacturing volumes, or increase inventory above acceptable levels.</w:t>
      </w:r>
    </w:p>
    <w:p>
      <w:pPr>
        <w:spacing w:after="0" w:line="1" w:lineRule="exact"/>
        <w:rPr>
          <w:rFonts w:ascii="Arial" w:cs="Arial" w:eastAsia="Arial" w:hAnsi="Arial"/>
          <w:sz w:val="17"/>
          <w:szCs w:val="17"/>
          <w:color w:val="auto"/>
        </w:rPr>
      </w:pPr>
    </w:p>
    <w:p>
      <w:pPr>
        <w:ind w:left="120" w:right="14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Unforeseen product quality problems in the development and production of new and existing products that could result in loss of market share, reduced sales, and higher warranty expense.</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Degree of success in plant consolidation, including our ability to cost-effectively expand existing, move production between, and close manufacturing facilities.</w:t>
      </w:r>
    </w:p>
    <w:p>
      <w:pPr>
        <w:spacing w:after="0" w:line="27" w:lineRule="exact"/>
        <w:rPr>
          <w:rFonts w:ascii="Arial" w:cs="Arial" w:eastAsia="Arial" w:hAnsi="Arial"/>
          <w:sz w:val="16"/>
          <w:szCs w:val="16"/>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Government restrictions placed on water usage as well as water availability.</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level of growth in the new golf course construction market.</w:t>
      </w:r>
    </w:p>
    <w:p>
      <w:pPr>
        <w:spacing w:after="0" w:line="16" w:lineRule="exact"/>
        <w:rPr>
          <w:rFonts w:ascii="Arial" w:cs="Arial" w:eastAsia="Arial" w:hAnsi="Arial"/>
          <w:sz w:val="17"/>
          <w:szCs w:val="17"/>
          <w:color w:val="auto"/>
        </w:rPr>
      </w:pPr>
    </w:p>
    <w:p>
      <w:pPr>
        <w:ind w:left="120" w:right="20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Changing buying patterns, including but not limited to, a trend away from purchases at dealer outlets to price and value sensitive purchases at hardware retailers, home centers, and mass retailers.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Reduced government spending for grounds maintenance equipment due to reduced tax revenue and tighter government budgets.</w:t>
      </w:r>
    </w:p>
    <w:p>
      <w:pPr>
        <w:spacing w:after="0" w:line="16" w:lineRule="exact"/>
        <w:rPr>
          <w:rFonts w:ascii="Arial" w:cs="Arial" w:eastAsia="Arial" w:hAnsi="Arial"/>
          <w:sz w:val="17"/>
          <w:szCs w:val="17"/>
          <w:color w:val="auto"/>
        </w:rPr>
      </w:pPr>
    </w:p>
    <w:p>
      <w:pPr>
        <w:ind w:left="120" w:right="8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Financial viability of some distributors and dealers, changes in distributor ownership, our success in partnering with new dealers, and our customers’ ability to pay amounts owed to us.</w:t>
      </w:r>
    </w:p>
    <w:p>
      <w:pPr>
        <w:spacing w:after="0" w:line="1" w:lineRule="exact"/>
        <w:rPr>
          <w:rFonts w:ascii="Arial" w:cs="Arial" w:eastAsia="Arial" w:hAnsi="Arial"/>
          <w:sz w:val="17"/>
          <w:szCs w:val="17"/>
          <w:color w:val="auto"/>
        </w:rPr>
      </w:pPr>
    </w:p>
    <w:p>
      <w:pPr>
        <w:ind w:left="120" w:right="82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laws and regulations, including changes in accounting standards; taxation changes, including tax rate changes, new tax laws, revised tax law interpretations; and environmental laws.</w:t>
      </w:r>
    </w:p>
    <w:p>
      <w:pPr>
        <w:spacing w:after="0" w:line="1" w:lineRule="exact"/>
        <w:rPr>
          <w:rFonts w:ascii="Arial" w:cs="Arial" w:eastAsia="Arial" w:hAnsi="Arial"/>
          <w:sz w:val="17"/>
          <w:szCs w:val="17"/>
          <w:color w:val="auto"/>
        </w:rPr>
      </w:pPr>
    </w:p>
    <w:p>
      <w:pPr>
        <w:jc w:val="both"/>
        <w:ind w:left="120" w:right="80" w:hanging="114"/>
        <w:spacing w:after="0" w:line="259" w:lineRule="auto"/>
        <w:tabs>
          <w:tab w:leader="none" w:pos="12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Unknown impact on our business and our consolidated operating results or financial condition as a result of the pending litigation against the company and others in our industry that challenges engine horsepower ratings of lawnmower products, of which the company is currently unable to assess whether the litigation would have a material adverse effect on the company’s consolidated operating results or financial condition.</w:t>
      </w:r>
    </w:p>
    <w:p>
      <w:pPr>
        <w:spacing w:after="0" w:line="2" w:lineRule="exact"/>
        <w:rPr>
          <w:rFonts w:ascii="Arial" w:cs="Arial" w:eastAsia="Arial" w:hAnsi="Arial"/>
          <w:sz w:val="17"/>
          <w:szCs w:val="17"/>
          <w:color w:val="auto"/>
        </w:rPr>
      </w:pPr>
    </w:p>
    <w:p>
      <w:pPr>
        <w:ind w:left="120" w:hanging="114"/>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effects of other litigation, including threatened or pending litigation, on matters relating to patent infringement, employment, and commercial disputes.</w:t>
      </w:r>
    </w:p>
    <w:p>
      <w:pPr>
        <w:spacing w:after="0" w:line="234" w:lineRule="exact"/>
        <w:rPr>
          <w:sz w:val="20"/>
          <w:szCs w:val="20"/>
          <w:color w:val="auto"/>
        </w:rPr>
      </w:pPr>
    </w:p>
    <w:p>
      <w:pPr>
        <w:ind w:right="20" w:firstLine="86"/>
        <w:spacing w:after="0" w:line="263"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effect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quarterly reports on Form 10-Q and current reports on Form 8-K we file with or furnish to the Securities and Exchange Commission.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22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As of October 31, 2004, we utilized manufacturing, distribution, warehouse, and office facilities totaling approximately 5.4 million square feet of space, which also included inactive facilities available for sale or subleasing. We also utilize 20.34 acres of land in California as a testing facility and 16.3 acres of land in Nebraska as a parking and testing facility. Plant utilization varies during the year depending on the production cycle. We consider each of our current facilities in use to be in good operating condition and adequate for its present use. Management believes we have sufficient manufacturing capacity for fiscal 2005, in part because we began fiscal 2005 production earlier than prior years. The following schedule outlines our significant facilities by location, ownership, and function as of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Arial" w:cs="Arial" w:eastAsia="Arial" w:hAnsi="Arial"/>
                <w:sz w:val="13"/>
                <w:szCs w:val="13"/>
                <w:b w:val="1"/>
                <w:bCs w:val="1"/>
                <w:color w:val="auto"/>
              </w:rPr>
              <w:t>Location</w:t>
            </w:r>
          </w:p>
        </w:tc>
        <w:tc>
          <w:tcPr>
            <w:tcW w:w="1840" w:type="dxa"/>
            <w:vAlign w:val="bottom"/>
          </w:tcPr>
          <w:p>
            <w:pPr>
              <w:ind w:left="400"/>
              <w:spacing w:after="0"/>
              <w:rPr>
                <w:sz w:val="20"/>
                <w:szCs w:val="20"/>
                <w:color w:val="auto"/>
              </w:rPr>
            </w:pPr>
            <w:r>
              <w:rPr>
                <w:rFonts w:ascii="Arial" w:cs="Arial" w:eastAsia="Arial" w:hAnsi="Arial"/>
                <w:sz w:val="13"/>
                <w:szCs w:val="13"/>
                <w:b w:val="1"/>
                <w:bCs w:val="1"/>
                <w:color w:val="auto"/>
              </w:rPr>
              <w:t>Ownership</w:t>
            </w:r>
          </w:p>
        </w:tc>
        <w:tc>
          <w:tcPr>
            <w:tcW w:w="7680" w:type="dxa"/>
            <w:vAlign w:val="bottom"/>
          </w:tcPr>
          <w:p>
            <w:pPr>
              <w:ind w:left="380"/>
              <w:spacing w:after="0"/>
              <w:rPr>
                <w:sz w:val="20"/>
                <w:szCs w:val="20"/>
                <w:color w:val="auto"/>
              </w:rPr>
            </w:pPr>
            <w:r>
              <w:rPr>
                <w:rFonts w:ascii="Arial" w:cs="Arial" w:eastAsia="Arial" w:hAnsi="Arial"/>
                <w:sz w:val="13"/>
                <w:szCs w:val="13"/>
                <w:b w:val="1"/>
                <w:bCs w:val="1"/>
                <w:color w:val="auto"/>
              </w:rPr>
              <w:t>Products Manufactured/Use</w:t>
            </w:r>
          </w:p>
        </w:tc>
      </w:tr>
      <w:tr>
        <w:trPr>
          <w:trHeight w:val="94"/>
        </w:trPr>
        <w:tc>
          <w:tcPr>
            <w:tcW w:w="190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7680" w:type="dxa"/>
            <w:vAlign w:val="bottom"/>
            <w:tcBorders>
              <w:bottom w:val="single" w:sz="8" w:color="808080"/>
            </w:tcBorders>
          </w:tcPr>
          <w:p>
            <w:pPr>
              <w:spacing w:after="0"/>
              <w:rPr>
                <w:sz w:val="8"/>
                <w:szCs w:val="8"/>
                <w:color w:val="auto"/>
              </w:rPr>
            </w:pPr>
          </w:p>
        </w:tc>
      </w:tr>
      <w:tr>
        <w:trPr>
          <w:trHeight w:val="302"/>
        </w:trPr>
        <w:tc>
          <w:tcPr>
            <w:tcW w:w="1900" w:type="dxa"/>
            <w:vAlign w:val="bottom"/>
          </w:tcPr>
          <w:p>
            <w:pPr>
              <w:spacing w:after="0"/>
              <w:rPr>
                <w:sz w:val="20"/>
                <w:szCs w:val="20"/>
                <w:color w:val="auto"/>
              </w:rPr>
            </w:pPr>
            <w:r>
              <w:rPr>
                <w:rFonts w:ascii="Arial" w:cs="Arial" w:eastAsia="Arial" w:hAnsi="Arial"/>
                <w:sz w:val="17"/>
                <w:szCs w:val="17"/>
                <w:color w:val="auto"/>
              </w:rPr>
              <w:t>Bloomington, MN</w:t>
            </w:r>
          </w:p>
        </w:tc>
        <w:tc>
          <w:tcPr>
            <w:tcW w:w="1840" w:type="dxa"/>
            <w:vAlign w:val="bottom"/>
          </w:tcPr>
          <w:p>
            <w:pPr>
              <w:ind w:left="400"/>
              <w:spacing w:after="0"/>
              <w:rPr>
                <w:sz w:val="20"/>
                <w:szCs w:val="20"/>
                <w:color w:val="auto"/>
              </w:rPr>
            </w:pPr>
            <w:r>
              <w:rPr>
                <w:rFonts w:ascii="Arial" w:cs="Arial" w:eastAsia="Arial" w:hAnsi="Arial"/>
                <w:sz w:val="17"/>
                <w:szCs w:val="17"/>
                <w:color w:val="auto"/>
              </w:rPr>
              <w:t>Owned/ 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Corporate headquarters, warehouse, and test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El Paso, TX</w:t>
            </w:r>
          </w:p>
        </w:tc>
        <w:tc>
          <w:tcPr>
            <w:tcW w:w="1840" w:type="dxa"/>
            <w:vAlign w:val="bottom"/>
          </w:tcPr>
          <w:p>
            <w:pPr>
              <w:ind w:left="400"/>
              <w:spacing w:after="0"/>
              <w:rPr>
                <w:sz w:val="20"/>
                <w:szCs w:val="20"/>
                <w:color w:val="auto"/>
              </w:rPr>
            </w:pPr>
            <w:r>
              <w:rPr>
                <w:rFonts w:ascii="Arial" w:cs="Arial" w:eastAsia="Arial" w:hAnsi="Arial"/>
                <w:sz w:val="17"/>
                <w:szCs w:val="17"/>
                <w:color w:val="auto"/>
              </w:rPr>
              <w:t>Owned/ 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distribution center</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Juarez, Mexico</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and residential products</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Plymouth, WI</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and residential parts distribution center</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Tomah, WI</w:t>
            </w:r>
          </w:p>
        </w:tc>
        <w:tc>
          <w:tcPr>
            <w:tcW w:w="1840" w:type="dxa"/>
            <w:vAlign w:val="bottom"/>
          </w:tcPr>
          <w:p>
            <w:pPr>
              <w:ind w:left="400"/>
              <w:spacing w:after="0"/>
              <w:rPr>
                <w:sz w:val="20"/>
                <w:szCs w:val="20"/>
                <w:color w:val="auto"/>
              </w:rPr>
            </w:pPr>
            <w:r>
              <w:rPr>
                <w:rFonts w:ascii="Arial" w:cs="Arial" w:eastAsia="Arial" w:hAnsi="Arial"/>
                <w:sz w:val="17"/>
                <w:szCs w:val="17"/>
                <w:color w:val="auto"/>
              </w:rPr>
              <w:t>Owned/ 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and warehouse</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Windom, MN</w:t>
            </w:r>
          </w:p>
        </w:tc>
        <w:tc>
          <w:tcPr>
            <w:tcW w:w="1840" w:type="dxa"/>
            <w:vAlign w:val="bottom"/>
          </w:tcPr>
          <w:p>
            <w:pPr>
              <w:ind w:left="400"/>
              <w:spacing w:after="0"/>
              <w:rPr>
                <w:sz w:val="20"/>
                <w:szCs w:val="20"/>
                <w:color w:val="auto"/>
              </w:rPr>
            </w:pPr>
            <w:r>
              <w:rPr>
                <w:rFonts w:ascii="Arial" w:cs="Arial" w:eastAsia="Arial" w:hAnsi="Arial"/>
                <w:sz w:val="17"/>
                <w:szCs w:val="17"/>
                <w:color w:val="auto"/>
              </w:rPr>
              <w:t>Owned/ 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Residential and professional products and warehouse</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Baraboo, WI</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and residential finished goods distribution center</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Lakeville, MN</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Residential finished goods distribution center</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Beatrice, NE</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office, and test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Riverside, CA</w:t>
            </w:r>
          </w:p>
        </w:tc>
        <w:tc>
          <w:tcPr>
            <w:tcW w:w="1840" w:type="dxa"/>
            <w:vAlign w:val="bottom"/>
          </w:tcPr>
          <w:p>
            <w:pPr>
              <w:ind w:left="400"/>
              <w:spacing w:after="0"/>
              <w:rPr>
                <w:sz w:val="20"/>
                <w:szCs w:val="20"/>
                <w:color w:val="auto"/>
              </w:rPr>
            </w:pPr>
            <w:r>
              <w:rPr>
                <w:rFonts w:ascii="Arial" w:cs="Arial" w:eastAsia="Arial" w:hAnsi="Arial"/>
                <w:sz w:val="17"/>
                <w:szCs w:val="17"/>
                <w:color w:val="auto"/>
              </w:rPr>
              <w:t>Owned/ 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Office and test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Lincoln, NE</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warehouse</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Shakopee, MN</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Components for professional and residential products</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Beverley, Australia</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office and finished goods distribution center</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El Cajon, CA</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warehouse, office</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Sanford, FL</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and warehouse</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Brooklyn Center, MN</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Capena, Italy</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Oevel, Belgium</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Hazelwood, MO</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Goodyear, AZ</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Braeside, Australia</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00" w:type="dxa"/>
            <w:vAlign w:val="bottom"/>
          </w:tcPr>
          <w:p>
            <w:pPr>
              <w:spacing w:after="0"/>
              <w:rPr>
                <w:sz w:val="20"/>
                <w:szCs w:val="20"/>
                <w:color w:val="auto"/>
              </w:rPr>
            </w:pPr>
            <w:r>
              <w:rPr>
                <w:rFonts w:ascii="Arial" w:cs="Arial" w:eastAsia="Arial" w:hAnsi="Arial"/>
                <w:sz w:val="17"/>
                <w:szCs w:val="17"/>
                <w:color w:val="auto"/>
              </w:rPr>
              <w:t>Itasca, IL</w:t>
            </w:r>
          </w:p>
        </w:tc>
        <w:tc>
          <w:tcPr>
            <w:tcW w:w="1840" w:type="dxa"/>
            <w:vAlign w:val="bottom"/>
          </w:tcPr>
          <w:p>
            <w:pPr>
              <w:ind w:left="400"/>
              <w:spacing w:after="0"/>
              <w:rPr>
                <w:sz w:val="20"/>
                <w:szCs w:val="20"/>
                <w:color w:val="auto"/>
              </w:rPr>
            </w:pPr>
            <w:r>
              <w:rPr>
                <w:rFonts w:ascii="Arial" w:cs="Arial" w:eastAsia="Arial" w:hAnsi="Arial"/>
                <w:sz w:val="17"/>
                <w:szCs w:val="17"/>
                <w:color w:val="auto"/>
              </w:rPr>
              <w:t>Leased</w:t>
            </w:r>
          </w:p>
        </w:tc>
        <w:tc>
          <w:tcPr>
            <w:tcW w:w="768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7"/>
        </w:trPr>
        <w:tc>
          <w:tcPr>
            <w:tcW w:w="1900" w:type="dxa"/>
            <w:vAlign w:val="bottom"/>
          </w:tcPr>
          <w:p>
            <w:pPr>
              <w:spacing w:after="0"/>
              <w:rPr>
                <w:sz w:val="20"/>
                <w:szCs w:val="20"/>
                <w:color w:val="auto"/>
              </w:rPr>
            </w:pPr>
            <w:r>
              <w:rPr>
                <w:rFonts w:ascii="Arial" w:cs="Arial" w:eastAsia="Arial" w:hAnsi="Arial"/>
                <w:sz w:val="17"/>
                <w:szCs w:val="17"/>
                <w:color w:val="auto"/>
              </w:rPr>
              <w:t>Fiano Romano, Italy</w:t>
            </w:r>
          </w:p>
        </w:tc>
        <w:tc>
          <w:tcPr>
            <w:tcW w:w="1840" w:type="dxa"/>
            <w:vAlign w:val="bottom"/>
          </w:tcPr>
          <w:p>
            <w:pPr>
              <w:ind w:left="400"/>
              <w:spacing w:after="0"/>
              <w:rPr>
                <w:sz w:val="20"/>
                <w:szCs w:val="20"/>
                <w:color w:val="auto"/>
              </w:rPr>
            </w:pPr>
            <w:r>
              <w:rPr>
                <w:rFonts w:ascii="Arial" w:cs="Arial" w:eastAsia="Arial" w:hAnsi="Arial"/>
                <w:sz w:val="17"/>
                <w:szCs w:val="17"/>
                <w:color w:val="auto"/>
              </w:rPr>
              <w:t>Owned</w:t>
            </w:r>
          </w:p>
        </w:tc>
        <w:tc>
          <w:tcPr>
            <w:tcW w:w="7680" w:type="dxa"/>
            <w:vAlign w:val="bottom"/>
          </w:tcPr>
          <w:p>
            <w:pPr>
              <w:ind w:left="380"/>
              <w:spacing w:after="0"/>
              <w:rPr>
                <w:sz w:val="20"/>
                <w:szCs w:val="20"/>
                <w:color w:val="auto"/>
              </w:rPr>
            </w:pPr>
            <w:r>
              <w:rPr>
                <w:rFonts w:ascii="Arial" w:cs="Arial" w:eastAsia="Arial" w:hAnsi="Arial"/>
                <w:sz w:val="17"/>
                <w:szCs w:val="17"/>
                <w:color w:val="auto"/>
              </w:rPr>
              <w:t>Professional products and warehouse, office</w:t>
            </w:r>
          </w:p>
        </w:tc>
      </w:tr>
      <w:tr>
        <w:trPr>
          <w:trHeight w:val="109"/>
        </w:trPr>
        <w:tc>
          <w:tcPr>
            <w:tcW w:w="190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22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the outcome of these cases is unlikely to have a materially adverse effect on our consolidated financial results. Further, we maintain insurance against some product liability losses.</w:t>
      </w:r>
    </w:p>
    <w:p>
      <w:pPr>
        <w:spacing w:after="0" w:line="187" w:lineRule="exact"/>
        <w:rPr>
          <w:sz w:val="20"/>
          <w:szCs w:val="20"/>
          <w:color w:val="auto"/>
        </w:rPr>
      </w:pPr>
    </w:p>
    <w:p>
      <w:pPr>
        <w:ind w:right="20" w:firstLine="77"/>
        <w:spacing w:after="0" w:line="303" w:lineRule="auto"/>
        <w:rPr>
          <w:sz w:val="20"/>
          <w:szCs w:val="20"/>
          <w:color w:val="auto"/>
        </w:rPr>
      </w:pPr>
      <w:r>
        <w:rPr>
          <w:rFonts w:ascii="Arial" w:cs="Arial" w:eastAsia="Arial" w:hAnsi="Arial"/>
          <w:sz w:val="15"/>
          <w:szCs w:val="15"/>
          <w:color w:val="auto"/>
        </w:rPr>
        <w:t>As previously disclosed in our most recent quarterly report, on June 3, 2004, eight individuals who claim to have purchased lawnmowers in Illinois and Minnesota filed a lawsuit (Ronnie Phillips et al. v. Sears Roebuck Corporation et. al., No. 04-L-334 (20th Judicial Circuit, St., Clair County, IL) against the company and other defendants alleging that the horsepower labels on the 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by the defendants. The complaint seeks an injunction, unspecified compensatory and punitive damages, and attorneys’ fees. No answers have been entered in the case, and there has been no discovery. Management continues to evaluate this lawsuit. We have not established a reserve for any potential loss in connection with this lawsuit since we are unable to provide a reasonable estimate of the amount or range of loss that could result from this litigation. We are also unable to assess at this time whether the lawsuit will have a material adverse effect on our consolidated operating results or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SUBMISSION OF MATTERS TO A VOTE OF SECURITY HOLDERS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to a vote of security holders during the fourth quarter of fiscal 2004.</w:t>
      </w:r>
    </w:p>
    <w:p>
      <w:pPr>
        <w:sectPr>
          <w:pgSz w:w="11900" w:h="16838" w:orient="portrait"/>
          <w:cols w:equalWidth="0" w:num="1">
            <w:col w:w="11420"/>
          </w:cols>
          <w:pgMar w:left="240" w:top="413" w:right="239" w:bottom="1440" w:gutter="0" w:footer="0" w:header="0"/>
        </w:sect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Officers of the Registrant</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list below identifies those persons designated as executive officers of the company, including their age and position with the company as of December 17, 2004 and positions held by them during the last five or more years. Officers are elected by the Board of Directors or appointed by the Chief Executive Officer annually. All executive officers listed below are subject to Section 16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321310</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Arial" w:cs="Arial" w:eastAsia="Arial" w:hAnsi="Arial"/>
                <w:sz w:val="13"/>
                <w:szCs w:val="13"/>
                <w:b w:val="1"/>
                <w:bCs w:val="1"/>
                <w:color w:val="auto"/>
              </w:rPr>
              <w:t>Name, Age, and Position with the Company</w:t>
            </w:r>
          </w:p>
        </w:tc>
        <w:tc>
          <w:tcPr>
            <w:tcW w:w="6740" w:type="dxa"/>
            <w:vAlign w:val="bottom"/>
          </w:tcPr>
          <w:p>
            <w:pPr>
              <w:ind w:left="240"/>
              <w:spacing w:after="0"/>
              <w:rPr>
                <w:sz w:val="20"/>
                <w:szCs w:val="20"/>
                <w:color w:val="auto"/>
              </w:rPr>
            </w:pPr>
            <w:r>
              <w:rPr>
                <w:rFonts w:ascii="Arial" w:cs="Arial" w:eastAsia="Arial" w:hAnsi="Arial"/>
                <w:sz w:val="13"/>
                <w:szCs w:val="13"/>
                <w:b w:val="1"/>
                <w:bCs w:val="1"/>
                <w:color w:val="auto"/>
              </w:rPr>
              <w:t>Business Experience During the Last Five or More Years</w:t>
            </w:r>
          </w:p>
        </w:tc>
      </w:tr>
      <w:tr>
        <w:trPr>
          <w:trHeight w:val="94"/>
        </w:trPr>
        <w:tc>
          <w:tcPr>
            <w:tcW w:w="4680" w:type="dxa"/>
            <w:vAlign w:val="bottom"/>
            <w:tcBorders>
              <w:bottom w:val="single" w:sz="8" w:color="808080"/>
            </w:tcBorders>
          </w:tcPr>
          <w:p>
            <w:pPr>
              <w:spacing w:after="0"/>
              <w:rPr>
                <w:sz w:val="8"/>
                <w:szCs w:val="8"/>
                <w:color w:val="auto"/>
              </w:rPr>
            </w:pPr>
          </w:p>
        </w:tc>
        <w:tc>
          <w:tcPr>
            <w:tcW w:w="6740" w:type="dxa"/>
            <w:vAlign w:val="bottom"/>
            <w:tcBorders>
              <w:bottom w:val="single" w:sz="8" w:color="808080"/>
            </w:tcBorders>
          </w:tcPr>
          <w:p>
            <w:pPr>
              <w:spacing w:after="0"/>
              <w:rPr>
                <w:sz w:val="8"/>
                <w:szCs w:val="8"/>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Kendrick B. Melrose</w:t>
            </w: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Chairman of the Board since December 1987 and Chief Executive Officer since December</w:t>
            </w: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64, Chairman and Chief Executive Officer</w:t>
            </w:r>
          </w:p>
        </w:tc>
        <w:tc>
          <w:tcPr>
            <w:tcW w:w="6740" w:type="dxa"/>
            <w:vAlign w:val="bottom"/>
          </w:tcPr>
          <w:p>
            <w:pPr>
              <w:ind w:left="240"/>
              <w:spacing w:after="0"/>
              <w:rPr>
                <w:sz w:val="20"/>
                <w:szCs w:val="20"/>
                <w:color w:val="auto"/>
              </w:rPr>
            </w:pPr>
            <w:r>
              <w:rPr>
                <w:rFonts w:ascii="Arial" w:cs="Arial" w:eastAsia="Arial" w:hAnsi="Arial"/>
                <w:sz w:val="17"/>
                <w:szCs w:val="17"/>
                <w:color w:val="auto"/>
              </w:rPr>
              <w:t>1983.</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William E. Brown, Jr.</w:t>
            </w: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Vice President and General Manager, Commercial Business since February 2003. From</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w w:val="96"/>
              </w:rPr>
              <w:t>43, Vice President and General Manager, Commercial Business</w:t>
            </w:r>
          </w:p>
        </w:tc>
        <w:tc>
          <w:tcPr>
            <w:tcW w:w="6740" w:type="dxa"/>
            <w:vAlign w:val="bottom"/>
          </w:tcPr>
          <w:p>
            <w:pPr>
              <w:ind w:left="240"/>
              <w:spacing w:after="0"/>
              <w:rPr>
                <w:sz w:val="20"/>
                <w:szCs w:val="20"/>
                <w:color w:val="auto"/>
              </w:rPr>
            </w:pPr>
            <w:r>
              <w:rPr>
                <w:rFonts w:ascii="Arial" w:cs="Arial" w:eastAsia="Arial" w:hAnsi="Arial"/>
                <w:sz w:val="17"/>
                <w:szCs w:val="17"/>
                <w:color w:val="auto"/>
                <w:w w:val="96"/>
              </w:rPr>
              <w:t>September 2000 to January 2003, he served as General Manager, Landscape Contractor</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1"/>
              </w:rPr>
              <w:t>Business. From September 1998 to August 2000, he served as Managing Director, Landscape</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Contractor Business.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Philip A. Burkart</w:t>
            </w:r>
          </w:p>
        </w:tc>
        <w:tc>
          <w:tcPr>
            <w:tcW w:w="6740" w:type="dxa"/>
            <w:vAlign w:val="bottom"/>
          </w:tcPr>
          <w:p>
            <w:pPr>
              <w:ind w:left="240"/>
              <w:spacing w:after="0"/>
              <w:rPr>
                <w:sz w:val="20"/>
                <w:szCs w:val="20"/>
                <w:color w:val="auto"/>
              </w:rPr>
            </w:pPr>
            <w:r>
              <w:rPr>
                <w:rFonts w:ascii="Arial" w:cs="Arial" w:eastAsia="Arial" w:hAnsi="Arial"/>
                <w:sz w:val="17"/>
                <w:szCs w:val="17"/>
                <w:color w:val="auto"/>
              </w:rPr>
              <w:t>Vice President and General Manager, Irrigation Business since February 2003. From</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42, Vice President and General Manager, Irrigation Business</w:t>
            </w:r>
          </w:p>
        </w:tc>
        <w:tc>
          <w:tcPr>
            <w:tcW w:w="6740" w:type="dxa"/>
            <w:vAlign w:val="bottom"/>
          </w:tcPr>
          <w:p>
            <w:pPr>
              <w:ind w:left="240"/>
              <w:spacing w:after="0"/>
              <w:rPr>
                <w:sz w:val="20"/>
                <w:szCs w:val="20"/>
                <w:color w:val="auto"/>
              </w:rPr>
            </w:pPr>
            <w:r>
              <w:rPr>
                <w:rFonts w:ascii="Arial" w:cs="Arial" w:eastAsia="Arial" w:hAnsi="Arial"/>
                <w:sz w:val="17"/>
                <w:szCs w:val="17"/>
                <w:color w:val="auto"/>
              </w:rPr>
              <w:t>November 2000 to January 2003, he served as Vice President and General Manager,</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1"/>
              </w:rPr>
              <w:t>International Business. From October 1999 to October 2000, he served as Managing Director,</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International Business.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Michael D. Drazan</w:t>
            </w:r>
          </w:p>
        </w:tc>
        <w:tc>
          <w:tcPr>
            <w:tcW w:w="6740" w:type="dxa"/>
            <w:vAlign w:val="bottom"/>
          </w:tcPr>
          <w:p>
            <w:pPr>
              <w:ind w:left="240"/>
              <w:spacing w:after="0"/>
              <w:rPr>
                <w:sz w:val="20"/>
                <w:szCs w:val="20"/>
                <w:color w:val="auto"/>
              </w:rPr>
            </w:pPr>
            <w:r>
              <w:rPr>
                <w:rFonts w:ascii="Arial" w:cs="Arial" w:eastAsia="Arial" w:hAnsi="Arial"/>
                <w:sz w:val="17"/>
                <w:szCs w:val="17"/>
                <w:color w:val="auto"/>
                <w:w w:val="96"/>
              </w:rPr>
              <w:t>Vice President, Corporate Information Services since March 2000. From October 1995 to</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47, Vice President, Corporate Information Services</w:t>
            </w: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March 2000, he served as Manager, Food Sector Information Technology for infrastructure</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3"/>
              </w:rPr>
              <w:t>and applications at Cargill, Incorporated, an international marketer, processor and distributor</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of agricultural, food, financial and industrial products and services.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Timothy A. Ford</w:t>
            </w: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Group Vice President, Commercial, Irrigation, Agricultural Irrigation Businesses, Corporate</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42, Group Vice President</w:t>
            </w: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Accounts, Distributor Businesses, and Center for Advanced Technology since November</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9"/>
              </w:rPr>
              <w:t>2002. From February 2002 to October 2002, he served as Vice President and General</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2"/>
              </w:rPr>
              <w:t>Manager, Commercial Business, Corporate Accounts and Distributor Business Development.</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From August 2001 to January 2002, he served as Vice President and General Manager,</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1"/>
              </w:rPr>
              <w:t>Commercial Business. From January 1998 to July 2001, he held various executive positions at</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4"/>
              </w:rPr>
              <w:t>Honeywell International, a diversified technology and manufacturing company, in the Home</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and Building Control division, that included responsibilities for marketing, operations, and</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merger integration planning.</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Dennis P. Himan</w:t>
            </w: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Vice President and General Manager, International Business since February 2003. From</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w w:val="96"/>
              </w:rPr>
              <w:t>60, Vice President and General Manager, International Business</w:t>
            </w:r>
          </w:p>
        </w:tc>
        <w:tc>
          <w:tcPr>
            <w:tcW w:w="6740" w:type="dxa"/>
            <w:vAlign w:val="bottom"/>
          </w:tcPr>
          <w:p>
            <w:pPr>
              <w:ind w:left="240"/>
              <w:spacing w:after="0"/>
              <w:rPr>
                <w:sz w:val="20"/>
                <w:szCs w:val="20"/>
                <w:color w:val="auto"/>
              </w:rPr>
            </w:pPr>
            <w:r>
              <w:rPr>
                <w:rFonts w:ascii="Arial" w:cs="Arial" w:eastAsia="Arial" w:hAnsi="Arial"/>
                <w:sz w:val="17"/>
                <w:szCs w:val="17"/>
                <w:color w:val="auto"/>
                <w:w w:val="94"/>
              </w:rPr>
              <w:t>January 2002 to January 2003, he served as Vice President and General Manager, Exmark</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Landscape Contractor Business. From August 1998 to December 2001, he served as Vice</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President and General Manager, Landscape Contractor Business.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Michael J. Hoffman</w:t>
            </w:r>
          </w:p>
        </w:tc>
        <w:tc>
          <w:tcPr>
            <w:tcW w:w="6740" w:type="dxa"/>
            <w:vAlign w:val="bottom"/>
          </w:tcPr>
          <w:p>
            <w:pPr>
              <w:ind w:left="240"/>
              <w:spacing w:after="0"/>
              <w:rPr>
                <w:sz w:val="20"/>
                <w:szCs w:val="20"/>
                <w:color w:val="auto"/>
              </w:rPr>
            </w:pPr>
            <w:r>
              <w:rPr>
                <w:rFonts w:ascii="Arial" w:cs="Arial" w:eastAsia="Arial" w:hAnsi="Arial"/>
                <w:sz w:val="17"/>
                <w:szCs w:val="17"/>
                <w:color w:val="auto"/>
                <w:w w:val="93"/>
              </w:rPr>
              <w:t>President and Chief Operating Officer since October 2004. From November 2002 to October</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49, President and Chief Operating Officer</w:t>
            </w: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2004, he served as Group Vice President, Consumer, Exmark, Landscape Contractor and</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International Businesses. From May 2001 to October 2002, he served as Group Vice</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1"/>
              </w:rPr>
              <w:t>President, Consumer and Landscape Contractor Businesses. From May 2000 to May 2001, he</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0"/>
              </w:rPr>
              <w:t>served as Vice President and General Manager, Consumer Business. From November 1997 to</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April 2000, he served as Vice President and General Manager, Commercial Business.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Randy B. James</w:t>
            </w:r>
          </w:p>
        </w:tc>
        <w:tc>
          <w:tcPr>
            <w:tcW w:w="6740" w:type="dxa"/>
            <w:vAlign w:val="bottom"/>
          </w:tcPr>
          <w:p>
            <w:pPr>
              <w:ind w:left="240"/>
              <w:spacing w:after="0"/>
              <w:rPr>
                <w:sz w:val="20"/>
                <w:szCs w:val="20"/>
                <w:color w:val="auto"/>
              </w:rPr>
            </w:pPr>
            <w:r>
              <w:rPr>
                <w:rFonts w:ascii="Arial" w:cs="Arial" w:eastAsia="Arial" w:hAnsi="Arial"/>
                <w:sz w:val="17"/>
                <w:szCs w:val="17"/>
                <w:color w:val="auto"/>
              </w:rPr>
              <w:t>Vice President and Controller since December 1988.</w:t>
            </w: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61, Vice President and Controller</w:t>
            </w:r>
          </w:p>
        </w:tc>
        <w:tc>
          <w:tcPr>
            <w:tcW w:w="6740" w:type="dxa"/>
            <w:vAlign w:val="bottom"/>
          </w:tcPr>
          <w:p>
            <w:pPr>
              <w:spacing w:after="0"/>
              <w:rPr>
                <w:sz w:val="18"/>
                <w:szCs w:val="18"/>
                <w:color w:val="auto"/>
              </w:rPr>
            </w:pP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J. Lawrence McIntyre</w:t>
            </w:r>
          </w:p>
        </w:tc>
        <w:tc>
          <w:tcPr>
            <w:tcW w:w="6740" w:type="dxa"/>
            <w:vAlign w:val="bottom"/>
          </w:tcPr>
          <w:p>
            <w:pPr>
              <w:ind w:left="240"/>
              <w:spacing w:after="0"/>
              <w:rPr>
                <w:sz w:val="20"/>
                <w:szCs w:val="20"/>
                <w:color w:val="auto"/>
              </w:rPr>
            </w:pPr>
            <w:r>
              <w:rPr>
                <w:rFonts w:ascii="Arial" w:cs="Arial" w:eastAsia="Arial" w:hAnsi="Arial"/>
                <w:sz w:val="17"/>
                <w:szCs w:val="17"/>
                <w:color w:val="auto"/>
              </w:rPr>
              <w:t>Vice President, Secretary and General Counsel since July 1993.</w:t>
            </w: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62, Vice President, Secretary and General Counsel</w:t>
            </w:r>
          </w:p>
        </w:tc>
        <w:tc>
          <w:tcPr>
            <w:tcW w:w="6740" w:type="dxa"/>
            <w:vAlign w:val="bottom"/>
          </w:tcPr>
          <w:p>
            <w:pPr>
              <w:spacing w:after="0"/>
              <w:rPr>
                <w:sz w:val="18"/>
                <w:szCs w:val="18"/>
                <w:color w:val="auto"/>
              </w:rPr>
            </w:pP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Sandra J. Meurlot</w:t>
            </w:r>
          </w:p>
        </w:tc>
        <w:tc>
          <w:tcPr>
            <w:tcW w:w="6740" w:type="dxa"/>
            <w:vAlign w:val="bottom"/>
          </w:tcPr>
          <w:p>
            <w:pPr>
              <w:ind w:left="240"/>
              <w:spacing w:after="0"/>
              <w:rPr>
                <w:sz w:val="20"/>
                <w:szCs w:val="20"/>
                <w:color w:val="auto"/>
              </w:rPr>
            </w:pPr>
            <w:r>
              <w:rPr>
                <w:rFonts w:ascii="Arial" w:cs="Arial" w:eastAsia="Arial" w:hAnsi="Arial"/>
                <w:sz w:val="17"/>
                <w:szCs w:val="17"/>
                <w:color w:val="auto"/>
                <w:w w:val="93"/>
              </w:rPr>
              <w:t>Vice President, Operations since November 2002. From September 2000 to February 2001,</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56, Vice President, Operations</w:t>
            </w:r>
          </w:p>
        </w:tc>
        <w:tc>
          <w:tcPr>
            <w:tcW w:w="6740" w:type="dxa"/>
            <w:vAlign w:val="bottom"/>
          </w:tcPr>
          <w:p>
            <w:pPr>
              <w:ind w:left="240"/>
              <w:spacing w:after="0"/>
              <w:rPr>
                <w:sz w:val="20"/>
                <w:szCs w:val="20"/>
                <w:color w:val="auto"/>
              </w:rPr>
            </w:pPr>
            <w:r>
              <w:rPr>
                <w:rFonts w:ascii="Arial" w:cs="Arial" w:eastAsia="Arial" w:hAnsi="Arial"/>
                <w:sz w:val="17"/>
                <w:szCs w:val="17"/>
                <w:color w:val="auto"/>
              </w:rPr>
              <w:t>she served as Vice President/OMC and President, Boat Group at Outboard Marine</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3"/>
              </w:rPr>
              <w:t>Corporation, a manufacturer and marketer of marine engines, boats, and accessories. From</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August 1999 to September 2000, she served as Senior Vice President, Manufacturing at</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Outboard Marine Corporation.</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Karen M. Meyer</w:t>
            </w:r>
          </w:p>
        </w:tc>
        <w:tc>
          <w:tcPr>
            <w:tcW w:w="6740" w:type="dxa"/>
            <w:vAlign w:val="bottom"/>
          </w:tcPr>
          <w:p>
            <w:pPr>
              <w:ind w:left="240"/>
              <w:spacing w:after="0"/>
              <w:rPr>
                <w:sz w:val="20"/>
                <w:szCs w:val="20"/>
                <w:color w:val="auto"/>
              </w:rPr>
            </w:pPr>
            <w:r>
              <w:rPr>
                <w:rFonts w:ascii="Arial" w:cs="Arial" w:eastAsia="Arial" w:hAnsi="Arial"/>
                <w:sz w:val="17"/>
                <w:szCs w:val="17"/>
                <w:color w:val="auto"/>
              </w:rPr>
              <w:t>Vice President, Administration since August 1998.</w:t>
            </w: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rPr>
              <w:t>54, Vice President, Administration</w:t>
            </w:r>
          </w:p>
        </w:tc>
        <w:tc>
          <w:tcPr>
            <w:tcW w:w="6740" w:type="dxa"/>
            <w:vAlign w:val="bottom"/>
          </w:tcPr>
          <w:p>
            <w:pPr>
              <w:spacing w:after="0"/>
              <w:rPr>
                <w:sz w:val="18"/>
                <w:szCs w:val="18"/>
                <w:color w:val="auto"/>
              </w:rPr>
            </w:pP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Richard W. Rodier</w:t>
            </w:r>
          </w:p>
        </w:tc>
        <w:tc>
          <w:tcPr>
            <w:tcW w:w="6740" w:type="dxa"/>
            <w:vAlign w:val="bottom"/>
          </w:tcPr>
          <w:p>
            <w:pPr>
              <w:ind w:left="240"/>
              <w:spacing w:after="0"/>
              <w:rPr>
                <w:sz w:val="20"/>
                <w:szCs w:val="20"/>
                <w:color w:val="auto"/>
              </w:rPr>
            </w:pPr>
            <w:r>
              <w:rPr>
                <w:rFonts w:ascii="Arial" w:cs="Arial" w:eastAsia="Arial" w:hAnsi="Arial"/>
                <w:sz w:val="17"/>
                <w:szCs w:val="17"/>
                <w:color w:val="auto"/>
                <w:w w:val="98"/>
              </w:rPr>
              <w:t>General Manager, Landscape Contractor Business – Toro since November 2004. From</w:t>
            </w:r>
          </w:p>
        </w:tc>
      </w:tr>
      <w:tr>
        <w:trPr>
          <w:trHeight w:val="212"/>
        </w:trPr>
        <w:tc>
          <w:tcPr>
            <w:tcW w:w="4680" w:type="dxa"/>
            <w:vAlign w:val="bottom"/>
          </w:tcPr>
          <w:p>
            <w:pPr>
              <w:spacing w:after="0"/>
              <w:rPr>
                <w:sz w:val="20"/>
                <w:szCs w:val="20"/>
                <w:color w:val="auto"/>
              </w:rPr>
            </w:pPr>
            <w:r>
              <w:rPr>
                <w:rFonts w:ascii="Arial" w:cs="Arial" w:eastAsia="Arial" w:hAnsi="Arial"/>
                <w:sz w:val="17"/>
                <w:szCs w:val="17"/>
                <w:color w:val="auto"/>
              </w:rPr>
              <w:t>44, General Manager, Landscape Contractor Business – Toro</w:t>
            </w: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February 2003 to October 2004, he served as Managing Director, Landscape Contractor</w:t>
            </w:r>
          </w:p>
        </w:tc>
      </w:tr>
      <w:tr>
        <w:trPr>
          <w:trHeight w:val="212"/>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w w:val="94"/>
              </w:rPr>
              <w:t>Business – Toro. From November 1999 to January 2003, he served as Director of Grounds</w:t>
            </w:r>
          </w:p>
        </w:tc>
      </w:tr>
      <w:tr>
        <w:trPr>
          <w:trHeight w:val="217"/>
        </w:trPr>
        <w:tc>
          <w:tcPr>
            <w:tcW w:w="4680" w:type="dxa"/>
            <w:vAlign w:val="bottom"/>
          </w:tcPr>
          <w:p>
            <w:pPr>
              <w:spacing w:after="0"/>
              <w:rPr>
                <w:sz w:val="18"/>
                <w:szCs w:val="18"/>
                <w:color w:val="auto"/>
              </w:rPr>
            </w:pPr>
          </w:p>
        </w:tc>
        <w:tc>
          <w:tcPr>
            <w:tcW w:w="6740" w:type="dxa"/>
            <w:vAlign w:val="bottom"/>
          </w:tcPr>
          <w:p>
            <w:pPr>
              <w:ind w:left="240"/>
              <w:spacing w:after="0"/>
              <w:rPr>
                <w:sz w:val="20"/>
                <w:szCs w:val="20"/>
                <w:color w:val="auto"/>
              </w:rPr>
            </w:pPr>
            <w:r>
              <w:rPr>
                <w:rFonts w:ascii="Arial" w:cs="Arial" w:eastAsia="Arial" w:hAnsi="Arial"/>
                <w:sz w:val="17"/>
                <w:szCs w:val="17"/>
                <w:color w:val="auto"/>
              </w:rPr>
              <w:t>Marketing for the Commercial Business.</w:t>
            </w:r>
          </w:p>
        </w:tc>
      </w:tr>
      <w:tr>
        <w:trPr>
          <w:trHeight w:val="109"/>
        </w:trPr>
        <w:tc>
          <w:tcPr>
            <w:tcW w:w="4680" w:type="dxa"/>
            <w:vAlign w:val="bottom"/>
            <w:tcBorders>
              <w:bottom w:val="single" w:sz="8" w:color="808080"/>
            </w:tcBorders>
          </w:tcPr>
          <w:p>
            <w:pPr>
              <w:spacing w:after="0"/>
              <w:rPr>
                <w:sz w:val="9"/>
                <w:szCs w:val="9"/>
                <w:color w:val="auto"/>
              </w:rPr>
            </w:pPr>
          </w:p>
        </w:tc>
        <w:tc>
          <w:tcPr>
            <w:tcW w:w="6740" w:type="dxa"/>
            <w:vAlign w:val="bottom"/>
            <w:tcBorders>
              <w:bottom w:val="single" w:sz="8" w:color="808080"/>
            </w:tcBorders>
          </w:tcPr>
          <w:p>
            <w:pPr>
              <w:spacing w:after="0"/>
              <w:rPr>
                <w:sz w:val="9"/>
                <w:szCs w:val="9"/>
                <w:color w:val="auto"/>
              </w:rPr>
            </w:pPr>
          </w:p>
        </w:tc>
      </w:tr>
      <w:tr>
        <w:trPr>
          <w:trHeight w:val="302"/>
        </w:trPr>
        <w:tc>
          <w:tcPr>
            <w:tcW w:w="4680" w:type="dxa"/>
            <w:vAlign w:val="bottom"/>
          </w:tcPr>
          <w:p>
            <w:pPr>
              <w:spacing w:after="0"/>
              <w:rPr>
                <w:sz w:val="20"/>
                <w:szCs w:val="20"/>
                <w:color w:val="auto"/>
              </w:rPr>
            </w:pPr>
            <w:r>
              <w:rPr>
                <w:rFonts w:ascii="Arial" w:cs="Arial" w:eastAsia="Arial" w:hAnsi="Arial"/>
                <w:sz w:val="17"/>
                <w:szCs w:val="17"/>
                <w:b w:val="1"/>
                <w:bCs w:val="1"/>
                <w:color w:val="auto"/>
              </w:rPr>
              <w:t>Mark B. Stinson</w:t>
            </w:r>
          </w:p>
        </w:tc>
        <w:tc>
          <w:tcPr>
            <w:tcW w:w="6740" w:type="dxa"/>
            <w:vAlign w:val="bottom"/>
          </w:tcPr>
          <w:p>
            <w:pPr>
              <w:ind w:left="240"/>
              <w:spacing w:after="0"/>
              <w:rPr>
                <w:sz w:val="20"/>
                <w:szCs w:val="20"/>
                <w:color w:val="auto"/>
              </w:rPr>
            </w:pPr>
            <w:r>
              <w:rPr>
                <w:rFonts w:ascii="Arial" w:cs="Arial" w:eastAsia="Arial" w:hAnsi="Arial"/>
                <w:sz w:val="17"/>
                <w:szCs w:val="17"/>
                <w:color w:val="auto"/>
                <w:w w:val="95"/>
              </w:rPr>
              <w:t>General Manager, Landscape Contractor Business – Exmark since November 2004. From</w:t>
            </w:r>
          </w:p>
        </w:tc>
      </w:tr>
      <w:tr>
        <w:trPr>
          <w:trHeight w:val="217"/>
        </w:trPr>
        <w:tc>
          <w:tcPr>
            <w:tcW w:w="4680" w:type="dxa"/>
            <w:vAlign w:val="bottom"/>
          </w:tcPr>
          <w:p>
            <w:pPr>
              <w:spacing w:after="0"/>
              <w:rPr>
                <w:sz w:val="20"/>
                <w:szCs w:val="20"/>
                <w:color w:val="auto"/>
              </w:rPr>
            </w:pPr>
            <w:r>
              <w:rPr>
                <w:rFonts w:ascii="Arial" w:cs="Arial" w:eastAsia="Arial" w:hAnsi="Arial"/>
                <w:sz w:val="17"/>
                <w:szCs w:val="17"/>
                <w:color w:val="auto"/>
                <w:w w:val="95"/>
              </w:rPr>
              <w:t>39, General Manager, Landscape Contractor Business – Exmark</w:t>
            </w:r>
          </w:p>
        </w:tc>
        <w:tc>
          <w:tcPr>
            <w:tcW w:w="6740" w:type="dxa"/>
            <w:vAlign w:val="bottom"/>
          </w:tcPr>
          <w:p>
            <w:pPr>
              <w:ind w:left="240"/>
              <w:spacing w:after="0"/>
              <w:rPr>
                <w:sz w:val="20"/>
                <w:szCs w:val="20"/>
                <w:color w:val="auto"/>
              </w:rPr>
            </w:pPr>
            <w:r>
              <w:rPr>
                <w:rFonts w:ascii="Arial" w:cs="Arial" w:eastAsia="Arial" w:hAnsi="Arial"/>
                <w:sz w:val="17"/>
                <w:szCs w:val="17"/>
                <w:color w:val="auto"/>
                <w:w w:val="97"/>
              </w:rPr>
              <w:t>February 2003 to October 2004, he served as Managing Director, Landscape Contractor</w:t>
            </w:r>
          </w:p>
        </w:tc>
      </w:tr>
    </w:tbl>
    <w:p>
      <w:pPr>
        <w:sectPr>
          <w:pgSz w:w="11900" w:h="16838" w:orient="portrait"/>
          <w:cols w:equalWidth="0" w:num="1">
            <w:col w:w="11420"/>
          </w:cols>
          <w:pgMar w:left="240" w:top="413"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7"/>
                <w:szCs w:val="17"/>
                <w:color w:val="auto"/>
                <w:w w:val="97"/>
              </w:rPr>
              <w:t>Business – Exmark. From July 1996 to January 2003, he served as Controller of Exmark</w:t>
            </w:r>
          </w:p>
        </w:tc>
      </w:tr>
      <w:tr>
        <w:trPr>
          <w:trHeight w:val="217"/>
        </w:trPr>
        <w:tc>
          <w:tcPr>
            <w:tcW w:w="47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7"/>
                <w:szCs w:val="17"/>
                <w:color w:val="auto"/>
              </w:rPr>
              <w:t>Manufacturing.</w:t>
            </w:r>
          </w:p>
        </w:tc>
      </w:tr>
      <w:tr>
        <w:trPr>
          <w:trHeight w:val="109"/>
        </w:trPr>
        <w:tc>
          <w:tcPr>
            <w:tcW w:w="4720" w:type="dxa"/>
            <w:vAlign w:val="bottom"/>
            <w:tcBorders>
              <w:bottom w:val="single" w:sz="8" w:color="808080"/>
            </w:tcBorders>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r>
      <w:tr>
        <w:trPr>
          <w:trHeight w:val="302"/>
        </w:trPr>
        <w:tc>
          <w:tcPr>
            <w:tcW w:w="4720" w:type="dxa"/>
            <w:vAlign w:val="bottom"/>
          </w:tcPr>
          <w:p>
            <w:pPr>
              <w:spacing w:after="0"/>
              <w:rPr>
                <w:sz w:val="20"/>
                <w:szCs w:val="20"/>
                <w:color w:val="auto"/>
              </w:rPr>
            </w:pPr>
            <w:r>
              <w:rPr>
                <w:rFonts w:ascii="Arial" w:cs="Arial" w:eastAsia="Arial" w:hAnsi="Arial"/>
                <w:sz w:val="17"/>
                <w:szCs w:val="17"/>
                <w:b w:val="1"/>
                <w:bCs w:val="1"/>
                <w:color w:val="auto"/>
              </w:rPr>
              <w:t>Thomas M. Swain</w:t>
            </w:r>
          </w:p>
        </w:tc>
        <w:tc>
          <w:tcPr>
            <w:tcW w:w="6700" w:type="dxa"/>
            <w:vAlign w:val="bottom"/>
          </w:tcPr>
          <w:p>
            <w:pPr>
              <w:ind w:left="200"/>
              <w:spacing w:after="0"/>
              <w:rPr>
                <w:sz w:val="20"/>
                <w:szCs w:val="20"/>
                <w:color w:val="auto"/>
              </w:rPr>
            </w:pPr>
            <w:r>
              <w:rPr>
                <w:rFonts w:ascii="Arial" w:cs="Arial" w:eastAsia="Arial" w:hAnsi="Arial"/>
                <w:sz w:val="17"/>
                <w:szCs w:val="17"/>
                <w:color w:val="auto"/>
                <w:w w:val="90"/>
              </w:rPr>
              <w:t>General Manager, Consumer Business since November 2004. From February 2003 to October</w:t>
            </w:r>
          </w:p>
        </w:tc>
      </w:tr>
      <w:tr>
        <w:trPr>
          <w:trHeight w:val="212"/>
        </w:trPr>
        <w:tc>
          <w:tcPr>
            <w:tcW w:w="4720" w:type="dxa"/>
            <w:vAlign w:val="bottom"/>
          </w:tcPr>
          <w:p>
            <w:pPr>
              <w:spacing w:after="0"/>
              <w:rPr>
                <w:sz w:val="20"/>
                <w:szCs w:val="20"/>
                <w:color w:val="auto"/>
              </w:rPr>
            </w:pPr>
            <w:r>
              <w:rPr>
                <w:rFonts w:ascii="Arial" w:cs="Arial" w:eastAsia="Arial" w:hAnsi="Arial"/>
                <w:sz w:val="17"/>
                <w:szCs w:val="17"/>
                <w:color w:val="auto"/>
              </w:rPr>
              <w:t>51, General Manager, Consumer Business</w:t>
            </w:r>
          </w:p>
        </w:tc>
        <w:tc>
          <w:tcPr>
            <w:tcW w:w="6700" w:type="dxa"/>
            <w:vAlign w:val="bottom"/>
          </w:tcPr>
          <w:p>
            <w:pPr>
              <w:ind w:left="200"/>
              <w:spacing w:after="0"/>
              <w:rPr>
                <w:sz w:val="20"/>
                <w:szCs w:val="20"/>
                <w:color w:val="auto"/>
              </w:rPr>
            </w:pPr>
            <w:r>
              <w:rPr>
                <w:rFonts w:ascii="Arial" w:cs="Arial" w:eastAsia="Arial" w:hAnsi="Arial"/>
                <w:sz w:val="17"/>
                <w:szCs w:val="17"/>
                <w:color w:val="auto"/>
                <w:w w:val="91"/>
              </w:rPr>
              <w:t>2004, he served as Managing Director, Consumer Business. From November 1994 to January</w:t>
            </w:r>
          </w:p>
        </w:tc>
      </w:tr>
      <w:tr>
        <w:trPr>
          <w:trHeight w:val="217"/>
        </w:trPr>
        <w:tc>
          <w:tcPr>
            <w:tcW w:w="472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7"/>
                <w:szCs w:val="17"/>
                <w:color w:val="auto"/>
              </w:rPr>
              <w:t>2003, he served as Director of the Consumer Business.</w:t>
            </w:r>
          </w:p>
        </w:tc>
      </w:tr>
      <w:tr>
        <w:trPr>
          <w:trHeight w:val="109"/>
        </w:trPr>
        <w:tc>
          <w:tcPr>
            <w:tcW w:w="4720" w:type="dxa"/>
            <w:vAlign w:val="bottom"/>
            <w:tcBorders>
              <w:bottom w:val="single" w:sz="8" w:color="808080"/>
            </w:tcBorders>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r>
      <w:tr>
        <w:trPr>
          <w:trHeight w:val="302"/>
        </w:trPr>
        <w:tc>
          <w:tcPr>
            <w:tcW w:w="4720" w:type="dxa"/>
            <w:vAlign w:val="bottom"/>
          </w:tcPr>
          <w:p>
            <w:pPr>
              <w:spacing w:after="0"/>
              <w:rPr>
                <w:sz w:val="20"/>
                <w:szCs w:val="20"/>
                <w:color w:val="auto"/>
              </w:rPr>
            </w:pPr>
            <w:r>
              <w:rPr>
                <w:rFonts w:ascii="Arial" w:cs="Arial" w:eastAsia="Arial" w:hAnsi="Arial"/>
                <w:sz w:val="17"/>
                <w:szCs w:val="17"/>
                <w:b w:val="1"/>
                <w:bCs w:val="1"/>
                <w:color w:val="auto"/>
              </w:rPr>
              <w:t>Stephen P. Wolfe</w:t>
            </w:r>
          </w:p>
        </w:tc>
        <w:tc>
          <w:tcPr>
            <w:tcW w:w="6700" w:type="dxa"/>
            <w:vAlign w:val="bottom"/>
          </w:tcPr>
          <w:p>
            <w:pPr>
              <w:ind w:left="200"/>
              <w:spacing w:after="0"/>
              <w:rPr>
                <w:sz w:val="20"/>
                <w:szCs w:val="20"/>
                <w:color w:val="auto"/>
              </w:rPr>
            </w:pPr>
            <w:r>
              <w:rPr>
                <w:rFonts w:ascii="Arial" w:cs="Arial" w:eastAsia="Arial" w:hAnsi="Arial"/>
                <w:sz w:val="17"/>
                <w:szCs w:val="17"/>
                <w:color w:val="auto"/>
              </w:rPr>
              <w:t>Vice President Finance, Treasurer and Chief Financial Officer since June 1997.</w:t>
            </w:r>
          </w:p>
        </w:tc>
      </w:tr>
      <w:tr>
        <w:trPr>
          <w:trHeight w:val="217"/>
        </w:trPr>
        <w:tc>
          <w:tcPr>
            <w:tcW w:w="4720" w:type="dxa"/>
            <w:vAlign w:val="bottom"/>
          </w:tcPr>
          <w:p>
            <w:pPr>
              <w:spacing w:after="0"/>
              <w:rPr>
                <w:sz w:val="20"/>
                <w:szCs w:val="20"/>
                <w:color w:val="auto"/>
              </w:rPr>
            </w:pPr>
            <w:r>
              <w:rPr>
                <w:rFonts w:ascii="Arial" w:cs="Arial" w:eastAsia="Arial" w:hAnsi="Arial"/>
                <w:sz w:val="17"/>
                <w:szCs w:val="17"/>
                <w:color w:val="auto"/>
                <w:w w:val="95"/>
              </w:rPr>
              <w:t>56, Vice President Finance, Treasurer and Chief Financial Officer</w:t>
            </w:r>
          </w:p>
        </w:tc>
        <w:tc>
          <w:tcPr>
            <w:tcW w:w="6700" w:type="dxa"/>
            <w:vAlign w:val="bottom"/>
          </w:tcPr>
          <w:p>
            <w:pPr>
              <w:spacing w:after="0"/>
              <w:rPr>
                <w:sz w:val="18"/>
                <w:szCs w:val="18"/>
                <w:color w:val="auto"/>
              </w:rPr>
            </w:pPr>
          </w:p>
        </w:tc>
      </w:tr>
      <w:tr>
        <w:trPr>
          <w:trHeight w:val="109"/>
        </w:trPr>
        <w:tc>
          <w:tcPr>
            <w:tcW w:w="4720" w:type="dxa"/>
            <w:vAlign w:val="bottom"/>
            <w:tcBorders>
              <w:bottom w:val="single" w:sz="8" w:color="808080"/>
            </w:tcBorders>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ind w:right="200" w:firstLine="83"/>
        <w:spacing w:after="0" w:line="356" w:lineRule="auto"/>
        <w:rPr>
          <w:sz w:val="20"/>
          <w:szCs w:val="20"/>
          <w:color w:val="auto"/>
        </w:rPr>
      </w:pPr>
      <w:r>
        <w:rPr>
          <w:rFonts w:ascii="Arial" w:cs="Arial" w:eastAsia="Arial" w:hAnsi="Arial"/>
          <w:sz w:val="15"/>
          <w:szCs w:val="15"/>
          <w:color w:val="auto"/>
        </w:rPr>
        <w:t>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w:t>
      </w:r>
    </w:p>
    <w:p>
      <w:pPr>
        <w:spacing w:after="0" w:line="213" w:lineRule="exact"/>
        <w:rPr>
          <w:sz w:val="20"/>
          <w:szCs w:val="20"/>
          <w:color w:val="auto"/>
        </w:rPr>
      </w:pPr>
    </w:p>
    <w:p>
      <w:pPr>
        <w:ind w:left="940" w:right="160" w:hanging="925"/>
        <w:spacing w:after="0" w:line="269" w:lineRule="auto"/>
        <w:rPr>
          <w:sz w:val="20"/>
          <w:szCs w:val="20"/>
          <w:color w:val="auto"/>
        </w:rPr>
      </w:pPr>
      <w:r>
        <w:rPr>
          <w:rFonts w:ascii="Arial" w:cs="Arial" w:eastAsia="Arial" w:hAnsi="Arial"/>
          <w:sz w:val="21"/>
          <w:szCs w:val="21"/>
          <w:b w:val="1"/>
          <w:bCs w:val="1"/>
          <w:color w:val="auto"/>
        </w:rPr>
        <w:t>ITEM 5. MARKET FOR REGISTRANT’S COMMON EQUITY, RELATED STOCKHOLDER MATTERS, AND ISSUER PURCHASES OF EQUITY SECURITIES</w:t>
      </w:r>
    </w:p>
    <w:p>
      <w:pPr>
        <w:spacing w:after="0" w:line="16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Toro common stock is listed for trading on the New York Stock Exchange and trades under the symbol “TTC.” The high, low, and last sales prices for Toro common stock and cash dividends paid for each of the quarterly periods for fiscal 2004 and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314325</wp:posOffset>
            </wp:positionV>
            <wp:extent cx="6400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0080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230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rPr>
              <w:t>First</w:t>
            </w:r>
          </w:p>
        </w:tc>
        <w:tc>
          <w:tcPr>
            <w:tcW w:w="520" w:type="dxa"/>
            <w:vAlign w:val="bottom"/>
          </w:tcPr>
          <w:p>
            <w:pPr>
              <w:spacing w:after="0"/>
              <w:rPr>
                <w:sz w:val="13"/>
                <w:szCs w:val="13"/>
                <w:color w:val="auto"/>
              </w:rPr>
            </w:pPr>
          </w:p>
        </w:tc>
        <w:tc>
          <w:tcPr>
            <w:tcW w:w="76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auto"/>
              </w:rPr>
              <w:t>Second</w:t>
            </w:r>
          </w:p>
        </w:tc>
        <w:tc>
          <w:tcPr>
            <w:tcW w:w="460" w:type="dxa"/>
            <w:vAlign w:val="bottom"/>
          </w:tcPr>
          <w:p>
            <w:pPr>
              <w:spacing w:after="0"/>
              <w:rPr>
                <w:sz w:val="13"/>
                <w:szCs w:val="13"/>
                <w:color w:val="auto"/>
              </w:rPr>
            </w:pPr>
          </w:p>
        </w:tc>
        <w:tc>
          <w:tcPr>
            <w:tcW w:w="76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auto"/>
              </w:rPr>
              <w:t>Third</w:t>
            </w:r>
          </w:p>
        </w:tc>
        <w:tc>
          <w:tcPr>
            <w:tcW w:w="420" w:type="dxa"/>
            <w:vAlign w:val="bottom"/>
          </w:tcPr>
          <w:p>
            <w:pPr>
              <w:spacing w:after="0"/>
              <w:rPr>
                <w:sz w:val="13"/>
                <w:szCs w:val="13"/>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66"/>
        </w:trPr>
        <w:tc>
          <w:tcPr>
            <w:tcW w:w="4320" w:type="dxa"/>
            <w:vAlign w:val="bottom"/>
            <w:gridSpan w:val="2"/>
          </w:tcPr>
          <w:p>
            <w:pPr>
              <w:spacing w:after="0"/>
              <w:rPr>
                <w:sz w:val="20"/>
                <w:szCs w:val="20"/>
                <w:color w:val="auto"/>
              </w:rPr>
            </w:pPr>
            <w:r>
              <w:rPr>
                <w:rFonts w:ascii="Arial" w:cs="Arial" w:eastAsia="Arial" w:hAnsi="Arial"/>
                <w:sz w:val="13"/>
                <w:szCs w:val="13"/>
                <w:color w:val="auto"/>
              </w:rPr>
              <w:t>October 31, 2004</w:t>
            </w:r>
          </w:p>
        </w:tc>
        <w:tc>
          <w:tcPr>
            <w:tcW w:w="23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Market price per share of common stock –</w:t>
            </w:r>
          </w:p>
        </w:tc>
        <w:tc>
          <w:tcPr>
            <w:tcW w:w="2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7"/>
                <w:szCs w:val="17"/>
                <w:b w:val="1"/>
                <w:bCs w:val="1"/>
                <w:color w:val="auto"/>
              </w:rPr>
              <w:t>High sales price</w:t>
            </w:r>
          </w:p>
        </w:tc>
        <w:tc>
          <w:tcPr>
            <w:tcW w:w="2300" w:type="dxa"/>
            <w:vAlign w:val="bottom"/>
          </w:tcPr>
          <w:p>
            <w:pPr>
              <w:jc w:val="right"/>
              <w:ind w:right="58"/>
              <w:spacing w:after="0"/>
              <w:rPr>
                <w:sz w:val="20"/>
                <w:szCs w:val="20"/>
                <w:color w:val="auto"/>
              </w:rPr>
            </w:pPr>
            <w:r>
              <w:rPr>
                <w:rFonts w:ascii="Arial" w:cs="Arial" w:eastAsia="Arial" w:hAnsi="Arial"/>
                <w:sz w:val="17"/>
                <w:szCs w:val="17"/>
                <w:b w:val="1"/>
                <w:bCs w:val="1"/>
                <w:color w:val="auto"/>
              </w:rPr>
              <w:t>$  51.00</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b w:val="1"/>
                <w:bCs w:val="1"/>
                <w:color w:val="auto"/>
              </w:rPr>
              <w:t>64.25</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b w:val="1"/>
                <w:bCs w:val="1"/>
                <w:color w:val="auto"/>
              </w:rPr>
              <w:t>71.65</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auto"/>
              </w:rPr>
              <w:t>71.34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7"/>
                <w:szCs w:val="17"/>
                <w:b w:val="1"/>
                <w:bCs w:val="1"/>
                <w:color w:val="auto"/>
              </w:rPr>
              <w:t>Low sales price</w:t>
            </w:r>
          </w:p>
        </w:tc>
        <w:tc>
          <w:tcPr>
            <w:tcW w:w="2300" w:type="dxa"/>
            <w:vAlign w:val="bottom"/>
            <w:shd w:val="clear" w:color="auto" w:fill="EEEEEE"/>
          </w:tcPr>
          <w:p>
            <w:pPr>
              <w:jc w:val="right"/>
              <w:ind w:right="58"/>
              <w:spacing w:after="0"/>
              <w:rPr>
                <w:sz w:val="20"/>
                <w:szCs w:val="20"/>
                <w:color w:val="auto"/>
              </w:rPr>
            </w:pPr>
            <w:r>
              <w:rPr>
                <w:rFonts w:ascii="Arial" w:cs="Arial" w:eastAsia="Arial" w:hAnsi="Arial"/>
                <w:sz w:val="17"/>
                <w:szCs w:val="17"/>
                <w:b w:val="1"/>
                <w:bCs w:val="1"/>
                <w:color w:val="auto"/>
              </w:rPr>
              <w:t>44.45</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b w:val="1"/>
                <w:bCs w:val="1"/>
                <w:color w:val="auto"/>
              </w:rPr>
              <w:t>46.33</w:t>
            </w: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b w:val="1"/>
                <w:bCs w:val="1"/>
                <w:color w:val="auto"/>
              </w:rPr>
              <w:t>52.90</w:t>
            </w:r>
          </w:p>
        </w:tc>
        <w:tc>
          <w:tcPr>
            <w:tcW w:w="4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60.45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7"/>
                <w:szCs w:val="17"/>
                <w:b w:val="1"/>
                <w:bCs w:val="1"/>
                <w:color w:val="auto"/>
              </w:rPr>
              <w:t>Last sales price</w:t>
            </w:r>
          </w:p>
        </w:tc>
        <w:tc>
          <w:tcPr>
            <w:tcW w:w="2300" w:type="dxa"/>
            <w:vAlign w:val="bottom"/>
          </w:tcPr>
          <w:p>
            <w:pPr>
              <w:jc w:val="right"/>
              <w:ind w:right="58"/>
              <w:spacing w:after="0"/>
              <w:rPr>
                <w:sz w:val="20"/>
                <w:szCs w:val="20"/>
                <w:color w:val="auto"/>
              </w:rPr>
            </w:pPr>
            <w:r>
              <w:rPr>
                <w:rFonts w:ascii="Arial" w:cs="Arial" w:eastAsia="Arial" w:hAnsi="Arial"/>
                <w:sz w:val="17"/>
                <w:szCs w:val="17"/>
                <w:b w:val="1"/>
                <w:bCs w:val="1"/>
                <w:color w:val="auto"/>
              </w:rPr>
              <w:t>47.60</w:t>
            </w:r>
          </w:p>
        </w:tc>
        <w:tc>
          <w:tcPr>
            <w:tcW w:w="52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b w:val="1"/>
                <w:bCs w:val="1"/>
                <w:color w:val="auto"/>
              </w:rPr>
              <w:t>58.15</w:t>
            </w:r>
          </w:p>
        </w:tc>
        <w:tc>
          <w:tcPr>
            <w:tcW w:w="46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b w:val="1"/>
                <w:bCs w:val="1"/>
                <w:color w:val="auto"/>
              </w:rPr>
              <w:t>65.50</w:t>
            </w: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auto"/>
              </w:rPr>
              <w:t>68.25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dividends per share</w:t>
            </w:r>
          </w:p>
        </w:tc>
        <w:tc>
          <w:tcPr>
            <w:tcW w:w="2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shd w:val="clear" w:color="auto" w:fill="EEEEEE"/>
          </w:tcPr>
          <w:p>
            <w:pPr>
              <w:ind w:left="120"/>
              <w:spacing w:after="0" w:line="262" w:lineRule="exact"/>
              <w:rPr>
                <w:sz w:val="20"/>
                <w:szCs w:val="20"/>
                <w:color w:val="auto"/>
              </w:rPr>
            </w:pPr>
            <w:r>
              <w:rPr>
                <w:rFonts w:ascii="Arial" w:cs="Arial" w:eastAsia="Arial" w:hAnsi="Arial"/>
                <w:sz w:val="17"/>
                <w:szCs w:val="17"/>
                <w:b w:val="1"/>
                <w:bCs w:val="1"/>
                <w:color w:val="auto"/>
              </w:rPr>
              <w:t>of common stock</w:t>
            </w:r>
            <w:r>
              <w:rPr>
                <w:rFonts w:ascii="Arial" w:cs="Arial" w:eastAsia="Arial" w:hAnsi="Arial"/>
                <w:sz w:val="28"/>
                <w:szCs w:val="28"/>
                <w:b w:val="1"/>
                <w:bCs w:val="1"/>
                <w:color w:val="auto"/>
                <w:vertAlign w:val="superscript"/>
              </w:rPr>
              <w:t>2</w:t>
            </w:r>
          </w:p>
        </w:tc>
        <w:tc>
          <w:tcPr>
            <w:tcW w:w="2300" w:type="dxa"/>
            <w:vAlign w:val="bottom"/>
            <w:shd w:val="clear" w:color="auto" w:fill="EEEEEE"/>
          </w:tcPr>
          <w:p>
            <w:pPr>
              <w:jc w:val="right"/>
              <w:ind w:right="58"/>
              <w:spacing w:after="0"/>
              <w:rPr>
                <w:sz w:val="20"/>
                <w:szCs w:val="20"/>
                <w:color w:val="auto"/>
              </w:rPr>
            </w:pPr>
            <w:r>
              <w:rPr>
                <w:rFonts w:ascii="Arial" w:cs="Arial" w:eastAsia="Arial" w:hAnsi="Arial"/>
                <w:sz w:val="17"/>
                <w:szCs w:val="17"/>
                <w:b w:val="1"/>
                <w:bCs w:val="1"/>
                <w:color w:val="auto"/>
              </w:rPr>
              <w:t>0.06</w:t>
            </w:r>
          </w:p>
        </w:tc>
        <w:tc>
          <w:tcPr>
            <w:tcW w:w="520" w:type="dxa"/>
            <w:vAlign w:val="bottom"/>
            <w:shd w:val="clear" w:color="auto" w:fill="EEEEEE"/>
          </w:tcPr>
          <w:p>
            <w:pPr>
              <w:spacing w:after="0"/>
              <w:rPr>
                <w:sz w:val="22"/>
                <w:szCs w:val="22"/>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b w:val="1"/>
                <w:bCs w:val="1"/>
                <w:color w:val="auto"/>
              </w:rPr>
              <w:t>0.06</w:t>
            </w:r>
          </w:p>
        </w:tc>
        <w:tc>
          <w:tcPr>
            <w:tcW w:w="460" w:type="dxa"/>
            <w:vAlign w:val="bottom"/>
            <w:shd w:val="clear" w:color="auto" w:fill="EEEEEE"/>
          </w:tcPr>
          <w:p>
            <w:pPr>
              <w:spacing w:after="0"/>
              <w:rPr>
                <w:sz w:val="22"/>
                <w:szCs w:val="22"/>
                <w:color w:val="auto"/>
              </w:rPr>
            </w:pPr>
          </w:p>
        </w:tc>
        <w:tc>
          <w:tcPr>
            <w:tcW w:w="760" w:type="dxa"/>
            <w:vAlign w:val="bottom"/>
            <w:shd w:val="clear" w:color="auto" w:fill="EEEEEE"/>
          </w:tcPr>
          <w:p>
            <w:pPr>
              <w:jc w:val="right"/>
              <w:ind w:right="98"/>
              <w:spacing w:after="0"/>
              <w:rPr>
                <w:sz w:val="20"/>
                <w:szCs w:val="20"/>
                <w:color w:val="auto"/>
              </w:rPr>
            </w:pPr>
            <w:r>
              <w:rPr>
                <w:rFonts w:ascii="Arial" w:cs="Arial" w:eastAsia="Arial" w:hAnsi="Arial"/>
                <w:sz w:val="17"/>
                <w:szCs w:val="17"/>
                <w:b w:val="1"/>
                <w:bCs w:val="1"/>
                <w:color w:val="auto"/>
              </w:rPr>
              <w:t>0.06</w:t>
            </w:r>
          </w:p>
        </w:tc>
        <w:tc>
          <w:tcPr>
            <w:tcW w:w="420" w:type="dxa"/>
            <w:vAlign w:val="bottom"/>
            <w:shd w:val="clear" w:color="auto" w:fill="EEEEEE"/>
          </w:tcPr>
          <w:p>
            <w:pPr>
              <w:spacing w:after="0"/>
              <w:rPr>
                <w:sz w:val="22"/>
                <w:szCs w:val="22"/>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b w:val="1"/>
                <w:bCs w:val="1"/>
                <w:color w:val="auto"/>
              </w:rPr>
              <w:t>0.06</w:t>
            </w:r>
          </w:p>
        </w:tc>
        <w:tc>
          <w:tcPr>
            <w:tcW w:w="2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32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2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320" w:type="dxa"/>
            <w:vAlign w:val="bottom"/>
            <w:gridSpan w:val="2"/>
          </w:tcPr>
          <w:p>
            <w:pPr>
              <w:spacing w:after="0"/>
              <w:rPr>
                <w:sz w:val="20"/>
                <w:szCs w:val="20"/>
                <w:color w:val="auto"/>
              </w:rPr>
            </w:pPr>
            <w:r>
              <w:rPr>
                <w:rFonts w:ascii="Arial" w:cs="Arial" w:eastAsia="Arial" w:hAnsi="Arial"/>
                <w:sz w:val="13"/>
                <w:szCs w:val="13"/>
                <w:color w:val="auto"/>
              </w:rPr>
              <w:t>October 31, 2003</w:t>
            </w:r>
            <w:r>
              <w:rPr>
                <w:rFonts w:ascii="Arial" w:cs="Arial" w:eastAsia="Arial" w:hAnsi="Arial"/>
                <w:sz w:val="22"/>
                <w:szCs w:val="22"/>
                <w:color w:val="auto"/>
                <w:vertAlign w:val="superscript"/>
              </w:rPr>
              <w:t>1</w:t>
            </w:r>
          </w:p>
        </w:tc>
        <w:tc>
          <w:tcPr>
            <w:tcW w:w="2300" w:type="dxa"/>
            <w:vAlign w:val="bottom"/>
          </w:tcPr>
          <w:p>
            <w:pPr>
              <w:jc w:val="right"/>
              <w:ind w:right="338"/>
              <w:spacing w:after="0"/>
              <w:rPr>
                <w:sz w:val="20"/>
                <w:szCs w:val="20"/>
                <w:color w:val="auto"/>
              </w:rPr>
            </w:pPr>
            <w:r>
              <w:rPr>
                <w:rFonts w:ascii="Arial" w:cs="Arial" w:eastAsia="Arial" w:hAnsi="Arial"/>
                <w:sz w:val="13"/>
                <w:szCs w:val="13"/>
                <w:color w:val="auto"/>
              </w:rPr>
              <w:t>First</w:t>
            </w:r>
          </w:p>
        </w:tc>
        <w:tc>
          <w:tcPr>
            <w:tcW w:w="520" w:type="dxa"/>
            <w:vAlign w:val="bottom"/>
          </w:tcPr>
          <w:p>
            <w:pPr>
              <w:spacing w:after="0"/>
              <w:rPr>
                <w:sz w:val="24"/>
                <w:szCs w:val="24"/>
                <w:color w:val="auto"/>
              </w:rPr>
            </w:pPr>
          </w:p>
        </w:tc>
        <w:tc>
          <w:tcPr>
            <w:tcW w:w="760" w:type="dxa"/>
            <w:vAlign w:val="bottom"/>
          </w:tcPr>
          <w:p>
            <w:pPr>
              <w:jc w:val="right"/>
              <w:ind w:right="298"/>
              <w:spacing w:after="0"/>
              <w:rPr>
                <w:sz w:val="20"/>
                <w:szCs w:val="20"/>
                <w:color w:val="auto"/>
              </w:rPr>
            </w:pPr>
            <w:r>
              <w:rPr>
                <w:rFonts w:ascii="Arial" w:cs="Arial" w:eastAsia="Arial" w:hAnsi="Arial"/>
                <w:sz w:val="13"/>
                <w:szCs w:val="13"/>
                <w:color w:val="auto"/>
                <w:w w:val="81"/>
              </w:rPr>
              <w:t>Second</w:t>
            </w:r>
          </w:p>
        </w:tc>
        <w:tc>
          <w:tcPr>
            <w:tcW w:w="460" w:type="dxa"/>
            <w:vAlign w:val="bottom"/>
          </w:tcPr>
          <w:p>
            <w:pPr>
              <w:spacing w:after="0"/>
              <w:rPr>
                <w:sz w:val="24"/>
                <w:szCs w:val="24"/>
                <w:color w:val="auto"/>
              </w:rPr>
            </w:pPr>
          </w:p>
        </w:tc>
        <w:tc>
          <w:tcPr>
            <w:tcW w:w="760" w:type="dxa"/>
            <w:vAlign w:val="bottom"/>
          </w:tcPr>
          <w:p>
            <w:pPr>
              <w:jc w:val="right"/>
              <w:ind w:right="278"/>
              <w:spacing w:after="0"/>
              <w:rPr>
                <w:sz w:val="20"/>
                <w:szCs w:val="20"/>
                <w:color w:val="auto"/>
              </w:rPr>
            </w:pPr>
            <w:r>
              <w:rPr>
                <w:rFonts w:ascii="Arial" w:cs="Arial" w:eastAsia="Arial" w:hAnsi="Arial"/>
                <w:sz w:val="13"/>
                <w:szCs w:val="13"/>
                <w:color w:val="auto"/>
              </w:rPr>
              <w:t>Third</w:t>
            </w:r>
          </w:p>
        </w:tc>
        <w:tc>
          <w:tcPr>
            <w:tcW w:w="420" w:type="dxa"/>
            <w:vAlign w:val="bottom"/>
          </w:tcPr>
          <w:p>
            <w:pPr>
              <w:spacing w:after="0"/>
              <w:rPr>
                <w:sz w:val="24"/>
                <w:szCs w:val="24"/>
                <w:color w:val="auto"/>
              </w:rPr>
            </w:pPr>
          </w:p>
        </w:tc>
        <w:tc>
          <w:tcPr>
            <w:tcW w:w="740" w:type="dxa"/>
            <w:vAlign w:val="bottom"/>
            <w:gridSpan w:val="3"/>
          </w:tcPr>
          <w:p>
            <w:pPr>
              <w:ind w:left="100"/>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Borders>
              <w:top w:val="single" w:sz="8" w:color="808080"/>
            </w:tcBorders>
          </w:tcPr>
          <w:p>
            <w:pPr>
              <w:spacing w:after="0"/>
              <w:rPr>
                <w:sz w:val="8"/>
                <w:szCs w:val="8"/>
                <w:color w:val="auto"/>
              </w:rPr>
            </w:pPr>
          </w:p>
        </w:tc>
        <w:tc>
          <w:tcPr>
            <w:tcW w:w="2300" w:type="dxa"/>
            <w:vAlign w:val="bottom"/>
            <w:tcBorders>
              <w:top w:val="single" w:sz="8" w:color="808080"/>
            </w:tcBorders>
          </w:tcPr>
          <w:p>
            <w:pPr>
              <w:spacing w:after="0"/>
              <w:rPr>
                <w:sz w:val="8"/>
                <w:szCs w:val="8"/>
                <w:color w:val="auto"/>
              </w:rPr>
            </w:pPr>
          </w:p>
        </w:tc>
        <w:tc>
          <w:tcPr>
            <w:tcW w:w="520" w:type="dxa"/>
            <w:vAlign w:val="bottom"/>
            <w:tcBorders>
              <w:top w:val="single" w:sz="8" w:color="808080"/>
            </w:tcBorders>
          </w:tcPr>
          <w:p>
            <w:pPr>
              <w:spacing w:after="0"/>
              <w:rPr>
                <w:sz w:val="8"/>
                <w:szCs w:val="8"/>
                <w:color w:val="auto"/>
              </w:rPr>
            </w:pPr>
          </w:p>
        </w:tc>
        <w:tc>
          <w:tcPr>
            <w:tcW w:w="76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7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7"/>
                <w:szCs w:val="17"/>
                <w:color w:val="auto"/>
              </w:rPr>
              <w:t>Market price per share of common stock –</w:t>
            </w:r>
          </w:p>
        </w:tc>
        <w:tc>
          <w:tcPr>
            <w:tcW w:w="2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7"/>
                <w:szCs w:val="17"/>
                <w:color w:val="auto"/>
              </w:rPr>
              <w:t>High sales price</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  34.15</w:t>
            </w:r>
          </w:p>
        </w:tc>
        <w:tc>
          <w:tcPr>
            <w:tcW w:w="5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98"/>
              <w:spacing w:after="0"/>
              <w:rPr>
                <w:sz w:val="20"/>
                <w:szCs w:val="20"/>
                <w:color w:val="auto"/>
              </w:rPr>
            </w:pPr>
            <w:r>
              <w:rPr>
                <w:rFonts w:ascii="Arial" w:cs="Arial" w:eastAsia="Arial" w:hAnsi="Arial"/>
                <w:sz w:val="17"/>
                <w:szCs w:val="17"/>
                <w:color w:val="auto"/>
                <w:w w:val="84"/>
              </w:rPr>
              <w:t>38.25</w:t>
            </w:r>
          </w:p>
        </w:tc>
        <w:tc>
          <w:tcPr>
            <w:tcW w:w="4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9"/>
              </w:rPr>
              <w:t>43.43</w:t>
            </w:r>
          </w:p>
        </w:tc>
        <w:tc>
          <w:tcPr>
            <w:tcW w:w="4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98"/>
              </w:rPr>
              <w:t>50.41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shd w:val="clear" w:color="auto" w:fill="EEEEEE"/>
          </w:tcPr>
          <w:p>
            <w:pPr>
              <w:ind w:left="240"/>
              <w:spacing w:after="0"/>
              <w:rPr>
                <w:sz w:val="20"/>
                <w:szCs w:val="20"/>
                <w:color w:val="auto"/>
              </w:rPr>
            </w:pPr>
            <w:r>
              <w:rPr>
                <w:rFonts w:ascii="Arial" w:cs="Arial" w:eastAsia="Arial" w:hAnsi="Arial"/>
                <w:sz w:val="17"/>
                <w:szCs w:val="17"/>
                <w:color w:val="auto"/>
              </w:rPr>
              <w:t>Low sales price</w:t>
            </w:r>
          </w:p>
        </w:tc>
        <w:tc>
          <w:tcPr>
            <w:tcW w:w="23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30.36</w:t>
            </w:r>
          </w:p>
        </w:tc>
        <w:tc>
          <w:tcPr>
            <w:tcW w:w="5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w w:val="84"/>
              </w:rPr>
              <w:t>30.15</w:t>
            </w:r>
          </w:p>
        </w:tc>
        <w:tc>
          <w:tcPr>
            <w:tcW w:w="46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w w:val="89"/>
              </w:rPr>
              <w:t>35.50</w:t>
            </w:r>
          </w:p>
        </w:tc>
        <w:tc>
          <w:tcPr>
            <w:tcW w:w="4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37.78</w:t>
            </w: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7"/>
                <w:szCs w:val="17"/>
                <w:color w:val="auto"/>
              </w:rPr>
              <w:t>Last sales price</w:t>
            </w:r>
          </w:p>
        </w:tc>
        <w:tc>
          <w:tcPr>
            <w:tcW w:w="2300" w:type="dxa"/>
            <w:vAlign w:val="bottom"/>
          </w:tcPr>
          <w:p>
            <w:pPr>
              <w:jc w:val="right"/>
              <w:ind w:right="338"/>
              <w:spacing w:after="0"/>
              <w:rPr>
                <w:sz w:val="20"/>
                <w:szCs w:val="20"/>
                <w:color w:val="auto"/>
              </w:rPr>
            </w:pPr>
            <w:r>
              <w:rPr>
                <w:rFonts w:ascii="Arial" w:cs="Arial" w:eastAsia="Arial" w:hAnsi="Arial"/>
                <w:sz w:val="17"/>
                <w:szCs w:val="17"/>
                <w:color w:val="auto"/>
              </w:rPr>
              <w:t>31.51</w:t>
            </w:r>
          </w:p>
        </w:tc>
        <w:tc>
          <w:tcPr>
            <w:tcW w:w="520" w:type="dxa"/>
            <w:vAlign w:val="bottom"/>
          </w:tcPr>
          <w:p>
            <w:pPr>
              <w:spacing w:after="0"/>
              <w:rPr>
                <w:sz w:val="18"/>
                <w:szCs w:val="18"/>
                <w:color w:val="auto"/>
              </w:rPr>
            </w:pPr>
          </w:p>
        </w:tc>
        <w:tc>
          <w:tcPr>
            <w:tcW w:w="760" w:type="dxa"/>
            <w:vAlign w:val="bottom"/>
          </w:tcPr>
          <w:p>
            <w:pPr>
              <w:jc w:val="right"/>
              <w:ind w:right="298"/>
              <w:spacing w:after="0"/>
              <w:rPr>
                <w:sz w:val="20"/>
                <w:szCs w:val="20"/>
                <w:color w:val="auto"/>
              </w:rPr>
            </w:pPr>
            <w:r>
              <w:rPr>
                <w:rFonts w:ascii="Arial" w:cs="Arial" w:eastAsia="Arial" w:hAnsi="Arial"/>
                <w:sz w:val="17"/>
                <w:szCs w:val="17"/>
                <w:color w:val="auto"/>
                <w:w w:val="84"/>
              </w:rPr>
              <w:t>38.21</w:t>
            </w:r>
          </w:p>
        </w:tc>
        <w:tc>
          <w:tcPr>
            <w:tcW w:w="460" w:type="dxa"/>
            <w:vAlign w:val="bottom"/>
          </w:tcPr>
          <w:p>
            <w:pPr>
              <w:spacing w:after="0"/>
              <w:rPr>
                <w:sz w:val="18"/>
                <w:szCs w:val="18"/>
                <w:color w:val="auto"/>
              </w:rPr>
            </w:pPr>
          </w:p>
        </w:tc>
        <w:tc>
          <w:tcPr>
            <w:tcW w:w="760" w:type="dxa"/>
            <w:vAlign w:val="bottom"/>
          </w:tcPr>
          <w:p>
            <w:pPr>
              <w:jc w:val="right"/>
              <w:ind w:right="278"/>
              <w:spacing w:after="0"/>
              <w:rPr>
                <w:sz w:val="20"/>
                <w:szCs w:val="20"/>
                <w:color w:val="auto"/>
              </w:rPr>
            </w:pPr>
            <w:r>
              <w:rPr>
                <w:rFonts w:ascii="Arial" w:cs="Arial" w:eastAsia="Arial" w:hAnsi="Arial"/>
                <w:sz w:val="17"/>
                <w:szCs w:val="17"/>
                <w:color w:val="auto"/>
                <w:w w:val="89"/>
              </w:rPr>
              <w:t>39.35</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49.70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shd w:val="clear" w:color="auto" w:fill="EEEEEE"/>
          </w:tcPr>
          <w:p>
            <w:pPr>
              <w:spacing w:after="0"/>
              <w:rPr>
                <w:sz w:val="20"/>
                <w:szCs w:val="20"/>
                <w:color w:val="auto"/>
              </w:rPr>
            </w:pPr>
            <w:r>
              <w:rPr>
                <w:rFonts w:ascii="Arial" w:cs="Arial" w:eastAsia="Arial" w:hAnsi="Arial"/>
                <w:sz w:val="17"/>
                <w:szCs w:val="17"/>
                <w:color w:val="auto"/>
              </w:rPr>
              <w:t>Cash dividends per share</w:t>
            </w:r>
          </w:p>
        </w:tc>
        <w:tc>
          <w:tcPr>
            <w:tcW w:w="230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300" w:type="dxa"/>
            <w:vAlign w:val="bottom"/>
            <w:shd w:val="clear" w:color="auto" w:fill="EEEEEE"/>
          </w:tcPr>
          <w:p>
            <w:pPr>
              <w:ind w:left="120"/>
              <w:spacing w:after="0" w:line="258" w:lineRule="exact"/>
              <w:rPr>
                <w:sz w:val="20"/>
                <w:szCs w:val="20"/>
                <w:color w:val="auto"/>
              </w:rPr>
            </w:pPr>
            <w:r>
              <w:rPr>
                <w:rFonts w:ascii="Arial" w:cs="Arial" w:eastAsia="Arial" w:hAnsi="Arial"/>
                <w:sz w:val="17"/>
                <w:szCs w:val="17"/>
                <w:color w:val="auto"/>
              </w:rPr>
              <w:t>of common stock</w:t>
            </w:r>
            <w:r>
              <w:rPr>
                <w:rFonts w:ascii="Arial" w:cs="Arial" w:eastAsia="Arial" w:hAnsi="Arial"/>
                <w:sz w:val="28"/>
                <w:szCs w:val="28"/>
                <w:color w:val="auto"/>
                <w:vertAlign w:val="superscript"/>
              </w:rPr>
              <w:t>2</w:t>
            </w:r>
          </w:p>
        </w:tc>
        <w:tc>
          <w:tcPr>
            <w:tcW w:w="2300" w:type="dxa"/>
            <w:vAlign w:val="bottom"/>
            <w:shd w:val="clear" w:color="auto" w:fill="EEEEEE"/>
          </w:tcPr>
          <w:p>
            <w:pPr>
              <w:jc w:val="right"/>
              <w:ind w:right="338"/>
              <w:spacing w:after="0"/>
              <w:rPr>
                <w:sz w:val="20"/>
                <w:szCs w:val="20"/>
                <w:color w:val="auto"/>
              </w:rPr>
            </w:pPr>
            <w:r>
              <w:rPr>
                <w:rFonts w:ascii="Arial" w:cs="Arial" w:eastAsia="Arial" w:hAnsi="Arial"/>
                <w:sz w:val="17"/>
                <w:szCs w:val="17"/>
                <w:color w:val="auto"/>
              </w:rPr>
              <w:t>0.06</w:t>
            </w:r>
          </w:p>
        </w:tc>
        <w:tc>
          <w:tcPr>
            <w:tcW w:w="520" w:type="dxa"/>
            <w:vAlign w:val="bottom"/>
            <w:shd w:val="clear" w:color="auto" w:fill="EEEEEE"/>
          </w:tcPr>
          <w:p>
            <w:pPr>
              <w:spacing w:after="0"/>
              <w:rPr>
                <w:sz w:val="22"/>
                <w:szCs w:val="22"/>
                <w:color w:val="auto"/>
              </w:rPr>
            </w:pPr>
          </w:p>
        </w:tc>
        <w:tc>
          <w:tcPr>
            <w:tcW w:w="76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0.06</w:t>
            </w:r>
          </w:p>
        </w:tc>
        <w:tc>
          <w:tcPr>
            <w:tcW w:w="460" w:type="dxa"/>
            <w:vAlign w:val="bottom"/>
            <w:shd w:val="clear" w:color="auto" w:fill="EEEEEE"/>
          </w:tcPr>
          <w:p>
            <w:pPr>
              <w:spacing w:after="0"/>
              <w:rPr>
                <w:sz w:val="22"/>
                <w:szCs w:val="22"/>
                <w:color w:val="auto"/>
              </w:rPr>
            </w:pPr>
          </w:p>
        </w:tc>
        <w:tc>
          <w:tcPr>
            <w:tcW w:w="7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rPr>
              <w:t>0.06</w:t>
            </w:r>
          </w:p>
        </w:tc>
        <w:tc>
          <w:tcPr>
            <w:tcW w:w="420" w:type="dxa"/>
            <w:vAlign w:val="bottom"/>
            <w:shd w:val="clear" w:color="auto" w:fill="EEEEEE"/>
          </w:tcPr>
          <w:p>
            <w:pPr>
              <w:spacing w:after="0"/>
              <w:rPr>
                <w:sz w:val="22"/>
                <w:szCs w:val="22"/>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0.06</w:t>
            </w:r>
          </w:p>
        </w:tc>
        <w:tc>
          <w:tcPr>
            <w:tcW w:w="8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1 Per share data and sales prices have been adjusted for all periods presented to reflect a two-for-one stock split effective April 1, 2003.</w:t>
      </w:r>
    </w:p>
    <w:p>
      <w:pPr>
        <w:spacing w:after="0" w:line="96" w:lineRule="exact"/>
        <w:rPr>
          <w:sz w:val="20"/>
          <w:szCs w:val="20"/>
          <w:color w:val="auto"/>
        </w:rPr>
      </w:pPr>
    </w:p>
    <w:p>
      <w:pPr>
        <w:ind w:left="140" w:right="300" w:hanging="131"/>
        <w:spacing w:after="0" w:line="286" w:lineRule="auto"/>
        <w:rPr>
          <w:sz w:val="20"/>
          <w:szCs w:val="20"/>
          <w:color w:val="auto"/>
        </w:rPr>
      </w:pPr>
      <w:r>
        <w:rPr>
          <w:rFonts w:ascii="Arial" w:cs="Arial" w:eastAsia="Arial" w:hAnsi="Arial"/>
          <w:sz w:val="17"/>
          <w:szCs w:val="17"/>
          <w:color w:val="auto"/>
        </w:rPr>
        <w:t>2 Future cash dividends will depend upon the company’s financial condition, capital requirements, results of operations, and other factors deemed relevant by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Common Stock – </w:t>
      </w:r>
      <w:r>
        <w:rPr>
          <w:rFonts w:ascii="Arial" w:cs="Arial" w:eastAsia="Arial" w:hAnsi="Arial"/>
          <w:sz w:val="15"/>
          <w:szCs w:val="15"/>
          <w:color w:val="auto"/>
        </w:rPr>
        <w:t>50,000,000 shares authorized, $1.00 par value, 22,518,329 and 24,388,999 shares outstanding as of October 31, 2004 and 2003,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Preferred Stock – </w:t>
      </w:r>
      <w:r>
        <w:rPr>
          <w:rFonts w:ascii="Arial" w:cs="Arial" w:eastAsia="Arial" w:hAnsi="Arial"/>
          <w:sz w:val="17"/>
          <w:szCs w:val="17"/>
          <w:color w:val="auto"/>
        </w:rPr>
        <w:t>1,000,000 voting shares authorized and 850,000 non-voting shares authorized, $1.00 par value, no shares outstanding.</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 of December 17, 2004, Toro had approximately 4,741 stockholders of record.</w:t>
      </w:r>
    </w:p>
    <w:p>
      <w:pPr>
        <w:spacing w:after="0" w:line="22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following table sets forth information with respect to shares of common stock of the company purchased by the company during each of the three fiscal months ended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6904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499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jc w:val="right"/>
              <w:ind w:right="307"/>
              <w:spacing w:after="0"/>
              <w:rPr>
                <w:sz w:val="20"/>
                <w:szCs w:val="20"/>
                <w:color w:val="auto"/>
              </w:rPr>
            </w:pPr>
            <w:r>
              <w:rPr>
                <w:rFonts w:ascii="Arial" w:cs="Arial" w:eastAsia="Arial" w:hAnsi="Arial"/>
                <w:sz w:val="13"/>
                <w:szCs w:val="13"/>
                <w:color w:val="auto"/>
              </w:rPr>
              <w:t>Total Number</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3"/>
                <w:szCs w:val="13"/>
                <w:color w:val="auto"/>
              </w:rPr>
              <w:t>Maximum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jc w:val="right"/>
              <w:ind w:right="307"/>
              <w:spacing w:after="0" w:line="146" w:lineRule="exact"/>
              <w:rPr>
                <w:sz w:val="20"/>
                <w:szCs w:val="20"/>
                <w:color w:val="auto"/>
              </w:rPr>
            </w:pPr>
            <w:r>
              <w:rPr>
                <w:rFonts w:ascii="Arial" w:cs="Arial" w:eastAsia="Arial" w:hAnsi="Arial"/>
                <w:sz w:val="13"/>
                <w:szCs w:val="13"/>
                <w:color w:val="auto"/>
              </w:rPr>
              <w:t>of Shares</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6" w:lineRule="exact"/>
              <w:rPr>
                <w:sz w:val="20"/>
                <w:szCs w:val="20"/>
                <w:color w:val="auto"/>
              </w:rPr>
            </w:pPr>
            <w:r>
              <w:rPr>
                <w:rFonts w:ascii="Arial" w:cs="Arial" w:eastAsia="Arial" w:hAnsi="Arial"/>
                <w:sz w:val="13"/>
                <w:szCs w:val="13"/>
                <w:color w:val="auto"/>
              </w:rPr>
              <w:t>Number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jc w:val="right"/>
              <w:ind w:right="307"/>
              <w:spacing w:after="0" w:line="146" w:lineRule="exact"/>
              <w:rPr>
                <w:sz w:val="20"/>
                <w:szCs w:val="20"/>
                <w:color w:val="auto"/>
              </w:rPr>
            </w:pPr>
            <w:r>
              <w:rPr>
                <w:rFonts w:ascii="Arial" w:cs="Arial" w:eastAsia="Arial" w:hAnsi="Arial"/>
                <w:sz w:val="13"/>
                <w:szCs w:val="13"/>
                <w:color w:val="auto"/>
              </w:rPr>
              <w:t>Purchased as</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6" w:lineRule="exact"/>
              <w:rPr>
                <w:sz w:val="20"/>
                <w:szCs w:val="20"/>
                <w:color w:val="auto"/>
              </w:rPr>
            </w:pPr>
            <w:r>
              <w:rPr>
                <w:rFonts w:ascii="Arial" w:cs="Arial" w:eastAsia="Arial" w:hAnsi="Arial"/>
                <w:sz w:val="13"/>
                <w:szCs w:val="13"/>
                <w:color w:val="auto"/>
              </w:rPr>
              <w:t>Shares that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20" w:type="dxa"/>
            <w:vAlign w:val="bottom"/>
          </w:tcPr>
          <w:p>
            <w:pPr>
              <w:jc w:val="right"/>
              <w:ind w:right="307"/>
              <w:spacing w:after="0" w:line="146" w:lineRule="exact"/>
              <w:rPr>
                <w:sz w:val="20"/>
                <w:szCs w:val="20"/>
                <w:color w:val="auto"/>
              </w:rPr>
            </w:pPr>
            <w:r>
              <w:rPr>
                <w:rFonts w:ascii="Arial" w:cs="Arial" w:eastAsia="Arial" w:hAnsi="Arial"/>
                <w:sz w:val="13"/>
                <w:szCs w:val="13"/>
                <w:color w:val="auto"/>
              </w:rPr>
              <w:t>Part of</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6" w:lineRule="exact"/>
              <w:rPr>
                <w:sz w:val="20"/>
                <w:szCs w:val="20"/>
                <w:color w:val="auto"/>
              </w:rPr>
            </w:pPr>
            <w:r>
              <w:rPr>
                <w:rFonts w:ascii="Arial" w:cs="Arial" w:eastAsia="Arial" w:hAnsi="Arial"/>
                <w:sz w:val="13"/>
                <w:szCs w:val="13"/>
                <w:color w:val="auto"/>
              </w:rPr>
              <w:t>May Yet be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jc w:val="right"/>
              <w:ind w:right="344"/>
              <w:spacing w:after="0" w:line="146" w:lineRule="exact"/>
              <w:rPr>
                <w:sz w:val="20"/>
                <w:szCs w:val="20"/>
                <w:color w:val="auto"/>
              </w:rPr>
            </w:pPr>
            <w:r>
              <w:rPr>
                <w:rFonts w:ascii="Arial" w:cs="Arial" w:eastAsia="Arial" w:hAnsi="Arial"/>
                <w:sz w:val="13"/>
                <w:szCs w:val="13"/>
                <w:color w:val="auto"/>
              </w:rPr>
              <w:t>Total</w:t>
            </w:r>
          </w:p>
        </w:tc>
        <w:tc>
          <w:tcPr>
            <w:tcW w:w="440" w:type="dxa"/>
            <w:vAlign w:val="bottom"/>
          </w:tcPr>
          <w:p>
            <w:pPr>
              <w:spacing w:after="0"/>
              <w:rPr>
                <w:sz w:val="12"/>
                <w:szCs w:val="12"/>
                <w:color w:val="auto"/>
              </w:rPr>
            </w:pPr>
          </w:p>
        </w:tc>
        <w:tc>
          <w:tcPr>
            <w:tcW w:w="900" w:type="dxa"/>
            <w:vAlign w:val="bottom"/>
          </w:tcPr>
          <w:p>
            <w:pPr>
              <w:jc w:val="right"/>
              <w:ind w:right="344"/>
              <w:spacing w:after="0" w:line="146" w:lineRule="exact"/>
              <w:rPr>
                <w:sz w:val="20"/>
                <w:szCs w:val="20"/>
                <w:color w:val="auto"/>
              </w:rPr>
            </w:pPr>
            <w:r>
              <w:rPr>
                <w:rFonts w:ascii="Arial" w:cs="Arial" w:eastAsia="Arial" w:hAnsi="Arial"/>
                <w:sz w:val="13"/>
                <w:szCs w:val="13"/>
                <w:color w:val="auto"/>
                <w:w w:val="94"/>
              </w:rPr>
              <w:t>Average</w:t>
            </w:r>
          </w:p>
        </w:tc>
        <w:tc>
          <w:tcPr>
            <w:tcW w:w="1520" w:type="dxa"/>
            <w:vAlign w:val="bottom"/>
          </w:tcPr>
          <w:p>
            <w:pPr>
              <w:jc w:val="right"/>
              <w:ind w:right="307"/>
              <w:spacing w:after="0" w:line="146" w:lineRule="exact"/>
              <w:rPr>
                <w:sz w:val="20"/>
                <w:szCs w:val="20"/>
                <w:color w:val="auto"/>
              </w:rPr>
            </w:pPr>
            <w:r>
              <w:rPr>
                <w:rFonts w:ascii="Arial" w:cs="Arial" w:eastAsia="Arial" w:hAnsi="Arial"/>
                <w:sz w:val="13"/>
                <w:szCs w:val="13"/>
                <w:color w:val="auto"/>
              </w:rPr>
              <w:t>Publicly</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6" w:lineRule="exact"/>
              <w:rPr>
                <w:sz w:val="20"/>
                <w:szCs w:val="20"/>
                <w:color w:val="auto"/>
              </w:rPr>
            </w:pPr>
            <w:r>
              <w:rPr>
                <w:rFonts w:ascii="Arial" w:cs="Arial" w:eastAsia="Arial" w:hAnsi="Arial"/>
                <w:sz w:val="13"/>
                <w:szCs w:val="13"/>
                <w:color w:val="auto"/>
              </w:rPr>
              <w:t>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jc w:val="right"/>
              <w:ind w:right="344"/>
              <w:spacing w:after="0" w:line="146" w:lineRule="exact"/>
              <w:rPr>
                <w:sz w:val="20"/>
                <w:szCs w:val="20"/>
                <w:color w:val="auto"/>
              </w:rPr>
            </w:pPr>
            <w:r>
              <w:rPr>
                <w:rFonts w:ascii="Arial" w:cs="Arial" w:eastAsia="Arial" w:hAnsi="Arial"/>
                <w:sz w:val="13"/>
                <w:szCs w:val="13"/>
                <w:color w:val="auto"/>
              </w:rPr>
              <w:t>Number of</w:t>
            </w:r>
          </w:p>
        </w:tc>
        <w:tc>
          <w:tcPr>
            <w:tcW w:w="440" w:type="dxa"/>
            <w:vAlign w:val="bottom"/>
          </w:tcPr>
          <w:p>
            <w:pPr>
              <w:spacing w:after="0"/>
              <w:rPr>
                <w:sz w:val="12"/>
                <w:szCs w:val="12"/>
                <w:color w:val="auto"/>
              </w:rPr>
            </w:pPr>
          </w:p>
        </w:tc>
        <w:tc>
          <w:tcPr>
            <w:tcW w:w="900" w:type="dxa"/>
            <w:vAlign w:val="bottom"/>
          </w:tcPr>
          <w:p>
            <w:pPr>
              <w:jc w:val="right"/>
              <w:ind w:right="344"/>
              <w:spacing w:after="0" w:line="146" w:lineRule="exact"/>
              <w:rPr>
                <w:sz w:val="20"/>
                <w:szCs w:val="20"/>
                <w:color w:val="auto"/>
              </w:rPr>
            </w:pPr>
            <w:r>
              <w:rPr>
                <w:rFonts w:ascii="Arial" w:cs="Arial" w:eastAsia="Arial" w:hAnsi="Arial"/>
                <w:sz w:val="13"/>
                <w:szCs w:val="13"/>
                <w:color w:val="auto"/>
              </w:rPr>
              <w:t>Price</w:t>
            </w:r>
          </w:p>
        </w:tc>
        <w:tc>
          <w:tcPr>
            <w:tcW w:w="1520" w:type="dxa"/>
            <w:vAlign w:val="bottom"/>
          </w:tcPr>
          <w:p>
            <w:pPr>
              <w:jc w:val="right"/>
              <w:ind w:right="307"/>
              <w:spacing w:after="0" w:line="146" w:lineRule="exact"/>
              <w:rPr>
                <w:sz w:val="20"/>
                <w:szCs w:val="20"/>
                <w:color w:val="auto"/>
              </w:rPr>
            </w:pPr>
            <w:r>
              <w:rPr>
                <w:rFonts w:ascii="Arial" w:cs="Arial" w:eastAsia="Arial" w:hAnsi="Arial"/>
                <w:sz w:val="13"/>
                <w:szCs w:val="13"/>
                <w:color w:val="auto"/>
              </w:rPr>
              <w:t>Announced</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6" w:lineRule="exact"/>
              <w:rPr>
                <w:sz w:val="20"/>
                <w:szCs w:val="20"/>
                <w:color w:val="auto"/>
              </w:rPr>
            </w:pPr>
            <w:r>
              <w:rPr>
                <w:rFonts w:ascii="Arial" w:cs="Arial" w:eastAsia="Arial" w:hAnsi="Arial"/>
                <w:sz w:val="13"/>
                <w:szCs w:val="13"/>
                <w:color w:val="auto"/>
              </w:rPr>
              <w:t>Under the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40" w:type="dxa"/>
            <w:vAlign w:val="bottom"/>
          </w:tcPr>
          <w:p>
            <w:pPr>
              <w:jc w:val="right"/>
              <w:ind w:right="344"/>
              <w:spacing w:after="0" w:line="141" w:lineRule="exact"/>
              <w:rPr>
                <w:sz w:val="20"/>
                <w:szCs w:val="20"/>
                <w:color w:val="auto"/>
              </w:rPr>
            </w:pPr>
            <w:r>
              <w:rPr>
                <w:rFonts w:ascii="Arial" w:cs="Arial" w:eastAsia="Arial" w:hAnsi="Arial"/>
                <w:sz w:val="13"/>
                <w:szCs w:val="13"/>
                <w:color w:val="auto"/>
              </w:rPr>
              <w:t>Shares</w:t>
            </w:r>
          </w:p>
        </w:tc>
        <w:tc>
          <w:tcPr>
            <w:tcW w:w="440" w:type="dxa"/>
            <w:vAlign w:val="bottom"/>
          </w:tcPr>
          <w:p>
            <w:pPr>
              <w:spacing w:after="0"/>
              <w:rPr>
                <w:sz w:val="12"/>
                <w:szCs w:val="12"/>
                <w:color w:val="auto"/>
              </w:rPr>
            </w:pPr>
          </w:p>
        </w:tc>
        <w:tc>
          <w:tcPr>
            <w:tcW w:w="900" w:type="dxa"/>
            <w:vAlign w:val="bottom"/>
          </w:tcPr>
          <w:p>
            <w:pPr>
              <w:jc w:val="right"/>
              <w:ind w:right="344"/>
              <w:spacing w:after="0" w:line="141" w:lineRule="exact"/>
              <w:rPr>
                <w:sz w:val="20"/>
                <w:szCs w:val="20"/>
                <w:color w:val="auto"/>
              </w:rPr>
            </w:pPr>
            <w:r>
              <w:rPr>
                <w:rFonts w:ascii="Arial" w:cs="Arial" w:eastAsia="Arial" w:hAnsi="Arial"/>
                <w:sz w:val="13"/>
                <w:szCs w:val="13"/>
                <w:color w:val="auto"/>
                <w:w w:val="92"/>
              </w:rPr>
              <w:t>Paid Per</w:t>
            </w:r>
          </w:p>
        </w:tc>
        <w:tc>
          <w:tcPr>
            <w:tcW w:w="1520" w:type="dxa"/>
            <w:vAlign w:val="bottom"/>
          </w:tcPr>
          <w:p>
            <w:pPr>
              <w:jc w:val="right"/>
              <w:ind w:right="307"/>
              <w:spacing w:after="0" w:line="141" w:lineRule="exact"/>
              <w:rPr>
                <w:sz w:val="20"/>
                <w:szCs w:val="20"/>
                <w:color w:val="auto"/>
              </w:rPr>
            </w:pPr>
            <w:r>
              <w:rPr>
                <w:rFonts w:ascii="Arial" w:cs="Arial" w:eastAsia="Arial" w:hAnsi="Arial"/>
                <w:sz w:val="13"/>
                <w:szCs w:val="13"/>
                <w:color w:val="auto"/>
              </w:rPr>
              <w:t>Plans or</w:t>
            </w:r>
          </w:p>
        </w:tc>
        <w:tc>
          <w:tcPr>
            <w:tcW w:w="280" w:type="dxa"/>
            <w:vAlign w:val="bottom"/>
          </w:tcPr>
          <w:p>
            <w:pPr>
              <w:spacing w:after="0"/>
              <w:rPr>
                <w:sz w:val="12"/>
                <w:szCs w:val="12"/>
                <w:color w:val="auto"/>
              </w:rPr>
            </w:pPr>
          </w:p>
        </w:tc>
        <w:tc>
          <w:tcPr>
            <w:tcW w:w="1860" w:type="dxa"/>
            <w:vAlign w:val="bottom"/>
            <w:gridSpan w:val="2"/>
          </w:tcPr>
          <w:p>
            <w:pPr>
              <w:jc w:val="right"/>
              <w:ind w:right="540"/>
              <w:spacing w:after="0" w:line="141" w:lineRule="exact"/>
              <w:rPr>
                <w:sz w:val="20"/>
                <w:szCs w:val="20"/>
                <w:color w:val="auto"/>
              </w:rPr>
            </w:pPr>
            <w:r>
              <w:rPr>
                <w:rFonts w:ascii="Arial" w:cs="Arial" w:eastAsia="Arial" w:hAnsi="Arial"/>
                <w:sz w:val="13"/>
                <w:szCs w:val="13"/>
                <w:color w:val="auto"/>
              </w:rPr>
              <w:t>Plans or</w:t>
            </w:r>
          </w:p>
        </w:tc>
        <w:tc>
          <w:tcPr>
            <w:tcW w:w="0" w:type="dxa"/>
            <w:vAlign w:val="bottom"/>
          </w:tcPr>
          <w:p>
            <w:pPr>
              <w:spacing w:after="0"/>
              <w:rPr>
                <w:sz w:val="1"/>
                <w:szCs w:val="1"/>
                <w:color w:val="auto"/>
              </w:rPr>
            </w:pPr>
          </w:p>
        </w:tc>
      </w:tr>
      <w:tr>
        <w:trPr>
          <w:trHeight w:val="288"/>
        </w:trPr>
        <w:tc>
          <w:tcPr>
            <w:tcW w:w="4180" w:type="dxa"/>
            <w:vAlign w:val="bottom"/>
            <w:gridSpan w:val="2"/>
          </w:tcPr>
          <w:p>
            <w:pPr>
              <w:spacing w:after="0"/>
              <w:rPr>
                <w:sz w:val="20"/>
                <w:szCs w:val="20"/>
                <w:color w:val="auto"/>
              </w:rPr>
            </w:pPr>
            <w:r>
              <w:rPr>
                <w:rFonts w:ascii="Arial" w:cs="Arial" w:eastAsia="Arial" w:hAnsi="Arial"/>
                <w:sz w:val="13"/>
                <w:szCs w:val="13"/>
                <w:color w:val="auto"/>
              </w:rPr>
              <w:t>Period</w:t>
            </w:r>
          </w:p>
        </w:tc>
        <w:tc>
          <w:tcPr>
            <w:tcW w:w="2240" w:type="dxa"/>
            <w:vAlign w:val="bottom"/>
          </w:tcPr>
          <w:p>
            <w:pPr>
              <w:jc w:val="right"/>
              <w:ind w:right="344"/>
              <w:spacing w:after="0"/>
              <w:rPr>
                <w:sz w:val="20"/>
                <w:szCs w:val="20"/>
                <w:color w:val="auto"/>
              </w:rPr>
            </w:pPr>
            <w:r>
              <w:rPr>
                <w:rFonts w:ascii="Arial" w:cs="Arial" w:eastAsia="Arial" w:hAnsi="Arial"/>
                <w:sz w:val="13"/>
                <w:szCs w:val="13"/>
                <w:color w:val="auto"/>
              </w:rPr>
              <w:t>Purchased</w:t>
            </w:r>
            <w:r>
              <w:rPr>
                <w:rFonts w:ascii="Arial" w:cs="Arial" w:eastAsia="Arial" w:hAnsi="Arial"/>
                <w:sz w:val="22"/>
                <w:szCs w:val="22"/>
                <w:color w:val="auto"/>
                <w:vertAlign w:val="superscript"/>
              </w:rPr>
              <w:t>1,2</w:t>
            </w:r>
          </w:p>
        </w:tc>
        <w:tc>
          <w:tcPr>
            <w:tcW w:w="440" w:type="dxa"/>
            <w:vAlign w:val="bottom"/>
          </w:tcPr>
          <w:p>
            <w:pPr>
              <w:spacing w:after="0"/>
              <w:rPr>
                <w:sz w:val="24"/>
                <w:szCs w:val="24"/>
                <w:color w:val="auto"/>
              </w:rPr>
            </w:pPr>
          </w:p>
        </w:tc>
        <w:tc>
          <w:tcPr>
            <w:tcW w:w="900" w:type="dxa"/>
            <w:vAlign w:val="bottom"/>
          </w:tcPr>
          <w:p>
            <w:pPr>
              <w:jc w:val="right"/>
              <w:ind w:right="344"/>
              <w:spacing w:after="0"/>
              <w:rPr>
                <w:sz w:val="20"/>
                <w:szCs w:val="20"/>
                <w:color w:val="auto"/>
              </w:rPr>
            </w:pPr>
            <w:r>
              <w:rPr>
                <w:rFonts w:ascii="Arial" w:cs="Arial" w:eastAsia="Arial" w:hAnsi="Arial"/>
                <w:sz w:val="13"/>
                <w:szCs w:val="13"/>
                <w:color w:val="auto"/>
              </w:rPr>
              <w:t>Share</w:t>
            </w:r>
          </w:p>
        </w:tc>
        <w:tc>
          <w:tcPr>
            <w:tcW w:w="1520" w:type="dxa"/>
            <w:vAlign w:val="bottom"/>
          </w:tcPr>
          <w:p>
            <w:pPr>
              <w:jc w:val="right"/>
              <w:ind w:right="307"/>
              <w:spacing w:after="0"/>
              <w:rPr>
                <w:sz w:val="20"/>
                <w:szCs w:val="20"/>
                <w:color w:val="auto"/>
              </w:rPr>
            </w:pPr>
            <w:r>
              <w:rPr>
                <w:rFonts w:ascii="Arial" w:cs="Arial" w:eastAsia="Arial" w:hAnsi="Arial"/>
                <w:sz w:val="13"/>
                <w:szCs w:val="13"/>
                <w:color w:val="auto"/>
              </w:rPr>
              <w:t>Programs</w:t>
            </w:r>
          </w:p>
        </w:tc>
        <w:tc>
          <w:tcPr>
            <w:tcW w:w="280" w:type="dxa"/>
            <w:vAlign w:val="bottom"/>
          </w:tcPr>
          <w:p>
            <w:pPr>
              <w:spacing w:after="0"/>
              <w:rPr>
                <w:sz w:val="24"/>
                <w:szCs w:val="24"/>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3"/>
                <w:szCs w:val="13"/>
                <w:color w:val="auto"/>
              </w:rPr>
              <w:t>Programs</w:t>
            </w:r>
            <w:r>
              <w:rPr>
                <w:rFonts w:ascii="Arial" w:cs="Arial" w:eastAsia="Arial" w:hAnsi="Arial"/>
                <w:sz w:val="22"/>
                <w:szCs w:val="22"/>
                <w:color w:val="auto"/>
                <w:vertAlign w:val="superscript"/>
              </w:rPr>
              <w:t>1,2,3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808080"/>
            </w:tcBorders>
          </w:tcPr>
          <w:p>
            <w:pPr>
              <w:spacing w:after="0"/>
              <w:rPr>
                <w:sz w:val="8"/>
                <w:szCs w:val="8"/>
                <w:color w:val="auto"/>
              </w:rPr>
            </w:pPr>
          </w:p>
        </w:tc>
        <w:tc>
          <w:tcPr>
            <w:tcW w:w="224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152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7"/>
                <w:szCs w:val="17"/>
                <w:color w:val="auto"/>
              </w:rPr>
              <w:t>July 31, 2004 through September 3, 2004</w:t>
            </w:r>
          </w:p>
        </w:tc>
        <w:tc>
          <w:tcPr>
            <w:tcW w:w="2240" w:type="dxa"/>
            <w:vAlign w:val="bottom"/>
            <w:shd w:val="clear" w:color="auto" w:fill="EEEEEE"/>
          </w:tcPr>
          <w:p>
            <w:pPr>
              <w:ind w:left="1260"/>
              <w:spacing w:after="0"/>
              <w:rPr>
                <w:sz w:val="20"/>
                <w:szCs w:val="20"/>
                <w:color w:val="auto"/>
              </w:rPr>
            </w:pPr>
            <w:r>
              <w:rPr>
                <w:rFonts w:ascii="Arial" w:cs="Arial" w:eastAsia="Arial" w:hAnsi="Arial"/>
                <w:sz w:val="17"/>
                <w:szCs w:val="17"/>
                <w:color w:val="auto"/>
              </w:rPr>
              <w:t>150,789</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344"/>
              <w:spacing w:after="0"/>
              <w:rPr>
                <w:sz w:val="20"/>
                <w:szCs w:val="20"/>
                <w:color w:val="auto"/>
              </w:rPr>
            </w:pPr>
            <w:r>
              <w:rPr>
                <w:rFonts w:ascii="Arial" w:cs="Arial" w:eastAsia="Arial" w:hAnsi="Arial"/>
                <w:sz w:val="17"/>
                <w:szCs w:val="17"/>
                <w:color w:val="auto"/>
              </w:rPr>
              <w:t>65.02</w:t>
            </w:r>
          </w:p>
        </w:tc>
        <w:tc>
          <w:tcPr>
            <w:tcW w:w="1520" w:type="dxa"/>
            <w:vAlign w:val="bottom"/>
            <w:shd w:val="clear" w:color="auto" w:fill="EEEEEE"/>
          </w:tcPr>
          <w:p>
            <w:pPr>
              <w:jc w:val="right"/>
              <w:ind w:right="307"/>
              <w:spacing w:after="0"/>
              <w:rPr>
                <w:sz w:val="20"/>
                <w:szCs w:val="20"/>
                <w:color w:val="auto"/>
              </w:rPr>
            </w:pPr>
            <w:r>
              <w:rPr>
                <w:rFonts w:ascii="Arial" w:cs="Arial" w:eastAsia="Arial" w:hAnsi="Arial"/>
                <w:sz w:val="17"/>
                <w:szCs w:val="17"/>
                <w:color w:val="auto"/>
              </w:rPr>
              <w:t>150,789</w:t>
            </w:r>
          </w:p>
        </w:tc>
        <w:tc>
          <w:tcPr>
            <w:tcW w:w="2140" w:type="dxa"/>
            <w:vAlign w:val="bottom"/>
            <w:gridSpan w:val="3"/>
            <w:shd w:val="clear" w:color="auto" w:fill="EEEEEE"/>
          </w:tcPr>
          <w:p>
            <w:pPr>
              <w:jc w:val="right"/>
              <w:ind w:right="540"/>
              <w:spacing w:after="0"/>
              <w:rPr>
                <w:sz w:val="20"/>
                <w:szCs w:val="20"/>
                <w:color w:val="auto"/>
              </w:rPr>
            </w:pPr>
            <w:r>
              <w:rPr>
                <w:rFonts w:ascii="Arial" w:cs="Arial" w:eastAsia="Arial" w:hAnsi="Arial"/>
                <w:sz w:val="17"/>
                <w:szCs w:val="17"/>
                <w:color w:val="auto"/>
              </w:rPr>
              <w:t>1,297,724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September 4, 2004 through October 1, 2004</w:t>
            </w:r>
          </w:p>
        </w:tc>
        <w:tc>
          <w:tcPr>
            <w:tcW w:w="2240" w:type="dxa"/>
            <w:vAlign w:val="bottom"/>
          </w:tcPr>
          <w:p>
            <w:pPr>
              <w:ind w:left="1260"/>
              <w:spacing w:after="0"/>
              <w:rPr>
                <w:sz w:val="20"/>
                <w:szCs w:val="20"/>
                <w:color w:val="auto"/>
              </w:rPr>
            </w:pPr>
            <w:r>
              <w:rPr>
                <w:rFonts w:ascii="Arial" w:cs="Arial" w:eastAsia="Arial" w:hAnsi="Arial"/>
                <w:sz w:val="17"/>
                <w:szCs w:val="17"/>
                <w:color w:val="auto"/>
              </w:rPr>
              <w:t>248,227</w:t>
            </w:r>
          </w:p>
        </w:tc>
        <w:tc>
          <w:tcPr>
            <w:tcW w:w="440" w:type="dxa"/>
            <w:vAlign w:val="bottom"/>
          </w:tcPr>
          <w:p>
            <w:pPr>
              <w:spacing w:after="0"/>
              <w:rPr>
                <w:sz w:val="18"/>
                <w:szCs w:val="18"/>
                <w:color w:val="auto"/>
              </w:rPr>
            </w:pPr>
          </w:p>
        </w:tc>
        <w:tc>
          <w:tcPr>
            <w:tcW w:w="900" w:type="dxa"/>
            <w:vAlign w:val="bottom"/>
          </w:tcPr>
          <w:p>
            <w:pPr>
              <w:jc w:val="right"/>
              <w:ind w:right="344"/>
              <w:spacing w:after="0"/>
              <w:rPr>
                <w:sz w:val="20"/>
                <w:szCs w:val="20"/>
                <w:color w:val="auto"/>
              </w:rPr>
            </w:pPr>
            <w:r>
              <w:rPr>
                <w:rFonts w:ascii="Arial" w:cs="Arial" w:eastAsia="Arial" w:hAnsi="Arial"/>
                <w:sz w:val="17"/>
                <w:szCs w:val="17"/>
                <w:color w:val="auto"/>
              </w:rPr>
              <w:t>68.19</w:t>
            </w:r>
          </w:p>
        </w:tc>
        <w:tc>
          <w:tcPr>
            <w:tcW w:w="1520" w:type="dxa"/>
            <w:vAlign w:val="bottom"/>
          </w:tcPr>
          <w:p>
            <w:pPr>
              <w:jc w:val="right"/>
              <w:ind w:right="307"/>
              <w:spacing w:after="0"/>
              <w:rPr>
                <w:sz w:val="20"/>
                <w:szCs w:val="20"/>
                <w:color w:val="auto"/>
              </w:rPr>
            </w:pPr>
            <w:r>
              <w:rPr>
                <w:rFonts w:ascii="Arial" w:cs="Arial" w:eastAsia="Arial" w:hAnsi="Arial"/>
                <w:sz w:val="17"/>
                <w:szCs w:val="17"/>
                <w:color w:val="auto"/>
              </w:rPr>
              <w:t>248,227</w:t>
            </w:r>
          </w:p>
        </w:tc>
        <w:tc>
          <w:tcPr>
            <w:tcW w:w="2140" w:type="dxa"/>
            <w:vAlign w:val="bottom"/>
            <w:gridSpan w:val="3"/>
          </w:tcPr>
          <w:p>
            <w:pPr>
              <w:jc w:val="right"/>
              <w:ind w:right="540"/>
              <w:spacing w:after="0"/>
              <w:rPr>
                <w:sz w:val="20"/>
                <w:szCs w:val="20"/>
                <w:color w:val="auto"/>
              </w:rPr>
            </w:pPr>
            <w:r>
              <w:rPr>
                <w:rFonts w:ascii="Arial" w:cs="Arial" w:eastAsia="Arial" w:hAnsi="Arial"/>
                <w:sz w:val="17"/>
                <w:szCs w:val="17"/>
                <w:color w:val="auto"/>
              </w:rPr>
              <w:t>2,049,497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7"/>
                <w:szCs w:val="17"/>
                <w:color w:val="auto"/>
              </w:rPr>
              <w:t>October 2, 2004 through October 31, 2004</w:t>
            </w:r>
          </w:p>
        </w:tc>
        <w:tc>
          <w:tcPr>
            <w:tcW w:w="2240" w:type="dxa"/>
            <w:vAlign w:val="bottom"/>
            <w:shd w:val="clear" w:color="auto" w:fill="EEEEEE"/>
          </w:tcPr>
          <w:p>
            <w:pPr>
              <w:ind w:left="1260"/>
              <w:spacing w:after="0"/>
              <w:rPr>
                <w:sz w:val="20"/>
                <w:szCs w:val="20"/>
                <w:color w:val="auto"/>
              </w:rPr>
            </w:pPr>
            <w:r>
              <w:rPr>
                <w:rFonts w:ascii="Arial" w:cs="Arial" w:eastAsia="Arial" w:hAnsi="Arial"/>
                <w:sz w:val="17"/>
                <w:szCs w:val="17"/>
                <w:color w:val="auto"/>
              </w:rPr>
              <w:t>165,5394</w:t>
            </w:r>
          </w:p>
        </w:tc>
        <w:tc>
          <w:tcPr>
            <w:tcW w:w="440" w:type="dxa"/>
            <w:vAlign w:val="bottom"/>
            <w:shd w:val="clear" w:color="auto" w:fill="EEEEEE"/>
          </w:tcPr>
          <w:p>
            <w:pPr>
              <w:spacing w:after="0"/>
              <w:rPr>
                <w:sz w:val="20"/>
                <w:szCs w:val="20"/>
                <w:color w:val="auto"/>
              </w:rPr>
            </w:pPr>
          </w:p>
        </w:tc>
        <w:tc>
          <w:tcPr>
            <w:tcW w:w="900" w:type="dxa"/>
            <w:vAlign w:val="bottom"/>
            <w:shd w:val="clear" w:color="auto" w:fill="EEEEEE"/>
          </w:tcPr>
          <w:p>
            <w:pPr>
              <w:jc w:val="right"/>
              <w:ind w:right="344"/>
              <w:spacing w:after="0"/>
              <w:rPr>
                <w:sz w:val="20"/>
                <w:szCs w:val="20"/>
                <w:color w:val="auto"/>
              </w:rPr>
            </w:pPr>
            <w:r>
              <w:rPr>
                <w:rFonts w:ascii="Arial" w:cs="Arial" w:eastAsia="Arial" w:hAnsi="Arial"/>
                <w:sz w:val="17"/>
                <w:szCs w:val="17"/>
                <w:color w:val="auto"/>
              </w:rPr>
              <w:t>65.82</w:t>
            </w:r>
          </w:p>
        </w:tc>
        <w:tc>
          <w:tcPr>
            <w:tcW w:w="1520" w:type="dxa"/>
            <w:vAlign w:val="bottom"/>
            <w:shd w:val="clear" w:color="auto" w:fill="EEEEEE"/>
          </w:tcPr>
          <w:p>
            <w:pPr>
              <w:jc w:val="right"/>
              <w:ind w:right="307"/>
              <w:spacing w:after="0"/>
              <w:rPr>
                <w:sz w:val="20"/>
                <w:szCs w:val="20"/>
                <w:color w:val="auto"/>
              </w:rPr>
            </w:pPr>
            <w:r>
              <w:rPr>
                <w:rFonts w:ascii="Arial" w:cs="Arial" w:eastAsia="Arial" w:hAnsi="Arial"/>
                <w:sz w:val="17"/>
                <w:szCs w:val="17"/>
                <w:color w:val="auto"/>
              </w:rPr>
              <w:t>165,000</w:t>
            </w:r>
          </w:p>
        </w:tc>
        <w:tc>
          <w:tcPr>
            <w:tcW w:w="2140" w:type="dxa"/>
            <w:vAlign w:val="bottom"/>
            <w:gridSpan w:val="3"/>
            <w:shd w:val="clear" w:color="auto" w:fill="EEEEEE"/>
          </w:tcPr>
          <w:p>
            <w:pPr>
              <w:jc w:val="right"/>
              <w:ind w:right="540"/>
              <w:spacing w:after="0"/>
              <w:rPr>
                <w:sz w:val="20"/>
                <w:szCs w:val="20"/>
                <w:color w:val="auto"/>
              </w:rPr>
            </w:pPr>
            <w:r>
              <w:rPr>
                <w:rFonts w:ascii="Arial" w:cs="Arial" w:eastAsia="Arial" w:hAnsi="Arial"/>
                <w:sz w:val="17"/>
                <w:szCs w:val="17"/>
                <w:color w:val="auto"/>
              </w:rPr>
              <w:t>1,884,497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80" w:type="dxa"/>
            <w:vAlign w:val="bottom"/>
            <w:gridSpan w:val="2"/>
          </w:tcPr>
          <w:p>
            <w:pPr>
              <w:spacing w:after="0"/>
              <w:rPr>
                <w:sz w:val="20"/>
                <w:szCs w:val="20"/>
                <w:color w:val="auto"/>
              </w:rPr>
            </w:pPr>
            <w:r>
              <w:rPr>
                <w:rFonts w:ascii="Arial" w:cs="Arial" w:eastAsia="Arial" w:hAnsi="Arial"/>
                <w:sz w:val="17"/>
                <w:szCs w:val="17"/>
                <w:color w:val="auto"/>
              </w:rPr>
              <w:t>Total</w:t>
            </w:r>
          </w:p>
        </w:tc>
        <w:tc>
          <w:tcPr>
            <w:tcW w:w="2240" w:type="dxa"/>
            <w:vAlign w:val="bottom"/>
          </w:tcPr>
          <w:p>
            <w:pPr>
              <w:ind w:left="1260"/>
              <w:spacing w:after="0"/>
              <w:rPr>
                <w:sz w:val="20"/>
                <w:szCs w:val="20"/>
                <w:color w:val="auto"/>
              </w:rPr>
            </w:pPr>
            <w:r>
              <w:rPr>
                <w:rFonts w:ascii="Arial" w:cs="Arial" w:eastAsia="Arial" w:hAnsi="Arial"/>
                <w:sz w:val="17"/>
                <w:szCs w:val="17"/>
                <w:color w:val="auto"/>
              </w:rPr>
              <w:t>564,555</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44"/>
              <w:spacing w:after="0"/>
              <w:rPr>
                <w:sz w:val="20"/>
                <w:szCs w:val="20"/>
                <w:color w:val="auto"/>
              </w:rPr>
            </w:pPr>
            <w:r>
              <w:rPr>
                <w:rFonts w:ascii="Arial" w:cs="Arial" w:eastAsia="Arial" w:hAnsi="Arial"/>
                <w:sz w:val="17"/>
                <w:szCs w:val="17"/>
                <w:color w:val="auto"/>
              </w:rPr>
              <w:t>66.65</w:t>
            </w:r>
          </w:p>
        </w:tc>
        <w:tc>
          <w:tcPr>
            <w:tcW w:w="1520" w:type="dxa"/>
            <w:vAlign w:val="bottom"/>
          </w:tcPr>
          <w:p>
            <w:pPr>
              <w:jc w:val="right"/>
              <w:ind w:right="307"/>
              <w:spacing w:after="0"/>
              <w:rPr>
                <w:sz w:val="20"/>
                <w:szCs w:val="20"/>
                <w:color w:val="auto"/>
              </w:rPr>
            </w:pPr>
            <w:r>
              <w:rPr>
                <w:rFonts w:ascii="Arial" w:cs="Arial" w:eastAsia="Arial" w:hAnsi="Arial"/>
                <w:sz w:val="17"/>
                <w:szCs w:val="17"/>
                <w:color w:val="auto"/>
              </w:rPr>
              <w:t>564,016</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888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8355" cy="8255"/>
                    </a:xfrm>
                    <a:prstGeom prst="rect">
                      <a:avLst/>
                    </a:prstGeom>
                    <a:noFill/>
                  </pic:spPr>
                </pic:pic>
              </a:graphicData>
            </a:graphic>
          </wp:anchor>
        </w:drawing>
      </w:r>
    </w:p>
    <w:p>
      <w:pPr>
        <w:spacing w:after="0" w:line="199" w:lineRule="exact"/>
        <w:rPr>
          <w:sz w:val="20"/>
          <w:szCs w:val="20"/>
          <w:color w:val="auto"/>
        </w:rPr>
      </w:pPr>
    </w:p>
    <w:p>
      <w:pPr>
        <w:ind w:left="140" w:right="80" w:hanging="131"/>
        <w:spacing w:after="0" w:line="278" w:lineRule="auto"/>
        <w:rPr>
          <w:sz w:val="20"/>
          <w:szCs w:val="20"/>
          <w:color w:val="auto"/>
        </w:rPr>
      </w:pPr>
      <w:r>
        <w:rPr>
          <w:rFonts w:ascii="Arial" w:cs="Arial" w:eastAsia="Arial" w:hAnsi="Arial"/>
          <w:sz w:val="16"/>
          <w:szCs w:val="16"/>
          <w:color w:val="auto"/>
        </w:rPr>
        <w:t>1 On September 20, 2001, the company’s Board of Directors authorized the repurchase of up to 2,000,000 shares of the company’s common stock (doubled from the original amount of 1,000,000 shares as a result of the stock split effective April 1, 2003) in open-market or private transactions. The company purchased 36,006 shares during the periods indicated under this program. There are no shares remaining for repurchase under this program.</w:t>
      </w:r>
    </w:p>
    <w:p>
      <w:pPr>
        <w:spacing w:after="0" w:line="1" w:lineRule="exact"/>
        <w:rPr>
          <w:sz w:val="20"/>
          <w:szCs w:val="20"/>
          <w:color w:val="auto"/>
        </w:rPr>
      </w:pPr>
    </w:p>
    <w:p>
      <w:pPr>
        <w:ind w:left="140" w:right="40" w:hanging="131"/>
        <w:spacing w:after="0" w:line="294" w:lineRule="auto"/>
        <w:rPr>
          <w:sz w:val="20"/>
          <w:szCs w:val="20"/>
          <w:color w:val="auto"/>
        </w:rPr>
      </w:pPr>
      <w:r>
        <w:rPr>
          <w:rFonts w:ascii="Arial" w:cs="Arial" w:eastAsia="Arial" w:hAnsi="Arial"/>
          <w:sz w:val="15"/>
          <w:szCs w:val="15"/>
          <w:color w:val="auto"/>
        </w:rPr>
        <w:t>2 On March 12, 2004, the company’s Board of Directors authorized the repurchase of 1,000,000 shares of the company’s common stock in open-market or private transactions. On May 27, 2004, the company’s Board of Directors authorized the repurchase of up to an additional 2,000,000 shares under this repurchase program, bringing the total maximum number of shares the company is authorized to repurchase under this program to 3,000,000 shares, and authorizing such repurchases to be made in open-market transactions, tender offers, private transactions or other transactions. This program has no expiration date but may be terminated by the company’s Board of Directors at anytime. The company purchased 528,010 shares during the periods indicated under this program.</w:t>
      </w:r>
    </w:p>
    <w:p>
      <w:pPr>
        <w:spacing w:after="0" w:line="2" w:lineRule="exact"/>
        <w:rPr>
          <w:sz w:val="20"/>
          <w:szCs w:val="20"/>
          <w:color w:val="auto"/>
        </w:rPr>
      </w:pPr>
    </w:p>
    <w:p>
      <w:pPr>
        <w:ind w:left="140" w:right="120" w:hanging="131"/>
        <w:spacing w:after="0" w:line="259" w:lineRule="auto"/>
        <w:rPr>
          <w:sz w:val="20"/>
          <w:szCs w:val="20"/>
          <w:color w:val="auto"/>
        </w:rPr>
      </w:pPr>
      <w:r>
        <w:rPr>
          <w:rFonts w:ascii="Arial" w:cs="Arial" w:eastAsia="Arial" w:hAnsi="Arial"/>
          <w:sz w:val="17"/>
          <w:szCs w:val="17"/>
          <w:color w:val="auto"/>
        </w:rPr>
        <w:t>3 On September 30, 2004, the company’s Board of Directors authorized the repurchase of up to an additional 1,000,000 shares of the company’s common stock in open-market transactions or in private negotiated transactions. This program has no expiration date but may be terminated by the company’s Board of Directors at anytime.</w:t>
      </w:r>
    </w:p>
    <w:p>
      <w:pPr>
        <w:spacing w:after="0" w:line="2" w:lineRule="exact"/>
        <w:rPr>
          <w:sz w:val="20"/>
          <w:szCs w:val="20"/>
          <w:color w:val="auto"/>
        </w:rPr>
      </w:pPr>
    </w:p>
    <w:p>
      <w:pPr>
        <w:ind w:left="140" w:right="20" w:hanging="131"/>
        <w:spacing w:after="0" w:line="349" w:lineRule="auto"/>
        <w:rPr>
          <w:sz w:val="20"/>
          <w:szCs w:val="20"/>
          <w:color w:val="auto"/>
        </w:rPr>
      </w:pPr>
      <w:r>
        <w:rPr>
          <w:rFonts w:ascii="Arial" w:cs="Arial" w:eastAsia="Arial" w:hAnsi="Arial"/>
          <w:sz w:val="15"/>
          <w:szCs w:val="15"/>
          <w:color w:val="auto"/>
        </w:rPr>
        <w:t>4 Includes 539 units (shares) of the company’s common stock purchased in open-market transactions at an average price of $66.31 per share on behalf of a rabbi trust formed to pay benefit obligations of the company to participants in deferred compensation plans. These 539 shares were not repurchased under any of the</w:t>
      </w:r>
    </w:p>
    <w:p>
      <w:pPr>
        <w:sectPr>
          <w:pgSz w:w="11900" w:h="16838" w:orient="portrait"/>
          <w:cols w:equalWidth="0" w:num="1">
            <w:col w:w="11420"/>
          </w:cols>
          <w:pgMar w:left="240" w:top="413" w:right="239" w:bottom="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company’s repurchase programs, as described in footnotes 1, 2, and 3 above.</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147955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079"/>
          </w:cols>
          <w:pgMar w:left="380" w:top="131"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0815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1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tcPr>
          <w:p>
            <w:pPr>
              <w:spacing w:after="0"/>
              <w:rPr>
                <w:sz w:val="20"/>
                <w:szCs w:val="20"/>
                <w:color w:val="auto"/>
              </w:rPr>
            </w:pPr>
            <w:r>
              <w:rPr>
                <w:rFonts w:ascii="Arial" w:cs="Arial" w:eastAsia="Arial" w:hAnsi="Arial"/>
                <w:sz w:val="13"/>
                <w:szCs w:val="13"/>
                <w:color w:val="auto"/>
              </w:rPr>
              <w:t>(Dollars in thousands, except per share data)</w:t>
            </w:r>
          </w:p>
        </w:tc>
        <w:tc>
          <w:tcPr>
            <w:tcW w:w="400" w:type="dxa"/>
            <w:vAlign w:val="bottom"/>
          </w:tcPr>
          <w:p>
            <w:pPr>
              <w:spacing w:after="0"/>
              <w:rPr>
                <w:sz w:val="13"/>
                <w:szCs w:val="13"/>
                <w:color w:val="auto"/>
              </w:rPr>
            </w:pPr>
          </w:p>
        </w:tc>
        <w:tc>
          <w:tcPr>
            <w:tcW w:w="1220" w:type="dxa"/>
            <w:vAlign w:val="bottom"/>
            <w:vMerge w:val="restart"/>
          </w:tcPr>
          <w:p>
            <w:pPr>
              <w:jc w:val="right"/>
              <w:ind w:right="295"/>
              <w:spacing w:after="0"/>
              <w:rPr>
                <w:sz w:val="20"/>
                <w:szCs w:val="20"/>
                <w:color w:val="auto"/>
              </w:rPr>
            </w:pPr>
            <w:r>
              <w:rPr>
                <w:rFonts w:ascii="Arial" w:cs="Arial" w:eastAsia="Arial" w:hAnsi="Arial"/>
                <w:sz w:val="13"/>
                <w:szCs w:val="13"/>
                <w:b w:val="1"/>
                <w:bCs w:val="1"/>
                <w:color w:val="auto"/>
              </w:rPr>
              <w:t>2004</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3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3"/>
                <w:szCs w:val="13"/>
                <w:color w:val="auto"/>
              </w:rPr>
              <w:t>2003</w:t>
            </w:r>
          </w:p>
        </w:tc>
        <w:tc>
          <w:tcPr>
            <w:tcW w:w="460" w:type="dxa"/>
            <w:vAlign w:val="bottom"/>
          </w:tcPr>
          <w:p>
            <w:pPr>
              <w:spacing w:after="0"/>
              <w:rPr>
                <w:sz w:val="14"/>
                <w:szCs w:val="14"/>
                <w:color w:val="auto"/>
              </w:rPr>
            </w:pPr>
          </w:p>
        </w:tc>
        <w:tc>
          <w:tcPr>
            <w:tcW w:w="1220" w:type="dxa"/>
            <w:vAlign w:val="bottom"/>
          </w:tcPr>
          <w:p>
            <w:pPr>
              <w:jc w:val="right"/>
              <w:ind w:right="295"/>
              <w:spacing w:after="0"/>
              <w:rPr>
                <w:sz w:val="20"/>
                <w:szCs w:val="20"/>
                <w:color w:val="auto"/>
              </w:rPr>
            </w:pPr>
            <w:r>
              <w:rPr>
                <w:rFonts w:ascii="Arial" w:cs="Arial" w:eastAsia="Arial" w:hAnsi="Arial"/>
                <w:sz w:val="13"/>
                <w:szCs w:val="13"/>
                <w:color w:val="auto"/>
              </w:rPr>
              <w:t>2002</w:t>
            </w:r>
          </w:p>
        </w:tc>
        <w:tc>
          <w:tcPr>
            <w:tcW w:w="46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3"/>
                <w:szCs w:val="13"/>
                <w:color w:val="auto"/>
              </w:rPr>
              <w:t>2001</w:t>
            </w:r>
          </w:p>
        </w:tc>
        <w:tc>
          <w:tcPr>
            <w:tcW w:w="3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4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1,652,508</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1,496,588</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1,399,273</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1,353,083</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1,338,974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Gross profit percentage</w:t>
            </w:r>
          </w:p>
        </w:tc>
        <w:tc>
          <w:tcPr>
            <w:tcW w:w="400" w:type="dxa"/>
            <w:vAlign w:val="bottom"/>
          </w:tcPr>
          <w:p>
            <w:pPr>
              <w:spacing w:after="0"/>
              <w:rPr>
                <w:sz w:val="18"/>
                <w:szCs w:val="18"/>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b w:val="1"/>
                <w:bCs w:val="1"/>
                <w:color w:val="auto"/>
              </w:rPr>
              <w:t>35.9%</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35.8%</w:t>
            </w:r>
          </w:p>
        </w:tc>
        <w:tc>
          <w:tcPr>
            <w:tcW w:w="4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34.7%</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34.0%</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shd w:val="clear" w:color="auto" w:fill="EEEEEE"/>
          </w:tcPr>
          <w:p>
            <w:pPr>
              <w:spacing w:after="0" w:line="291" w:lineRule="exact"/>
              <w:rPr>
                <w:sz w:val="20"/>
                <w:szCs w:val="20"/>
                <w:color w:val="auto"/>
              </w:rPr>
            </w:pPr>
            <w:r>
              <w:rPr>
                <w:rFonts w:ascii="Arial" w:cs="Arial" w:eastAsia="Arial" w:hAnsi="Arial"/>
                <w:sz w:val="17"/>
                <w:szCs w:val="17"/>
                <w:b w:val="1"/>
                <w:bCs w:val="1"/>
                <w:color w:val="auto"/>
              </w:rPr>
              <w:t>Earnings from operations</w:t>
            </w:r>
            <w:r>
              <w:rPr>
                <w:rFonts w:ascii="Arial" w:cs="Arial" w:eastAsia="Arial" w:hAnsi="Arial"/>
                <w:sz w:val="33"/>
                <w:szCs w:val="33"/>
                <w:color w:val="auto"/>
                <w:vertAlign w:val="superscript"/>
              </w:rPr>
              <w:t>1</w:t>
            </w:r>
          </w:p>
        </w:tc>
        <w:tc>
          <w:tcPr>
            <w:tcW w:w="4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165,225</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126,994</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98,965</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93,248</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96,108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40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b w:val="1"/>
                <w:bCs w:val="1"/>
                <w:color w:val="auto"/>
              </w:rPr>
              <w:t>15,523</w:t>
            </w:r>
          </w:p>
        </w:tc>
        <w:tc>
          <w:tcPr>
            <w:tcW w:w="460" w:type="dxa"/>
            <w:vAlign w:val="bottom"/>
          </w:tcPr>
          <w:p>
            <w:pPr>
              <w:spacing w:after="0"/>
              <w:rPr>
                <w:sz w:val="18"/>
                <w:szCs w:val="18"/>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16,285</w:t>
            </w:r>
          </w:p>
        </w:tc>
        <w:tc>
          <w:tcPr>
            <w:tcW w:w="46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19,747</w:t>
            </w:r>
          </w:p>
        </w:tc>
        <w:tc>
          <w:tcPr>
            <w:tcW w:w="460" w:type="dxa"/>
            <w:vAlign w:val="bottom"/>
          </w:tcPr>
          <w:p>
            <w:pPr>
              <w:spacing w:after="0"/>
              <w:rPr>
                <w:sz w:val="18"/>
                <w:szCs w:val="18"/>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22,003</w:t>
            </w:r>
          </w:p>
        </w:tc>
        <w:tc>
          <w:tcPr>
            <w:tcW w:w="3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26,414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shd w:val="clear" w:color="auto" w:fill="EEEEEE"/>
          </w:tcPr>
          <w:p>
            <w:pPr>
              <w:spacing w:after="0" w:line="291" w:lineRule="exact"/>
              <w:rPr>
                <w:sz w:val="20"/>
                <w:szCs w:val="20"/>
                <w:color w:val="auto"/>
              </w:rPr>
            </w:pPr>
            <w:r>
              <w:rPr>
                <w:rFonts w:ascii="Arial" w:cs="Arial" w:eastAsia="Arial" w:hAnsi="Arial"/>
                <w:sz w:val="17"/>
                <w:szCs w:val="17"/>
                <w:b w:val="1"/>
                <w:bCs w:val="1"/>
                <w:color w:val="auto"/>
              </w:rPr>
              <w:t>Earnings before accounting change</w:t>
            </w:r>
            <w:r>
              <w:rPr>
                <w:rFonts w:ascii="Arial" w:cs="Arial" w:eastAsia="Arial" w:hAnsi="Arial"/>
                <w:sz w:val="33"/>
                <w:szCs w:val="33"/>
                <w:color w:val="auto"/>
                <w:vertAlign w:val="superscript"/>
              </w:rPr>
              <w:t>1</w:t>
            </w:r>
          </w:p>
        </w:tc>
        <w:tc>
          <w:tcPr>
            <w:tcW w:w="400" w:type="dxa"/>
            <w:vAlign w:val="bottom"/>
            <w:shd w:val="clear" w:color="auto" w:fill="EEEEEE"/>
          </w:tcPr>
          <w:p>
            <w:pPr>
              <w:spacing w:after="0"/>
              <w:rPr>
                <w:sz w:val="24"/>
                <w:szCs w:val="24"/>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102,666</w:t>
            </w:r>
          </w:p>
        </w:tc>
        <w:tc>
          <w:tcPr>
            <w:tcW w:w="460" w:type="dxa"/>
            <w:vAlign w:val="bottom"/>
            <w:shd w:val="clear" w:color="auto" w:fill="EEEEEE"/>
          </w:tcPr>
          <w:p>
            <w:pPr>
              <w:spacing w:after="0"/>
              <w:rPr>
                <w:sz w:val="24"/>
                <w:szCs w:val="24"/>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81,620</w:t>
            </w:r>
          </w:p>
        </w:tc>
        <w:tc>
          <w:tcPr>
            <w:tcW w:w="460" w:type="dxa"/>
            <w:vAlign w:val="bottom"/>
            <w:shd w:val="clear" w:color="auto" w:fill="EEEEEE"/>
          </w:tcPr>
          <w:p>
            <w:pPr>
              <w:spacing w:after="0"/>
              <w:rPr>
                <w:sz w:val="24"/>
                <w:szCs w:val="24"/>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59,931</w:t>
            </w:r>
          </w:p>
        </w:tc>
        <w:tc>
          <w:tcPr>
            <w:tcW w:w="460" w:type="dxa"/>
            <w:vAlign w:val="bottom"/>
            <w:shd w:val="clear" w:color="auto" w:fill="EEEEEE"/>
          </w:tcPr>
          <w:p>
            <w:pPr>
              <w:spacing w:after="0"/>
              <w:rPr>
                <w:sz w:val="24"/>
                <w:szCs w:val="24"/>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50,448</w:t>
            </w:r>
          </w:p>
        </w:tc>
        <w:tc>
          <w:tcPr>
            <w:tcW w:w="380" w:type="dxa"/>
            <w:vAlign w:val="bottom"/>
            <w:shd w:val="clear" w:color="auto" w:fill="EEEEEE"/>
          </w:tcPr>
          <w:p>
            <w:pPr>
              <w:spacing w:after="0"/>
              <w:rPr>
                <w:sz w:val="24"/>
                <w:szCs w:val="24"/>
                <w:color w:val="auto"/>
              </w:rPr>
            </w:pP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45,285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Percentage of net sales</w:t>
            </w:r>
          </w:p>
        </w:tc>
        <w:tc>
          <w:tcPr>
            <w:tcW w:w="400" w:type="dxa"/>
            <w:vAlign w:val="bottom"/>
          </w:tcPr>
          <w:p>
            <w:pPr>
              <w:spacing w:after="0"/>
              <w:rPr>
                <w:sz w:val="18"/>
                <w:szCs w:val="18"/>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b w:val="1"/>
                <w:bCs w:val="1"/>
                <w:color w:val="auto"/>
              </w:rPr>
              <w:t>6.2%</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5.5%</w:t>
            </w:r>
          </w:p>
        </w:tc>
        <w:tc>
          <w:tcPr>
            <w:tcW w:w="4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4.3%</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shd w:val="clear" w:color="auto" w:fill="EEEEEE"/>
          </w:tcPr>
          <w:p>
            <w:pPr>
              <w:spacing w:after="0" w:line="291" w:lineRule="exact"/>
              <w:rPr>
                <w:sz w:val="20"/>
                <w:szCs w:val="20"/>
                <w:color w:val="auto"/>
              </w:rPr>
            </w:pPr>
            <w:r>
              <w:rPr>
                <w:rFonts w:ascii="Arial" w:cs="Arial" w:eastAsia="Arial" w:hAnsi="Arial"/>
                <w:sz w:val="17"/>
                <w:szCs w:val="17"/>
                <w:b w:val="1"/>
                <w:bCs w:val="1"/>
                <w:color w:val="auto"/>
              </w:rPr>
              <w:t>Net earnings</w:t>
            </w:r>
            <w:r>
              <w:rPr>
                <w:rFonts w:ascii="Arial" w:cs="Arial" w:eastAsia="Arial" w:hAnsi="Arial"/>
                <w:sz w:val="33"/>
                <w:szCs w:val="33"/>
                <w:color w:val="auto"/>
                <w:vertAlign w:val="superscript"/>
              </w:rPr>
              <w:t>1,2</w:t>
            </w:r>
          </w:p>
        </w:tc>
        <w:tc>
          <w:tcPr>
            <w:tcW w:w="4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102,666</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81,620</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35,317</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50,448</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45,285</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tcPr>
          <w:p>
            <w:pPr>
              <w:spacing w:after="0" w:line="291" w:lineRule="exact"/>
              <w:rPr>
                <w:sz w:val="20"/>
                <w:szCs w:val="20"/>
                <w:color w:val="auto"/>
              </w:rPr>
            </w:pPr>
            <w:r>
              <w:rPr>
                <w:rFonts w:ascii="Arial" w:cs="Arial" w:eastAsia="Arial" w:hAnsi="Arial"/>
                <w:sz w:val="17"/>
                <w:szCs w:val="17"/>
                <w:b w:val="1"/>
                <w:bCs w:val="1"/>
                <w:color w:val="auto"/>
              </w:rPr>
              <w:t>Basic net earnings per share</w:t>
            </w:r>
            <w:r>
              <w:rPr>
                <w:rFonts w:ascii="Arial" w:cs="Arial" w:eastAsia="Arial" w:hAnsi="Arial"/>
                <w:sz w:val="33"/>
                <w:szCs w:val="33"/>
                <w:color w:val="auto"/>
                <w:vertAlign w:val="superscript"/>
              </w:rPr>
              <w:t>1,2,3</w:t>
            </w:r>
          </w:p>
        </w:tc>
        <w:tc>
          <w:tcPr>
            <w:tcW w:w="400" w:type="dxa"/>
            <w:vAlign w:val="bottom"/>
          </w:tcPr>
          <w:p>
            <w:pPr>
              <w:spacing w:after="0"/>
              <w:rPr>
                <w:sz w:val="24"/>
                <w:szCs w:val="24"/>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b w:val="1"/>
                <w:bCs w:val="1"/>
                <w:color w:val="auto"/>
              </w:rPr>
              <w:t>4.21</w:t>
            </w:r>
          </w:p>
        </w:tc>
        <w:tc>
          <w:tcPr>
            <w:tcW w:w="46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3.26</w:t>
            </w:r>
          </w:p>
        </w:tc>
        <w:tc>
          <w:tcPr>
            <w:tcW w:w="460" w:type="dxa"/>
            <w:vAlign w:val="bottom"/>
          </w:tcPr>
          <w:p>
            <w:pPr>
              <w:spacing w:after="0"/>
              <w:rPr>
                <w:sz w:val="24"/>
                <w:szCs w:val="24"/>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1.41</w:t>
            </w:r>
          </w:p>
        </w:tc>
        <w:tc>
          <w:tcPr>
            <w:tcW w:w="460" w:type="dxa"/>
            <w:vAlign w:val="bottom"/>
          </w:tcPr>
          <w:p>
            <w:pPr>
              <w:spacing w:after="0"/>
              <w:rPr>
                <w:sz w:val="24"/>
                <w:szCs w:val="24"/>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1.99</w:t>
            </w:r>
          </w:p>
        </w:tc>
        <w:tc>
          <w:tcPr>
            <w:tcW w:w="38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shd w:val="clear" w:color="auto" w:fill="EEEEEE"/>
          </w:tcPr>
          <w:p>
            <w:pPr>
              <w:spacing w:after="0" w:line="291" w:lineRule="exact"/>
              <w:rPr>
                <w:sz w:val="20"/>
                <w:szCs w:val="20"/>
                <w:color w:val="auto"/>
              </w:rPr>
            </w:pPr>
            <w:r>
              <w:rPr>
                <w:rFonts w:ascii="Arial" w:cs="Arial" w:eastAsia="Arial" w:hAnsi="Arial"/>
                <w:sz w:val="17"/>
                <w:szCs w:val="17"/>
                <w:b w:val="1"/>
                <w:bCs w:val="1"/>
                <w:color w:val="auto"/>
              </w:rPr>
              <w:t>Diluted net earnings per share</w:t>
            </w:r>
            <w:r>
              <w:rPr>
                <w:rFonts w:ascii="Arial" w:cs="Arial" w:eastAsia="Arial" w:hAnsi="Arial"/>
                <w:sz w:val="33"/>
                <w:szCs w:val="33"/>
                <w:color w:val="auto"/>
                <w:vertAlign w:val="superscript"/>
              </w:rPr>
              <w:t>1,2,3</w:t>
            </w:r>
          </w:p>
        </w:tc>
        <w:tc>
          <w:tcPr>
            <w:tcW w:w="400" w:type="dxa"/>
            <w:vAlign w:val="bottom"/>
            <w:shd w:val="clear" w:color="auto" w:fill="EEEEEE"/>
          </w:tcPr>
          <w:p>
            <w:pPr>
              <w:spacing w:after="0"/>
              <w:rPr>
                <w:sz w:val="24"/>
                <w:szCs w:val="24"/>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4.04</w:t>
            </w:r>
          </w:p>
        </w:tc>
        <w:tc>
          <w:tcPr>
            <w:tcW w:w="460" w:type="dxa"/>
            <w:vAlign w:val="bottom"/>
            <w:shd w:val="clear" w:color="auto" w:fill="EEEEEE"/>
          </w:tcPr>
          <w:p>
            <w:pPr>
              <w:spacing w:after="0"/>
              <w:rPr>
                <w:sz w:val="24"/>
                <w:szCs w:val="24"/>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3.12</w:t>
            </w:r>
          </w:p>
        </w:tc>
        <w:tc>
          <w:tcPr>
            <w:tcW w:w="460" w:type="dxa"/>
            <w:vAlign w:val="bottom"/>
            <w:shd w:val="clear" w:color="auto" w:fill="EEEEEE"/>
          </w:tcPr>
          <w:p>
            <w:pPr>
              <w:spacing w:after="0"/>
              <w:rPr>
                <w:sz w:val="24"/>
                <w:szCs w:val="24"/>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1.37</w:t>
            </w:r>
          </w:p>
        </w:tc>
        <w:tc>
          <w:tcPr>
            <w:tcW w:w="460" w:type="dxa"/>
            <w:vAlign w:val="bottom"/>
            <w:shd w:val="clear" w:color="auto" w:fill="EEEEEE"/>
          </w:tcPr>
          <w:p>
            <w:pPr>
              <w:spacing w:after="0"/>
              <w:rPr>
                <w:sz w:val="24"/>
                <w:szCs w:val="24"/>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1.93</w:t>
            </w:r>
          </w:p>
        </w:tc>
        <w:tc>
          <w:tcPr>
            <w:tcW w:w="380" w:type="dxa"/>
            <w:vAlign w:val="bottom"/>
            <w:shd w:val="clear" w:color="auto" w:fill="EEEEEE"/>
          </w:tcPr>
          <w:p>
            <w:pPr>
              <w:spacing w:after="0"/>
              <w:rPr>
                <w:sz w:val="24"/>
                <w:szCs w:val="24"/>
                <w:color w:val="auto"/>
              </w:rPr>
            </w:pP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tcPr>
          <w:p>
            <w:pPr>
              <w:spacing w:after="0" w:line="291" w:lineRule="exact"/>
              <w:rPr>
                <w:sz w:val="20"/>
                <w:szCs w:val="20"/>
                <w:color w:val="auto"/>
              </w:rPr>
            </w:pPr>
            <w:r>
              <w:rPr>
                <w:rFonts w:ascii="Arial" w:cs="Arial" w:eastAsia="Arial" w:hAnsi="Arial"/>
                <w:sz w:val="17"/>
                <w:szCs w:val="17"/>
                <w:b w:val="1"/>
                <w:bCs w:val="1"/>
                <w:color w:val="auto"/>
                <w:w w:val="95"/>
              </w:rPr>
              <w:t>Return on average stockholders’ equity</w:t>
            </w:r>
            <w:r>
              <w:rPr>
                <w:rFonts w:ascii="Arial" w:cs="Arial" w:eastAsia="Arial" w:hAnsi="Arial"/>
                <w:sz w:val="33"/>
                <w:szCs w:val="33"/>
                <w:color w:val="auto"/>
                <w:w w:val="95"/>
                <w:vertAlign w:val="superscript"/>
              </w:rPr>
              <w:t>1,2</w:t>
            </w:r>
          </w:p>
        </w:tc>
        <w:tc>
          <w:tcPr>
            <w:tcW w:w="400" w:type="dxa"/>
            <w:vAlign w:val="bottom"/>
          </w:tcPr>
          <w:p>
            <w:pPr>
              <w:spacing w:after="0"/>
              <w:rPr>
                <w:sz w:val="24"/>
                <w:szCs w:val="24"/>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b w:val="1"/>
                <w:bCs w:val="1"/>
                <w:color w:val="auto"/>
              </w:rPr>
              <w:t>24.7%</w:t>
            </w:r>
          </w:p>
        </w:tc>
        <w:tc>
          <w:tcPr>
            <w:tcW w:w="460" w:type="dxa"/>
            <w:vAlign w:val="bottom"/>
          </w:tcPr>
          <w:p>
            <w:pPr>
              <w:spacing w:after="0"/>
              <w:rPr>
                <w:sz w:val="24"/>
                <w:szCs w:val="24"/>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20.3%</w:t>
            </w:r>
          </w:p>
        </w:tc>
        <w:tc>
          <w:tcPr>
            <w:tcW w:w="460" w:type="dxa"/>
            <w:vAlign w:val="bottom"/>
          </w:tcPr>
          <w:p>
            <w:pPr>
              <w:spacing w:after="0"/>
              <w:rPr>
                <w:sz w:val="24"/>
                <w:szCs w:val="24"/>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10.0%</w:t>
            </w:r>
          </w:p>
        </w:tc>
        <w:tc>
          <w:tcPr>
            <w:tcW w:w="460" w:type="dxa"/>
            <w:vAlign w:val="bottom"/>
          </w:tcPr>
          <w:p>
            <w:pPr>
              <w:spacing w:after="0"/>
              <w:rPr>
                <w:sz w:val="24"/>
                <w:szCs w:val="24"/>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15.3%</w:t>
            </w:r>
          </w:p>
        </w:tc>
        <w:tc>
          <w:tcPr>
            <w:tcW w:w="38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 assets</w:t>
            </w:r>
          </w:p>
        </w:tc>
        <w:tc>
          <w:tcPr>
            <w:tcW w:w="4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928,747</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927,432</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846,140</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835,674</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779,390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w w:val="99"/>
              </w:rPr>
              <w:t>Long-term debt, including current portion</w:t>
            </w:r>
          </w:p>
        </w:tc>
        <w:tc>
          <w:tcPr>
            <w:tcW w:w="40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b w:val="1"/>
                <w:bCs w:val="1"/>
                <w:color w:val="auto"/>
              </w:rPr>
              <w:t>175,091</w:t>
            </w:r>
          </w:p>
        </w:tc>
        <w:tc>
          <w:tcPr>
            <w:tcW w:w="460" w:type="dxa"/>
            <w:vAlign w:val="bottom"/>
          </w:tcPr>
          <w:p>
            <w:pPr>
              <w:spacing w:after="0"/>
              <w:rPr>
                <w:sz w:val="18"/>
                <w:szCs w:val="18"/>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178,921</w:t>
            </w:r>
          </w:p>
        </w:tc>
        <w:tc>
          <w:tcPr>
            <w:tcW w:w="46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194,581</w:t>
            </w:r>
          </w:p>
        </w:tc>
        <w:tc>
          <w:tcPr>
            <w:tcW w:w="460" w:type="dxa"/>
            <w:vAlign w:val="bottom"/>
          </w:tcPr>
          <w:p>
            <w:pPr>
              <w:spacing w:after="0"/>
              <w:rPr>
                <w:sz w:val="18"/>
                <w:szCs w:val="18"/>
                <w:color w:val="auto"/>
              </w:rPr>
            </w:pPr>
          </w:p>
        </w:tc>
        <w:tc>
          <w:tcPr>
            <w:tcW w:w="1200" w:type="dxa"/>
            <w:vAlign w:val="bottom"/>
          </w:tcPr>
          <w:p>
            <w:pPr>
              <w:jc w:val="right"/>
              <w:ind w:right="275"/>
              <w:spacing w:after="0"/>
              <w:rPr>
                <w:sz w:val="20"/>
                <w:szCs w:val="20"/>
                <w:color w:val="auto"/>
              </w:rPr>
            </w:pPr>
            <w:r>
              <w:rPr>
                <w:rFonts w:ascii="Arial" w:cs="Arial" w:eastAsia="Arial" w:hAnsi="Arial"/>
                <w:sz w:val="17"/>
                <w:szCs w:val="17"/>
                <w:color w:val="auto"/>
              </w:rPr>
              <w:t>195,078</w:t>
            </w:r>
          </w:p>
        </w:tc>
        <w:tc>
          <w:tcPr>
            <w:tcW w:w="3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194,495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Stockholders’ equity</w:t>
            </w:r>
          </w:p>
        </w:tc>
        <w:tc>
          <w:tcPr>
            <w:tcW w:w="40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395,614</w:t>
            </w:r>
          </w:p>
        </w:tc>
        <w:tc>
          <w:tcPr>
            <w:tcW w:w="4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437,202</w:t>
            </w:r>
          </w:p>
        </w:tc>
        <w:tc>
          <w:tcPr>
            <w:tcW w:w="4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365,290</w:t>
            </w:r>
          </w:p>
        </w:tc>
        <w:tc>
          <w:tcPr>
            <w:tcW w:w="4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341,393</w:t>
            </w:r>
          </w:p>
        </w:tc>
        <w:tc>
          <w:tcPr>
            <w:tcW w:w="3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317,218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b w:val="1"/>
                <w:bCs w:val="1"/>
                <w:color w:val="auto"/>
              </w:rPr>
              <w:t>Debt to capitalization ratio</w:t>
            </w:r>
          </w:p>
        </w:tc>
        <w:tc>
          <w:tcPr>
            <w:tcW w:w="400" w:type="dxa"/>
            <w:vAlign w:val="bottom"/>
          </w:tcPr>
          <w:p>
            <w:pPr>
              <w:spacing w:after="0"/>
              <w:rPr>
                <w:sz w:val="18"/>
                <w:szCs w:val="18"/>
                <w:color w:val="auto"/>
              </w:rPr>
            </w:pPr>
          </w:p>
        </w:tc>
        <w:tc>
          <w:tcPr>
            <w:tcW w:w="1220" w:type="dxa"/>
            <w:vAlign w:val="bottom"/>
          </w:tcPr>
          <w:p>
            <w:pPr>
              <w:jc w:val="right"/>
              <w:ind w:right="115"/>
              <w:spacing w:after="0"/>
              <w:rPr>
                <w:sz w:val="20"/>
                <w:szCs w:val="20"/>
                <w:color w:val="auto"/>
              </w:rPr>
            </w:pPr>
            <w:r>
              <w:rPr>
                <w:rFonts w:ascii="Arial" w:cs="Arial" w:eastAsia="Arial" w:hAnsi="Arial"/>
                <w:sz w:val="17"/>
                <w:szCs w:val="17"/>
                <w:b w:val="1"/>
                <w:bCs w:val="1"/>
                <w:color w:val="auto"/>
              </w:rPr>
              <w:t>30.8%</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29.3%</w:t>
            </w:r>
          </w:p>
        </w:tc>
        <w:tc>
          <w:tcPr>
            <w:tcW w:w="4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color w:val="auto"/>
              </w:rPr>
              <w:t>34.9%</w:t>
            </w:r>
          </w:p>
        </w:tc>
        <w:tc>
          <w:tcPr>
            <w:tcW w:w="460" w:type="dxa"/>
            <w:vAlign w:val="bottom"/>
          </w:tcPr>
          <w:p>
            <w:pPr>
              <w:spacing w:after="0"/>
              <w:rPr>
                <w:sz w:val="18"/>
                <w:szCs w:val="18"/>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40.2%</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60" w:type="dxa"/>
            <w:vAlign w:val="bottom"/>
            <w:shd w:val="clear" w:color="auto" w:fill="EEEEEE"/>
          </w:tcPr>
          <w:p>
            <w:pPr>
              <w:spacing w:after="0" w:line="291" w:lineRule="exact"/>
              <w:rPr>
                <w:sz w:val="20"/>
                <w:szCs w:val="20"/>
                <w:color w:val="auto"/>
              </w:rPr>
            </w:pPr>
            <w:r>
              <w:rPr>
                <w:rFonts w:ascii="Arial" w:cs="Arial" w:eastAsia="Arial" w:hAnsi="Arial"/>
                <w:sz w:val="17"/>
                <w:szCs w:val="17"/>
                <w:b w:val="1"/>
                <w:bCs w:val="1"/>
                <w:color w:val="auto"/>
                <w:w w:val="91"/>
              </w:rPr>
              <w:t>Cash dividends per share of common stock</w:t>
            </w:r>
            <w:r>
              <w:rPr>
                <w:rFonts w:ascii="Arial" w:cs="Arial" w:eastAsia="Arial" w:hAnsi="Arial"/>
                <w:sz w:val="33"/>
                <w:szCs w:val="33"/>
                <w:color w:val="auto"/>
                <w:w w:val="91"/>
                <w:vertAlign w:val="superscript"/>
              </w:rPr>
              <w:t>3</w:t>
            </w:r>
          </w:p>
        </w:tc>
        <w:tc>
          <w:tcPr>
            <w:tcW w:w="4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b w:val="1"/>
                <w:bCs w:val="1"/>
                <w:color w:val="auto"/>
              </w:rPr>
              <w:t>.24</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.24</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295"/>
              <w:spacing w:after="0"/>
              <w:rPr>
                <w:sz w:val="20"/>
                <w:szCs w:val="20"/>
                <w:color w:val="auto"/>
              </w:rPr>
            </w:pPr>
            <w:r>
              <w:rPr>
                <w:rFonts w:ascii="Arial" w:cs="Arial" w:eastAsia="Arial" w:hAnsi="Arial"/>
                <w:sz w:val="17"/>
                <w:szCs w:val="17"/>
                <w:color w:val="auto"/>
              </w:rPr>
              <w:t>.24</w:t>
            </w:r>
          </w:p>
        </w:tc>
        <w:tc>
          <w:tcPr>
            <w:tcW w:w="4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.24</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40" w:right="100" w:hanging="131"/>
        <w:spacing w:after="0" w:line="263" w:lineRule="auto"/>
        <w:rPr>
          <w:sz w:val="20"/>
          <w:szCs w:val="20"/>
          <w:color w:val="auto"/>
        </w:rPr>
      </w:pPr>
      <w:r>
        <w:rPr>
          <w:rFonts w:ascii="Arial" w:cs="Arial" w:eastAsia="Arial" w:hAnsi="Arial"/>
          <w:sz w:val="17"/>
          <w:szCs w:val="17"/>
          <w:color w:val="auto"/>
        </w:rPr>
        <w:t>1 Fiscal 2004, 2003, 2002, and 2001 earnings from operations include net restructuring and other (income) expense of $(0.7) million, $1.8 million, $8.4 million, and $(0.7) million, respectively.</w:t>
      </w:r>
    </w:p>
    <w:p>
      <w:pPr>
        <w:ind w:left="140" w:right="520" w:hanging="131"/>
        <w:spacing w:after="0" w:line="259" w:lineRule="auto"/>
        <w:rPr>
          <w:sz w:val="20"/>
          <w:szCs w:val="20"/>
          <w:color w:val="auto"/>
        </w:rPr>
      </w:pPr>
      <w:r>
        <w:rPr>
          <w:rFonts w:ascii="Arial" w:cs="Arial" w:eastAsia="Arial" w:hAnsi="Arial"/>
          <w:sz w:val="17"/>
          <w:szCs w:val="17"/>
          <w:color w:val="auto"/>
        </w:rPr>
        <w:t>2 Fiscal 2002 net earnings and basic and diluted net earnings per share data include the cumulative effect of a change in accounting principle of $24.6 million, $0.98 per basic share, and $0.95 per diluted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 Per share data has been adjusted for all fiscal years presented to reflect a two-for-one stock split effective April 1, 2003.</w:t>
      </w:r>
    </w:p>
    <w:p>
      <w:pPr>
        <w:spacing w:after="0" w:line="283" w:lineRule="exact"/>
        <w:rPr>
          <w:sz w:val="20"/>
          <w:szCs w:val="20"/>
          <w:color w:val="auto"/>
        </w:rPr>
      </w:pPr>
    </w:p>
    <w:p>
      <w:pPr>
        <w:ind w:left="940" w:right="1360" w:hanging="925"/>
        <w:spacing w:after="0" w:line="269" w:lineRule="auto"/>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16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caption “Forward-Looking Statements” in Item 1 of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2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Toro Company is in the business of designing, manufacturing, and marketing professional turf maintenance equipment and services, turf and agricultural irrigation systems, landscaping equipment, and residential yard products worldwide. Our products are sold through a network of distributors, dealers, hardware retailers, home centers, mass retailers, and over the Internet, mainly through Internet retailers. Our businesses are organized into three segments: professional, residential, and distribution. A fourth segment called “other” consists of corporate and financing activities. Our emphasis is to provide well-built, dependable, and innovative products supported by an extensive service network. A significant portion of our revenues has historically been attributable to new and enhanced products.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Overview</w:t>
      </w:r>
    </w:p>
    <w:p>
      <w:pPr>
        <w:spacing w:after="0" w:line="2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Fiscal 2004 was another record-setting year with double digit sales and earnings growth. Our net earnings rose 25.8 percent compared to fiscal 2003 on net sales growth of 10.4 percent. In addition, our after-tax return on net sales rose to 6.2 percent from 5.5 percent for fiscal 2003. Sales of most of our product lines were up mainly as a result of successful new products introduced within the past two years, favorable foreign currency exchange rates compared to the U.S. dollar, and overall improving economic conditions that have resulted in strong retail demand in most of our businesses. The following table sets forth for the fiscal years indicated net sales by segment and the related percent change from the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182880</wp:posOffset>
            </wp:positionV>
            <wp:extent cx="68713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1335" cy="825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540" w:type="dxa"/>
            <w:vAlign w:val="bottom"/>
          </w:tcPr>
          <w:p>
            <w:pPr>
              <w:spacing w:after="0"/>
              <w:rPr>
                <w:sz w:val="12"/>
                <w:szCs w:val="12"/>
                <w:color w:val="auto"/>
              </w:rPr>
            </w:pPr>
          </w:p>
        </w:tc>
        <w:tc>
          <w:tcPr>
            <w:tcW w:w="12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3"/>
                <w:szCs w:val="13"/>
                <w:color w:val="auto"/>
              </w:rPr>
              <w:t>2004 vs. 2003</w:t>
            </w:r>
          </w:p>
        </w:tc>
        <w:tc>
          <w:tcPr>
            <w:tcW w:w="0" w:type="dxa"/>
            <w:vAlign w:val="bottom"/>
          </w:tcPr>
          <w:p>
            <w:pPr>
              <w:spacing w:after="0"/>
              <w:rPr>
                <w:sz w:val="1"/>
                <w:szCs w:val="1"/>
                <w:color w:val="auto"/>
              </w:rPr>
            </w:pPr>
          </w:p>
        </w:tc>
      </w:tr>
      <w:tr>
        <w:trPr>
          <w:trHeight w:val="166"/>
        </w:trPr>
        <w:tc>
          <w:tcPr>
            <w:tcW w:w="38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5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2003</w:t>
            </w:r>
          </w:p>
        </w:tc>
        <w:tc>
          <w:tcPr>
            <w:tcW w:w="2000" w:type="dxa"/>
            <w:vAlign w:val="bottom"/>
            <w:gridSpan w:val="2"/>
          </w:tcPr>
          <w:p>
            <w:pPr>
              <w:jc w:val="right"/>
              <w:ind w:right="600"/>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Professional</w:t>
            </w:r>
          </w:p>
        </w:tc>
        <w:tc>
          <w:tcPr>
            <w:tcW w:w="25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EEEEEE"/>
          </w:tcPr>
          <w:p>
            <w:pPr>
              <w:jc w:val="right"/>
              <w:ind w:right="277"/>
              <w:spacing w:after="0"/>
              <w:rPr>
                <w:sz w:val="20"/>
                <w:szCs w:val="20"/>
                <w:color w:val="auto"/>
              </w:rPr>
            </w:pPr>
            <w:r>
              <w:rPr>
                <w:rFonts w:ascii="Arial" w:cs="Arial" w:eastAsia="Arial" w:hAnsi="Arial"/>
                <w:sz w:val="17"/>
                <w:szCs w:val="17"/>
                <w:b w:val="1"/>
                <w:bCs w:val="1"/>
                <w:color w:val="auto"/>
              </w:rPr>
              <w:t>1,028,941</w:t>
            </w:r>
          </w:p>
        </w:tc>
        <w:tc>
          <w:tcPr>
            <w:tcW w:w="5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929,434</w:t>
            </w:r>
          </w:p>
        </w:tc>
        <w:tc>
          <w:tcPr>
            <w:tcW w:w="200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Residential</w:t>
            </w:r>
          </w:p>
        </w:tc>
        <w:tc>
          <w:tcPr>
            <w:tcW w:w="2540" w:type="dxa"/>
            <w:vAlign w:val="bottom"/>
          </w:tcPr>
          <w:p>
            <w:pPr>
              <w:spacing w:after="0"/>
              <w:rPr>
                <w:sz w:val="18"/>
                <w:szCs w:val="18"/>
                <w:color w:val="auto"/>
              </w:rPr>
            </w:pPr>
          </w:p>
        </w:tc>
        <w:tc>
          <w:tcPr>
            <w:tcW w:w="1200" w:type="dxa"/>
            <w:vAlign w:val="bottom"/>
          </w:tcPr>
          <w:p>
            <w:pPr>
              <w:jc w:val="right"/>
              <w:ind w:right="277"/>
              <w:spacing w:after="0"/>
              <w:rPr>
                <w:sz w:val="20"/>
                <w:szCs w:val="20"/>
                <w:color w:val="auto"/>
              </w:rPr>
            </w:pPr>
            <w:r>
              <w:rPr>
                <w:rFonts w:ascii="Arial" w:cs="Arial" w:eastAsia="Arial" w:hAnsi="Arial"/>
                <w:sz w:val="17"/>
                <w:szCs w:val="17"/>
                <w:b w:val="1"/>
                <w:bCs w:val="1"/>
                <w:color w:val="auto"/>
              </w:rPr>
              <w:t>554,334</w:t>
            </w:r>
          </w:p>
        </w:tc>
        <w:tc>
          <w:tcPr>
            <w:tcW w:w="560" w:type="dxa"/>
            <w:vAlign w:val="bottom"/>
          </w:tcPr>
          <w:p>
            <w:pPr>
              <w:spacing w:after="0"/>
              <w:rPr>
                <w:sz w:val="18"/>
                <w:szCs w:val="18"/>
                <w:color w:val="auto"/>
              </w:rPr>
            </w:pPr>
          </w:p>
        </w:tc>
        <w:tc>
          <w:tcPr>
            <w:tcW w:w="1240" w:type="dxa"/>
            <w:vAlign w:val="bottom"/>
          </w:tcPr>
          <w:p>
            <w:pPr>
              <w:jc w:val="right"/>
              <w:ind w:right="317"/>
              <w:spacing w:after="0"/>
              <w:rPr>
                <w:sz w:val="20"/>
                <w:szCs w:val="20"/>
                <w:color w:val="auto"/>
              </w:rPr>
            </w:pPr>
            <w:r>
              <w:rPr>
                <w:rFonts w:ascii="Arial" w:cs="Arial" w:eastAsia="Arial" w:hAnsi="Arial"/>
                <w:sz w:val="17"/>
                <w:szCs w:val="17"/>
                <w:color w:val="auto"/>
              </w:rPr>
              <w:t>506,466</w:t>
            </w:r>
          </w:p>
        </w:tc>
        <w:tc>
          <w:tcPr>
            <w:tcW w:w="1400" w:type="dxa"/>
            <w:vAlign w:val="bottom"/>
          </w:tcPr>
          <w:p>
            <w:pPr>
              <w:jc w:val="right"/>
              <w:spacing w:after="0"/>
              <w:rPr>
                <w:sz w:val="20"/>
                <w:szCs w:val="20"/>
                <w:color w:val="auto"/>
              </w:rPr>
            </w:pPr>
            <w:r>
              <w:rPr>
                <w:rFonts w:ascii="Arial" w:cs="Arial" w:eastAsia="Arial" w:hAnsi="Arial"/>
                <w:sz w:val="17"/>
                <w:szCs w:val="17"/>
                <w:color w:val="auto"/>
              </w:rPr>
              <w:t>9.5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Distribution</w:t>
            </w:r>
          </w:p>
        </w:tc>
        <w:tc>
          <w:tcPr>
            <w:tcW w:w="254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277"/>
              <w:spacing w:after="0"/>
              <w:rPr>
                <w:sz w:val="20"/>
                <w:szCs w:val="20"/>
                <w:color w:val="auto"/>
              </w:rPr>
            </w:pPr>
            <w:r>
              <w:rPr>
                <w:rFonts w:ascii="Arial" w:cs="Arial" w:eastAsia="Arial" w:hAnsi="Arial"/>
                <w:sz w:val="17"/>
                <w:szCs w:val="17"/>
                <w:b w:val="1"/>
                <w:bCs w:val="1"/>
                <w:color w:val="auto"/>
              </w:rPr>
              <w:t>152,234</w:t>
            </w:r>
          </w:p>
        </w:tc>
        <w:tc>
          <w:tcPr>
            <w:tcW w:w="5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133,957</w:t>
            </w:r>
          </w:p>
        </w:tc>
        <w:tc>
          <w:tcPr>
            <w:tcW w:w="1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13.6</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2540" w:type="dxa"/>
            <w:vAlign w:val="bottom"/>
          </w:tcPr>
          <w:p>
            <w:pPr>
              <w:spacing w:after="0"/>
              <w:rPr>
                <w:sz w:val="19"/>
                <w:szCs w:val="19"/>
                <w:color w:val="auto"/>
              </w:rPr>
            </w:pPr>
          </w:p>
        </w:tc>
        <w:tc>
          <w:tcPr>
            <w:tcW w:w="1200" w:type="dxa"/>
            <w:vAlign w:val="bottom"/>
          </w:tcPr>
          <w:p>
            <w:pPr>
              <w:jc w:val="right"/>
              <w:ind w:right="217"/>
              <w:spacing w:after="0"/>
              <w:rPr>
                <w:sz w:val="20"/>
                <w:szCs w:val="20"/>
                <w:color w:val="auto"/>
              </w:rPr>
            </w:pPr>
            <w:r>
              <w:rPr>
                <w:rFonts w:ascii="Arial" w:cs="Arial" w:eastAsia="Arial" w:hAnsi="Arial"/>
                <w:sz w:val="17"/>
                <w:szCs w:val="17"/>
                <w:b w:val="1"/>
                <w:bCs w:val="1"/>
                <w:color w:val="auto"/>
              </w:rPr>
              <w:t>(83,001)</w:t>
            </w:r>
          </w:p>
        </w:tc>
        <w:tc>
          <w:tcPr>
            <w:tcW w:w="560" w:type="dxa"/>
            <w:vAlign w:val="bottom"/>
          </w:tcPr>
          <w:p>
            <w:pPr>
              <w:spacing w:after="0"/>
              <w:rPr>
                <w:sz w:val="19"/>
                <w:szCs w:val="19"/>
                <w:color w:val="auto"/>
              </w:rPr>
            </w:pPr>
          </w:p>
        </w:tc>
        <w:tc>
          <w:tcPr>
            <w:tcW w:w="1240" w:type="dxa"/>
            <w:vAlign w:val="bottom"/>
          </w:tcPr>
          <w:p>
            <w:pPr>
              <w:jc w:val="right"/>
              <w:ind w:right="257"/>
              <w:spacing w:after="0"/>
              <w:rPr>
                <w:sz w:val="20"/>
                <w:szCs w:val="20"/>
                <w:color w:val="auto"/>
              </w:rPr>
            </w:pPr>
            <w:r>
              <w:rPr>
                <w:rFonts w:ascii="Arial" w:cs="Arial" w:eastAsia="Arial" w:hAnsi="Arial"/>
                <w:sz w:val="17"/>
                <w:szCs w:val="17"/>
                <w:color w:val="auto"/>
              </w:rPr>
              <w:t>(73,269)</w:t>
            </w:r>
          </w:p>
        </w:tc>
        <w:tc>
          <w:tcPr>
            <w:tcW w:w="2000" w:type="dxa"/>
            <w:vAlign w:val="bottom"/>
            <w:gridSpan w:val="2"/>
          </w:tcPr>
          <w:p>
            <w:pPr>
              <w:jc w:val="right"/>
              <w:ind w:right="5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 net sales</w:t>
            </w:r>
          </w:p>
        </w:tc>
        <w:tc>
          <w:tcPr>
            <w:tcW w:w="25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EEEEEE"/>
          </w:tcPr>
          <w:p>
            <w:pPr>
              <w:jc w:val="right"/>
              <w:ind w:right="277"/>
              <w:spacing w:after="0"/>
              <w:rPr>
                <w:sz w:val="20"/>
                <w:szCs w:val="20"/>
                <w:color w:val="auto"/>
              </w:rPr>
            </w:pPr>
            <w:r>
              <w:rPr>
                <w:rFonts w:ascii="Arial" w:cs="Arial" w:eastAsia="Arial" w:hAnsi="Arial"/>
                <w:sz w:val="17"/>
                <w:szCs w:val="17"/>
                <w:b w:val="1"/>
                <w:bCs w:val="1"/>
                <w:color w:val="auto"/>
              </w:rPr>
              <w:t>1,652,508</w:t>
            </w:r>
          </w:p>
        </w:tc>
        <w:tc>
          <w:tcPr>
            <w:tcW w:w="5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1,496,588</w:t>
            </w:r>
          </w:p>
        </w:tc>
        <w:tc>
          <w:tcPr>
            <w:tcW w:w="200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 w:firstLine="86"/>
        <w:spacing w:after="0" w:line="319" w:lineRule="auto"/>
        <w:rPr>
          <w:sz w:val="20"/>
          <w:szCs w:val="20"/>
          <w:color w:val="auto"/>
        </w:rPr>
      </w:pPr>
      <w:r>
        <w:rPr>
          <w:rFonts w:ascii="Arial" w:cs="Arial" w:eastAsia="Arial" w:hAnsi="Arial"/>
          <w:sz w:val="16"/>
          <w:szCs w:val="16"/>
          <w:color w:val="auto"/>
        </w:rPr>
        <w:t>Our financial condition remains strong with lower average debt levels due to lower average inventory levels and higher earnings compared to the prior fiscal year, offset by only a modest increase in average receivables. This has allowed us to reinvest in product development, brand building, and new technologies.</w:t>
      </w:r>
    </w:p>
    <w:p>
      <w:pPr>
        <w:spacing w:after="0" w:line="146" w:lineRule="exact"/>
        <w:rPr>
          <w:sz w:val="20"/>
          <w:szCs w:val="20"/>
          <w:color w:val="auto"/>
        </w:rPr>
      </w:pPr>
    </w:p>
    <w:p>
      <w:pPr>
        <w:ind w:right="380" w:firstLine="83"/>
        <w:spacing w:after="0" w:line="286" w:lineRule="auto"/>
        <w:rPr>
          <w:sz w:val="20"/>
          <w:szCs w:val="20"/>
          <w:color w:val="auto"/>
        </w:rPr>
      </w:pPr>
      <w:r>
        <w:rPr>
          <w:rFonts w:ascii="Arial" w:cs="Arial" w:eastAsia="Arial" w:hAnsi="Arial"/>
          <w:sz w:val="17"/>
          <w:szCs w:val="17"/>
          <w:color w:val="auto"/>
        </w:rPr>
        <w:t>We also increased our emphasis on repurchasing shares of our common stock. During fiscal 2004, we purchased 2.6 million shares of our common stock for an aggregate cost of $169.8 million to utilize excess cash and reduce our shares</w:t>
      </w:r>
    </w:p>
    <w:p>
      <w:pPr>
        <w:sectPr>
          <w:pgSz w:w="11900" w:h="16838" w:orient="portrait"/>
          <w:cols w:equalWidth="0" w:num="1">
            <w:col w:w="11420"/>
          </w:cols>
          <w:pgMar w:left="240" w:top="413"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13" w:right="239" w:bottom="0"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5360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outstanding that also resulted in a benefit of approximately $0.10 per diluted share in fiscal 2004 compared to fiscal 2003.</w:t>
      </w:r>
    </w:p>
    <w:p>
      <w:pPr>
        <w:spacing w:after="0" w:line="22" w:lineRule="exact"/>
        <w:rPr>
          <w:sz w:val="20"/>
          <w:szCs w:val="20"/>
          <w:color w:val="auto"/>
        </w:rPr>
      </w:pPr>
    </w:p>
    <w:p>
      <w:pPr>
        <w:ind w:right="40" w:firstLine="86"/>
        <w:spacing w:after="0" w:line="264" w:lineRule="auto"/>
        <w:rPr>
          <w:sz w:val="20"/>
          <w:szCs w:val="20"/>
          <w:color w:val="auto"/>
        </w:rPr>
      </w:pPr>
      <w:r>
        <w:rPr>
          <w:rFonts w:ascii="Arial" w:cs="Arial" w:eastAsia="Arial" w:hAnsi="Arial"/>
          <w:sz w:val="17"/>
          <w:szCs w:val="17"/>
          <w:color w:val="auto"/>
        </w:rPr>
        <w:t>Overall, fiscal 2004 was a strong year and we believe we are in a position for yet another good year in fiscal 2005. Key drivers for our growth in fiscal 2005 will be the continued success of our product innovation, focusing on markets that are underserved by our brands, developing integrated services with our product offering, and adapting to an ever-changing competitive marketplace by becoming a solutions provider, while keeping a cautionary eye on the world economies, weather, field inventory levels, commodity prices, and other factors identified under the caption “Forward-Looking Statements” in Item 1 of this Annual Report on Form 10-K, which could cause our actual results to differ from our outlook.</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Initiative Accelerating our Future</w:t>
      </w:r>
    </w:p>
    <w:p>
      <w:pPr>
        <w:spacing w:after="0" w:line="227"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Fiscal 2004 marked the beginning of our next generation initiative called “6 + 8: Teamwork to the Top.” The goals of this initiative are to achieve a consistent after-tax return on sales of 6 percent or more and grow revenues at an average annual rate of 8 percent or more over the three-year period ending October 31, 2006.</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are the focus areas of this initiative.</w:t>
      </w:r>
    </w:p>
    <w:p>
      <w:pPr>
        <w:spacing w:after="0" w:line="222"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b w:val="1"/>
          <w:bCs w:val="1"/>
          <w:i w:val="1"/>
          <w:iCs w:val="1"/>
          <w:color w:val="auto"/>
        </w:rPr>
        <w:t xml:space="preserve">Lean/ No Waste. </w:t>
      </w:r>
      <w:r>
        <w:rPr>
          <w:rFonts w:ascii="Arial" w:cs="Arial" w:eastAsia="Arial" w:hAnsi="Arial"/>
          <w:sz w:val="15"/>
          <w:szCs w:val="15"/>
          <w:color w:val="auto"/>
        </w:rPr>
        <w:t>The mindset of driving change and process improvement developed with our prior “5 by Five” initiative during fiscal years 2000 through 2003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continued with this new initiative that is linked to applying “Lean” methods in our manufacturing plants and offices. Throughout the organization, we are rethinking our business and manufacturing processes to improve our efficiency and responsiveness. Employees are engaged in cross-functional teams to take a fresh look at their jobs and processes to eliminate waste and unnecessary steps that do not add value while delivering measurable gains in productivity, throughput, and quality.</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Investing in Growth. </w:t>
      </w:r>
      <w:r>
        <w:rPr>
          <w:rFonts w:ascii="Arial" w:cs="Arial" w:eastAsia="Arial" w:hAnsi="Arial"/>
          <w:sz w:val="17"/>
          <w:szCs w:val="17"/>
          <w:color w:val="auto"/>
        </w:rPr>
        <w:t>At the same time, we recognize the need to drive stronger revenue growth through accelerated investments in innovative products and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branding, new technologies, and expansion in current and new markets. We are redirecting a portion of our Lean/ No Waste savings to finding new and better solutions that address customer problems to create market differentiation, generate higher margins, and build strong and unique brands. As sales increase, we will continue to reinvest in research and development to sustain our legacy of market leadership.</w:t>
      </w:r>
    </w:p>
    <w:p>
      <w:pPr>
        <w:spacing w:after="0" w:line="185" w:lineRule="exact"/>
        <w:rPr>
          <w:sz w:val="20"/>
          <w:szCs w:val="20"/>
          <w:color w:val="auto"/>
        </w:rPr>
      </w:pPr>
    </w:p>
    <w:p>
      <w:pPr>
        <w:ind w:right="200"/>
        <w:spacing w:after="0" w:line="315" w:lineRule="auto"/>
        <w:rPr>
          <w:sz w:val="20"/>
          <w:szCs w:val="20"/>
          <w:color w:val="auto"/>
        </w:rPr>
      </w:pPr>
      <w:r>
        <w:rPr>
          <w:rFonts w:ascii="Arial" w:cs="Arial" w:eastAsia="Arial" w:hAnsi="Arial"/>
          <w:sz w:val="15"/>
          <w:szCs w:val="15"/>
          <w:b w:val="1"/>
          <w:bCs w:val="1"/>
          <w:i w:val="1"/>
          <w:iCs w:val="1"/>
          <w:color w:val="auto"/>
        </w:rPr>
        <w:t xml:space="preserve">Strengthening Culture. </w:t>
      </w:r>
      <w:r>
        <w:rPr>
          <w:rFonts w:ascii="Arial" w:cs="Arial" w:eastAsia="Arial" w:hAnsi="Arial"/>
          <w:sz w:val="15"/>
          <w:szCs w:val="15"/>
          <w:color w:val="auto"/>
        </w:rPr>
        <w:t>We are taking steps to continue to strengthen our long-standing cultural values that are designed to maximize our organizational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effectiveness and creativity, with particular emphasis on teamwork and partnership, communication, job requirements, and customer responsiveness. We recognize that the collective contributions, energy, and commitment of our employees are the key factors in our success. Therefore, we will continue to invest in education, surveys, focus groups, and other methods to ensure all employees are engaged in a mindset of continuous improvement that will deliver sustainable results.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Leadership Transition</w:t>
      </w:r>
    </w:p>
    <w:p>
      <w:pPr>
        <w:spacing w:after="0" w:line="2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October 18, 2004, the Board of Directors appointed Michael J. Hoffman to the position of President and Chief Operating Officer. This appointment is the latest step in a comprehensive succession plan that the Board of Directors adopted a number of years ago. The plan is designed to culminate in the election of a new Chief Executive Officer no later than October 31, 2005, at which time Kendrick B. Melrose will step down from his current role as Chief Executive Officer to become Executive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Transactions and Financial Trends</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Throughout these financial sections, you will read about significant transactions or events that materially contribute to or reduce our earnings and materially affect financial trends. During fiscal 2004, we experienced rising costs for steel and other commodity prices that reduced our gross margins and net earnings. This trend is expected to continue into fiscal 2005 as increased worldwide demand and other factors are driving higher prices for steel and other commodities. To partially offset the higher commodity costs we are experiencing, we have introduced moderate price increases on certain product lines for fiscal 2005. We also plan to generate cost savings through ongoing cost reduction efforts as we continue to implement lean methods and processes in our plants.</w:t>
      </w:r>
    </w:p>
    <w:p>
      <w:pPr>
        <w:spacing w:after="0" w:line="2" w:lineRule="exact"/>
        <w:rPr>
          <w:sz w:val="20"/>
          <w:szCs w:val="20"/>
          <w:color w:val="auto"/>
        </w:rPr>
      </w:pPr>
    </w:p>
    <w:p>
      <w:pPr>
        <w:ind w:firstLine="86"/>
        <w:spacing w:after="0" w:line="276" w:lineRule="auto"/>
        <w:rPr>
          <w:sz w:val="20"/>
          <w:szCs w:val="20"/>
          <w:color w:val="auto"/>
        </w:rPr>
      </w:pPr>
      <w:r>
        <w:rPr>
          <w:rFonts w:ascii="Arial" w:cs="Arial" w:eastAsia="Arial" w:hAnsi="Arial"/>
          <w:sz w:val="16"/>
          <w:szCs w:val="16"/>
          <w:color w:val="auto"/>
        </w:rPr>
        <w:t>Significant transactions that affected our prior fiscal years operating results included an impairment charge recorded in fiscal 2003 for automation equipment that no longer is used, a gain resulting from a legal settlement in fiscal 2003, restructuring and other (income) expense in fiscal 2002 and to a lesser extent in fiscal 2003 and fiscal 2004, the cumulative effect of change in accounting principle as a result of adopting Statement of Financial Accounting Standards (SFAS) No. 142 in fiscal 2002, a goodwill amortization change effective the beginning of fiscal 2002, and a one-time federal tax refund in fiscal 2002. These significant transactions result from unique facts and circumstances that likely will not recur with similar materiality or impact on our continuing operations.</w:t>
      </w:r>
    </w:p>
    <w:p>
      <w:pPr>
        <w:ind w:right="80" w:firstLine="83"/>
        <w:spacing w:after="0" w:line="269" w:lineRule="auto"/>
        <w:rPr>
          <w:sz w:val="20"/>
          <w:szCs w:val="20"/>
          <w:color w:val="auto"/>
        </w:rPr>
      </w:pPr>
      <w:r>
        <w:rPr>
          <w:rFonts w:ascii="Arial" w:cs="Arial" w:eastAsia="Arial" w:hAnsi="Arial"/>
          <w:sz w:val="17"/>
          <w:szCs w:val="17"/>
          <w:color w:val="auto"/>
        </w:rPr>
        <w:t>While these items are important in understanding and evaluating our financial results and trends, other transactions or events such as those discussed later in this Management’s Discussion and Analysis may also have a material impact on financial trends. A complete understanding of these transactions is necessary in order to estimate the likelihood that financial trends will continue.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Fiscal 2004 net earnings were $102.7 million compared to $81.6 million in fiscal 2003, an increase of 25.8 percent. Fiscal 2004 net earnings per diluted share were $4.04, an increase of 29.5 percent over $3.12 per diluted share in fiscal 2003. The primary factors contributing to the net earnings increase were higher sales volumes and improved leveraging of selling, general, and administrative expense. However, the growth in fiscal 2004 net earnings relative to fiscal 2003 was somewhat tempered by a decline in other income compared to fiscal 2003.</w:t>
      </w:r>
    </w:p>
    <w:p>
      <w:pPr>
        <w:spacing w:after="0" w:line="185" w:lineRule="exact"/>
        <w:rPr>
          <w:sz w:val="20"/>
          <w:szCs w:val="20"/>
          <w:color w:val="auto"/>
        </w:rPr>
      </w:pPr>
    </w:p>
    <w:p>
      <w:pPr>
        <w:ind w:right="160" w:firstLine="86"/>
        <w:spacing w:after="0" w:line="296" w:lineRule="auto"/>
        <w:rPr>
          <w:sz w:val="20"/>
          <w:szCs w:val="20"/>
          <w:color w:val="auto"/>
        </w:rPr>
      </w:pPr>
      <w:r>
        <w:rPr>
          <w:rFonts w:ascii="Arial" w:cs="Arial" w:eastAsia="Arial" w:hAnsi="Arial"/>
          <w:sz w:val="15"/>
          <w:szCs w:val="15"/>
          <w:color w:val="auto"/>
        </w:rPr>
        <w:t>Fiscal 2003 net earnings were $81.6 million or $3.12 per diluted share, a significant improvement from fiscal 2002 net earnings of $35.3 million or $1.37 per diluted share. Results for fiscal 2002 included the following three significant items: a cumulative effect of change in accounting principle that reduced net earnings by $24.6 million for the goodwill write-off related to the adoption of SFAS No. 142; restructuring and other expense of $8.4 million ($5.6 million net of tax); and a tax refund that reduced tax expense by $1.8 million. Other factors contributing to the net earnings increase included higher sales, an increase in gross margin resulting from profit improvement initiatives, and lower interest expense. This was somewhat offset by higher selling, general, and administrative expense.</w:t>
      </w:r>
    </w:p>
    <w:p>
      <w:pPr>
        <w:ind w:left="80"/>
        <w:spacing w:after="0"/>
        <w:rPr>
          <w:sz w:val="20"/>
          <w:szCs w:val="20"/>
          <w:color w:val="auto"/>
        </w:rPr>
      </w:pPr>
      <w:r>
        <w:rPr>
          <w:rFonts w:ascii="Arial" w:cs="Arial" w:eastAsia="Arial" w:hAnsi="Arial"/>
          <w:sz w:val="17"/>
          <w:szCs w:val="17"/>
          <w:color w:val="auto"/>
        </w:rPr>
        <w:t>The following table summarizes the results of operations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6870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340" w:type="dxa"/>
            <w:vAlign w:val="bottom"/>
          </w:tcPr>
          <w:p>
            <w:pPr>
              <w:jc w:val="right"/>
              <w:ind w:right="496"/>
              <w:spacing w:after="0"/>
              <w:rPr>
                <w:sz w:val="20"/>
                <w:szCs w:val="20"/>
                <w:color w:val="auto"/>
              </w:rPr>
            </w:pPr>
            <w:r>
              <w:rPr>
                <w:rFonts w:ascii="Arial" w:cs="Arial" w:eastAsia="Arial" w:hAnsi="Arial"/>
                <w:sz w:val="13"/>
                <w:szCs w:val="13"/>
                <w:b w:val="1"/>
                <w:bCs w:val="1"/>
                <w:color w:val="auto"/>
              </w:rPr>
              <w:t>2004</w:t>
            </w:r>
          </w:p>
        </w:tc>
        <w:tc>
          <w:tcPr>
            <w:tcW w:w="1280" w:type="dxa"/>
            <w:vAlign w:val="bottom"/>
          </w:tcPr>
          <w:p>
            <w:pPr>
              <w:jc w:val="right"/>
              <w:ind w:right="396"/>
              <w:spacing w:after="0"/>
              <w:rPr>
                <w:sz w:val="20"/>
                <w:szCs w:val="20"/>
                <w:color w:val="auto"/>
              </w:rPr>
            </w:pPr>
            <w:r>
              <w:rPr>
                <w:rFonts w:ascii="Arial" w:cs="Arial" w:eastAsia="Arial" w:hAnsi="Arial"/>
                <w:sz w:val="13"/>
                <w:szCs w:val="13"/>
                <w:color w:val="auto"/>
              </w:rPr>
              <w:t>2003</w:t>
            </w:r>
          </w:p>
        </w:tc>
        <w:tc>
          <w:tcPr>
            <w:tcW w:w="740" w:type="dxa"/>
            <w:vAlign w:val="bottom"/>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2340" w:type="dxa"/>
            <w:vAlign w:val="bottom"/>
            <w:shd w:val="clear" w:color="auto" w:fill="EEEEEE"/>
          </w:tcPr>
          <w:p>
            <w:pPr>
              <w:jc w:val="right"/>
              <w:ind w:right="316"/>
              <w:spacing w:after="0"/>
              <w:rPr>
                <w:sz w:val="20"/>
                <w:szCs w:val="20"/>
                <w:color w:val="auto"/>
              </w:rPr>
            </w:pPr>
            <w:r>
              <w:rPr>
                <w:rFonts w:ascii="Arial" w:cs="Arial" w:eastAsia="Arial" w:hAnsi="Arial"/>
                <w:sz w:val="17"/>
                <w:szCs w:val="17"/>
                <w:b w:val="1"/>
                <w:bCs w:val="1"/>
                <w:color w:val="auto"/>
              </w:rPr>
              <w:t>100.0%</w:t>
            </w:r>
          </w:p>
        </w:tc>
        <w:tc>
          <w:tcPr>
            <w:tcW w:w="128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100.0%</w:t>
            </w: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Cost of sales</w:t>
            </w:r>
          </w:p>
        </w:tc>
        <w:tc>
          <w:tcPr>
            <w:tcW w:w="2340" w:type="dxa"/>
            <w:vAlign w:val="bottom"/>
          </w:tcPr>
          <w:p>
            <w:pPr>
              <w:jc w:val="right"/>
              <w:ind w:right="496"/>
              <w:spacing w:after="0"/>
              <w:rPr>
                <w:sz w:val="20"/>
                <w:szCs w:val="20"/>
                <w:color w:val="auto"/>
              </w:rPr>
            </w:pPr>
            <w:r>
              <w:rPr>
                <w:rFonts w:ascii="Arial" w:cs="Arial" w:eastAsia="Arial" w:hAnsi="Arial"/>
                <w:sz w:val="17"/>
                <w:szCs w:val="17"/>
                <w:b w:val="1"/>
                <w:bCs w:val="1"/>
                <w:color w:val="auto"/>
              </w:rPr>
              <w:t>64.1</w:t>
            </w:r>
          </w:p>
        </w:tc>
        <w:tc>
          <w:tcPr>
            <w:tcW w:w="1280" w:type="dxa"/>
            <w:vAlign w:val="bottom"/>
          </w:tcPr>
          <w:p>
            <w:pPr>
              <w:jc w:val="right"/>
              <w:ind w:right="396"/>
              <w:spacing w:after="0"/>
              <w:rPr>
                <w:sz w:val="20"/>
                <w:szCs w:val="20"/>
                <w:color w:val="auto"/>
              </w:rPr>
            </w:pPr>
            <w:r>
              <w:rPr>
                <w:rFonts w:ascii="Arial" w:cs="Arial" w:eastAsia="Arial" w:hAnsi="Arial"/>
                <w:sz w:val="17"/>
                <w:szCs w:val="17"/>
                <w:color w:val="auto"/>
              </w:rPr>
              <w:t>64.2</w:t>
            </w:r>
          </w:p>
        </w:tc>
        <w:tc>
          <w:tcPr>
            <w:tcW w:w="740" w:type="dxa"/>
            <w:vAlign w:val="bottom"/>
          </w:tcPr>
          <w:p>
            <w:pPr>
              <w:jc w:val="right"/>
              <w:spacing w:after="0"/>
              <w:rPr>
                <w:sz w:val="20"/>
                <w:szCs w:val="20"/>
                <w:color w:val="auto"/>
              </w:rPr>
            </w:pPr>
            <w:r>
              <w:rPr>
                <w:rFonts w:ascii="Arial" w:cs="Arial" w:eastAsia="Arial" w:hAnsi="Arial"/>
                <w:sz w:val="17"/>
                <w:szCs w:val="17"/>
                <w:color w:val="auto"/>
              </w:rPr>
              <w:t>65.3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Gross profit</w:t>
            </w:r>
          </w:p>
        </w:tc>
        <w:tc>
          <w:tcPr>
            <w:tcW w:w="2340" w:type="dxa"/>
            <w:vAlign w:val="bottom"/>
            <w:shd w:val="clear" w:color="auto" w:fill="EEEEEE"/>
          </w:tcPr>
          <w:p>
            <w:pPr>
              <w:jc w:val="right"/>
              <w:ind w:right="496"/>
              <w:spacing w:after="0"/>
              <w:rPr>
                <w:sz w:val="20"/>
                <w:szCs w:val="20"/>
                <w:color w:val="auto"/>
              </w:rPr>
            </w:pPr>
            <w:r>
              <w:rPr>
                <w:rFonts w:ascii="Arial" w:cs="Arial" w:eastAsia="Arial" w:hAnsi="Arial"/>
                <w:sz w:val="17"/>
                <w:szCs w:val="17"/>
                <w:b w:val="1"/>
                <w:bCs w:val="1"/>
                <w:color w:val="auto"/>
              </w:rPr>
              <w:t>35.9</w:t>
            </w:r>
          </w:p>
        </w:tc>
        <w:tc>
          <w:tcPr>
            <w:tcW w:w="128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35.8</w:t>
            </w:r>
          </w:p>
        </w:tc>
        <w:tc>
          <w:tcPr>
            <w:tcW w:w="7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34.7</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Selling, general, and administrative expense</w:t>
            </w:r>
          </w:p>
        </w:tc>
        <w:tc>
          <w:tcPr>
            <w:tcW w:w="2340" w:type="dxa"/>
            <w:vAlign w:val="bottom"/>
          </w:tcPr>
          <w:p>
            <w:pPr>
              <w:jc w:val="right"/>
              <w:ind w:right="436"/>
              <w:spacing w:after="0"/>
              <w:rPr>
                <w:sz w:val="20"/>
                <w:szCs w:val="20"/>
                <w:color w:val="auto"/>
              </w:rPr>
            </w:pPr>
            <w:r>
              <w:rPr>
                <w:rFonts w:ascii="Arial" w:cs="Arial" w:eastAsia="Arial" w:hAnsi="Arial"/>
                <w:sz w:val="17"/>
                <w:szCs w:val="17"/>
                <w:b w:val="1"/>
                <w:bCs w:val="1"/>
                <w:color w:val="auto"/>
              </w:rPr>
              <w:t>(25.9)</w:t>
            </w:r>
          </w:p>
        </w:tc>
        <w:tc>
          <w:tcPr>
            <w:tcW w:w="1280" w:type="dxa"/>
            <w:vAlign w:val="bottom"/>
          </w:tcPr>
          <w:p>
            <w:pPr>
              <w:jc w:val="right"/>
              <w:ind w:right="336"/>
              <w:spacing w:after="0"/>
              <w:rPr>
                <w:sz w:val="20"/>
                <w:szCs w:val="20"/>
                <w:color w:val="auto"/>
              </w:rPr>
            </w:pPr>
            <w:r>
              <w:rPr>
                <w:rFonts w:ascii="Arial" w:cs="Arial" w:eastAsia="Arial" w:hAnsi="Arial"/>
                <w:sz w:val="17"/>
                <w:szCs w:val="17"/>
                <w:color w:val="auto"/>
              </w:rPr>
              <w:t>(27.2)</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Restructuring and other expense</w:t>
            </w:r>
          </w:p>
        </w:tc>
        <w:tc>
          <w:tcPr>
            <w:tcW w:w="2340" w:type="dxa"/>
            <w:vAlign w:val="bottom"/>
            <w:shd w:val="clear" w:color="auto" w:fill="EEEEEE"/>
          </w:tcPr>
          <w:p>
            <w:pPr>
              <w:jc w:val="right"/>
              <w:ind w:right="496"/>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EEEEEE"/>
          </w:tcPr>
          <w:p>
            <w:pPr>
              <w:jc w:val="right"/>
              <w:ind w:right="336"/>
              <w:spacing w:after="0"/>
              <w:rPr>
                <w:sz w:val="20"/>
                <w:szCs w:val="20"/>
                <w:color w:val="auto"/>
              </w:rPr>
            </w:pPr>
            <w:r>
              <w:rPr>
                <w:rFonts w:ascii="Arial" w:cs="Arial" w:eastAsia="Arial" w:hAnsi="Arial"/>
                <w:sz w:val="17"/>
                <w:szCs w:val="17"/>
                <w:color w:val="auto"/>
              </w:rPr>
              <w:t>(0.1)</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2340" w:type="dxa"/>
            <w:vAlign w:val="bottom"/>
          </w:tcPr>
          <w:p>
            <w:pPr>
              <w:jc w:val="right"/>
              <w:ind w:right="436"/>
              <w:spacing w:after="0"/>
              <w:rPr>
                <w:sz w:val="20"/>
                <w:szCs w:val="20"/>
                <w:color w:val="auto"/>
              </w:rPr>
            </w:pPr>
            <w:r>
              <w:rPr>
                <w:rFonts w:ascii="Arial" w:cs="Arial" w:eastAsia="Arial" w:hAnsi="Arial"/>
                <w:sz w:val="17"/>
                <w:szCs w:val="17"/>
                <w:b w:val="1"/>
                <w:bCs w:val="1"/>
                <w:color w:val="auto"/>
              </w:rPr>
              <w:t>(0.9)</w:t>
            </w:r>
          </w:p>
        </w:tc>
        <w:tc>
          <w:tcPr>
            <w:tcW w:w="1280" w:type="dxa"/>
            <w:vAlign w:val="bottom"/>
          </w:tcPr>
          <w:p>
            <w:pPr>
              <w:jc w:val="right"/>
              <w:ind w:right="336"/>
              <w:spacing w:after="0"/>
              <w:rPr>
                <w:sz w:val="20"/>
                <w:szCs w:val="20"/>
                <w:color w:val="auto"/>
              </w:rPr>
            </w:pPr>
            <w:r>
              <w:rPr>
                <w:rFonts w:ascii="Arial" w:cs="Arial" w:eastAsia="Arial" w:hAnsi="Arial"/>
                <w:sz w:val="17"/>
                <w:szCs w:val="17"/>
                <w:color w:val="auto"/>
              </w:rPr>
              <w:t>(1.1)</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income, net</w:t>
            </w:r>
          </w:p>
        </w:tc>
        <w:tc>
          <w:tcPr>
            <w:tcW w:w="2340" w:type="dxa"/>
            <w:vAlign w:val="bottom"/>
            <w:shd w:val="clear" w:color="auto" w:fill="EEEEEE"/>
          </w:tcPr>
          <w:p>
            <w:pPr>
              <w:jc w:val="right"/>
              <w:ind w:right="496"/>
              <w:spacing w:after="0"/>
              <w:rPr>
                <w:sz w:val="20"/>
                <w:szCs w:val="20"/>
                <w:color w:val="auto"/>
              </w:rPr>
            </w:pPr>
            <w:r>
              <w:rPr>
                <w:rFonts w:ascii="Arial" w:cs="Arial" w:eastAsia="Arial" w:hAnsi="Arial"/>
                <w:sz w:val="17"/>
                <w:szCs w:val="17"/>
                <w:b w:val="1"/>
                <w:bCs w:val="1"/>
                <w:color w:val="auto"/>
              </w:rPr>
              <w:t>0.2</w:t>
            </w:r>
          </w:p>
        </w:tc>
        <w:tc>
          <w:tcPr>
            <w:tcW w:w="128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0.7</w:t>
            </w:r>
          </w:p>
        </w:tc>
        <w:tc>
          <w:tcPr>
            <w:tcW w:w="7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7"/>
                <w:szCs w:val="17"/>
                <w:b w:val="1"/>
                <w:bCs w:val="1"/>
                <w:color w:val="auto"/>
              </w:rPr>
              <w:t>Provision for income taxes</w:t>
            </w:r>
          </w:p>
        </w:tc>
        <w:tc>
          <w:tcPr>
            <w:tcW w:w="2340" w:type="dxa"/>
            <w:vAlign w:val="bottom"/>
          </w:tcPr>
          <w:p>
            <w:pPr>
              <w:jc w:val="right"/>
              <w:ind w:right="436"/>
              <w:spacing w:after="0"/>
              <w:rPr>
                <w:sz w:val="20"/>
                <w:szCs w:val="20"/>
                <w:color w:val="auto"/>
              </w:rPr>
            </w:pPr>
            <w:r>
              <w:rPr>
                <w:rFonts w:ascii="Arial" w:cs="Arial" w:eastAsia="Arial" w:hAnsi="Arial"/>
                <w:sz w:val="17"/>
                <w:szCs w:val="17"/>
                <w:b w:val="1"/>
                <w:bCs w:val="1"/>
                <w:color w:val="auto"/>
              </w:rPr>
              <w:t>(3.1)</w:t>
            </w:r>
          </w:p>
        </w:tc>
        <w:tc>
          <w:tcPr>
            <w:tcW w:w="1280" w:type="dxa"/>
            <w:vAlign w:val="bottom"/>
          </w:tcPr>
          <w:p>
            <w:pPr>
              <w:jc w:val="right"/>
              <w:ind w:right="336"/>
              <w:spacing w:after="0"/>
              <w:rPr>
                <w:sz w:val="20"/>
                <w:szCs w:val="20"/>
                <w:color w:val="auto"/>
              </w:rPr>
            </w:pPr>
            <w:r>
              <w:rPr>
                <w:rFonts w:ascii="Arial" w:cs="Arial" w:eastAsia="Arial" w:hAnsi="Arial"/>
                <w:sz w:val="17"/>
                <w:szCs w:val="17"/>
                <w:color w:val="auto"/>
              </w:rPr>
              <w:t>(2.6)</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Earnings before accounting change</w:t>
            </w:r>
          </w:p>
        </w:tc>
        <w:tc>
          <w:tcPr>
            <w:tcW w:w="2340" w:type="dxa"/>
            <w:vAlign w:val="bottom"/>
            <w:shd w:val="clear" w:color="auto" w:fill="EEEEEE"/>
          </w:tcPr>
          <w:p>
            <w:pPr>
              <w:jc w:val="right"/>
              <w:ind w:right="316"/>
              <w:spacing w:after="0"/>
              <w:rPr>
                <w:sz w:val="20"/>
                <w:szCs w:val="20"/>
                <w:color w:val="auto"/>
              </w:rPr>
            </w:pPr>
            <w:r>
              <w:rPr>
                <w:rFonts w:ascii="Arial" w:cs="Arial" w:eastAsia="Arial" w:hAnsi="Arial"/>
                <w:sz w:val="17"/>
                <w:szCs w:val="17"/>
                <w:b w:val="1"/>
                <w:bCs w:val="1"/>
                <w:color w:val="auto"/>
              </w:rPr>
              <w:t>6.2%</w:t>
            </w:r>
          </w:p>
        </w:tc>
        <w:tc>
          <w:tcPr>
            <w:tcW w:w="128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5.5%</w:t>
            </w: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80" w:firstLine="77"/>
        <w:spacing w:after="0" w:line="268" w:lineRule="auto"/>
        <w:rPr>
          <w:sz w:val="20"/>
          <w:szCs w:val="20"/>
          <w:color w:val="auto"/>
        </w:rPr>
      </w:pPr>
      <w:r>
        <w:rPr>
          <w:rFonts w:ascii="Arial" w:cs="Arial" w:eastAsia="Arial" w:hAnsi="Arial"/>
          <w:sz w:val="17"/>
          <w:szCs w:val="17"/>
          <w:color w:val="auto"/>
        </w:rPr>
        <w:t>As we enter fiscal 2005, we anticipate another strong year of growth due to the introduction of new products and anticipated improving economic conditions. Sales are expected to grow at an annual rate of 7 to 9 percent in fiscal 2005 and diluted net earnings per share are expected to grow at an annual rate of 12 to 15 percent over fiscal 2004, which includes the impact of adopting SFAS No. 123, “Accounting for Stock-Based Compensation,” discussed later in the section entitled “New Accounting Pronouncements to be Adopted.”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2004 Compared With Fiscal 2003</w:t>
      </w:r>
    </w:p>
    <w:p>
      <w:pPr>
        <w:spacing w:after="0" w:line="227"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Worldwide net sales in fiscal 2004 were $1,652.5 million compared to $1,496.6 million in fiscal 2003, an increase of 10.4 percent. Sales growth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driven by:</w:t>
      </w:r>
    </w:p>
    <w:p>
      <w:pPr>
        <w:ind w:left="120" w:hanging="114"/>
        <w:spacing w:after="0"/>
        <w:tabs>
          <w:tab w:leader="none" w:pos="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acceptance of new products introduced within the past two years across many product lines.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Continued increase in demand for landscape contractor equipment as a result of continued market growth and acceptance of new products.</w:t>
      </w:r>
    </w:p>
    <w:p>
      <w:pPr>
        <w:spacing w:after="0" w:line="16" w:lineRule="exact"/>
        <w:rPr>
          <w:rFonts w:ascii="Arial" w:cs="Arial" w:eastAsia="Arial" w:hAnsi="Arial"/>
          <w:sz w:val="17"/>
          <w:szCs w:val="17"/>
          <w:color w:val="auto"/>
        </w:rPr>
      </w:pPr>
    </w:p>
    <w:p>
      <w:pPr>
        <w:ind w:left="120" w:right="220" w:hanging="114"/>
        <w:spacing w:after="0" w:line="276" w:lineRule="auto"/>
        <w:tabs>
          <w:tab w:leader="none" w:pos="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Favorable currency rates that contributed approximately 1 percent of the sales growth for fiscal 2004. International sales grew 18.1 percent driven primarily by a weaker U.S. dollar and new product introductions. Disregarding currency effects, international sales were up 12.0 percent for fiscal 2004.</w:t>
      </w:r>
    </w:p>
    <w:p>
      <w:pPr>
        <w:ind w:left="120" w:hanging="114"/>
        <w:spacing w:after="0"/>
        <w:tabs>
          <w:tab w:leader="none" w:pos="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Higher distribution segment sales as a result of strong demand and improving economic conditions.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Somewhat offsetting the factors contributing to our sales growth was a decline in domestic irrigation product sales, mainly domestic residential/commercial irrigation products.</w:t>
      </w:r>
    </w:p>
    <w:p>
      <w:pPr>
        <w:spacing w:after="0" w:line="1" w:lineRule="exact"/>
        <w:rPr>
          <w:sz w:val="20"/>
          <w:szCs w:val="20"/>
          <w:color w:val="auto"/>
        </w:rPr>
      </w:pPr>
    </w:p>
    <w:p>
      <w:pPr>
        <w:ind w:right="420" w:firstLine="86"/>
        <w:spacing w:after="0" w:line="269" w:lineRule="auto"/>
        <w:rPr>
          <w:sz w:val="20"/>
          <w:szCs w:val="20"/>
          <w:color w:val="auto"/>
        </w:rPr>
      </w:pPr>
      <w:r>
        <w:rPr>
          <w:rFonts w:ascii="Arial" w:cs="Arial" w:eastAsia="Arial" w:hAnsi="Arial"/>
          <w:sz w:val="17"/>
          <w:szCs w:val="17"/>
          <w:color w:val="auto"/>
        </w:rPr>
        <w:t>Looking ahead, we expect sales to grow at an annual rate of 7 to 9 percent in fiscal 2005 compared to the sales reported in fiscal 2004, driven primarily by the introduction of new products, expected continuing favorable economic conditions, and strategic marketing activities directed at underserved markets, such as revitalizing the Lawn-Boy brand with new products and accelerating the growth rate in international markets.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as a percentage of net sales increased slightly by 0.1 percentage point from 35.8 percent in fiscal 2003 to 35.9 percent in fiscal 2004.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improvement was mainly the result of the following factors:</w:t>
      </w:r>
    </w:p>
    <w:p>
      <w:pPr>
        <w:ind w:left="120" w:right="260" w:hanging="114"/>
        <w:spacing w:after="0" w:line="259" w:lineRule="auto"/>
        <w:tabs>
          <w:tab w:leader="none" w:pos="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 reduction efforts, including ongoing benefits from past and continuing profit improvement initiatives, as well as moving production to facilities with lower operating costs.</w:t>
      </w:r>
    </w:p>
    <w:p>
      <w:pPr>
        <w:spacing w:after="0" w:line="1" w:lineRule="exact"/>
        <w:rPr>
          <w:rFonts w:ascii="Arial" w:cs="Arial" w:eastAsia="Arial" w:hAnsi="Arial"/>
          <w:sz w:val="17"/>
          <w:szCs w:val="17"/>
          <w:color w:val="auto"/>
        </w:rPr>
      </w:pPr>
    </w:p>
    <w:p>
      <w:pPr>
        <w:ind w:left="120" w:right="500" w:hanging="114"/>
        <w:spacing w:after="0" w:line="259" w:lineRule="auto"/>
        <w:tabs>
          <w:tab w:leader="none" w:pos="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Lower manufacturing costs from increased plant utilization as a result of reduced excess manufacturing capacity, mainly related to increased demand for our products.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Higher international gross margins as a result of the weaker U.S. dollar.</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Fiscal 2003 gross margins were negatively impacted by an impairment charge for automation equipment that was no longer used and subsequently disposed.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Somewhat offsetting those positive factors were:</w:t>
      </w:r>
    </w:p>
    <w:p>
      <w:pPr>
        <w:spacing w:after="0" w:line="22" w:lineRule="exact"/>
        <w:rPr>
          <w:sz w:val="20"/>
          <w:szCs w:val="20"/>
          <w:color w:val="auto"/>
        </w:rPr>
      </w:pPr>
    </w:p>
    <w:p>
      <w:pPr>
        <w:ind w:left="120" w:hanging="114"/>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Rising steel and other commodity prices.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outbound freight costs due to higher fuel costs and increased demand for transportation.</w:t>
      </w:r>
    </w:p>
    <w:p>
      <w:pPr>
        <w:spacing w:after="0" w:line="16" w:lineRule="exact"/>
        <w:rPr>
          <w:sz w:val="20"/>
          <w:szCs w:val="20"/>
          <w:color w:val="auto"/>
        </w:rPr>
      </w:pPr>
    </w:p>
    <w:p>
      <w:pPr>
        <w:ind w:right="60" w:firstLine="86"/>
        <w:spacing w:after="0" w:line="269" w:lineRule="auto"/>
        <w:rPr>
          <w:sz w:val="20"/>
          <w:szCs w:val="20"/>
          <w:color w:val="auto"/>
        </w:rPr>
      </w:pPr>
      <w:r>
        <w:rPr>
          <w:rFonts w:ascii="Arial" w:cs="Arial" w:eastAsia="Arial" w:hAnsi="Arial"/>
          <w:sz w:val="17"/>
          <w:szCs w:val="17"/>
          <w:color w:val="auto"/>
        </w:rPr>
        <w:t>Looking ahead, gross profit as a percentage of net sales is expected to remain the same in fiscal 2005 compared to fiscal 2004. We anticipate benefits from ongoing past and continuing profit improvement initiatives driven by our emphasis on lean manufacturing as well as moderate price increases will be offset by anticipated higher commodity prices.</w:t>
      </w:r>
    </w:p>
    <w:p>
      <w:pPr>
        <w:spacing w:after="0" w:line="184" w:lineRule="exact"/>
        <w:rPr>
          <w:sz w:val="20"/>
          <w:szCs w:val="20"/>
          <w:color w:val="auto"/>
        </w:rPr>
      </w:pPr>
    </w:p>
    <w:p>
      <w:pPr>
        <w:ind w:right="420"/>
        <w:spacing w:after="0" w:line="356" w:lineRule="auto"/>
        <w:rPr>
          <w:sz w:val="20"/>
          <w:szCs w:val="20"/>
          <w:color w:val="auto"/>
        </w:rPr>
      </w:pPr>
      <w:r>
        <w:rPr>
          <w:rFonts w:ascii="Arial" w:cs="Arial" w:eastAsia="Arial" w:hAnsi="Arial"/>
          <w:sz w:val="15"/>
          <w:szCs w:val="15"/>
          <w:b w:val="1"/>
          <w:bCs w:val="1"/>
          <w:i w:val="1"/>
          <w:iCs w:val="1"/>
          <w:color w:val="auto"/>
        </w:rPr>
        <w:t xml:space="preserve">Selling, General, and Administrative Expense (SG&amp;A). </w:t>
      </w:r>
      <w:r>
        <w:rPr>
          <w:rFonts w:ascii="Arial" w:cs="Arial" w:eastAsia="Arial" w:hAnsi="Arial"/>
          <w:sz w:val="15"/>
          <w:szCs w:val="15"/>
          <w:color w:val="auto"/>
        </w:rPr>
        <w:t>SG&amp;A expense increased 5.4 percent from fiscal 2003. SG&amp;A expense as a percentage of net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decreased to 25.9 percent in fiscal 2004 compared to 27.2 percent in fiscal 2003. The decrease in SG&amp;A expense as a percentage of net sales was due primarily</w:t>
      </w:r>
    </w:p>
    <w:p>
      <w:pPr>
        <w:sectPr>
          <w:pgSz w:w="11900" w:h="16838" w:orient="portrait"/>
          <w:cols w:equalWidth="0" w:num="1">
            <w:col w:w="11400"/>
          </w:cols>
          <w:pgMar w:left="240" w:top="413" w:right="259" w:bottom="507" w:gutter="0" w:footer="0" w:header="0"/>
        </w:sectPr>
      </w:pP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507"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leveraging fixed SG&amp;A costs over higher sales volumes as well as the following other factors:</w:t>
      </w:r>
    </w:p>
    <w:p>
      <w:pPr>
        <w:spacing w:after="0" w:line="22" w:lineRule="exact"/>
        <w:rPr>
          <w:sz w:val="20"/>
          <w:szCs w:val="20"/>
          <w:color w:val="auto"/>
        </w:rPr>
      </w:pPr>
    </w:p>
    <w:p>
      <w:pPr>
        <w:ind w:left="120" w:hanging="114"/>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decline in bad debt expense due mainly to a recovery of a previously written off note receivable.</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for distributor changes in fiscal 2003 that did not occur in fiscal 2004.</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Reduced warranty expense due mainly to lower claims experience on certain product lines.</w:t>
      </w:r>
    </w:p>
    <w:p>
      <w:pPr>
        <w:spacing w:after="0" w:line="16" w:lineRule="exact"/>
        <w:rPr>
          <w:rFonts w:ascii="Arial" w:cs="Arial" w:eastAsia="Arial" w:hAnsi="Arial"/>
          <w:sz w:val="17"/>
          <w:szCs w:val="17"/>
          <w:color w:val="auto"/>
        </w:rPr>
      </w:pPr>
    </w:p>
    <w:p>
      <w:pPr>
        <w:ind w:right="3240" w:firstLine="6"/>
        <w:spacing w:after="0" w:line="259" w:lineRule="auto"/>
        <w:tabs>
          <w:tab w:leader="none" w:pos="119" w:val="left"/>
        </w:tabs>
        <w:numPr>
          <w:ilvl w:val="0"/>
          <w:numId w:val="6"/>
        </w:numPr>
        <w:rPr>
          <w:rFonts w:ascii="Arial" w:cs="Arial" w:eastAsia="Arial" w:hAnsi="Arial"/>
          <w:sz w:val="17"/>
          <w:szCs w:val="17"/>
          <w:color w:val="auto"/>
        </w:rPr>
      </w:pPr>
      <w:r>
        <w:rPr>
          <w:rFonts w:ascii="Arial" w:cs="Arial" w:eastAsia="Arial" w:hAnsi="Arial"/>
          <w:sz w:val="17"/>
          <w:szCs w:val="17"/>
          <w:color w:val="auto"/>
        </w:rPr>
        <w:t>Lower warehousing expenses due to consolidation and the reduction of the number of warehousing facilities utilized. Somewhat offsetting those decreases were:</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investments in engineering, marketing, and information systems as part of our “6 + 8” initiative.</w:t>
      </w:r>
    </w:p>
    <w:p>
      <w:pPr>
        <w:spacing w:after="0" w:line="16" w:lineRule="exact"/>
        <w:rPr>
          <w:rFonts w:ascii="Arial" w:cs="Arial" w:eastAsia="Arial" w:hAnsi="Arial"/>
          <w:sz w:val="17"/>
          <w:szCs w:val="17"/>
          <w:color w:val="auto"/>
        </w:rPr>
      </w:pPr>
    </w:p>
    <w:p>
      <w:pPr>
        <w:ind w:left="120" w:right="180" w:hanging="114"/>
        <w:spacing w:after="0" w:line="259" w:lineRule="auto"/>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Higher incentive compensation costs due to the significant improvement in our financial performance, on which incentive compensation is based. In addition, the increase in Toro’s stock price during fiscal 2004 also contributed to higher compensation expense for our Performance Share Plan. See Note 10 of the notes to consolidated financial statements for additional information.</w:t>
      </w:r>
    </w:p>
    <w:p>
      <w:pPr>
        <w:spacing w:after="0" w:line="2" w:lineRule="exact"/>
        <w:rPr>
          <w:sz w:val="20"/>
          <w:szCs w:val="20"/>
          <w:color w:val="auto"/>
        </w:rPr>
      </w:pPr>
    </w:p>
    <w:p>
      <w:pPr>
        <w:ind w:firstLine="86"/>
        <w:spacing w:after="0" w:line="312" w:lineRule="auto"/>
        <w:rPr>
          <w:sz w:val="20"/>
          <w:szCs w:val="20"/>
          <w:color w:val="auto"/>
        </w:rPr>
      </w:pPr>
      <w:r>
        <w:rPr>
          <w:rFonts w:ascii="Arial" w:cs="Arial" w:eastAsia="Arial" w:hAnsi="Arial"/>
          <w:sz w:val="16"/>
          <w:szCs w:val="16"/>
          <w:color w:val="auto"/>
        </w:rPr>
        <w:t>Looking ahead, SG&amp;A expense is expected to increase in fiscal 2005 compared to fiscal 2004 as we continue to accelerate our investments in engineering and brand marketing as part of our “6 + 8” initiative. However, we expect to continue to leverage SG&amp;A costs over higher sales volumes in fiscal 2005.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Restructuring and Other (Income) Expense. </w:t>
      </w:r>
      <w:r>
        <w:rPr>
          <w:rFonts w:ascii="Arial" w:cs="Arial" w:eastAsia="Arial" w:hAnsi="Arial"/>
          <w:sz w:val="16"/>
          <w:szCs w:val="16"/>
          <w:color w:val="auto"/>
        </w:rPr>
        <w:t>Restructuring and other income for fiscal 2004 was $0.7 million compared to restructuring and other expense of</w:t>
      </w:r>
    </w:p>
    <w:p>
      <w:pPr>
        <w:spacing w:after="0" w:line="33"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$1.8 million in fiscal 2003. During fiscal 2003, we announced plans to close our two-cycle engine manufacturing facility located in Oxford, Mississippi that resulted in a pre-tax restructuring and other expense charge of $2.3 million. See Item 1, Environmental Matters and Other Governmental Regulation section for additional information. On April 30, 2004, we ceased operations at that facility. During fiscal 2004, we realized a net benefit of $0.2 million mainly as a result of selling assets that were previously identified for disposal in connection with the closure of this facility. We also realized a net benefit of $0.4 million due to the reversal of an impairment write down for the Madera, California facility in anticipation of the sale of that facility, which was sold during the first quarter of fiscal 2005 for a gain.</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Looking ahead, we expect to incur additional, but immaterial ongoing restructuring and other expenses until our Oxford, Mississippi facility is sold.</w:t>
      </w:r>
    </w:p>
    <w:p>
      <w:pPr>
        <w:spacing w:after="0" w:line="22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for fiscal 2004 declined 4.7 percent compared to fiscal 2003 due primarily to lower average debt levels as we continued to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to finance operating activities and pay down debt.</w:t>
      </w:r>
    </w:p>
    <w:p>
      <w:pPr>
        <w:spacing w:after="0" w:line="169" w:lineRule="exact"/>
        <w:rPr>
          <w:sz w:val="20"/>
          <w:szCs w:val="20"/>
          <w:color w:val="auto"/>
        </w:rPr>
      </w:pPr>
    </w:p>
    <w:p>
      <w:pPr>
        <w:ind w:right="260" w:firstLine="86"/>
        <w:spacing w:after="0" w:line="319" w:lineRule="auto"/>
        <w:rPr>
          <w:sz w:val="20"/>
          <w:szCs w:val="20"/>
          <w:color w:val="auto"/>
        </w:rPr>
      </w:pPr>
      <w:r>
        <w:rPr>
          <w:rFonts w:ascii="Arial" w:cs="Arial" w:eastAsia="Arial" w:hAnsi="Arial"/>
          <w:sz w:val="16"/>
          <w:szCs w:val="16"/>
          <w:color w:val="auto"/>
        </w:rPr>
        <w:t>Looking ahead, interest expense is expected to increase as a result of higher interest rates. We also anticipate average debt levels to increase due to the use of our excess cash for significant purchases of our common stock during fiscal 2004 and anticipated purchases of our common stock in fiscal 2005.</w:t>
      </w:r>
    </w:p>
    <w:p>
      <w:pPr>
        <w:spacing w:after="0" w:line="146"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net consists mainly of interest income, financing income, royalty income, litigation settlements and recovery, currency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gains and losses, and equity losses from investments. Other income, net for fiscal 2004 decreased $6.7 million compared to fiscal 2003. This decrease was due mainly to the following factors:</w:t>
      </w:r>
    </w:p>
    <w:p>
      <w:pPr>
        <w:ind w:left="120" w:hanging="114"/>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Litigation expense incurred in fiscal 2004. However, during fiscal 2003, we received proceeds from a legal settlement and insurance recoveries.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Equity losses incurred from an investment and a loss recognized for the sale of a business in fiscal 2004.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Those negative factors were somewhat offset by higher interest income and finance charge revenue.</w:t>
      </w:r>
    </w:p>
    <w:p>
      <w:pPr>
        <w:spacing w:after="0" w:line="228" w:lineRule="exact"/>
        <w:rPr>
          <w:sz w:val="20"/>
          <w:szCs w:val="20"/>
          <w:color w:val="auto"/>
        </w:rPr>
      </w:pPr>
    </w:p>
    <w:p>
      <w:pPr>
        <w:ind w:right="420"/>
        <w:spacing w:after="0" w:line="319"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effective tax rate for fiscal 2004 was 33.0 percent compared to 32.5 percent in fiscal 2003. The increase was due mainly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tax reserves for certain state and international issues, partially offset by a reduction in the tax on international operations.</w:t>
      </w:r>
    </w:p>
    <w:p>
      <w:pPr>
        <w:spacing w:after="0" w:line="146" w:lineRule="exact"/>
        <w:rPr>
          <w:sz w:val="20"/>
          <w:szCs w:val="20"/>
          <w:color w:val="auto"/>
        </w:rPr>
      </w:pPr>
    </w:p>
    <w:p>
      <w:pPr>
        <w:jc w:val="both"/>
        <w:ind w:right="60" w:firstLine="86"/>
        <w:spacing w:after="0" w:line="268" w:lineRule="auto"/>
        <w:rPr>
          <w:sz w:val="20"/>
          <w:szCs w:val="20"/>
          <w:color w:val="auto"/>
        </w:rPr>
      </w:pPr>
      <w:r>
        <w:rPr>
          <w:rFonts w:ascii="Arial" w:cs="Arial" w:eastAsia="Arial" w:hAnsi="Arial"/>
          <w:sz w:val="17"/>
          <w:szCs w:val="17"/>
          <w:color w:val="auto"/>
        </w:rPr>
        <w:t>Looking ahead, the tax rate for fiscal 2005 is expected to slightly increase. Legislation has been enacted to repeal certain foreign export tax incentives that we have qualified for in the past fiscal year. This legislation also includes provisions that allows for a deduction from qualified production activities. While the implication of these provisions varies based on the transition rules and the longer term mix of income, we expect the provisions, after fully phased in, to have a favorable impact on our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2003 Compared With Fiscal 2002</w:t>
      </w:r>
    </w:p>
    <w:p>
      <w:pPr>
        <w:spacing w:after="0" w:line="227"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Worldwide net sales in fiscal 2003 were $1,496.6 million compared to $1,399.3 million in fiscal 2002, an increase of 7.0 percent. Sales growth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driven by:</w:t>
      </w:r>
    </w:p>
    <w:p>
      <w:pPr>
        <w:ind w:left="120" w:hanging="114"/>
        <w:spacing w:after="0"/>
        <w:tabs>
          <w:tab w:leader="none" w:pos="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acceptance of new product introductions across many product lines.</w:t>
      </w:r>
    </w:p>
    <w:p>
      <w:pPr>
        <w:spacing w:after="0" w:line="16" w:lineRule="exact"/>
        <w:rPr>
          <w:rFonts w:ascii="Arial" w:cs="Arial" w:eastAsia="Arial" w:hAnsi="Arial"/>
          <w:sz w:val="17"/>
          <w:szCs w:val="17"/>
          <w:color w:val="auto"/>
        </w:rPr>
      </w:pPr>
    </w:p>
    <w:p>
      <w:pPr>
        <w:ind w:left="120" w:right="100" w:hanging="114"/>
        <w:spacing w:after="0" w:line="269" w:lineRule="auto"/>
        <w:tabs>
          <w:tab w:leader="none" w:pos="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Favorable currency rates that contributed approximately 1 percent of the sales growth for fiscal 2003. International sales grew 10.5 percent driven primarily by a weaker U.S. dollar, making our products less expensive in foreign currencies. Disregarding currency effects, international sales were up 3.7 percent for fiscal 2003 principally due to new product introductions.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as a percentage of net sales increased 1.1 percentage points from 34.7 percent in fiscal 2002 to 35.8 percent in fiscal 2003. This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mainly the result of:</w:t>
      </w:r>
    </w:p>
    <w:p>
      <w:pPr>
        <w:ind w:left="5620" w:right="2560" w:hanging="5614"/>
        <w:spacing w:after="0" w:line="539" w:lineRule="auto"/>
        <w:tabs>
          <w:tab w:leader="none" w:pos="117"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reduction efforts that included reducing raw material costs and moving production to facilities with lower operating costs.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0" w:hanging="114"/>
        <w:spacing w:after="0" w:line="263" w:lineRule="auto"/>
        <w:tabs>
          <w:tab w:leader="none" w:pos="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Lower manufacturing costs from increased plant utilization due to reduced excess manufacturing capacity, mainly related to the closure of three facilities and increased demand for our products.</w:t>
      </w:r>
    </w:p>
    <w:p>
      <w:pPr>
        <w:ind w:left="120" w:hanging="114"/>
        <w:spacing w:after="0"/>
        <w:tabs>
          <w:tab w:leader="none" w:pos="1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reduction of the gross profit elimination percentage due to a change in estimate applied to the ending Toro inventory value at our company-owned distributors.</w:t>
      </w:r>
    </w:p>
    <w:p>
      <w:pPr>
        <w:spacing w:after="0" w:line="39" w:lineRule="exact"/>
        <w:rPr>
          <w:rFonts w:ascii="Arial" w:cs="Arial" w:eastAsia="Arial" w:hAnsi="Arial"/>
          <w:sz w:val="15"/>
          <w:szCs w:val="15"/>
          <w:color w:val="auto"/>
        </w:rPr>
      </w:pPr>
    </w:p>
    <w:p>
      <w:pPr>
        <w:ind w:left="120" w:hanging="114"/>
        <w:spacing w:after="0"/>
        <w:tabs>
          <w:tab w:leader="none" w:pos="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Higher international gross margins as a result of the weaker U.S. dollar.</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Somewhat offsetting those positive factors were:</w:t>
      </w:r>
    </w:p>
    <w:p>
      <w:pPr>
        <w:spacing w:after="0" w:line="22" w:lineRule="exact"/>
        <w:rPr>
          <w:sz w:val="20"/>
          <w:szCs w:val="20"/>
          <w:color w:val="auto"/>
        </w:rPr>
      </w:pPr>
    </w:p>
    <w:p>
      <w:pPr>
        <w:ind w:left="120" w:hanging="114"/>
        <w:spacing w:after="0"/>
        <w:tabs>
          <w:tab w:leader="none" w:pos="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Higher inbound freight costs as we moved some of our production to Juarez, Mexico.</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impairment charge for automation equipment no longer used and subsequently disposed.</w:t>
      </w:r>
    </w:p>
    <w:p>
      <w:pPr>
        <w:spacing w:after="0" w:line="22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 (SG&amp;A). </w:t>
      </w:r>
      <w:r>
        <w:rPr>
          <w:rFonts w:ascii="Arial" w:cs="Arial" w:eastAsia="Arial" w:hAnsi="Arial"/>
          <w:sz w:val="17"/>
          <w:szCs w:val="17"/>
          <w:color w:val="auto"/>
        </w:rPr>
        <w:t>SG&amp;A expense increased 7.6 percent in fiscal 2003 compared to fiscal 2002. SG&amp;A expense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net sales increased slightly to 27.2 percent in fiscal 2003 compared to 27.0 percent in fiscal 2002. These increases were due primarily to the following factors:</w:t>
      </w:r>
    </w:p>
    <w:p>
      <w:pPr>
        <w:ind w:left="120" w:hanging="114"/>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administrative expenses, mainly from increased investments in information systems and distributor changes.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Increased marketing expense tied to higher sales.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incentive compensation costs due to successful achievement of financial goals, on which incentive compensation is based.</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warranty expense due to higher sales volumes and changes in estimates.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Restructuring and Other Expense. </w:t>
      </w:r>
      <w:r>
        <w:rPr>
          <w:rFonts w:ascii="Arial" w:cs="Arial" w:eastAsia="Arial" w:hAnsi="Arial"/>
          <w:sz w:val="17"/>
          <w:szCs w:val="17"/>
          <w:color w:val="auto"/>
        </w:rPr>
        <w:t>Restructuring and other expense for fiscal 2003 was $1.8 million compared to $8.4 million in fiscal 2002. During fiscal 2003,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announced plans to close our two-cycle engine manufacturing facility located in Oxford, Mississippi that resulted in a pre-tax restructuring and other expense charge of $2.3 million. We also recorded a benefit of $0.2 million for the reversal of the remaining accrual for closing a facility in Australia, which was sold during fiscal 2003.</w:t>
      </w:r>
    </w:p>
    <w:p>
      <w:pPr>
        <w:spacing w:after="0" w:line="185" w:lineRule="exact"/>
        <w:rPr>
          <w:sz w:val="20"/>
          <w:szCs w:val="20"/>
          <w:color w:val="auto"/>
        </w:rPr>
      </w:pPr>
    </w:p>
    <w:p>
      <w:pPr>
        <w:ind w:right="180" w:firstLine="86"/>
        <w:spacing w:after="0" w:line="266" w:lineRule="auto"/>
        <w:rPr>
          <w:sz w:val="20"/>
          <w:szCs w:val="20"/>
          <w:color w:val="auto"/>
        </w:rPr>
      </w:pPr>
      <w:r>
        <w:rPr>
          <w:rFonts w:ascii="Arial" w:cs="Arial" w:eastAsia="Arial" w:hAnsi="Arial"/>
          <w:sz w:val="17"/>
          <w:szCs w:val="17"/>
          <w:color w:val="auto"/>
        </w:rPr>
        <w:t>During fiscal 2002, we announced the closing of three manufacturing facilities. These actions were part of our long-term strategy to reduce production costs and improve long-term competitiveness. Closing these facilities resulted in a pre-tax restructuring and other expense charge of $6.4 million in fiscal 2002. We also incurred a $2.0 million charge for asset impairment related to the write-off of patents and non-compete agreements in the agricultural irrigation business. Based on our evaluation of the recoverability of some acquired intangible assets, we determined that the acquired patents and non-compete agreements in the agricultural irrigation business had no future value due to changes in this business.</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for fiscal 2003 declined 17.5 percent compared to fiscal 2002 due primarily to lower average debt levels as we continued to 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earnings to pay down debt.</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net for fiscal 2003 increased $2.6 million or 34.7 percent compared to fiscal 2002. This increase was due mainly to proceeds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legal settlement and insurance recoveries. These positive factors were somewhat offset by higher levels of currency exchange rate losses, lower levels of finance charge revenue, and reduced royalty income.</w:t>
      </w:r>
    </w:p>
    <w:p>
      <w:pPr>
        <w:spacing w:after="0" w:line="1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effective tax rate for fiscal 2003 was 32.5 percent compared to 33.0 percent in fiscal 2002, before a one-time federal tax refund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$1.8 million in fiscal 2002. Including the one-time federal tax refund, the effective tax rate was 31.0 percent for fiscal 2002. The decrease was due mainly to additional federal tax credits received in fiscal 2003.</w:t>
      </w:r>
    </w:p>
    <w:p>
      <w:pPr>
        <w:spacing w:after="0" w:line="1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 xml:space="preserve">Cumulative Effect of Change in Accounting Principle. </w:t>
      </w:r>
      <w:r>
        <w:rPr>
          <w:rFonts w:ascii="Arial" w:cs="Arial" w:eastAsia="Arial" w:hAnsi="Arial"/>
          <w:sz w:val="16"/>
          <w:szCs w:val="16"/>
          <w:color w:val="auto"/>
        </w:rPr>
        <w:t>In connection with the adoption of SFAS No. 142, we performed an evaluation of goodwill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1, 2001. The results of this evaluation indicated that goodwill related to the agricultural irrigation reporting unit was impaired. We therefore recognized a $24.6 million non-cash charge, net of income tax benefit of $0.5 million, as a cumulative effect of change in accounting principle in fiscal 2002.</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PERFORMANCE BY BUSINESS SEGMENT</w:t>
      </w:r>
    </w:p>
    <w:p>
      <w:pPr>
        <w:spacing w:after="0" w:line="2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As more fully described in Note 12 of the notes to consolidated financial statements, we operate in three reportable business segments: professional, residential, and distribution. A fourth reportable segment called “other” consists of corporate and financing functions. Operating earnings (loss) for each of our three business segments is defined as earnings (loss) from operations plus other income, net. Operating losses for our fourth “other” segment consists of corporate activities, including corporate financing activities, other income, net, and interest expense.</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information provides perspective on our business segments’ sales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Professional</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Professional segment net sales represented 62 percent of consolidated net sales for fiscal 2004, 2003, and 2002. The following table shows the professional segment net sales, operating earnings, and operating earnings as a percent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179705</wp:posOffset>
            </wp:positionV>
            <wp:extent cx="56870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84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2100" w:type="dxa"/>
            <w:vAlign w:val="bottom"/>
          </w:tcPr>
          <w:p>
            <w:pPr>
              <w:spacing w:after="0"/>
              <w:rPr>
                <w:sz w:val="12"/>
                <w:szCs w:val="12"/>
                <w:color w:val="auto"/>
              </w:rPr>
            </w:pPr>
          </w:p>
        </w:tc>
        <w:tc>
          <w:tcPr>
            <w:tcW w:w="1040" w:type="dxa"/>
            <w:vAlign w:val="bottom"/>
            <w:vMerge w:val="restart"/>
          </w:tcPr>
          <w:p>
            <w:pPr>
              <w:jc w:val="right"/>
              <w:ind w:right="299"/>
              <w:spacing w:after="0"/>
              <w:rPr>
                <w:sz w:val="20"/>
                <w:szCs w:val="20"/>
                <w:color w:val="auto"/>
              </w:rPr>
            </w:pPr>
            <w:r>
              <w:rPr>
                <w:rFonts w:ascii="Arial" w:cs="Arial" w:eastAsia="Arial" w:hAnsi="Arial"/>
                <w:sz w:val="13"/>
                <w:szCs w:val="13"/>
                <w:b w:val="1"/>
                <w:bCs w:val="1"/>
                <w:color w:val="auto"/>
              </w:rPr>
              <w:t>2004</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140" w:type="dxa"/>
            <w:vAlign w:val="bottom"/>
          </w:tcPr>
          <w:p>
            <w:pPr>
              <w:jc w:val="right"/>
              <w:ind w:right="239"/>
              <w:spacing w:after="0"/>
              <w:rPr>
                <w:sz w:val="20"/>
                <w:szCs w:val="20"/>
                <w:color w:val="auto"/>
              </w:rPr>
            </w:pPr>
            <w:r>
              <w:rPr>
                <w:rFonts w:ascii="Arial" w:cs="Arial" w:eastAsia="Arial" w:hAnsi="Arial"/>
                <w:sz w:val="13"/>
                <w:szCs w:val="13"/>
                <w:color w:val="auto"/>
              </w:rPr>
              <w:t>2003</w:t>
            </w:r>
          </w:p>
        </w:tc>
        <w:tc>
          <w:tcPr>
            <w:tcW w:w="840" w:type="dxa"/>
            <w:vAlign w:val="bottom"/>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210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99"/>
              <w:spacing w:after="0"/>
              <w:rPr>
                <w:sz w:val="20"/>
                <w:szCs w:val="20"/>
                <w:color w:val="auto"/>
              </w:rPr>
            </w:pPr>
            <w:r>
              <w:rPr>
                <w:rFonts w:ascii="Arial" w:cs="Arial" w:eastAsia="Arial" w:hAnsi="Arial"/>
                <w:sz w:val="17"/>
                <w:szCs w:val="17"/>
                <w:b w:val="1"/>
                <w:bCs w:val="1"/>
                <w:color w:val="auto"/>
              </w:rPr>
              <w:t>1,028.9</w:t>
            </w:r>
          </w:p>
        </w:tc>
        <w:tc>
          <w:tcPr>
            <w:tcW w:w="1140" w:type="dxa"/>
            <w:vAlign w:val="bottom"/>
            <w:shd w:val="clear" w:color="auto" w:fill="EEEEEE"/>
          </w:tcPr>
          <w:p>
            <w:pPr>
              <w:jc w:val="right"/>
              <w:ind w:right="239"/>
              <w:spacing w:after="0"/>
              <w:rPr>
                <w:sz w:val="20"/>
                <w:szCs w:val="20"/>
                <w:color w:val="auto"/>
              </w:rPr>
            </w:pPr>
            <w:r>
              <w:rPr>
                <w:rFonts w:ascii="Arial" w:cs="Arial" w:eastAsia="Arial" w:hAnsi="Arial"/>
                <w:sz w:val="17"/>
                <w:szCs w:val="17"/>
                <w:color w:val="auto"/>
              </w:rPr>
              <w:t>$  929.4</w:t>
            </w:r>
          </w:p>
        </w:tc>
        <w:tc>
          <w:tcPr>
            <w:tcW w:w="8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  862.3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7"/>
                <w:szCs w:val="17"/>
                <w:b w:val="1"/>
                <w:bCs w:val="1"/>
                <w:color w:val="auto"/>
              </w:rPr>
              <w:t>Operating earnings</w:t>
            </w:r>
          </w:p>
        </w:tc>
        <w:tc>
          <w:tcPr>
            <w:tcW w:w="2100" w:type="dxa"/>
            <w:vAlign w:val="bottom"/>
          </w:tcPr>
          <w:p>
            <w:pPr>
              <w:spacing w:after="0"/>
              <w:rPr>
                <w:sz w:val="18"/>
                <w:szCs w:val="18"/>
                <w:color w:val="auto"/>
              </w:rPr>
            </w:pPr>
          </w:p>
        </w:tc>
        <w:tc>
          <w:tcPr>
            <w:tcW w:w="1040" w:type="dxa"/>
            <w:vAlign w:val="bottom"/>
          </w:tcPr>
          <w:p>
            <w:pPr>
              <w:jc w:val="right"/>
              <w:ind w:right="299"/>
              <w:spacing w:after="0"/>
              <w:rPr>
                <w:sz w:val="20"/>
                <w:szCs w:val="20"/>
                <w:color w:val="auto"/>
              </w:rPr>
            </w:pPr>
            <w:r>
              <w:rPr>
                <w:rFonts w:ascii="Arial" w:cs="Arial" w:eastAsia="Arial" w:hAnsi="Arial"/>
                <w:sz w:val="17"/>
                <w:szCs w:val="17"/>
                <w:b w:val="1"/>
                <w:bCs w:val="1"/>
                <w:color w:val="auto"/>
              </w:rPr>
              <w:t>173.1</w:t>
            </w:r>
          </w:p>
        </w:tc>
        <w:tc>
          <w:tcPr>
            <w:tcW w:w="1140" w:type="dxa"/>
            <w:vAlign w:val="bottom"/>
          </w:tcPr>
          <w:p>
            <w:pPr>
              <w:jc w:val="right"/>
              <w:ind w:right="239"/>
              <w:spacing w:after="0"/>
              <w:rPr>
                <w:sz w:val="20"/>
                <w:szCs w:val="20"/>
                <w:color w:val="auto"/>
              </w:rPr>
            </w:pPr>
            <w:r>
              <w:rPr>
                <w:rFonts w:ascii="Arial" w:cs="Arial" w:eastAsia="Arial" w:hAnsi="Arial"/>
                <w:sz w:val="17"/>
                <w:szCs w:val="17"/>
                <w:color w:val="auto"/>
              </w:rPr>
              <w:t>146.8</w:t>
            </w:r>
          </w:p>
        </w:tc>
        <w:tc>
          <w:tcPr>
            <w:tcW w:w="840" w:type="dxa"/>
            <w:vAlign w:val="bottom"/>
          </w:tcPr>
          <w:p>
            <w:pPr>
              <w:jc w:val="right"/>
              <w:spacing w:after="0"/>
              <w:rPr>
                <w:sz w:val="20"/>
                <w:szCs w:val="20"/>
                <w:color w:val="auto"/>
              </w:rPr>
            </w:pPr>
            <w:r>
              <w:rPr>
                <w:rFonts w:ascii="Arial" w:cs="Arial" w:eastAsia="Arial" w:hAnsi="Arial"/>
                <w:sz w:val="17"/>
                <w:szCs w:val="17"/>
                <w:color w:val="auto"/>
              </w:rPr>
              <w:t>111.7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2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As a percent of net sales</w:t>
            </w:r>
          </w:p>
        </w:tc>
        <w:tc>
          <w:tcPr>
            <w:tcW w:w="21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19"/>
              <w:spacing w:after="0"/>
              <w:rPr>
                <w:sz w:val="20"/>
                <w:szCs w:val="20"/>
                <w:color w:val="auto"/>
              </w:rPr>
            </w:pPr>
            <w:r>
              <w:rPr>
                <w:rFonts w:ascii="Arial" w:cs="Arial" w:eastAsia="Arial" w:hAnsi="Arial"/>
                <w:sz w:val="17"/>
                <w:szCs w:val="17"/>
                <w:b w:val="1"/>
                <w:bCs w:val="1"/>
                <w:color w:val="auto"/>
              </w:rPr>
              <w:t>16.8%</w:t>
            </w:r>
          </w:p>
        </w:tc>
        <w:tc>
          <w:tcPr>
            <w:tcW w:w="1140" w:type="dxa"/>
            <w:vAlign w:val="bottom"/>
            <w:shd w:val="clear" w:color="auto" w:fill="EEEEEE"/>
          </w:tcPr>
          <w:p>
            <w:pPr>
              <w:jc w:val="right"/>
              <w:ind w:right="79"/>
              <w:spacing w:after="0"/>
              <w:rPr>
                <w:sz w:val="20"/>
                <w:szCs w:val="20"/>
                <w:color w:val="auto"/>
              </w:rPr>
            </w:pPr>
            <w:r>
              <w:rPr>
                <w:rFonts w:ascii="Arial" w:cs="Arial" w:eastAsia="Arial" w:hAnsi="Arial"/>
                <w:sz w:val="17"/>
                <w:szCs w:val="17"/>
                <w:color w:val="auto"/>
              </w:rPr>
              <w:t>15.8%</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413" w:right="279" w:bottom="1440" w:gutter="0" w:footer="0" w:header="0"/>
        </w:sectPr>
      </w:pP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for the professional segment in fiscal 2004 were up 10.7 percent compared to fiscal 2003 as a result of the following factors:</w:t>
      </w:r>
    </w:p>
    <w:p>
      <w:pPr>
        <w:spacing w:after="0" w:line="33" w:lineRule="exact"/>
        <w:rPr>
          <w:sz w:val="20"/>
          <w:szCs w:val="20"/>
          <w:color w:val="auto"/>
        </w:rPr>
      </w:pPr>
    </w:p>
    <w:p>
      <w:pPr>
        <w:ind w:left="120" w:hanging="114"/>
        <w:spacing w:after="0"/>
        <w:tabs>
          <w:tab w:leader="none" w:pos="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Worldwide shipments of most product lines were up driven primarily by our success of introducing new products within the past two years.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Continued increase in demand for landscape contractor equipment as a result of the growing market and our customers’ acceptance of new products.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International sales were up significantly due to strong demand and the successful introduction of new products as well as a weaker U.S. dollar.</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Overall improving economic conditions have resulted in strong retail demand in most of our businesses.</w:t>
      </w:r>
    </w:p>
    <w:p>
      <w:pPr>
        <w:spacing w:after="0" w:line="22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Somewhat offsetting those increases were lower domestic residential/commercial irrigation product shipments as our customers reduced orders to lower their field inventory levels, and unfavorable weather conditions in key markets.</w:t>
      </w:r>
    </w:p>
    <w:p>
      <w:pPr>
        <w:ind w:right="80" w:firstLine="86"/>
        <w:spacing w:after="0" w:line="259" w:lineRule="auto"/>
        <w:rPr>
          <w:sz w:val="20"/>
          <w:szCs w:val="20"/>
          <w:color w:val="auto"/>
        </w:rPr>
      </w:pPr>
      <w:r>
        <w:rPr>
          <w:rFonts w:ascii="Arial" w:cs="Arial" w:eastAsia="Arial" w:hAnsi="Arial"/>
          <w:sz w:val="17"/>
          <w:szCs w:val="17"/>
          <w:color w:val="auto"/>
        </w:rPr>
        <w:t>Field inventory levels for most professional segment equipment product lines were higher as of the end of fiscal 2004 compared to the end of fiscal 2003 as a result of lower than anticipated retail demand in the fourth quarter of fiscal 2004 compared to unusually strong retail demand in the fourth quarter of fiscal 2003. In addition, strong orders from our customers also contributed to the increase in field inventory levels due to anticipated strong retail demand in fiscal 2005 as a result of our new innovative products and expectations that economic conditions will continue to improve.</w:t>
      </w:r>
    </w:p>
    <w:p>
      <w:pPr>
        <w:spacing w:after="0" w:line="3" w:lineRule="exact"/>
        <w:rPr>
          <w:sz w:val="20"/>
          <w:szCs w:val="20"/>
          <w:color w:val="auto"/>
        </w:rPr>
      </w:pPr>
    </w:p>
    <w:p>
      <w:pPr>
        <w:ind w:right="80" w:firstLine="83"/>
        <w:spacing w:after="0" w:line="259" w:lineRule="auto"/>
        <w:rPr>
          <w:sz w:val="20"/>
          <w:szCs w:val="20"/>
          <w:color w:val="auto"/>
        </w:rPr>
      </w:pPr>
      <w:r>
        <w:rPr>
          <w:rFonts w:ascii="Arial" w:cs="Arial" w:eastAsia="Arial" w:hAnsi="Arial"/>
          <w:sz w:val="17"/>
          <w:szCs w:val="17"/>
          <w:color w:val="auto"/>
        </w:rPr>
        <w:t>Worldwide net sales for the professional segment in fiscal 2003 were up 7.8 percent compared to fiscal 2002. Worldwide shipments of most product lines increased due to the successful introduction of new products as well as lower field inventory levels and a stronger order position entering fiscal 2003 as compared to those entering fiscal 2002. In addition, favorable currency exchange rates contributed to sales growth.</w:t>
      </w:r>
    </w:p>
    <w:p>
      <w:pPr>
        <w:spacing w:after="0" w:line="2" w:lineRule="exact"/>
        <w:rPr>
          <w:sz w:val="20"/>
          <w:szCs w:val="20"/>
          <w:color w:val="auto"/>
        </w:rPr>
      </w:pPr>
    </w:p>
    <w:p>
      <w:pPr>
        <w:ind w:right="100" w:firstLine="86"/>
        <w:spacing w:after="0" w:line="269" w:lineRule="auto"/>
        <w:rPr>
          <w:sz w:val="20"/>
          <w:szCs w:val="20"/>
          <w:color w:val="auto"/>
        </w:rPr>
      </w:pPr>
      <w:r>
        <w:rPr>
          <w:rFonts w:ascii="Arial" w:cs="Arial" w:eastAsia="Arial" w:hAnsi="Arial"/>
          <w:sz w:val="17"/>
          <w:szCs w:val="17"/>
          <w:color w:val="auto"/>
        </w:rPr>
        <w:t>Looking ahead, sales for the professional segment are expected to grow in fiscal 2005 compared to fiscal 2004 because we expect new products to be well received and anticipate economic conditions to continue to improve. In addition, we introduced price increases for some 2005 products that should also contribute to sales growth in fiscal 2005.</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 xml:space="preserve">Operating Earnings. </w:t>
      </w:r>
      <w:r>
        <w:rPr>
          <w:rFonts w:ascii="Arial" w:cs="Arial" w:eastAsia="Arial" w:hAnsi="Arial"/>
          <w:sz w:val="17"/>
          <w:szCs w:val="17"/>
          <w:color w:val="auto"/>
        </w:rPr>
        <w:t>Operating earnings for the professional segment in fiscal 2004 increased 18.0 percent compared to fiscal 2003. Expressed as a percentage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professional segment operating margins increased to 16.8 percent compared to 15.8 percent in fiscal 2003. The following factors impacted professional segment operating earnings:</w:t>
      </w:r>
    </w:p>
    <w:p>
      <w:pPr>
        <w:ind w:left="120" w:right="20" w:hanging="114"/>
        <w:spacing w:after="0" w:line="259" w:lineRule="auto"/>
        <w:tabs>
          <w:tab w:leader="none" w:pos="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Lower SG&amp;A expense as a percentage of net sales contributed to the operating earnings improvement as we leveraged the fixed portion of SG&amp;A costs over higher sales volumes and reduced warranty expense.</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Gross margin rose slightly in fiscal 2004 compared to fiscal 2003 due to the same reasons discussed previously in the Gross Profit section.</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Somewhat offsetting the operating earnings improvement was lower other income in fiscal 2004 as we received a gain from a legal settlement in fiscal 2003.</w:t>
      </w:r>
    </w:p>
    <w:p>
      <w:pPr>
        <w:spacing w:after="0" w:line="234" w:lineRule="exact"/>
        <w:rPr>
          <w:sz w:val="20"/>
          <w:szCs w:val="20"/>
          <w:color w:val="auto"/>
        </w:rPr>
      </w:pPr>
    </w:p>
    <w:p>
      <w:pPr>
        <w:ind w:right="60" w:firstLine="86"/>
        <w:spacing w:after="0" w:line="261" w:lineRule="auto"/>
        <w:rPr>
          <w:sz w:val="20"/>
          <w:szCs w:val="20"/>
          <w:color w:val="auto"/>
        </w:rPr>
      </w:pPr>
      <w:r>
        <w:rPr>
          <w:rFonts w:ascii="Arial" w:cs="Arial" w:eastAsia="Arial" w:hAnsi="Arial"/>
          <w:sz w:val="17"/>
          <w:szCs w:val="17"/>
          <w:color w:val="auto"/>
        </w:rPr>
        <w:t>Operating earnings for the professional segment in fiscal 2003 increased 31.4 percent compared to fiscal 2002. Expressed as a percentage of net sales, professional segment operating margins increased to 15.8 percent in fiscal 2003 compared to 13.0 percent in fiscal 2002. However, fiscal 2002 operating earnings were reduced by pre-tax restructuring and other expense of $8.4 million. The operating profit improvement was due mainly to higher gross margins as a result of benefits from our “5 by Five” initiatives and slightly lower SG&amp;A expense as a percentage of net sales due to leveraging the fixed portion of SG&amp;A costs over higher sales volumes. In addition, proceeds from a legal settlement contributed to the profit improvement. Somewhat offsetting the increase in operating earnings was an impairment charge for automation equipment discussed previously.</w:t>
      </w:r>
    </w:p>
    <w:p>
      <w:pPr>
        <w:ind w:right="160" w:firstLine="86"/>
        <w:spacing w:after="0" w:line="279" w:lineRule="auto"/>
        <w:rPr>
          <w:sz w:val="20"/>
          <w:szCs w:val="20"/>
          <w:color w:val="auto"/>
        </w:rPr>
      </w:pPr>
      <w:r>
        <w:rPr>
          <w:rFonts w:ascii="Arial" w:cs="Arial" w:eastAsia="Arial" w:hAnsi="Arial"/>
          <w:sz w:val="17"/>
          <w:szCs w:val="17"/>
          <w:color w:val="auto"/>
        </w:rPr>
        <w:t>Looking ahead, professional segment earnings are anticipated to improve in fiscal 2005 compared to fiscal 2004 due to expected sales growth, slight improvement in gross margins, and leveraging of SG&amp;A costs.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Residential</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Residential segment net sales represented 34 percent of consolidated net sales for fiscal 2004, 2003, and 2002. The following table shows the residential segment net sales, operating earnings, and operating earnings as a percent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179705</wp:posOffset>
            </wp:positionV>
            <wp:extent cx="56870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88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2140" w:type="dxa"/>
            <w:vAlign w:val="bottom"/>
          </w:tcPr>
          <w:p>
            <w:pPr>
              <w:spacing w:after="0"/>
              <w:rPr>
                <w:sz w:val="12"/>
                <w:szCs w:val="12"/>
                <w:color w:val="auto"/>
              </w:rPr>
            </w:pPr>
          </w:p>
        </w:tc>
        <w:tc>
          <w:tcPr>
            <w:tcW w:w="940" w:type="dxa"/>
            <w:vAlign w:val="bottom"/>
            <w:vMerge w:val="restart"/>
          </w:tcPr>
          <w:p>
            <w:pPr>
              <w:jc w:val="right"/>
              <w:ind w:right="299"/>
              <w:spacing w:after="0"/>
              <w:rPr>
                <w:sz w:val="20"/>
                <w:szCs w:val="20"/>
                <w:color w:val="auto"/>
              </w:rPr>
            </w:pPr>
            <w:r>
              <w:rPr>
                <w:rFonts w:ascii="Arial" w:cs="Arial" w:eastAsia="Arial" w:hAnsi="Arial"/>
                <w:sz w:val="13"/>
                <w:szCs w:val="13"/>
                <w:b w:val="1"/>
                <w:bCs w:val="1"/>
                <w:color w:val="auto"/>
              </w:rPr>
              <w:t>2004</w:t>
            </w:r>
          </w:p>
        </w:tc>
        <w:tc>
          <w:tcPr>
            <w:tcW w:w="1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160" w:type="dxa"/>
            <w:vAlign w:val="bottom"/>
          </w:tcPr>
          <w:p>
            <w:pPr>
              <w:jc w:val="right"/>
              <w:ind w:right="239"/>
              <w:spacing w:after="0"/>
              <w:rPr>
                <w:sz w:val="20"/>
                <w:szCs w:val="20"/>
                <w:color w:val="auto"/>
              </w:rPr>
            </w:pPr>
            <w:r>
              <w:rPr>
                <w:rFonts w:ascii="Arial" w:cs="Arial" w:eastAsia="Arial" w:hAnsi="Arial"/>
                <w:sz w:val="13"/>
                <w:szCs w:val="13"/>
                <w:color w:val="auto"/>
              </w:rPr>
              <w:t>2003</w:t>
            </w:r>
          </w:p>
        </w:tc>
        <w:tc>
          <w:tcPr>
            <w:tcW w:w="840" w:type="dxa"/>
            <w:vAlign w:val="bottom"/>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6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21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EEEEEE"/>
          </w:tcPr>
          <w:p>
            <w:pPr>
              <w:jc w:val="right"/>
              <w:ind w:right="299"/>
              <w:spacing w:after="0"/>
              <w:rPr>
                <w:sz w:val="20"/>
                <w:szCs w:val="20"/>
                <w:color w:val="auto"/>
              </w:rPr>
            </w:pPr>
            <w:r>
              <w:rPr>
                <w:rFonts w:ascii="Arial" w:cs="Arial" w:eastAsia="Arial" w:hAnsi="Arial"/>
                <w:sz w:val="17"/>
                <w:szCs w:val="17"/>
                <w:b w:val="1"/>
                <w:bCs w:val="1"/>
                <w:color w:val="auto"/>
              </w:rPr>
              <w:t>554.3</w:t>
            </w:r>
          </w:p>
        </w:tc>
        <w:tc>
          <w:tcPr>
            <w:tcW w:w="1160" w:type="dxa"/>
            <w:vAlign w:val="bottom"/>
            <w:shd w:val="clear" w:color="auto" w:fill="EEEEEE"/>
          </w:tcPr>
          <w:p>
            <w:pPr>
              <w:jc w:val="right"/>
              <w:ind w:right="239"/>
              <w:spacing w:after="0"/>
              <w:rPr>
                <w:sz w:val="20"/>
                <w:szCs w:val="20"/>
                <w:color w:val="auto"/>
              </w:rPr>
            </w:pPr>
            <w:r>
              <w:rPr>
                <w:rFonts w:ascii="Arial" w:cs="Arial" w:eastAsia="Arial" w:hAnsi="Arial"/>
                <w:sz w:val="17"/>
                <w:szCs w:val="17"/>
                <w:color w:val="auto"/>
              </w:rPr>
              <w:t>$  506.5</w:t>
            </w:r>
          </w:p>
        </w:tc>
        <w:tc>
          <w:tcPr>
            <w:tcW w:w="8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  474.3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b w:val="1"/>
                <w:bCs w:val="1"/>
                <w:color w:val="auto"/>
              </w:rPr>
              <w:t>Operating earnings</w:t>
            </w:r>
          </w:p>
        </w:tc>
        <w:tc>
          <w:tcPr>
            <w:tcW w:w="2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7"/>
                <w:szCs w:val="17"/>
                <w:b w:val="1"/>
                <w:bCs w:val="1"/>
                <w:color w:val="auto"/>
              </w:rPr>
              <w:t>61.8</w:t>
            </w:r>
          </w:p>
        </w:tc>
        <w:tc>
          <w:tcPr>
            <w:tcW w:w="1160" w:type="dxa"/>
            <w:vAlign w:val="bottom"/>
          </w:tcPr>
          <w:p>
            <w:pPr>
              <w:jc w:val="right"/>
              <w:ind w:right="239"/>
              <w:spacing w:after="0"/>
              <w:rPr>
                <w:sz w:val="20"/>
                <w:szCs w:val="20"/>
                <w:color w:val="auto"/>
              </w:rPr>
            </w:pPr>
            <w:r>
              <w:rPr>
                <w:rFonts w:ascii="Arial" w:cs="Arial" w:eastAsia="Arial" w:hAnsi="Arial"/>
                <w:sz w:val="17"/>
                <w:szCs w:val="17"/>
                <w:color w:val="auto"/>
              </w:rPr>
              <w:t>55.5</w:t>
            </w:r>
          </w:p>
        </w:tc>
        <w:tc>
          <w:tcPr>
            <w:tcW w:w="840" w:type="dxa"/>
            <w:vAlign w:val="bottom"/>
          </w:tcPr>
          <w:p>
            <w:pPr>
              <w:jc w:val="right"/>
              <w:spacing w:after="0"/>
              <w:rPr>
                <w:sz w:val="20"/>
                <w:szCs w:val="20"/>
                <w:color w:val="auto"/>
              </w:rPr>
            </w:pPr>
            <w:r>
              <w:rPr>
                <w:rFonts w:ascii="Arial" w:cs="Arial" w:eastAsia="Arial" w:hAnsi="Arial"/>
                <w:sz w:val="17"/>
                <w:szCs w:val="17"/>
                <w:color w:val="auto"/>
              </w:rPr>
              <w:t>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As a percent of net sales</w:t>
            </w:r>
          </w:p>
        </w:tc>
        <w:tc>
          <w:tcPr>
            <w:tcW w:w="21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119"/>
              <w:spacing w:after="0"/>
              <w:rPr>
                <w:sz w:val="20"/>
                <w:szCs w:val="20"/>
                <w:color w:val="auto"/>
              </w:rPr>
            </w:pPr>
            <w:r>
              <w:rPr>
                <w:rFonts w:ascii="Arial" w:cs="Arial" w:eastAsia="Arial" w:hAnsi="Arial"/>
                <w:sz w:val="17"/>
                <w:szCs w:val="17"/>
                <w:b w:val="1"/>
                <w:bCs w:val="1"/>
                <w:color w:val="auto"/>
              </w:rPr>
              <w:t>11.1%</w:t>
            </w:r>
          </w:p>
        </w:tc>
        <w:tc>
          <w:tcPr>
            <w:tcW w:w="1160" w:type="dxa"/>
            <w:vAlign w:val="bottom"/>
            <w:shd w:val="clear" w:color="auto" w:fill="EEEEEE"/>
          </w:tcPr>
          <w:p>
            <w:pPr>
              <w:jc w:val="right"/>
              <w:ind w:right="79"/>
              <w:spacing w:after="0"/>
              <w:rPr>
                <w:sz w:val="20"/>
                <w:szCs w:val="20"/>
                <w:color w:val="auto"/>
              </w:rPr>
            </w:pPr>
            <w:r>
              <w:rPr>
                <w:rFonts w:ascii="Arial" w:cs="Arial" w:eastAsia="Arial" w:hAnsi="Arial"/>
                <w:sz w:val="17"/>
                <w:szCs w:val="17"/>
                <w:color w:val="auto"/>
              </w:rPr>
              <w:t>11.0%</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Worldwide net sales for the residential segment in fiscal 2004 were up 9.5 percent compared to fiscal 2003 as a result of the following factors:</w:t>
      </w:r>
    </w:p>
    <w:p>
      <w:pPr>
        <w:spacing w:after="0" w:line="33" w:lineRule="exact"/>
        <w:rPr>
          <w:sz w:val="20"/>
          <w:szCs w:val="20"/>
          <w:color w:val="auto"/>
        </w:rPr>
      </w:pPr>
    </w:p>
    <w:p>
      <w:pPr>
        <w:ind w:left="120" w:right="260" w:hanging="114"/>
        <w:spacing w:after="0" w:line="259" w:lineRule="auto"/>
        <w:tabs>
          <w:tab w:leader="none" w:pos="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Snow thrower sales were up due to customer acceptance of new products and strong demand as a result of heavy snowfalls in key markets during the 2003-2004 winter season that depleted field inventory levels.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Strong shipments of walk power mowers driven by the introduction of new models as well as strong retail demand.</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Home solutions product shipments increased as a result of additional shelf placement and new product introductions.</w:t>
      </w:r>
    </w:p>
    <w:p>
      <w:pPr>
        <w:spacing w:after="0" w:line="16" w:lineRule="exact"/>
        <w:rPr>
          <w:rFonts w:ascii="Arial" w:cs="Arial" w:eastAsia="Arial" w:hAnsi="Arial"/>
          <w:sz w:val="17"/>
          <w:szCs w:val="17"/>
          <w:color w:val="auto"/>
        </w:rPr>
      </w:pPr>
    </w:p>
    <w:p>
      <w:pPr>
        <w:ind w:left="120" w:right="80" w:hanging="114"/>
        <w:spacing w:after="0" w:line="279" w:lineRule="auto"/>
        <w:tabs>
          <w:tab w:leader="none" w:pos="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Riding product sales were slightly higher due to initial stocking shipments of new products sold under a private label. However, other riding product sales declined due to continued strong competition.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hanging="114"/>
        <w:spacing w:after="0" w:line="286" w:lineRule="auto"/>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International sales benefited from a weaker U.S. dollar as well as strong sales of Pope products in Australia and increased sales of snow throwers, home solutions, and walk power mower products.</w:t>
      </w:r>
    </w:p>
    <w:p>
      <w:pPr>
        <w:spacing w:after="0" w:line="169" w:lineRule="exact"/>
        <w:rPr>
          <w:sz w:val="20"/>
          <w:szCs w:val="20"/>
          <w:color w:val="auto"/>
        </w:rPr>
      </w:pPr>
    </w:p>
    <w:p>
      <w:pPr>
        <w:ind w:firstLine="83"/>
        <w:spacing w:after="0" w:line="277" w:lineRule="auto"/>
        <w:rPr>
          <w:sz w:val="20"/>
          <w:szCs w:val="20"/>
          <w:color w:val="auto"/>
        </w:rPr>
      </w:pPr>
      <w:r>
        <w:rPr>
          <w:rFonts w:ascii="Arial" w:cs="Arial" w:eastAsia="Arial" w:hAnsi="Arial"/>
          <w:sz w:val="16"/>
          <w:szCs w:val="16"/>
          <w:color w:val="auto"/>
        </w:rPr>
        <w:t>Worldwide net sales for the residential segment in fiscal 2003 were up by 6.8 percent compared to fiscal 2002. Riding product shipments increased due to initial stocking orders and positive customer acceptance for the new line of Timecutter Z mowers. However, other riding product lines were down due to strong competition and a shift of sales to the new Timecutter riding mowers. Toro walk power mowers were also up due to successful promotional programs and strong retail demand. Snow thrower product sales also increased due mainly to initial stocking orders for our new two-stage snow thrower products. Somewhat offsetting this increase was lower electric trimmer and blower shipments due to lost shelf space at a home center customer and poor weather conditions.</w:t>
      </w:r>
    </w:p>
    <w:p>
      <w:pPr>
        <w:spacing w:after="0" w:line="2" w:lineRule="exact"/>
        <w:rPr>
          <w:sz w:val="20"/>
          <w:szCs w:val="20"/>
          <w:color w:val="auto"/>
        </w:rPr>
      </w:pPr>
    </w:p>
    <w:p>
      <w:pPr>
        <w:ind w:right="20" w:firstLine="86"/>
        <w:spacing w:after="0" w:line="279" w:lineRule="auto"/>
        <w:rPr>
          <w:sz w:val="20"/>
          <w:szCs w:val="20"/>
          <w:color w:val="auto"/>
        </w:rPr>
      </w:pPr>
      <w:r>
        <w:rPr>
          <w:rFonts w:ascii="Arial" w:cs="Arial" w:eastAsia="Arial" w:hAnsi="Arial"/>
          <w:sz w:val="17"/>
          <w:szCs w:val="17"/>
          <w:color w:val="auto"/>
        </w:rPr>
        <w:t>Looking ahead, residential segment sales are expected to grow in fiscal 2005 compared to fiscal 2004 led by new product introductions and additional shelf space at a key retailer for some new products.</w:t>
      </w:r>
    </w:p>
    <w:p>
      <w:pPr>
        <w:spacing w:after="0" w:line="17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i w:val="1"/>
          <w:iCs w:val="1"/>
          <w:color w:val="auto"/>
        </w:rPr>
        <w:t xml:space="preserve">Operating Earnings. </w:t>
      </w:r>
      <w:r>
        <w:rPr>
          <w:rFonts w:ascii="Arial" w:cs="Arial" w:eastAsia="Arial" w:hAnsi="Arial"/>
          <w:sz w:val="17"/>
          <w:szCs w:val="17"/>
          <w:color w:val="auto"/>
        </w:rPr>
        <w:t>Operating earnings for the residential segment in fiscal 2004 increased 11.4 percent compared to fiscal 2003. Expressed as a percentage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residential segment operating margins slightly increased to 11.1 percent compared to 11.0 percent in fiscal 2003. The following factors impacted residential segment operating earnings:</w:t>
      </w:r>
    </w:p>
    <w:p>
      <w:pPr>
        <w:ind w:left="120" w:hanging="114"/>
        <w:spacing w:after="0" w:line="259" w:lineRule="auto"/>
        <w:tabs>
          <w:tab w:leader="none" w:pos="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Lower SG&amp;A expense as a percentage of net sales contributed to the operating earnings improvement as we leveraged the fixed portion of SG&amp;A costs over higher sales volumes.</w:t>
      </w:r>
    </w:p>
    <w:p>
      <w:pPr>
        <w:spacing w:after="0" w:line="1" w:lineRule="exact"/>
        <w:rPr>
          <w:rFonts w:ascii="Arial" w:cs="Arial" w:eastAsia="Arial" w:hAnsi="Arial"/>
          <w:sz w:val="17"/>
          <w:szCs w:val="17"/>
          <w:color w:val="auto"/>
        </w:rPr>
      </w:pPr>
    </w:p>
    <w:p>
      <w:pPr>
        <w:ind w:left="120" w:right="540" w:hanging="114"/>
        <w:spacing w:after="0" w:line="259" w:lineRule="auto"/>
        <w:tabs>
          <w:tab w:leader="none" w:pos="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Somewhat offsetting the operating earnings improvement was lower gross margin as a result of rising steel and other commodity costs and increased freight expense.</w:t>
      </w:r>
    </w:p>
    <w:p>
      <w:pPr>
        <w:spacing w:after="0" w:line="1" w:lineRule="exact"/>
        <w:rPr>
          <w:rFonts w:ascii="Arial" w:cs="Arial" w:eastAsia="Arial" w:hAnsi="Arial"/>
          <w:sz w:val="17"/>
          <w:szCs w:val="17"/>
          <w:color w:val="auto"/>
        </w:rPr>
      </w:pPr>
    </w:p>
    <w:p>
      <w:pPr>
        <w:ind w:left="120" w:right="60" w:hanging="114"/>
        <w:spacing w:after="0" w:line="279" w:lineRule="auto"/>
        <w:tabs>
          <w:tab w:leader="none" w:pos="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addition, fiscal 2003 operating earnings were negatively affected by a restructuring and other expense charge of $2.2 million mainly related to the closure of our two-cycle engine manufacturing facility.</w:t>
      </w:r>
    </w:p>
    <w:p>
      <w:pPr>
        <w:spacing w:after="0" w:line="175" w:lineRule="exact"/>
        <w:rPr>
          <w:sz w:val="20"/>
          <w:szCs w:val="20"/>
          <w:color w:val="auto"/>
        </w:rPr>
      </w:pPr>
    </w:p>
    <w:p>
      <w:pPr>
        <w:ind w:right="240" w:firstLine="86"/>
        <w:spacing w:after="0" w:line="278" w:lineRule="auto"/>
        <w:rPr>
          <w:sz w:val="20"/>
          <w:szCs w:val="20"/>
          <w:color w:val="auto"/>
        </w:rPr>
      </w:pPr>
      <w:r>
        <w:rPr>
          <w:rFonts w:ascii="Arial" w:cs="Arial" w:eastAsia="Arial" w:hAnsi="Arial"/>
          <w:sz w:val="16"/>
          <w:szCs w:val="16"/>
          <w:color w:val="auto"/>
        </w:rPr>
        <w:t>Operating earnings for the residential segment in fiscal 2003 increased 6.8 percent compared to fiscal 2002. Expressed as a percentage of net sales, residential segment operating margins increased slightly to 11.0 percent compared to 10.9 percent in fiscal 2002 mainly as a result of higher gross margins. In addition, fiscal 2003 operating earnings were negatively affected by the restructuring and other expense charge of $2.2 million discussed previously.</w:t>
      </w:r>
    </w:p>
    <w:p>
      <w:pPr>
        <w:spacing w:after="0" w:line="1" w:lineRule="exact"/>
        <w:rPr>
          <w:sz w:val="20"/>
          <w:szCs w:val="20"/>
          <w:color w:val="auto"/>
        </w:rPr>
      </w:pPr>
    </w:p>
    <w:p>
      <w:pPr>
        <w:ind w:right="260" w:firstLine="86"/>
        <w:spacing w:after="0" w:line="279" w:lineRule="auto"/>
        <w:rPr>
          <w:sz w:val="20"/>
          <w:szCs w:val="20"/>
          <w:color w:val="auto"/>
        </w:rPr>
      </w:pPr>
      <w:r>
        <w:rPr>
          <w:rFonts w:ascii="Arial" w:cs="Arial" w:eastAsia="Arial" w:hAnsi="Arial"/>
          <w:sz w:val="17"/>
          <w:szCs w:val="17"/>
          <w:color w:val="auto"/>
        </w:rPr>
        <w:t>Looking ahead, residential segment earnings are expected to slightly increase in fiscal 2005 compared to fiscal 2004 due to anticipated higher sales volumes and leveraging SG&amp;A costs.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distribution segment net sales and operating earnings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217170</wp:posOffset>
            </wp:positionV>
            <wp:extent cx="64008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0080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2660" w:type="dxa"/>
            <w:vAlign w:val="bottom"/>
          </w:tcPr>
          <w:p>
            <w:pPr>
              <w:spacing w:after="0"/>
              <w:rPr>
                <w:sz w:val="12"/>
                <w:szCs w:val="12"/>
                <w:color w:val="auto"/>
              </w:rPr>
            </w:pPr>
          </w:p>
        </w:tc>
        <w:tc>
          <w:tcPr>
            <w:tcW w:w="92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2004</w:t>
            </w: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6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320" w:type="dxa"/>
            <w:vAlign w:val="bottom"/>
          </w:tcPr>
          <w:p>
            <w:pPr>
              <w:jc w:val="right"/>
              <w:ind w:right="241"/>
              <w:spacing w:after="0"/>
              <w:rPr>
                <w:sz w:val="20"/>
                <w:szCs w:val="20"/>
                <w:color w:val="auto"/>
              </w:rPr>
            </w:pPr>
            <w:r>
              <w:rPr>
                <w:rFonts w:ascii="Arial" w:cs="Arial" w:eastAsia="Arial" w:hAnsi="Arial"/>
                <w:sz w:val="13"/>
                <w:szCs w:val="13"/>
                <w:color w:val="auto"/>
              </w:rPr>
              <w:t>2003</w:t>
            </w:r>
          </w:p>
        </w:tc>
        <w:tc>
          <w:tcPr>
            <w:tcW w:w="940" w:type="dxa"/>
            <w:vAlign w:val="bottom"/>
          </w:tcPr>
          <w:p>
            <w:pPr>
              <w:jc w:val="right"/>
              <w:spacing w:after="0"/>
              <w:rPr>
                <w:sz w:val="20"/>
                <w:szCs w:val="20"/>
                <w:color w:val="auto"/>
              </w:rPr>
            </w:pPr>
            <w:r>
              <w:rPr>
                <w:rFonts w:ascii="Arial" w:cs="Arial" w:eastAsia="Arial" w:hAnsi="Arial"/>
                <w:sz w:val="13"/>
                <w:szCs w:val="13"/>
                <w:color w:val="auto"/>
              </w:rPr>
              <w:t>2002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266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EEEEEE"/>
          </w:tcPr>
          <w:p>
            <w:pPr>
              <w:jc w:val="right"/>
              <w:ind w:right="261"/>
              <w:spacing w:after="0"/>
              <w:rPr>
                <w:sz w:val="20"/>
                <w:szCs w:val="20"/>
                <w:color w:val="auto"/>
              </w:rPr>
            </w:pPr>
            <w:r>
              <w:rPr>
                <w:rFonts w:ascii="Arial" w:cs="Arial" w:eastAsia="Arial" w:hAnsi="Arial"/>
                <w:sz w:val="17"/>
                <w:szCs w:val="17"/>
                <w:b w:val="1"/>
                <w:bCs w:val="1"/>
                <w:color w:val="auto"/>
              </w:rPr>
              <w:t>152.2</w:t>
            </w:r>
          </w:p>
        </w:tc>
        <w:tc>
          <w:tcPr>
            <w:tcW w:w="1320" w:type="dxa"/>
            <w:vAlign w:val="bottom"/>
            <w:shd w:val="clear" w:color="auto" w:fill="EEEEEE"/>
          </w:tcPr>
          <w:p>
            <w:pPr>
              <w:jc w:val="right"/>
              <w:ind w:right="241"/>
              <w:spacing w:after="0"/>
              <w:rPr>
                <w:sz w:val="20"/>
                <w:szCs w:val="20"/>
                <w:color w:val="auto"/>
              </w:rPr>
            </w:pPr>
            <w:r>
              <w:rPr>
                <w:rFonts w:ascii="Arial" w:cs="Arial" w:eastAsia="Arial" w:hAnsi="Arial"/>
                <w:sz w:val="17"/>
                <w:szCs w:val="17"/>
                <w:color w:val="auto"/>
              </w:rPr>
              <w:t>$   134.0</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   158.9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7"/>
                <w:szCs w:val="17"/>
                <w:b w:val="1"/>
                <w:bCs w:val="1"/>
                <w:color w:val="auto"/>
              </w:rPr>
              <w:t>Operating earnings (loss)</w:t>
            </w:r>
          </w:p>
        </w:tc>
        <w:tc>
          <w:tcPr>
            <w:tcW w:w="2660" w:type="dxa"/>
            <w:vAlign w:val="bottom"/>
          </w:tcPr>
          <w:p>
            <w:pPr>
              <w:spacing w:after="0"/>
              <w:rPr>
                <w:sz w:val="19"/>
                <w:szCs w:val="19"/>
                <w:color w:val="auto"/>
              </w:rPr>
            </w:pPr>
          </w:p>
        </w:tc>
        <w:tc>
          <w:tcPr>
            <w:tcW w:w="920" w:type="dxa"/>
            <w:vAlign w:val="bottom"/>
          </w:tcPr>
          <w:p>
            <w:pPr>
              <w:jc w:val="right"/>
              <w:ind w:right="261"/>
              <w:spacing w:after="0"/>
              <w:rPr>
                <w:sz w:val="20"/>
                <w:szCs w:val="20"/>
                <w:color w:val="auto"/>
              </w:rPr>
            </w:pPr>
            <w:r>
              <w:rPr>
                <w:rFonts w:ascii="Arial" w:cs="Arial" w:eastAsia="Arial" w:hAnsi="Arial"/>
                <w:sz w:val="17"/>
                <w:szCs w:val="17"/>
                <w:b w:val="1"/>
                <w:bCs w:val="1"/>
                <w:color w:val="auto"/>
              </w:rPr>
              <w:t>2.2</w:t>
            </w:r>
          </w:p>
        </w:tc>
        <w:tc>
          <w:tcPr>
            <w:tcW w:w="1320" w:type="dxa"/>
            <w:vAlign w:val="bottom"/>
          </w:tcPr>
          <w:p>
            <w:pPr>
              <w:jc w:val="right"/>
              <w:ind w:right="181"/>
              <w:spacing w:after="0"/>
              <w:rPr>
                <w:sz w:val="20"/>
                <w:szCs w:val="20"/>
                <w:color w:val="auto"/>
              </w:rPr>
            </w:pPr>
            <w:r>
              <w:rPr>
                <w:rFonts w:ascii="Arial" w:cs="Arial" w:eastAsia="Arial" w:hAnsi="Arial"/>
                <w:sz w:val="17"/>
                <w:szCs w:val="17"/>
                <w:color w:val="auto"/>
              </w:rPr>
              <w:t>(0.5)</w:t>
            </w: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distribution segment in fiscal 2004 increased 13.6 percent compared to fiscal 2003. The sales increase was due primarily to strong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demand for commercial equipment and irrigation products as a result of improving economic conditions, higher sales of snow thrower products, and the addition of sales from a southeastern-based distributorship acquired during fiscal 2003. Factoring out sales from the acquired distributorship and a distribution company sold effective December 31, 2002, sales increased 12.9 percent compared to fiscal 2003.</w:t>
      </w:r>
    </w:p>
    <w:p>
      <w:pPr>
        <w:spacing w:after="0" w:line="185" w:lineRule="exact"/>
        <w:rPr>
          <w:sz w:val="20"/>
          <w:szCs w:val="20"/>
          <w:color w:val="auto"/>
        </w:rPr>
      </w:pPr>
    </w:p>
    <w:p>
      <w:pPr>
        <w:ind w:right="80" w:firstLine="86"/>
        <w:spacing w:after="0" w:line="277" w:lineRule="auto"/>
        <w:rPr>
          <w:sz w:val="20"/>
          <w:szCs w:val="20"/>
          <w:color w:val="auto"/>
        </w:rPr>
      </w:pPr>
      <w:r>
        <w:rPr>
          <w:rFonts w:ascii="Arial" w:cs="Arial" w:eastAsia="Arial" w:hAnsi="Arial"/>
          <w:sz w:val="16"/>
          <w:szCs w:val="16"/>
          <w:color w:val="auto"/>
        </w:rPr>
        <w:t>Net sales for the distribution segment in fiscal 2003 decreased 15.7 percent compared to fiscal 2002. The sales decline was primarily the result of selling one of the previously owned distributorships effective December 31, 2002, somewhat offset by the addition of sales from a southeastern-based U.S. distributor acquired during fiscal 2003. Factoring out sales from the sold distributorship and the acquired distributorship, net sales for the distribution segment were down by 1.8 percent due mainly to lower snow thrower product sales in the Midwestern region as well as a decline in irrigation product sales.</w:t>
      </w:r>
    </w:p>
    <w:p>
      <w:pPr>
        <w:spacing w:after="0" w:line="3" w:lineRule="exact"/>
        <w:rPr>
          <w:sz w:val="20"/>
          <w:szCs w:val="20"/>
          <w:color w:val="auto"/>
        </w:rPr>
      </w:pPr>
    </w:p>
    <w:p>
      <w:pPr>
        <w:jc w:val="both"/>
        <w:ind w:right="340" w:firstLine="86"/>
        <w:spacing w:after="0" w:line="269" w:lineRule="auto"/>
        <w:rPr>
          <w:sz w:val="20"/>
          <w:szCs w:val="20"/>
          <w:color w:val="auto"/>
        </w:rPr>
      </w:pPr>
      <w:r>
        <w:rPr>
          <w:rFonts w:ascii="Arial" w:cs="Arial" w:eastAsia="Arial" w:hAnsi="Arial"/>
          <w:sz w:val="17"/>
          <w:szCs w:val="17"/>
          <w:color w:val="auto"/>
        </w:rPr>
        <w:t>Looking ahead, we expect distribution segment sales in fiscal 2005 to decrease as a result of the divestiture of our southeastern-based distributorship during the fourth quarter of fiscal 2004 and the divestiture of our southwestern-based distributorship during the first quarter of fiscal 2005. Therefore, fiscal 2005 will only include results from two company-owned distributors compared to four during fiscal 2004.</w:t>
      </w:r>
    </w:p>
    <w:p>
      <w:pPr>
        <w:spacing w:after="0" w:line="184"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b w:val="1"/>
          <w:bCs w:val="1"/>
          <w:i w:val="1"/>
          <w:iCs w:val="1"/>
          <w:color w:val="auto"/>
        </w:rPr>
        <w:t xml:space="preserve">Operating Earnings (Losses). </w:t>
      </w:r>
      <w:r>
        <w:rPr>
          <w:rFonts w:ascii="Arial" w:cs="Arial" w:eastAsia="Arial" w:hAnsi="Arial"/>
          <w:sz w:val="15"/>
          <w:szCs w:val="15"/>
          <w:color w:val="auto"/>
        </w:rPr>
        <w:t>Operating earnings for the distribution segment in fiscal 2004 were $2.2 million compared to operating losses of $0.5 million in fiscal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2003. This favorable change in operating earnings was due mainly to higher sales volumes and operating improvements at the company-owned distributorships.</w:t>
      </w:r>
    </w:p>
    <w:p>
      <w:pPr>
        <w:spacing w:after="0" w:line="123" w:lineRule="exact"/>
        <w:rPr>
          <w:sz w:val="20"/>
          <w:szCs w:val="20"/>
          <w:color w:val="auto"/>
        </w:rPr>
      </w:pPr>
    </w:p>
    <w:p>
      <w:pPr>
        <w:ind w:right="60" w:firstLine="86"/>
        <w:spacing w:after="0" w:line="279" w:lineRule="auto"/>
        <w:rPr>
          <w:sz w:val="20"/>
          <w:szCs w:val="20"/>
          <w:color w:val="auto"/>
        </w:rPr>
      </w:pPr>
      <w:r>
        <w:rPr>
          <w:rFonts w:ascii="Arial" w:cs="Arial" w:eastAsia="Arial" w:hAnsi="Arial"/>
          <w:sz w:val="16"/>
          <w:szCs w:val="16"/>
          <w:color w:val="auto"/>
        </w:rPr>
        <w:t>Operating losses for the distribution segment in fiscal 2003 were $0.5 million compared to operating earnings of $2.3 million in fiscal 2002, an unfavorable change of $2.8 million. This unfavorable change in operating earnings was due mainly to the divestiture of a previously owned distributorship.</w:t>
      </w:r>
    </w:p>
    <w:p>
      <w:pPr>
        <w:spacing w:after="0" w:line="1" w:lineRule="exact"/>
        <w:rPr>
          <w:sz w:val="20"/>
          <w:szCs w:val="20"/>
          <w:color w:val="auto"/>
        </w:rPr>
      </w:pPr>
    </w:p>
    <w:p>
      <w:pPr>
        <w:ind w:right="80" w:firstLine="86"/>
        <w:spacing w:after="0" w:line="279" w:lineRule="auto"/>
        <w:rPr>
          <w:sz w:val="20"/>
          <w:szCs w:val="20"/>
          <w:color w:val="auto"/>
        </w:rPr>
      </w:pPr>
      <w:r>
        <w:rPr>
          <w:rFonts w:ascii="Arial" w:cs="Arial" w:eastAsia="Arial" w:hAnsi="Arial"/>
          <w:sz w:val="17"/>
          <w:szCs w:val="17"/>
          <w:color w:val="auto"/>
        </w:rPr>
        <w:t>Looking ahead, we expect fiscal 2005 operating earnings for this segment to be higher than in fiscal 2004 as a result of the divestiture in the fourth quarter of fiscal 2004 of our unprofitable southeastern-based distributorship.</w:t>
      </w:r>
    </w:p>
    <w:p>
      <w:pPr>
        <w:sectPr>
          <w:pgSz w:w="11900" w:h="16838" w:orient="portrait"/>
          <w:cols w:equalWidth="0" w:num="1">
            <w:col w:w="11400"/>
          </w:cols>
          <w:pgMar w:left="240" w:top="413" w:right="25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other segment include the elimination of sales from the professional and residential segments to the distribution segment. Professional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residential segment shipments to the company-owned distributorships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are also included in this segment. The other segment net sales elimination in fiscal 2004 increased 13.3 percent compared to fiscal 2003. This increase was driven by higher shipments to the distribution companies as a result of strong retail demand.</w:t>
      </w:r>
    </w:p>
    <w:p>
      <w:pPr>
        <w:spacing w:after="0" w:line="2" w:lineRule="exact"/>
        <w:rPr>
          <w:sz w:val="20"/>
          <w:szCs w:val="20"/>
          <w:color w:val="auto"/>
        </w:rPr>
      </w:pPr>
    </w:p>
    <w:p>
      <w:pPr>
        <w:ind w:right="120" w:firstLine="83"/>
        <w:spacing w:after="0" w:line="269" w:lineRule="auto"/>
        <w:rPr>
          <w:sz w:val="20"/>
          <w:szCs w:val="20"/>
          <w:color w:val="auto"/>
        </w:rPr>
      </w:pPr>
      <w:r>
        <w:rPr>
          <w:rFonts w:ascii="Arial" w:cs="Arial" w:eastAsia="Arial" w:hAnsi="Arial"/>
          <w:sz w:val="17"/>
          <w:szCs w:val="17"/>
          <w:color w:val="auto"/>
        </w:rPr>
        <w:t>The other segment net sales elimination in fiscal 2003 decreased 23.9 percent compared to fiscal 2002. This decline was due to lower shipments to the distribution companies mainly as a result of the divestiture of a distributorship during the first quarter of fiscal 2003. This was somewhat offset by the acquisition of a distributorship during the second half of fiscal 2003.</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Operating loss. </w:t>
      </w:r>
      <w:r>
        <w:rPr>
          <w:rFonts w:ascii="Arial" w:cs="Arial" w:eastAsia="Arial" w:hAnsi="Arial"/>
          <w:sz w:val="16"/>
          <w:szCs w:val="16"/>
          <w:color w:val="auto"/>
        </w:rPr>
        <w:t>Operating loss for the other segment in fiscal 2004 was up 3.8 percent compared to fiscal 2003. This loss increase was due mainly to higher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costs, increased spending for information systems, higher litigation costs, and the fact that fiscal 2003 was favorably impacted by a reduction of the gross profit elimination percentage due to a change in estimate applied to the ending Toro inventory at our company-owned distributors. Those increases were somewhat offset by lower bad debt expense and costs for distributor changes in fiscal 2003 that did not occur in fiscal 2004.</w:t>
      </w:r>
    </w:p>
    <w:p>
      <w:pPr>
        <w:spacing w:after="0" w:line="169" w:lineRule="exact"/>
        <w:rPr>
          <w:sz w:val="20"/>
          <w:szCs w:val="20"/>
          <w:color w:val="auto"/>
        </w:rPr>
      </w:pPr>
    </w:p>
    <w:p>
      <w:pPr>
        <w:ind w:right="240" w:firstLine="86"/>
        <w:spacing w:after="0" w:line="268" w:lineRule="auto"/>
        <w:rPr>
          <w:sz w:val="20"/>
          <w:szCs w:val="20"/>
          <w:color w:val="auto"/>
        </w:rPr>
      </w:pPr>
      <w:r>
        <w:rPr>
          <w:rFonts w:ascii="Arial" w:cs="Arial" w:eastAsia="Arial" w:hAnsi="Arial"/>
          <w:sz w:val="17"/>
          <w:szCs w:val="17"/>
          <w:color w:val="auto"/>
        </w:rPr>
        <w:t>Operating loss for the other segment in fiscal 2003 was up 2.2 percent compared to fiscal 2002. This loss increase was due to higher incentive compensation expenses, rising insurance costs, and increased investments in information systems and distributor changes. Somewhat offsetting the operating loss increase was lower interest expense, higher litigation recovery, and a reduction of the gross profit elimination percentage due to a change in estimate applied to the ending Toro inventory value at our company-owned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Working Capital</w:t>
      </w:r>
    </w:p>
    <w:p>
      <w:pPr>
        <w:spacing w:after="0" w:line="227"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color w:val="auto"/>
        </w:rPr>
        <w:t>Our financial condition remains strong with continued emphasis on improving asset management. Our average working capital for fiscal 2004 was $364.3 million compared to $339.0 million in fiscal 2003, an increase of 7.5 percent. This increase was due mainly to lower average short-term debt and higher average cash and cash equivalents, somewhat offset by higher average accrued liabilities in fiscal 2004 compared to fiscal 2003 as a result of increased average incentive and sales-based marketing accruals.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highlights several key measures of our working capital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9307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077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38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1620" w:type="dxa"/>
            <w:vAlign w:val="bottom"/>
          </w:tcPr>
          <w:p>
            <w:pPr>
              <w:spacing w:after="0"/>
              <w:rPr>
                <w:sz w:val="12"/>
                <w:szCs w:val="12"/>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2004</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6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cash and cash equivalents</w:t>
            </w:r>
          </w:p>
        </w:tc>
        <w:tc>
          <w:tcPr>
            <w:tcW w:w="162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57.5</w:t>
            </w:r>
          </w:p>
        </w:tc>
        <w:tc>
          <w:tcPr>
            <w:tcW w:w="4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32.3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Average short-term debt</w:t>
            </w:r>
          </w:p>
        </w:tc>
        <w:tc>
          <w:tcPr>
            <w:tcW w:w="1620" w:type="dxa"/>
            <w:vAlign w:val="bottom"/>
          </w:tcPr>
          <w:p>
            <w:pPr>
              <w:spacing w:after="0"/>
              <w:rPr>
                <w:sz w:val="18"/>
                <w:szCs w:val="18"/>
                <w:color w:val="auto"/>
              </w:rPr>
            </w:pPr>
          </w:p>
        </w:tc>
        <w:tc>
          <w:tcPr>
            <w:tcW w:w="840" w:type="dxa"/>
            <w:vAlign w:val="bottom"/>
          </w:tcPr>
          <w:p>
            <w:pPr>
              <w:jc w:val="right"/>
              <w:ind w:right="217"/>
              <w:spacing w:after="0"/>
              <w:rPr>
                <w:sz w:val="20"/>
                <w:szCs w:val="20"/>
                <w:color w:val="auto"/>
              </w:rPr>
            </w:pPr>
            <w:r>
              <w:rPr>
                <w:rFonts w:ascii="Arial" w:cs="Arial" w:eastAsia="Arial" w:hAnsi="Arial"/>
                <w:sz w:val="17"/>
                <w:szCs w:val="17"/>
                <w:b w:val="1"/>
                <w:bCs w:val="1"/>
                <w:color w:val="auto"/>
              </w:rPr>
              <w:t>6.1</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inventories, net</w:t>
            </w:r>
          </w:p>
        </w:tc>
        <w:tc>
          <w:tcPr>
            <w:tcW w:w="16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246.6</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258.3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Average receivables, net</w:t>
            </w:r>
          </w:p>
        </w:tc>
        <w:tc>
          <w:tcPr>
            <w:tcW w:w="1620" w:type="dxa"/>
            <w:vAlign w:val="bottom"/>
          </w:tcPr>
          <w:p>
            <w:pPr>
              <w:spacing w:after="0"/>
              <w:rPr>
                <w:sz w:val="18"/>
                <w:szCs w:val="18"/>
                <w:color w:val="auto"/>
              </w:rPr>
            </w:pPr>
          </w:p>
        </w:tc>
        <w:tc>
          <w:tcPr>
            <w:tcW w:w="840" w:type="dxa"/>
            <w:vAlign w:val="bottom"/>
          </w:tcPr>
          <w:p>
            <w:pPr>
              <w:jc w:val="right"/>
              <w:ind w:right="217"/>
              <w:spacing w:after="0"/>
              <w:rPr>
                <w:sz w:val="20"/>
                <w:szCs w:val="20"/>
                <w:color w:val="auto"/>
              </w:rPr>
            </w:pPr>
            <w:r>
              <w:rPr>
                <w:rFonts w:ascii="Arial" w:cs="Arial" w:eastAsia="Arial" w:hAnsi="Arial"/>
                <w:sz w:val="17"/>
                <w:szCs w:val="17"/>
                <w:b w:val="1"/>
                <w:bCs w:val="1"/>
                <w:color w:val="auto"/>
              </w:rPr>
              <w:t>349.1</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days outstanding for receivables</w:t>
            </w:r>
          </w:p>
        </w:tc>
        <w:tc>
          <w:tcPr>
            <w:tcW w:w="162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77</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7"/>
                <w:szCs w:val="17"/>
                <w:b w:val="1"/>
                <w:bCs w:val="1"/>
                <w:color w:val="auto"/>
              </w:rPr>
              <w:t>Inventory turnover</w:t>
            </w:r>
          </w:p>
        </w:tc>
        <w:tc>
          <w:tcPr>
            <w:tcW w:w="1620" w:type="dxa"/>
            <w:vAlign w:val="bottom"/>
          </w:tcPr>
          <w:p>
            <w:pPr>
              <w:spacing w:after="0"/>
              <w:rPr>
                <w:sz w:val="19"/>
                <w:szCs w:val="19"/>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b w:val="1"/>
                <w:bCs w:val="1"/>
                <w:color w:val="auto"/>
              </w:rPr>
              <w:t>4.30x</w:t>
            </w:r>
          </w:p>
        </w:tc>
        <w:tc>
          <w:tcPr>
            <w:tcW w:w="42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3.72x</w:t>
            </w: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Average short-term debt decreased in fiscal 2004 compared to fiscal 2003 primarily because we used cash generated from earnings to pay down debt, which also resulted in higher average cash and cash equivalents in fiscal 2004 compared to fiscal 2003. The increase in average receivables, net was due primarily to higher sales volumes and higher foreign currency exchange rates as a result of the weaker U.S. dollar. Average days outstanding for receivables improved to 77 days in fiscal 2004 compared to 84 days in fiscal 2003 due primarily to a higher proportion of sales that have shorter payment terms, strong retail demand, and $6.4 million of account receivable balances refinanced to long-term loans for a distributor.</w:t>
      </w:r>
    </w:p>
    <w:p>
      <w:pPr>
        <w:spacing w:after="0" w:line="187" w:lineRule="exact"/>
        <w:rPr>
          <w:sz w:val="20"/>
          <w:szCs w:val="20"/>
          <w:color w:val="auto"/>
        </w:rPr>
      </w:pPr>
    </w:p>
    <w:p>
      <w:pPr>
        <w:ind w:right="180" w:firstLine="77"/>
        <w:spacing w:after="0" w:line="263" w:lineRule="auto"/>
        <w:rPr>
          <w:sz w:val="20"/>
          <w:szCs w:val="20"/>
          <w:color w:val="auto"/>
        </w:rPr>
      </w:pPr>
      <w:r>
        <w:rPr>
          <w:rFonts w:ascii="Arial" w:cs="Arial" w:eastAsia="Arial" w:hAnsi="Arial"/>
          <w:sz w:val="17"/>
          <w:szCs w:val="17"/>
          <w:color w:val="auto"/>
        </w:rPr>
        <w:t>Average net inventories decreased 4.6 percent and average inventory turnover improved in fiscal 2004 compared to fiscal 2003. This favorable change was driven by higher than anticipated sales volumes and efforts to improve inventory turnover.</w:t>
      </w:r>
    </w:p>
    <w:p>
      <w:pPr>
        <w:jc w:val="both"/>
        <w:ind w:right="280" w:firstLine="83"/>
        <w:spacing w:after="0" w:line="269" w:lineRule="auto"/>
        <w:rPr>
          <w:sz w:val="20"/>
          <w:szCs w:val="20"/>
          <w:color w:val="auto"/>
        </w:rPr>
      </w:pPr>
      <w:r>
        <w:rPr>
          <w:rFonts w:ascii="Arial" w:cs="Arial" w:eastAsia="Arial" w:hAnsi="Arial"/>
          <w:sz w:val="17"/>
          <w:szCs w:val="17"/>
          <w:color w:val="auto"/>
        </w:rPr>
        <w:t>We expect that average receivables and inventory levels in fiscal 2005 will increase compared to fiscal 2004 due to higher planned sales volumes. We anticipate both average days outstanding for receivables and average inventory turnover to slightly improve in fiscal 2005 compared to fiscal 2004 as we continue efforts to improve asset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 Expenditures and Other Long-Term Assets</w:t>
      </w:r>
    </w:p>
    <w:p>
      <w:pPr>
        <w:spacing w:after="0" w:line="227"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Net property, plant, and equipment increased by 3.5 percent in fiscal 2004 compared to fiscal 2003. However, capital expenditures were 5.7 percent lower in fiscal 2004 compared to fiscal 2003. This decline was due primarily to production equipment and tooling expenditures in fiscal 2003 for new products we introduced within the past two years. Capital expenditures for fiscal 2005 are planned to be approximately $5 to $10 million higher than fiscal 2004 as we continue to invest in information service technology, manufacturing equipment, and tooling for new products.</w:t>
      </w:r>
    </w:p>
    <w:p>
      <w:pPr>
        <w:spacing w:after="0" w:line="2" w:lineRule="exact"/>
        <w:rPr>
          <w:sz w:val="20"/>
          <w:szCs w:val="20"/>
          <w:color w:val="auto"/>
        </w:rPr>
      </w:pPr>
    </w:p>
    <w:p>
      <w:pPr>
        <w:ind w:right="60" w:firstLine="86"/>
        <w:spacing w:after="0" w:line="312" w:lineRule="auto"/>
        <w:rPr>
          <w:sz w:val="20"/>
          <w:szCs w:val="20"/>
          <w:color w:val="auto"/>
        </w:rPr>
      </w:pPr>
      <w:r>
        <w:rPr>
          <w:rFonts w:ascii="Arial" w:cs="Arial" w:eastAsia="Arial" w:hAnsi="Arial"/>
          <w:sz w:val="16"/>
          <w:szCs w:val="16"/>
          <w:color w:val="auto"/>
        </w:rPr>
        <w:t>Long-term assets as of October 31, 2004 were $263.6 million compared to $253.5 million as of October 31, 2003, an increase of 4.0 percent. This increase was due to an increase of net property, plant, and equipment and long-term loans refinanced from account receivable balances discussed previously.</w:t>
      </w:r>
    </w:p>
    <w:p>
      <w:pPr>
        <w:sectPr>
          <w:pgSz w:w="11900" w:h="16838" w:orient="portrait"/>
          <w:cols w:equalWidth="0" w:num="1">
            <w:col w:w="11400"/>
          </w:cols>
          <w:pgMar w:left="240" w:top="413" w:right="25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 Structure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total capitalization components and key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217170</wp:posOffset>
            </wp:positionV>
            <wp:extent cx="49225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50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1600" w:type="dxa"/>
            <w:vAlign w:val="bottom"/>
          </w:tcPr>
          <w:p>
            <w:pPr>
              <w:spacing w:after="0"/>
              <w:rPr>
                <w:sz w:val="13"/>
                <w:szCs w:val="13"/>
                <w:color w:val="auto"/>
              </w:rPr>
            </w:pPr>
          </w:p>
        </w:tc>
        <w:tc>
          <w:tcPr>
            <w:tcW w:w="860" w:type="dxa"/>
            <w:vAlign w:val="bottom"/>
            <w:vMerge w:val="restart"/>
          </w:tcPr>
          <w:p>
            <w:pPr>
              <w:jc w:val="right"/>
              <w:ind w:right="278"/>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6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2003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Short-term debt</w:t>
            </w:r>
          </w:p>
        </w:tc>
        <w:tc>
          <w:tcPr>
            <w:tcW w:w="160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ind w:right="278"/>
              <w:spacing w:after="0"/>
              <w:rPr>
                <w:sz w:val="20"/>
                <w:szCs w:val="20"/>
                <w:color w:val="auto"/>
              </w:rPr>
            </w:pPr>
            <w:r>
              <w:rPr>
                <w:rFonts w:ascii="Arial" w:cs="Arial" w:eastAsia="Arial" w:hAnsi="Arial"/>
                <w:sz w:val="17"/>
                <w:szCs w:val="17"/>
                <w:b w:val="1"/>
                <w:bCs w:val="1"/>
                <w:color w:val="auto"/>
              </w:rPr>
              <w:t>1.1</w:t>
            </w:r>
          </w:p>
        </w:tc>
        <w:tc>
          <w:tcPr>
            <w:tcW w:w="3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b w:val="1"/>
                <w:bCs w:val="1"/>
                <w:color w:val="auto"/>
              </w:rPr>
              <w:t>Long-term debt, including current portion</w:t>
            </w:r>
          </w:p>
        </w:tc>
        <w:tc>
          <w:tcPr>
            <w:tcW w:w="1600" w:type="dxa"/>
            <w:vAlign w:val="bottom"/>
          </w:tcPr>
          <w:p>
            <w:pPr>
              <w:spacing w:after="0"/>
              <w:rPr>
                <w:sz w:val="18"/>
                <w:szCs w:val="18"/>
                <w:color w:val="auto"/>
              </w:rPr>
            </w:pPr>
          </w:p>
        </w:tc>
        <w:tc>
          <w:tcPr>
            <w:tcW w:w="860" w:type="dxa"/>
            <w:vAlign w:val="bottom"/>
          </w:tcPr>
          <w:p>
            <w:pPr>
              <w:jc w:val="right"/>
              <w:ind w:right="278"/>
              <w:spacing w:after="0"/>
              <w:rPr>
                <w:sz w:val="20"/>
                <w:szCs w:val="20"/>
                <w:color w:val="auto"/>
              </w:rPr>
            </w:pPr>
            <w:r>
              <w:rPr>
                <w:rFonts w:ascii="Arial" w:cs="Arial" w:eastAsia="Arial" w:hAnsi="Arial"/>
                <w:sz w:val="17"/>
                <w:szCs w:val="17"/>
                <w:b w:val="1"/>
                <w:bCs w:val="1"/>
                <w:color w:val="auto"/>
              </w:rPr>
              <w:t>175.1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Stockholders’ equity</w:t>
            </w:r>
          </w:p>
        </w:tc>
        <w:tc>
          <w:tcPr>
            <w:tcW w:w="16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78"/>
              <w:spacing w:after="0"/>
              <w:rPr>
                <w:sz w:val="20"/>
                <w:szCs w:val="20"/>
                <w:color w:val="auto"/>
              </w:rPr>
            </w:pPr>
            <w:r>
              <w:rPr>
                <w:rFonts w:ascii="Arial" w:cs="Arial" w:eastAsia="Arial" w:hAnsi="Arial"/>
                <w:sz w:val="17"/>
                <w:szCs w:val="17"/>
                <w:b w:val="1"/>
                <w:bCs w:val="1"/>
                <w:color w:val="auto"/>
              </w:rPr>
              <w:t>395.6</w:t>
            </w: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437.2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7"/>
                <w:szCs w:val="17"/>
                <w:b w:val="1"/>
                <w:bCs w:val="1"/>
                <w:color w:val="auto"/>
              </w:rPr>
              <w:t>Debt to capitalization ratio</w:t>
            </w:r>
          </w:p>
        </w:tc>
        <w:tc>
          <w:tcPr>
            <w:tcW w:w="1600" w:type="dxa"/>
            <w:vAlign w:val="bottom"/>
          </w:tcPr>
          <w:p>
            <w:pPr>
              <w:spacing w:after="0"/>
              <w:rPr>
                <w:sz w:val="19"/>
                <w:szCs w:val="19"/>
                <w:color w:val="auto"/>
              </w:rPr>
            </w:pPr>
          </w:p>
        </w:tc>
        <w:tc>
          <w:tcPr>
            <w:tcW w:w="860" w:type="dxa"/>
            <w:vAlign w:val="bottom"/>
          </w:tcPr>
          <w:p>
            <w:pPr>
              <w:jc w:val="right"/>
              <w:ind w:right="98"/>
              <w:spacing w:after="0"/>
              <w:rPr>
                <w:sz w:val="20"/>
                <w:szCs w:val="20"/>
                <w:color w:val="auto"/>
              </w:rPr>
            </w:pPr>
            <w:r>
              <w:rPr>
                <w:rFonts w:ascii="Arial" w:cs="Arial" w:eastAsia="Arial" w:hAnsi="Arial"/>
                <w:sz w:val="17"/>
                <w:szCs w:val="17"/>
                <w:b w:val="1"/>
                <w:bCs w:val="1"/>
                <w:color w:val="auto"/>
              </w:rPr>
              <w:t>30.8%</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Total debt to capitalization ratio was slightly worse in fiscal 2004 compared to fiscal 2003 due mainly to a decrease in stockholders’ equity as a result of significantly higher amounts of shares of our common stock we repurchased in fiscal 2004 compared to fiscal 2003.</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2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combination of funds available through existing or anticipated financing arrangements, coupled with forecasted cash flows, will be sufficient to provide the necessary capital resources for our anticipated working capital, capital expenditures, debt repayments, dividend payments, and stock repurchases for at least the next twelve months.</w:t>
      </w:r>
    </w:p>
    <w:p>
      <w:pPr>
        <w:ind w:firstLine="86"/>
        <w:spacing w:after="0" w:line="279" w:lineRule="auto"/>
        <w:rPr>
          <w:sz w:val="20"/>
          <w:szCs w:val="20"/>
          <w:color w:val="auto"/>
        </w:rPr>
      </w:pPr>
      <w:r>
        <w:rPr>
          <w:rFonts w:ascii="Arial" w:cs="Arial" w:eastAsia="Arial" w:hAnsi="Arial"/>
          <w:sz w:val="17"/>
          <w:szCs w:val="17"/>
          <w:color w:val="auto"/>
        </w:rPr>
        <w:t>In fiscal 2005, our Board of Directors approved an increase in our first quarter of fiscal 2005 dividend, payable on January 10, 2005, from our historical rate of $.06 per share to $.12 per share.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Flow</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217170</wp:posOffset>
            </wp:positionV>
            <wp:extent cx="5695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531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3"/>
          </w:tcPr>
          <w:p>
            <w:pPr>
              <w:jc w:val="right"/>
              <w:ind w:right="17"/>
              <w:spacing w:after="0"/>
              <w:rPr>
                <w:sz w:val="20"/>
                <w:szCs w:val="20"/>
                <w:color w:val="auto"/>
              </w:rPr>
            </w:pPr>
            <w:r>
              <w:rPr>
                <w:rFonts w:ascii="Arial" w:cs="Arial" w:eastAsia="Arial" w:hAnsi="Arial"/>
                <w:sz w:val="13"/>
                <w:szCs w:val="13"/>
                <w:color w:val="auto"/>
              </w:rPr>
              <w:t>Cash Provided by (Used In)</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640" w:type="dxa"/>
            <w:vAlign w:val="bottom"/>
            <w:gridSpan w:val="2"/>
            <w:vMerge w:val="restart"/>
          </w:tcPr>
          <w:p>
            <w:pPr>
              <w:spacing w:after="0"/>
              <w:rPr>
                <w:sz w:val="20"/>
                <w:szCs w:val="20"/>
                <w:color w:val="auto"/>
              </w:rPr>
            </w:pPr>
            <w:r>
              <w:rPr>
                <w:rFonts w:ascii="Arial" w:cs="Arial" w:eastAsia="Arial" w:hAnsi="Arial"/>
                <w:sz w:val="13"/>
                <w:szCs w:val="13"/>
                <w:color w:val="auto"/>
              </w:rPr>
              <w:t>(Dollars in millions)</w:t>
            </w:r>
          </w:p>
        </w:tc>
        <w:tc>
          <w:tcPr>
            <w:tcW w:w="1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64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restart"/>
          </w:tcPr>
          <w:p>
            <w:pPr>
              <w:jc w:val="right"/>
              <w:ind w:right="239"/>
              <w:spacing w:after="0"/>
              <w:rPr>
                <w:sz w:val="20"/>
                <w:szCs w:val="20"/>
                <w:color w:val="auto"/>
              </w:rPr>
            </w:pPr>
            <w:r>
              <w:rPr>
                <w:rFonts w:ascii="Arial" w:cs="Arial" w:eastAsia="Arial" w:hAnsi="Arial"/>
                <w:sz w:val="13"/>
                <w:szCs w:val="13"/>
                <w:b w:val="1"/>
                <w:bCs w:val="1"/>
                <w:color w:val="auto"/>
              </w:rPr>
              <w:t>2004</w:t>
            </w: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6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317"/>
              <w:spacing w:after="0"/>
              <w:rPr>
                <w:sz w:val="20"/>
                <w:szCs w:val="20"/>
                <w:color w:val="auto"/>
              </w:rPr>
            </w:pPr>
            <w:r>
              <w:rPr>
                <w:rFonts w:ascii="Arial" w:cs="Arial" w:eastAsia="Arial" w:hAnsi="Arial"/>
                <w:sz w:val="13"/>
                <w:szCs w:val="13"/>
                <w:color w:val="auto"/>
              </w:rPr>
              <w:t>2003</w:t>
            </w:r>
          </w:p>
        </w:tc>
        <w:tc>
          <w:tcPr>
            <w:tcW w:w="2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Operating activities</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EEEEE"/>
          </w:tcPr>
          <w:p>
            <w:pPr>
              <w:jc w:val="right"/>
              <w:ind w:right="239"/>
              <w:spacing w:after="0"/>
              <w:rPr>
                <w:sz w:val="20"/>
                <w:szCs w:val="20"/>
                <w:color w:val="auto"/>
              </w:rPr>
            </w:pPr>
            <w:r>
              <w:rPr>
                <w:rFonts w:ascii="Arial" w:cs="Arial" w:eastAsia="Arial" w:hAnsi="Arial"/>
                <w:sz w:val="17"/>
                <w:szCs w:val="17"/>
                <w:b w:val="1"/>
                <w:bCs w:val="1"/>
                <w:color w:val="auto"/>
              </w:rPr>
              <w:t>185.1</w:t>
            </w: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118.6</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145.5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7"/>
                <w:szCs w:val="17"/>
                <w:b w:val="1"/>
                <w:bCs w:val="1"/>
                <w:color w:val="auto"/>
              </w:rPr>
              <w:t>(38.3)</w:t>
            </w:r>
          </w:p>
        </w:tc>
        <w:tc>
          <w:tcPr>
            <w:tcW w:w="420" w:type="dxa"/>
            <w:vAlign w:val="bottom"/>
          </w:tcPr>
          <w:p>
            <w:pPr>
              <w:spacing w:after="0"/>
              <w:rPr>
                <w:sz w:val="18"/>
                <w:szCs w:val="18"/>
                <w:color w:val="auto"/>
              </w:rPr>
            </w:pPr>
          </w:p>
        </w:tc>
        <w:tc>
          <w:tcPr>
            <w:tcW w:w="860" w:type="dxa"/>
            <w:vAlign w:val="bottom"/>
          </w:tcPr>
          <w:p>
            <w:pPr>
              <w:jc w:val="right"/>
              <w:ind w:right="257"/>
              <w:spacing w:after="0"/>
              <w:rPr>
                <w:sz w:val="20"/>
                <w:szCs w:val="20"/>
                <w:color w:val="auto"/>
              </w:rPr>
            </w:pPr>
            <w:r>
              <w:rPr>
                <w:rFonts w:ascii="Arial" w:cs="Arial" w:eastAsia="Arial" w:hAnsi="Arial"/>
                <w:sz w:val="17"/>
                <w:szCs w:val="17"/>
                <w:color w:val="auto"/>
              </w:rPr>
              <w:t>(40.5)</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Financing activities</w:t>
            </w: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79"/>
              <w:spacing w:after="0"/>
              <w:rPr>
                <w:sz w:val="20"/>
                <w:szCs w:val="20"/>
                <w:color w:val="auto"/>
              </w:rPr>
            </w:pPr>
            <w:r>
              <w:rPr>
                <w:rFonts w:ascii="Arial" w:cs="Arial" w:eastAsia="Arial" w:hAnsi="Arial"/>
                <w:sz w:val="17"/>
                <w:szCs w:val="17"/>
                <w:b w:val="1"/>
                <w:bCs w:val="1"/>
                <w:color w:val="auto"/>
              </w:rPr>
              <w:t>(166.2)</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57"/>
              <w:spacing w:after="0"/>
              <w:rPr>
                <w:sz w:val="20"/>
                <w:szCs w:val="20"/>
                <w:color w:val="auto"/>
              </w:rPr>
            </w:pPr>
            <w:r>
              <w:rPr>
                <w:rFonts w:ascii="Arial" w:cs="Arial" w:eastAsia="Arial" w:hAnsi="Arial"/>
                <w:sz w:val="17"/>
                <w:szCs w:val="17"/>
                <w:color w:val="auto"/>
              </w:rPr>
              <w:t>(30.7)</w:t>
            </w:r>
          </w:p>
        </w:tc>
        <w:tc>
          <w:tcPr>
            <w:tcW w:w="2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Effect of exchange rates on cash</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79"/>
              <w:spacing w:after="0"/>
              <w:rPr>
                <w:sz w:val="20"/>
                <w:szCs w:val="20"/>
                <w:color w:val="auto"/>
              </w:rPr>
            </w:pPr>
            <w:r>
              <w:rPr>
                <w:rFonts w:ascii="Arial" w:cs="Arial" w:eastAsia="Arial" w:hAnsi="Arial"/>
                <w:sz w:val="17"/>
                <w:szCs w:val="17"/>
                <w:b w:val="1"/>
                <w:bCs w:val="1"/>
                <w:color w:val="auto"/>
              </w:rPr>
              <w:t>(0.1)</w:t>
            </w:r>
          </w:p>
        </w:tc>
        <w:tc>
          <w:tcPr>
            <w:tcW w:w="42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cash flows (used) provided</w:t>
            </w: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EEEEE"/>
          </w:tcPr>
          <w:p>
            <w:pPr>
              <w:jc w:val="right"/>
              <w:ind w:right="179"/>
              <w:spacing w:after="0"/>
              <w:rPr>
                <w:sz w:val="20"/>
                <w:szCs w:val="20"/>
                <w:color w:val="auto"/>
              </w:rPr>
            </w:pPr>
            <w:r>
              <w:rPr>
                <w:rFonts w:ascii="Arial" w:cs="Arial" w:eastAsia="Arial" w:hAnsi="Arial"/>
                <w:sz w:val="17"/>
                <w:szCs w:val="17"/>
                <w:b w:val="1"/>
                <w:bCs w:val="1"/>
                <w:color w:val="auto"/>
              </w:rPr>
              <w:t>(19.5)</w:t>
            </w: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317"/>
              <w:spacing w:after="0"/>
              <w:rPr>
                <w:sz w:val="20"/>
                <w:szCs w:val="20"/>
                <w:color w:val="auto"/>
              </w:rPr>
            </w:pPr>
            <w:r>
              <w:rPr>
                <w:rFonts w:ascii="Arial" w:cs="Arial" w:eastAsia="Arial" w:hAnsi="Arial"/>
                <w:sz w:val="17"/>
                <w:szCs w:val="17"/>
                <w:color w:val="auto"/>
              </w:rPr>
              <w:t>47.5</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49.9</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as of fiscal year end</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ind w:right="239"/>
              <w:spacing w:after="0"/>
              <w:rPr>
                <w:sz w:val="20"/>
                <w:szCs w:val="20"/>
                <w:color w:val="auto"/>
              </w:rPr>
            </w:pPr>
            <w:r>
              <w:rPr>
                <w:rFonts w:ascii="Arial" w:cs="Arial" w:eastAsia="Arial" w:hAnsi="Arial"/>
                <w:sz w:val="17"/>
                <w:szCs w:val="17"/>
                <w:b w:val="1"/>
                <w:bCs w:val="1"/>
                <w:color w:val="auto"/>
              </w:rPr>
              <w:t>90.8</w:t>
            </w:r>
          </w:p>
        </w:tc>
        <w:tc>
          <w:tcPr>
            <w:tcW w:w="4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17"/>
              <w:spacing w:after="0"/>
              <w:rPr>
                <w:sz w:val="20"/>
                <w:szCs w:val="20"/>
                <w:color w:val="auto"/>
              </w:rPr>
            </w:pPr>
            <w:r>
              <w:rPr>
                <w:rFonts w:ascii="Arial" w:cs="Arial" w:eastAsia="Arial" w:hAnsi="Arial"/>
                <w:sz w:val="17"/>
                <w:szCs w:val="17"/>
                <w:color w:val="auto"/>
              </w:rPr>
              <w:t>110.3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62.8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Cash Flows Provided by Operating Activities. </w:t>
      </w:r>
      <w:r>
        <w:rPr>
          <w:rFonts w:ascii="Arial" w:cs="Arial" w:eastAsia="Arial" w:hAnsi="Arial"/>
          <w:sz w:val="17"/>
          <w:szCs w:val="17"/>
          <w:color w:val="auto"/>
        </w:rPr>
        <w:t>Our primary source of funds is cash generated from operations. In fiscal 2004, cash provided by operating activities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significantly by 56.1 percent from fiscal 2003. This improvement was due primarily to higher earnings, a lower increase in accounts receivable, and higher accrued liabilities, mainly incentive and marketing accruals. In addition, an increase of tax benefits related to stock option transactions also contributed to the improvement of cash flows provided by operating activities.</w:t>
      </w:r>
    </w:p>
    <w:p>
      <w:pPr>
        <w:spacing w:after="0" w:line="185" w:lineRule="exact"/>
        <w:rPr>
          <w:sz w:val="20"/>
          <w:szCs w:val="20"/>
          <w:color w:val="auto"/>
        </w:rPr>
      </w:pPr>
    </w:p>
    <w:p>
      <w:pPr>
        <w:ind w:right="440"/>
        <w:spacing w:after="0" w:line="356" w:lineRule="auto"/>
        <w:rPr>
          <w:sz w:val="20"/>
          <w:szCs w:val="20"/>
          <w:color w:val="auto"/>
        </w:rPr>
      </w:pPr>
      <w:r>
        <w:rPr>
          <w:rFonts w:ascii="Arial" w:cs="Arial" w:eastAsia="Arial" w:hAnsi="Arial"/>
          <w:sz w:val="15"/>
          <w:szCs w:val="15"/>
          <w:b w:val="1"/>
          <w:bCs w:val="1"/>
          <w:i w:val="1"/>
          <w:iCs w:val="1"/>
          <w:color w:val="auto"/>
        </w:rPr>
        <w:t xml:space="preserve">Cash Flows Used in Investing Activities. </w:t>
      </w:r>
      <w:r>
        <w:rPr>
          <w:rFonts w:ascii="Arial" w:cs="Arial" w:eastAsia="Arial" w:hAnsi="Arial"/>
          <w:sz w:val="15"/>
          <w:szCs w:val="15"/>
          <w:color w:val="auto"/>
        </w:rPr>
        <w:t>Capital expenditures continue to be a primary use of capital resources. Cash used in investing activities decreased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5.4 percent due mainly to a lower level of purchases of property, plant, and equipment in fiscal 2004 compared to fiscal 2003, as discussed previously.</w:t>
      </w:r>
    </w:p>
    <w:p>
      <w:pPr>
        <w:spacing w:after="0" w:line="1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Cash Flows Used in Financing Activities. </w:t>
      </w:r>
      <w:r>
        <w:rPr>
          <w:rFonts w:ascii="Arial" w:cs="Arial" w:eastAsia="Arial" w:hAnsi="Arial"/>
          <w:sz w:val="17"/>
          <w:szCs w:val="17"/>
          <w:color w:val="auto"/>
        </w:rPr>
        <w:t>Cash used in financing activities was significantly higher by $135.5 million in fiscal 2004 compared to fiscal 2003.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primarily driven by increased funds used to purchase our common stock for $169.8 million in fiscal 2004 compared to $18.7 million in fiscal 2003. Refer to section “Share Repurchase Plan” below for additional details.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Lines and Other Capital Resources</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September 2009. We also have a $75.0 million secured credit line backed by a multi-year credit agreement, expiring in July 2006, which is renewable annually. Interest expense on these credit lines is determined based on a LIBOR or commercial paper rate plus a basis point spread defined in the credit agreements. In addition, our non-U.S. operations and a domestic subsidiary also maintain unsecured short-term lines of credit of approximately</w:t>
      </w:r>
    </w:p>
    <w:p>
      <w:pPr>
        <w:spacing w:after="0" w:line="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$15.8 million. These facilities bear interest at various rates depending on the rates in their respective countries of operation. We also have a letter of credit subfacility as part of our credit agreements. Average short-term debt was $6.1 million in fiscal 2004 compared to $36.8 million in fiscal 2003, a decrease of $30.7 million. This decline was primarily attributable to our use of cash generated from earnings to pay down debt and finance operating activities. As of October 31, 2004, we had $264.7 million of unutilized availability under our credit agreements.</w:t>
      </w:r>
    </w:p>
    <w:p>
      <w:pPr>
        <w:spacing w:after="0" w:line="3" w:lineRule="exact"/>
        <w:rPr>
          <w:sz w:val="20"/>
          <w:szCs w:val="20"/>
          <w:color w:val="auto"/>
        </w:rPr>
      </w:pPr>
    </w:p>
    <w:p>
      <w:pPr>
        <w:ind w:right="100" w:firstLine="86"/>
        <w:spacing w:after="0" w:line="279"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October 31, 2004, and expect to be in compliance with all</w:t>
      </w:r>
    </w:p>
    <w:p>
      <w:pPr>
        <w:sectPr>
          <w:pgSz w:w="11900" w:h="16838" w:orient="portrait"/>
          <w:cols w:equalWidth="0" w:num="1">
            <w:col w:w="11380"/>
          </w:cols>
          <w:pgMar w:left="240" w:top="413" w:right="27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color w:val="auto"/>
        </w:rPr>
        <w:t>covenants in fiscal 2005. Our credit agreements require compliance with all of the covenants defined in the agreements. If we were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on the credit agreements would increase, but the credit commitments could not be cancelled by the banks based only on a ratings downgrade. Our debt rating for long-term unsecured senior, non-credit enhanced debt has been unchanged for the past fiscal year by Standard and Poor’s Ratings Group at BBB- and by Moody’s Investors Service at Baa3.</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 Repurchase Plan</w:t>
      </w:r>
    </w:p>
    <w:p>
      <w:pPr>
        <w:spacing w:after="0" w:line="22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During fiscal 2004, we increased our emphasis on repurchasing shares of our common stock as a means of utilizing excess cash and reducing our shares outstanding. In addition, our repurchase programs provide shares for use in connection with our equity compensation. In order to accomplish this, our Board of Directors authorized the repurchase of shares of our common stock during fiscal 2004 as follows:</w:t>
      </w:r>
    </w:p>
    <w:p>
      <w:pPr>
        <w:ind w:left="120" w:hanging="114"/>
        <w:spacing w:after="0"/>
        <w:tabs>
          <w:tab w:leader="none" w:pos="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March 2004, our Board of Directors authorized the repurchase of 1,000,000 shares of our common stock in open-market or private transactions.</w:t>
      </w:r>
    </w:p>
    <w:p>
      <w:pPr>
        <w:spacing w:after="0" w:line="16" w:lineRule="exact"/>
        <w:rPr>
          <w:rFonts w:ascii="Arial" w:cs="Arial" w:eastAsia="Arial" w:hAnsi="Arial"/>
          <w:sz w:val="17"/>
          <w:szCs w:val="17"/>
          <w:color w:val="auto"/>
        </w:rPr>
      </w:pPr>
    </w:p>
    <w:p>
      <w:pPr>
        <w:ind w:left="120" w:right="80" w:hanging="114"/>
        <w:spacing w:after="0" w:line="259" w:lineRule="auto"/>
        <w:tabs>
          <w:tab w:leader="none" w:pos="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May 2004, our Board of Directors authorized the repurchase of up to an additional 2,000,000 shares, bringing the total number of shares that can be repurchased in open-market transactions, tender offers, private purchases or other transactions to 3,000,000.</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September 2004, the Board of Directors authorized the repurchase of up to an additional 1,000,000 shares of our common stock in open-market transactions or</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privately negotiated purchases.</w:t>
      </w:r>
    </w:p>
    <w:p>
      <w:pPr>
        <w:spacing w:after="0" w:line="1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All of the above repurchase authorizations have no expiration dates but may be terminated by our Board of Directors at anytime. As of October 31, 2004, 1,884,497 shares remained authorized for repurchase. We anticipate repurchasing a significant portion of these shares during fiscal 2005.</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addition, we repurchased 55,593 shares of our common stock at a price of $60.00 per share on April 21, 2004 through a “Dutch Auction” tender offer.</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provides information with respect to repurchases of our common stock during the past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653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920" w:type="dxa"/>
            <w:vAlign w:val="bottom"/>
            <w:gridSpan w:val="2"/>
          </w:tcPr>
          <w:p>
            <w:pPr>
              <w:spacing w:after="0"/>
              <w:rPr>
                <w:sz w:val="20"/>
                <w:szCs w:val="20"/>
                <w:color w:val="auto"/>
              </w:rPr>
            </w:pPr>
            <w:r>
              <w:rPr>
                <w:rFonts w:ascii="Arial" w:cs="Arial" w:eastAsia="Arial" w:hAnsi="Arial"/>
                <w:sz w:val="13"/>
                <w:szCs w:val="13"/>
                <w:color w:val="auto"/>
              </w:rPr>
              <w:t>(Dollars in millions, except for per share data)</w:t>
            </w:r>
          </w:p>
        </w:tc>
        <w:tc>
          <w:tcPr>
            <w:tcW w:w="1560" w:type="dxa"/>
            <w:vAlign w:val="bottom"/>
          </w:tcPr>
          <w:p>
            <w:pPr>
              <w:spacing w:after="0"/>
              <w:rPr>
                <w:sz w:val="13"/>
                <w:szCs w:val="13"/>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3"/>
                <w:szCs w:val="13"/>
                <w:b w:val="1"/>
                <w:bCs w:val="1"/>
                <w:color w:val="auto"/>
              </w:rPr>
              <w:t>2004</w:t>
            </w: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2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139"/>
              <w:spacing w:after="0"/>
              <w:rPr>
                <w:sz w:val="20"/>
                <w:szCs w:val="20"/>
                <w:color w:val="auto"/>
              </w:rPr>
            </w:pPr>
            <w:r>
              <w:rPr>
                <w:rFonts w:ascii="Arial" w:cs="Arial" w:eastAsia="Arial" w:hAnsi="Arial"/>
                <w:sz w:val="13"/>
                <w:szCs w:val="13"/>
                <w:color w:val="auto"/>
              </w:rPr>
              <w:t>2003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Shares of common stock purchased</w:t>
            </w:r>
          </w:p>
        </w:tc>
        <w:tc>
          <w:tcPr>
            <w:tcW w:w="1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9"/>
              <w:spacing w:after="0"/>
              <w:rPr>
                <w:sz w:val="20"/>
                <w:szCs w:val="20"/>
                <w:color w:val="auto"/>
              </w:rPr>
            </w:pPr>
            <w:r>
              <w:rPr>
                <w:rFonts w:ascii="Arial" w:cs="Arial" w:eastAsia="Arial" w:hAnsi="Arial"/>
                <w:sz w:val="17"/>
                <w:szCs w:val="17"/>
                <w:b w:val="1"/>
                <w:bCs w:val="1"/>
                <w:color w:val="auto"/>
              </w:rPr>
              <w:t>2,635,407</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433,345</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900,640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b w:val="1"/>
                <w:bCs w:val="1"/>
                <w:color w:val="auto"/>
              </w:rPr>
              <w:t>Cost to repurchase common stock</w:t>
            </w:r>
          </w:p>
        </w:tc>
        <w:tc>
          <w:tcPr>
            <w:tcW w:w="15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79"/>
              <w:spacing w:after="0"/>
              <w:rPr>
                <w:sz w:val="20"/>
                <w:szCs w:val="20"/>
                <w:color w:val="auto"/>
              </w:rPr>
            </w:pPr>
            <w:r>
              <w:rPr>
                <w:rFonts w:ascii="Arial" w:cs="Arial" w:eastAsia="Arial" w:hAnsi="Arial"/>
                <w:sz w:val="17"/>
                <w:szCs w:val="17"/>
                <w:b w:val="1"/>
                <w:bCs w:val="1"/>
                <w:color w:val="auto"/>
              </w:rPr>
              <w:t>169.8</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9"/>
              <w:spacing w:after="0"/>
              <w:rPr>
                <w:sz w:val="20"/>
                <w:szCs w:val="20"/>
                <w:color w:val="auto"/>
              </w:rPr>
            </w:pPr>
            <w:r>
              <w:rPr>
                <w:rFonts w:ascii="Arial" w:cs="Arial" w:eastAsia="Arial" w:hAnsi="Arial"/>
                <w:sz w:val="17"/>
                <w:szCs w:val="17"/>
                <w:color w:val="auto"/>
              </w:rPr>
              <w:t>18.7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price paid per share</w:t>
            </w:r>
          </w:p>
        </w:tc>
        <w:tc>
          <w:tcPr>
            <w:tcW w:w="1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179"/>
              <w:spacing w:after="0"/>
              <w:rPr>
                <w:sz w:val="20"/>
                <w:szCs w:val="20"/>
                <w:color w:val="auto"/>
              </w:rPr>
            </w:pPr>
            <w:r>
              <w:rPr>
                <w:rFonts w:ascii="Arial" w:cs="Arial" w:eastAsia="Arial" w:hAnsi="Arial"/>
                <w:sz w:val="17"/>
                <w:szCs w:val="17"/>
                <w:b w:val="1"/>
                <w:bCs w:val="1"/>
                <w:color w:val="auto"/>
              </w:rPr>
              <w:t>64.44</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9"/>
              <w:spacing w:after="0"/>
              <w:rPr>
                <w:sz w:val="20"/>
                <w:szCs w:val="20"/>
                <w:color w:val="auto"/>
              </w:rPr>
            </w:pPr>
            <w:r>
              <w:rPr>
                <w:rFonts w:ascii="Arial" w:cs="Arial" w:eastAsia="Arial" w:hAnsi="Arial"/>
                <w:sz w:val="17"/>
                <w:szCs w:val="17"/>
                <w:color w:val="auto"/>
              </w:rPr>
              <w:t>43.22</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26.83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 and Contractual Obligations</w:t>
      </w:r>
    </w:p>
    <w:p>
      <w:pPr>
        <w:spacing w:after="0" w:line="227" w:lineRule="exact"/>
        <w:rPr>
          <w:sz w:val="20"/>
          <w:szCs w:val="20"/>
          <w:color w:val="auto"/>
        </w:rPr>
      </w:pPr>
    </w:p>
    <w:p>
      <w:pPr>
        <w:jc w:val="both"/>
        <w:ind w:right="640"/>
        <w:spacing w:after="0" w:line="273" w:lineRule="auto"/>
        <w:rPr>
          <w:sz w:val="20"/>
          <w:szCs w:val="20"/>
          <w:color w:val="auto"/>
        </w:rPr>
      </w:pPr>
      <w:r>
        <w:rPr>
          <w:rFonts w:ascii="Arial" w:cs="Arial" w:eastAsia="Arial" w:hAnsi="Arial"/>
          <w:sz w:val="17"/>
          <w:szCs w:val="17"/>
          <w:color w:val="auto"/>
        </w:rPr>
        <w:t>It is not our usual business practice to enter into off-balance sheet arrangements, except for off-balance sheet arrangements related to our customer financing activities and inventory purchase commitments described below as well as operating lease commitments and currency contracts disclosed in the contractual obligations table below. Moreover, it is not our normal policy to issue guarantees to third parties.</w:t>
      </w:r>
    </w:p>
    <w:p>
      <w:pPr>
        <w:spacing w:after="0" w:line="180"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b w:val="1"/>
          <w:bCs w:val="1"/>
          <w:i w:val="1"/>
          <w:iCs w:val="1"/>
          <w:color w:val="auto"/>
        </w:rPr>
        <w:t xml:space="preserve">Wholesale Financing. </w:t>
      </w:r>
      <w:r>
        <w:rPr>
          <w:rFonts w:ascii="Arial" w:cs="Arial" w:eastAsia="Arial" w:hAnsi="Arial"/>
          <w:sz w:val="17"/>
          <w:szCs w:val="17"/>
          <w:color w:val="auto"/>
        </w:rPr>
        <w:t>Toro Credit Company (TCC), a wholly owned financing subsidiary, provides financing for our North American Toro distributors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200 domestic dealers for select products that we manufacture. Independent North American Toro and Exmark distributors and dealers that do not finance through TCC generally finance their inventories with third party financing companies.</w:t>
      </w:r>
    </w:p>
    <w:p>
      <w:pPr>
        <w:spacing w:after="0" w:line="180" w:lineRule="exact"/>
        <w:rPr>
          <w:sz w:val="20"/>
          <w:szCs w:val="20"/>
          <w:color w:val="auto"/>
        </w:rPr>
      </w:pPr>
    </w:p>
    <w:p>
      <w:pPr>
        <w:ind w:firstLine="83"/>
        <w:spacing w:after="0" w:line="277" w:lineRule="auto"/>
        <w:rPr>
          <w:sz w:val="20"/>
          <w:szCs w:val="20"/>
          <w:color w:val="auto"/>
        </w:rPr>
      </w:pPr>
      <w:r>
        <w:rPr>
          <w:rFonts w:ascii="Arial" w:cs="Arial" w:eastAsia="Arial" w:hAnsi="Arial"/>
          <w:sz w:val="16"/>
          <w:szCs w:val="16"/>
          <w:color w:val="auto"/>
        </w:rPr>
        <w:t>TCC and other third party financing companies purchase selected receivables from us and our distributors and dealers for extended periods that assists our distributors and dealers to carry representative inventories of products. Down payments are not required and, depending on the finance program for each product line, finance charges are incurred by us, shared between us and the distributor or dealer, or paid by the distributor or dealer. We retain a security interest in the distributors’ and dealers’ inventories, and make periodic physical checks of those inventories. Under the sales terms to distributors and dealers, finance charges are applied to outstanding balances from the earlier of the date when product is sold to a customer, or the expiration of company-supported finance terms granted at the time of sale, until payment is received by TCC or the third party finance company. Rates are generally fixed or based on the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ind w:right="320" w:firstLine="83"/>
        <w:spacing w:after="0" w:line="279" w:lineRule="auto"/>
        <w:rPr>
          <w:sz w:val="20"/>
          <w:szCs w:val="20"/>
          <w:color w:val="auto"/>
        </w:rPr>
      </w:pPr>
      <w:r>
        <w:rPr>
          <w:rFonts w:ascii="Arial" w:cs="Arial" w:eastAsia="Arial" w:hAnsi="Arial"/>
          <w:sz w:val="17"/>
          <w:szCs w:val="17"/>
          <w:color w:val="auto"/>
        </w:rPr>
        <w:t>Third party financing companies purchased $431.0 million of receivables of our financed products during fiscal 2004. The outstanding receivable balance owed from our distributors and dealers to third party financing companies was $152.9 million 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October 31, 2004. Our maximum exposure for credit recourse with a third party financing company related to receivables under these financing arrangements was $0.6 million as of October 31, 2004. We also enter into limited inventory repurchase agreements with third party financing companies. As of October 31, 2004, we were contingently liable to repurchase up to $3.7 million of inventory related to receivables under these financing arrangements. We have repurchased immaterial amounts of inventory from third party financing companies over the past three years. However, a decline in retail sales could cause this situation to change and thereby require us to repurchase financed product.</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 xml:space="preserve">End-User Financing. </w:t>
      </w:r>
      <w:r>
        <w:rPr>
          <w:rFonts w:ascii="Arial" w:cs="Arial" w:eastAsia="Arial" w:hAnsi="Arial"/>
          <w:sz w:val="17"/>
          <w:szCs w:val="17"/>
          <w:color w:val="auto"/>
        </w:rPr>
        <w:t>We have an agreement with a third party financing company to provide lease-financing options to domestic golf course and grounds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The purpose of the agreement is to increase sales by giving end-user buyers of our products alternative financing options when purchasing our products. Under the terms of this agreement, we could be contingently liable for a portion of the credit collection and residual value risk on the underlying equipment for leasing transactions financed under this program. Our maximum exposure for credit collection and residual value as of October 31, 2004 was $7.2 million. We have established a reserve for our estimated exposure related to this program.</w:t>
      </w:r>
    </w:p>
    <w:p>
      <w:pPr>
        <w:spacing w:after="0" w:line="187" w:lineRule="exact"/>
        <w:rPr>
          <w:sz w:val="20"/>
          <w:szCs w:val="20"/>
          <w:color w:val="auto"/>
        </w:rPr>
      </w:pPr>
    </w:p>
    <w:p>
      <w:pPr>
        <w:ind w:right="100" w:firstLine="86"/>
        <w:spacing w:after="0" w:line="261" w:lineRule="auto"/>
        <w:rPr>
          <w:sz w:val="20"/>
          <w:szCs w:val="20"/>
          <w:color w:val="auto"/>
        </w:rPr>
      </w:pPr>
      <w:r>
        <w:rPr>
          <w:rFonts w:ascii="Arial" w:cs="Arial" w:eastAsia="Arial" w:hAnsi="Arial"/>
          <w:sz w:val="17"/>
          <w:szCs w:val="17"/>
          <w:color w:val="auto"/>
        </w:rPr>
        <w:t>In the normal course of business, we have arrangements with other financial institutions to provide various forms of financing options to end-user customers. From time to time, our company-owned distributorships also guarantee the residual value at the end of leases with third-party financing companies for product sold to customers. The amount of this potential contingent liability as of October 31, 2004 was $1.9 million. None of these other arrangements require any additional material financial involvement by us.</w:t>
      </w:r>
    </w:p>
    <w:p>
      <w:pPr>
        <w:spacing w:after="0" w:line="2" w:lineRule="exact"/>
        <w:rPr>
          <w:sz w:val="20"/>
          <w:szCs w:val="20"/>
          <w:color w:val="auto"/>
        </w:rPr>
      </w:pPr>
    </w:p>
    <w:p>
      <w:pPr>
        <w:ind w:right="60" w:firstLine="83"/>
        <w:spacing w:after="0" w:line="269" w:lineRule="auto"/>
        <w:rPr>
          <w:sz w:val="20"/>
          <w:szCs w:val="20"/>
          <w:color w:val="auto"/>
        </w:rPr>
      </w:pPr>
      <w:r>
        <w:rPr>
          <w:rFonts w:ascii="Arial" w:cs="Arial" w:eastAsia="Arial" w:hAnsi="Arial"/>
          <w:sz w:val="17"/>
          <w:szCs w:val="17"/>
          <w:color w:val="auto"/>
        </w:rPr>
        <w:t>Termination of our end-user financing arrangements, any material change to the terms in the financing arrangements, availability of credit for our customers, or any delay in securing replacement credit sources could have a material impact on our future operating results; however, we do not anticipate those items are likely to occur.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Distributor Financing. </w:t>
      </w:r>
      <w:r>
        <w:rPr>
          <w:rFonts w:ascii="Arial" w:cs="Arial" w:eastAsia="Arial" w:hAnsi="Arial"/>
          <w:sz w:val="15"/>
          <w:szCs w:val="15"/>
          <w:color w:val="auto"/>
        </w:rPr>
        <w:t>We enter into long-term loan agreements with some distributors. These transactions are used for expansion of the distributors’ businesses,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acquisitions, refinancing working capital agreements, or to facilitate ownership changes. As of October 31, 2004 and 2003, we have loaned and/or invested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$11.8 million and $6.3 million, respectively, in several distribution companies. The increase of $5.5 million was mainly the result of account receivable balances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refinanced to long-term loans for a distributor. This amount is included in other current- and long-term assets on the consolidated balance sheets.</w:t>
      </w:r>
    </w:p>
    <w:p>
      <w:pPr>
        <w:spacing w:after="0" w:line="22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We have purchase commitments with some suppliers for materials and supplies as part of the normal course of business. There are a limited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supply contracts that contain penalty provisions for failure to purchase contracted quantities. We do not expect potential payments under these provisions to materially affect our results of operations or financial condition. This conclusion is based upon reasonably likely outcomes assumed by reference to historical experience and current business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summarizes our contractual obligations as of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0732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w w:val="93"/>
              </w:rPr>
              <w:t>Payments Due By Period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240" w:type="dxa"/>
            <w:vAlign w:val="bottom"/>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52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00" w:type="dxa"/>
            <w:vAlign w:val="bottom"/>
          </w:tcPr>
          <w:p>
            <w:pPr>
              <w:spacing w:after="0"/>
              <w:rPr>
                <w:sz w:val="20"/>
                <w:szCs w:val="20"/>
                <w:color w:val="auto"/>
              </w:rPr>
            </w:pPr>
          </w:p>
        </w:tc>
        <w:tc>
          <w:tcPr>
            <w:tcW w:w="980" w:type="dxa"/>
            <w:vAlign w:val="bottom"/>
          </w:tcPr>
          <w:p>
            <w:pPr>
              <w:jc w:val="right"/>
              <w:ind w:right="240"/>
              <w:spacing w:after="0"/>
              <w:rPr>
                <w:sz w:val="20"/>
                <w:szCs w:val="20"/>
                <w:color w:val="auto"/>
              </w:rPr>
            </w:pPr>
            <w:r>
              <w:rPr>
                <w:rFonts w:ascii="Arial" w:cs="Arial" w:eastAsia="Arial" w:hAnsi="Arial"/>
                <w:sz w:val="13"/>
                <w:szCs w:val="13"/>
                <w:color w:val="auto"/>
              </w:rPr>
              <w:t>Less Than</w:t>
            </w: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560" w:type="dxa"/>
            <w:vAlign w:val="bottom"/>
          </w:tcPr>
          <w:p>
            <w:pPr>
              <w:spacing w:after="0"/>
              <w:rPr>
                <w:sz w:val="20"/>
                <w:szCs w:val="20"/>
                <w:color w:val="auto"/>
              </w:rPr>
            </w:pPr>
          </w:p>
        </w:tc>
        <w:tc>
          <w:tcPr>
            <w:tcW w:w="820" w:type="dxa"/>
            <w:vAlign w:val="bottom"/>
          </w:tcPr>
          <w:p>
            <w:pPr>
              <w:jc w:val="right"/>
              <w:ind w:right="300"/>
              <w:spacing w:after="0"/>
              <w:rPr>
                <w:sz w:val="20"/>
                <w:szCs w:val="20"/>
                <w:color w:val="auto"/>
              </w:rPr>
            </w:pPr>
            <w:r>
              <w:rPr>
                <w:rFonts w:ascii="Arial" w:cs="Arial" w:eastAsia="Arial" w:hAnsi="Arial"/>
                <w:sz w:val="13"/>
                <w:szCs w:val="13"/>
                <w:color w:val="auto"/>
              </w:rPr>
              <w:t>3-5</w:t>
            </w:r>
          </w:p>
        </w:tc>
        <w:tc>
          <w:tcPr>
            <w:tcW w:w="200" w:type="dxa"/>
            <w:vAlign w:val="bottom"/>
          </w:tcPr>
          <w:p>
            <w:pPr>
              <w:spacing w:after="0"/>
              <w:rPr>
                <w:sz w:val="20"/>
                <w:szCs w:val="20"/>
                <w:color w:val="auto"/>
              </w:rPr>
            </w:pPr>
          </w:p>
        </w:tc>
        <w:tc>
          <w:tcPr>
            <w:tcW w:w="940" w:type="dxa"/>
            <w:vAlign w:val="bottom"/>
          </w:tcPr>
          <w:p>
            <w:pPr>
              <w:jc w:val="right"/>
              <w:ind w:right="200"/>
              <w:spacing w:after="0"/>
              <w:rPr>
                <w:sz w:val="20"/>
                <w:szCs w:val="20"/>
                <w:color w:val="auto"/>
              </w:rPr>
            </w:pPr>
            <w:r>
              <w:rPr>
                <w:rFonts w:ascii="Arial" w:cs="Arial" w:eastAsia="Arial" w:hAnsi="Arial"/>
                <w:sz w:val="13"/>
                <w:szCs w:val="13"/>
                <w:color w:val="auto"/>
              </w:rPr>
              <w:t>After 5</w:t>
            </w: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240" w:type="dxa"/>
            <w:vAlign w:val="bottom"/>
            <w:gridSpan w:val="2"/>
          </w:tcPr>
          <w:p>
            <w:pPr>
              <w:spacing w:after="0"/>
              <w:rPr>
                <w:sz w:val="20"/>
                <w:szCs w:val="20"/>
                <w:color w:val="auto"/>
              </w:rPr>
            </w:pPr>
            <w:r>
              <w:rPr>
                <w:rFonts w:ascii="Arial" w:cs="Arial" w:eastAsia="Arial" w:hAnsi="Arial"/>
                <w:sz w:val="13"/>
                <w:szCs w:val="13"/>
                <w:color w:val="auto"/>
              </w:rPr>
              <w:t>Contractual Obligation</w:t>
            </w:r>
          </w:p>
        </w:tc>
        <w:tc>
          <w:tcPr>
            <w:tcW w:w="20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3"/>
                <w:szCs w:val="13"/>
                <w:color w:val="auto"/>
              </w:rPr>
              <w:t>1 Year</w:t>
            </w: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Years</w:t>
            </w:r>
          </w:p>
        </w:tc>
        <w:tc>
          <w:tcPr>
            <w:tcW w:w="560" w:type="dxa"/>
            <w:vAlign w:val="bottom"/>
          </w:tcPr>
          <w:p>
            <w:pPr>
              <w:spacing w:after="0"/>
              <w:rPr>
                <w:sz w:val="14"/>
                <w:szCs w:val="14"/>
                <w:color w:val="auto"/>
              </w:rPr>
            </w:pPr>
          </w:p>
        </w:tc>
        <w:tc>
          <w:tcPr>
            <w:tcW w:w="820" w:type="dxa"/>
            <w:vAlign w:val="bottom"/>
          </w:tcPr>
          <w:p>
            <w:pPr>
              <w:jc w:val="right"/>
              <w:ind w:right="300"/>
              <w:spacing w:after="0"/>
              <w:rPr>
                <w:sz w:val="20"/>
                <w:szCs w:val="20"/>
                <w:color w:val="auto"/>
              </w:rPr>
            </w:pPr>
            <w:r>
              <w:rPr>
                <w:rFonts w:ascii="Arial" w:cs="Arial" w:eastAsia="Arial" w:hAnsi="Arial"/>
                <w:sz w:val="13"/>
                <w:szCs w:val="13"/>
                <w:color w:val="auto"/>
              </w:rPr>
              <w:t>Years</w:t>
            </w:r>
          </w:p>
        </w:tc>
        <w:tc>
          <w:tcPr>
            <w:tcW w:w="200" w:type="dxa"/>
            <w:vAlign w:val="bottom"/>
          </w:tcPr>
          <w:p>
            <w:pPr>
              <w:spacing w:after="0"/>
              <w:rPr>
                <w:sz w:val="14"/>
                <w:szCs w:val="14"/>
                <w:color w:val="auto"/>
              </w:rPr>
            </w:pPr>
          </w:p>
        </w:tc>
        <w:tc>
          <w:tcPr>
            <w:tcW w:w="940" w:type="dxa"/>
            <w:vAlign w:val="bottom"/>
          </w:tcPr>
          <w:p>
            <w:pPr>
              <w:jc w:val="right"/>
              <w:ind w:right="200"/>
              <w:spacing w:after="0"/>
              <w:rPr>
                <w:sz w:val="20"/>
                <w:szCs w:val="20"/>
                <w:color w:val="auto"/>
              </w:rPr>
            </w:pPr>
            <w:r>
              <w:rPr>
                <w:rFonts w:ascii="Arial" w:cs="Arial" w:eastAsia="Arial" w:hAnsi="Arial"/>
                <w:sz w:val="13"/>
                <w:szCs w:val="13"/>
                <w:color w:val="auto"/>
              </w:rPr>
              <w:t>Years</w:t>
            </w:r>
          </w:p>
        </w:tc>
        <w:tc>
          <w:tcPr>
            <w:tcW w:w="4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Long-term debt</w:t>
            </w:r>
          </w:p>
        </w:tc>
        <w:tc>
          <w:tcPr>
            <w:tcW w:w="20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45</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99"/>
              </w:rPr>
              <w:t>75,046</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EEEEEE"/>
          </w:tcPr>
          <w:p>
            <w:pPr>
              <w:jc w:val="right"/>
              <w:ind w:right="30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100,000</w:t>
            </w:r>
          </w:p>
        </w:tc>
        <w:tc>
          <w:tcPr>
            <w:tcW w:w="48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175,091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b w:val="1"/>
                <w:bCs w:val="1"/>
                <w:color w:val="auto"/>
              </w:rPr>
              <w:t>Purchase obligations</w:t>
            </w:r>
          </w:p>
        </w:tc>
        <w:tc>
          <w:tcPr>
            <w:tcW w:w="200" w:type="dxa"/>
            <w:vAlign w:val="bottom"/>
          </w:tcPr>
          <w:p>
            <w:pPr>
              <w:spacing w:after="0"/>
              <w:rPr>
                <w:sz w:val="18"/>
                <w:szCs w:val="18"/>
                <w:color w:val="auto"/>
              </w:rPr>
            </w:pPr>
          </w:p>
        </w:tc>
        <w:tc>
          <w:tcPr>
            <w:tcW w:w="980" w:type="dxa"/>
            <w:vAlign w:val="bottom"/>
          </w:tcPr>
          <w:p>
            <w:pPr>
              <w:jc w:val="right"/>
              <w:ind w:right="240"/>
              <w:spacing w:after="0"/>
              <w:rPr>
                <w:sz w:val="20"/>
                <w:szCs w:val="20"/>
                <w:color w:val="auto"/>
              </w:rPr>
            </w:pPr>
            <w:r>
              <w:rPr>
                <w:rFonts w:ascii="Arial" w:cs="Arial" w:eastAsia="Arial" w:hAnsi="Arial"/>
                <w:sz w:val="17"/>
                <w:szCs w:val="17"/>
                <w:b w:val="1"/>
                <w:bCs w:val="1"/>
                <w:color w:val="auto"/>
              </w:rPr>
              <w:t>1,782</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940" w:type="dxa"/>
            <w:vAlign w:val="bottom"/>
          </w:tcPr>
          <w:p>
            <w:pPr>
              <w:jc w:val="right"/>
              <w:ind w:right="20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Operating leases</w:t>
            </w:r>
          </w:p>
        </w:tc>
        <w:tc>
          <w:tcPr>
            <w:tcW w:w="2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13,980</w:t>
            </w: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99"/>
              </w:rPr>
              <w:t>21,501</w:t>
            </w:r>
          </w:p>
        </w:tc>
        <w:tc>
          <w:tcPr>
            <w:tcW w:w="5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00"/>
              <w:spacing w:after="0"/>
              <w:rPr>
                <w:sz w:val="20"/>
                <w:szCs w:val="20"/>
                <w:color w:val="auto"/>
              </w:rPr>
            </w:pPr>
            <w:r>
              <w:rPr>
                <w:rFonts w:ascii="Arial" w:cs="Arial" w:eastAsia="Arial" w:hAnsi="Arial"/>
                <w:sz w:val="17"/>
                <w:szCs w:val="17"/>
                <w:b w:val="1"/>
                <w:bCs w:val="1"/>
                <w:color w:val="auto"/>
                <w:w w:val="98"/>
              </w:rPr>
              <w:t>9,568</w:t>
            </w: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1,154</w:t>
            </w:r>
          </w:p>
        </w:tc>
        <w:tc>
          <w:tcPr>
            <w:tcW w:w="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46,203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7"/>
                <w:szCs w:val="17"/>
                <w:b w:val="1"/>
                <w:bCs w:val="1"/>
                <w:color w:val="auto"/>
              </w:rPr>
              <w:t>Currency contracts</w:t>
            </w:r>
          </w:p>
        </w:tc>
        <w:tc>
          <w:tcPr>
            <w:tcW w:w="200" w:type="dxa"/>
            <w:vAlign w:val="bottom"/>
          </w:tcPr>
          <w:p>
            <w:pPr>
              <w:spacing w:after="0"/>
              <w:rPr>
                <w:sz w:val="19"/>
                <w:szCs w:val="19"/>
                <w:color w:val="auto"/>
              </w:rPr>
            </w:pPr>
          </w:p>
        </w:tc>
        <w:tc>
          <w:tcPr>
            <w:tcW w:w="980" w:type="dxa"/>
            <w:vAlign w:val="bottom"/>
          </w:tcPr>
          <w:p>
            <w:pPr>
              <w:jc w:val="right"/>
              <w:ind w:right="240"/>
              <w:spacing w:after="0"/>
              <w:rPr>
                <w:sz w:val="20"/>
                <w:szCs w:val="20"/>
                <w:color w:val="auto"/>
              </w:rPr>
            </w:pPr>
            <w:r>
              <w:rPr>
                <w:rFonts w:ascii="Arial" w:cs="Arial" w:eastAsia="Arial" w:hAnsi="Arial"/>
                <w:sz w:val="17"/>
                <w:szCs w:val="17"/>
                <w:b w:val="1"/>
                <w:bCs w:val="1"/>
                <w:color w:val="auto"/>
              </w:rPr>
              <w:t>23,213</w:t>
            </w: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spacing w:after="0"/>
              <w:rPr>
                <w:sz w:val="19"/>
                <w:szCs w:val="19"/>
                <w:color w:val="auto"/>
              </w:rPr>
            </w:pPr>
          </w:p>
        </w:tc>
        <w:tc>
          <w:tcPr>
            <w:tcW w:w="820" w:type="dxa"/>
            <w:vAlign w:val="bottom"/>
          </w:tcPr>
          <w:p>
            <w:pPr>
              <w:jc w:val="right"/>
              <w:ind w:right="30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940" w:type="dxa"/>
            <w:vAlign w:val="bottom"/>
          </w:tcPr>
          <w:p>
            <w:pPr>
              <w:jc w:val="right"/>
              <w:ind w:right="20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23,213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39,020</w:t>
            </w:r>
          </w:p>
        </w:tc>
        <w:tc>
          <w:tcPr>
            <w:tcW w:w="4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99"/>
              </w:rPr>
              <w:t>96,547</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EEEEEE"/>
          </w:tcPr>
          <w:p>
            <w:pPr>
              <w:jc w:val="right"/>
              <w:ind w:right="300"/>
              <w:spacing w:after="0"/>
              <w:rPr>
                <w:sz w:val="20"/>
                <w:szCs w:val="20"/>
                <w:color w:val="auto"/>
              </w:rPr>
            </w:pPr>
            <w:r>
              <w:rPr>
                <w:rFonts w:ascii="Arial" w:cs="Arial" w:eastAsia="Arial" w:hAnsi="Arial"/>
                <w:sz w:val="17"/>
                <w:szCs w:val="17"/>
                <w:b w:val="1"/>
                <w:bCs w:val="1"/>
                <w:color w:val="auto"/>
                <w:w w:val="98"/>
              </w:rPr>
              <w:t>9,568</w:t>
            </w:r>
          </w:p>
        </w:tc>
        <w:tc>
          <w:tcPr>
            <w:tcW w:w="20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94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101,154</w:t>
            </w:r>
          </w:p>
        </w:tc>
        <w:tc>
          <w:tcPr>
            <w:tcW w:w="48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246,289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5"/>
          <w:szCs w:val="15"/>
          <w:color w:val="auto"/>
        </w:rPr>
        <w:t>As of October 31, 2004, we also had $10.9 million in outstanding letters of credit issued during the normal course of business, as required by some vendor contracts.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Risk</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Due to the global nature of our operations, we are subject to exposures that arise from fluctuations in interest rates, foreign currency exchange rates, and commodity prices. To manage the volatility relating to these exposures, we evaluate our exposures on a global basis to take advantage of netting opportunities that exist. For the remaining exposures, our risk management policy is to hedge exposure to certain risks by entering into various hedging instruments to minimize market risk. We are also exposed to equity market risk pertaining to the trading price of our stock. Additional information is presented in Item 7A, Quantitative and Qualitative Disclosures about Market Risk, and Note 14 of the notes to consolidated financial statements.</w:t>
      </w:r>
    </w:p>
    <w:p>
      <w:pPr>
        <w:spacing w:after="0" w:line="2" w:lineRule="exact"/>
        <w:rPr>
          <w:sz w:val="20"/>
          <w:szCs w:val="20"/>
          <w:color w:val="auto"/>
        </w:rPr>
      </w:pPr>
    </w:p>
    <w:p>
      <w:pPr>
        <w:ind w:right="80" w:firstLine="86"/>
        <w:spacing w:after="0" w:line="349" w:lineRule="auto"/>
        <w:rPr>
          <w:sz w:val="20"/>
          <w:szCs w:val="20"/>
          <w:color w:val="auto"/>
        </w:rPr>
      </w:pPr>
      <w:r>
        <w:rPr>
          <w:rFonts w:ascii="Arial" w:cs="Arial" w:eastAsia="Arial" w:hAnsi="Arial"/>
          <w:sz w:val="15"/>
          <w:szCs w:val="15"/>
          <w:color w:val="auto"/>
        </w:rPr>
        <w:t>In fiscal 2004, we experienced rising prices for steel and other commodities that had a negative impact on our gross margins and net earnings. Given the worldwide steel market conditions, we anticipate average prices paid for steel-based raw materials and component parts to increase in fiscal 2005 compared to fiscal 2004.</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Inflation</w:t>
      </w:r>
    </w:p>
    <w:p>
      <w:pPr>
        <w:spacing w:after="0" w:line="2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subject to the effects of inflation and changing prices. As previously mentioned, we experienced rising prices for steel and other commodities during fiscal 2004 that had a negative impact on our gross margins and net earnings. In fiscal 2005, we expect average prices of steel and other commodities to be higher than the average prices paid in fiscal 2004. We will</w:t>
      </w:r>
    </w:p>
    <w:p>
      <w:pPr>
        <w:sectPr>
          <w:pgSz w:w="11900" w:h="16838" w:orient="portrait"/>
          <w:cols w:equalWidth="0" w:num="1">
            <w:col w:w="11420"/>
          </w:cols>
          <w:pgMar w:left="240" w:top="413"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attempt to mitigate the impact of these anticipated increases in steel and other commodity prices and other inflationary pressures by actively pursuing internal cost reduction efforts and introducing price increases.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Investment in Affiliate and Divestiture</w:t>
      </w:r>
    </w:p>
    <w:p>
      <w:pPr>
        <w:spacing w:after="0" w:line="227"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 fiscal 2004, we entered into a joint venture agreement with a leading engine manufacturer to source two-cycle snow thrower engines for us and other customers. We have determined that this new entity is a variable interest entity under the provisions of Financial Accounting Standards Board (FASB) Interpretation No. 46R, “Consolidation of Variable Interest Entities” (FIN 46R). We have determined that we are not required to consolidate the entity because we are not the primary beneficiary. During fiscal 2004, no material transactions were recorded in this joint venture.</w:t>
      </w:r>
    </w:p>
    <w:p>
      <w:pPr>
        <w:spacing w:after="0" w:line="2" w:lineRule="exact"/>
        <w:rPr>
          <w:sz w:val="20"/>
          <w:szCs w:val="20"/>
          <w:color w:val="auto"/>
        </w:rPr>
      </w:pPr>
    </w:p>
    <w:p>
      <w:pPr>
        <w:ind w:right="180" w:firstLine="86"/>
        <w:spacing w:after="0" w:line="279" w:lineRule="auto"/>
        <w:rPr>
          <w:sz w:val="20"/>
          <w:szCs w:val="20"/>
          <w:color w:val="auto"/>
        </w:rPr>
      </w:pPr>
      <w:r>
        <w:rPr>
          <w:rFonts w:ascii="Arial" w:cs="Arial" w:eastAsia="Arial" w:hAnsi="Arial"/>
          <w:sz w:val="17"/>
          <w:szCs w:val="17"/>
          <w:color w:val="auto"/>
        </w:rPr>
        <w:t>In fiscal 2004, we completed the sale of our southeastern-based U.S. distributorship, which was acquired in fiscal 2003. During the first quarter of fiscal 2005, we also completed the sale of our southwestern-based U.S. distribution company.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preparing our consolidated financial statements in conformity with accounting principles generally accepted in the United States of America,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 w:lineRule="exact"/>
        <w:rPr>
          <w:sz w:val="20"/>
          <w:szCs w:val="20"/>
          <w:color w:val="auto"/>
        </w:rPr>
      </w:pPr>
    </w:p>
    <w:p>
      <w:pPr>
        <w:ind w:right="20" w:firstLine="86"/>
        <w:spacing w:after="0" w:line="285" w:lineRule="auto"/>
        <w:rPr>
          <w:sz w:val="20"/>
          <w:szCs w:val="20"/>
          <w:color w:val="auto"/>
        </w:rPr>
      </w:pPr>
      <w:r>
        <w:rPr>
          <w:rFonts w:ascii="Arial" w:cs="Arial" w:eastAsia="Arial" w:hAnsi="Arial"/>
          <w:sz w:val="16"/>
          <w:szCs w:val="16"/>
          <w:color w:val="auto"/>
        </w:rPr>
        <w:t>Our significant accounting policies are described in Note 1 to the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that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Warranty Reserve. </w:t>
      </w:r>
      <w:r>
        <w:rPr>
          <w:rFonts w:ascii="Arial" w:cs="Arial" w:eastAsia="Arial" w:hAnsi="Arial"/>
          <w:sz w:val="16"/>
          <w:szCs w:val="16"/>
          <w:color w:val="auto"/>
        </w:rPr>
        <w:t>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 warranty claims. We also establish reserves for major rework campaigns upon approval.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of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 As of October 31, 2004, we had $61.0 million accrued related to future estimated warranty claims.</w:t>
      </w:r>
    </w:p>
    <w:p>
      <w:pPr>
        <w:spacing w:after="0" w:line="183"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 xml:space="preserve">Accounts and Notes Receivable Valuation. </w:t>
      </w:r>
      <w:r>
        <w:rPr>
          <w:rFonts w:ascii="Arial" w:cs="Arial" w:eastAsia="Arial" w:hAnsi="Arial"/>
          <w:sz w:val="16"/>
          <w:szCs w:val="16"/>
          <w:color w:val="auto"/>
        </w:rPr>
        <w:t>We value accounts and notes receivable, net of an allowance for doubtful accounts. Each quarter, we estimate our 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is appropriate, we would record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credit or charge to selling, general, and administrative expense in the period that we made such a determination. As of October 31, 2004, we had $2.2 million reserved against our accounts and notes receivable.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Accounting Pronouncements to be Adopted</w:t>
      </w:r>
    </w:p>
    <w:p>
      <w:pPr>
        <w:spacing w:after="0" w:line="22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allocation of fixed production overheads to the costs of conversion be based on the normal capacity of the production facilities. We are currently evaluating the provisions of SFAS No. 151 and will adopt it on November 1, 2005, as required.</w:t>
      </w:r>
    </w:p>
    <w:p>
      <w:pPr>
        <w:spacing w:after="0" w:line="1" w:lineRule="exact"/>
        <w:rPr>
          <w:sz w:val="20"/>
          <w:szCs w:val="20"/>
          <w:color w:val="auto"/>
        </w:rPr>
      </w:pPr>
    </w:p>
    <w:p>
      <w:pPr>
        <w:ind w:right="40" w:firstLine="86"/>
        <w:spacing w:after="0" w:line="263" w:lineRule="auto"/>
        <w:rPr>
          <w:sz w:val="20"/>
          <w:szCs w:val="20"/>
          <w:color w:val="auto"/>
        </w:rPr>
      </w:pPr>
      <w:r>
        <w:rPr>
          <w:rFonts w:ascii="Arial" w:cs="Arial" w:eastAsia="Arial" w:hAnsi="Arial"/>
          <w:sz w:val="17"/>
          <w:szCs w:val="17"/>
          <w:color w:val="auto"/>
        </w:rPr>
        <w:t>Effective November 1, 2004, we voluntarily adopted SFAS No. 123, “Accounting for Stock-Based Compensation,” as amended by SFAS No. 148, “Accounting for Stock-Based Compensation – Transition and Disclosure.” The provisions of SFAS No. 123 require that stock-based compensation, including stock options, be recognized as expense at fair value from the date of grant to the vesting date. Under the fair value method of accounting, stock-based compensation will be measured at the date of grant using a Black-Scholes valuation method. The adoption of SFAS No. 123 is expected to result in a net earnings per diluted share benefit ranging from $0.05 to $0.08 in fiscal 2005. The impact is based on recording expense for the fair value of stock options granted and the change from variable to fixed value method of accounting related to our Performance Share Plan.</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22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18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i w:val="1"/>
          <w:iCs w:val="1"/>
          <w:color w:val="auto"/>
        </w:rPr>
        <w:t xml:space="preserve">Foreign Currency Exchange Rate Risk. </w:t>
      </w:r>
      <w:r>
        <w:rPr>
          <w:rFonts w:ascii="Arial" w:cs="Arial" w:eastAsia="Arial" w:hAnsi="Arial"/>
          <w:sz w:val="16"/>
          <w:szCs w:val="16"/>
          <w:color w:val="auto"/>
        </w:rPr>
        <w:t>In the normal course of business, we actively manage the exposure of our foreign currency market risk by entering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hedging instruments, authorized under company policies that place controls on these activities, with counterparties that are highly rated financial institutions. Our hedging activities involve the use of a variety of derivative financial instruments. We use derivative instruments only in an attempt to limit underlying exposure from currency fluctuations and to minimize earnings and cash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78" w:lineRule="exact"/>
        <w:rPr>
          <w:sz w:val="20"/>
          <w:szCs w:val="20"/>
          <w:color w:val="auto"/>
        </w:rPr>
      </w:pPr>
    </w:p>
    <w:p>
      <w:pPr>
        <w:ind w:firstLine="83"/>
        <w:spacing w:after="0" w:line="277"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2004, the amount of losses reclassified to earnings for such cash flow hedges was $7.1 million.</w:t>
      </w:r>
    </w:p>
    <w:p>
      <w:pPr>
        <w:spacing w:after="0" w:line="1" w:lineRule="exact"/>
        <w:rPr>
          <w:sz w:val="20"/>
          <w:szCs w:val="20"/>
          <w:color w:val="auto"/>
        </w:rPr>
      </w:pPr>
    </w:p>
    <w:p>
      <w:pPr>
        <w:ind w:right="180" w:firstLine="83"/>
        <w:spacing w:after="0" w:line="264" w:lineRule="auto"/>
        <w:rPr>
          <w:sz w:val="20"/>
          <w:szCs w:val="20"/>
          <w:color w:val="auto"/>
        </w:rPr>
      </w:pPr>
      <w:r>
        <w:rPr>
          <w:rFonts w:ascii="Arial" w:cs="Arial" w:eastAsia="Arial" w:hAnsi="Arial"/>
          <w:sz w:val="17"/>
          <w:szCs w:val="17"/>
          <w:color w:val="auto"/>
        </w:rPr>
        <w:t>The following foreign currency exchange contracts held by us have maturity dates in fiscal 2005. All items are non-trading and stated in U.S. dollars. Some derivative instruments we enter into do not meet the hedging criteria of SFAS No. 133, “Accounting for Derivative Instruments and Hedging Activities;”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005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595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right"/>
              <w:ind w:right="241"/>
              <w:spacing w:after="0"/>
              <w:rPr>
                <w:sz w:val="20"/>
                <w:szCs w:val="20"/>
                <w:color w:val="auto"/>
              </w:rPr>
            </w:pPr>
            <w:r>
              <w:rPr>
                <w:rFonts w:ascii="Arial" w:cs="Arial" w:eastAsia="Arial" w:hAnsi="Arial"/>
                <w:sz w:val="13"/>
                <w:szCs w:val="13"/>
                <w:color w:val="auto"/>
              </w:rPr>
              <w:t>Value in</w:t>
            </w:r>
          </w:p>
        </w:tc>
        <w:tc>
          <w:tcPr>
            <w:tcW w:w="52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Dollars in thousands</w:t>
            </w:r>
          </w:p>
        </w:tc>
        <w:tc>
          <w:tcPr>
            <w:tcW w:w="2560" w:type="dxa"/>
            <w:vAlign w:val="bottom"/>
          </w:tcPr>
          <w:p>
            <w:pPr>
              <w:jc w:val="right"/>
              <w:ind w:right="200"/>
              <w:spacing w:after="0" w:line="146" w:lineRule="exact"/>
              <w:rPr>
                <w:sz w:val="20"/>
                <w:szCs w:val="20"/>
                <w:color w:val="auto"/>
              </w:rPr>
            </w:pPr>
            <w:r>
              <w:rPr>
                <w:rFonts w:ascii="Arial" w:cs="Arial" w:eastAsia="Arial" w:hAnsi="Arial"/>
                <w:sz w:val="13"/>
                <w:szCs w:val="13"/>
                <w:color w:val="auto"/>
              </w:rPr>
              <w:t>Average</w:t>
            </w: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right"/>
              <w:ind w:right="241"/>
              <w:spacing w:after="0" w:line="146" w:lineRule="exact"/>
              <w:rPr>
                <w:sz w:val="20"/>
                <w:szCs w:val="20"/>
                <w:color w:val="auto"/>
              </w:rPr>
            </w:pPr>
            <w:r>
              <w:rPr>
                <w:rFonts w:ascii="Arial" w:cs="Arial" w:eastAsia="Arial" w:hAnsi="Arial"/>
                <w:sz w:val="13"/>
                <w:szCs w:val="13"/>
                <w:color w:val="auto"/>
              </w:rPr>
              <w:t>AOCL</w:t>
            </w:r>
          </w:p>
        </w:tc>
        <w:tc>
          <w:tcPr>
            <w:tcW w:w="520" w:type="dxa"/>
            <w:vAlign w:val="bottom"/>
          </w:tcPr>
          <w:p>
            <w:pPr>
              <w:spacing w:after="0"/>
              <w:rPr>
                <w:sz w:val="12"/>
                <w:szCs w:val="12"/>
                <w:color w:val="auto"/>
              </w:rPr>
            </w:pPr>
          </w:p>
        </w:tc>
        <w:tc>
          <w:tcPr>
            <w:tcW w:w="116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Impact</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(except average</w:t>
            </w:r>
          </w:p>
        </w:tc>
        <w:tc>
          <w:tcPr>
            <w:tcW w:w="2560" w:type="dxa"/>
            <w:vAlign w:val="bottom"/>
          </w:tcPr>
          <w:p>
            <w:pPr>
              <w:jc w:val="right"/>
              <w:ind w:right="200"/>
              <w:spacing w:after="0" w:line="146" w:lineRule="exact"/>
              <w:rPr>
                <w:sz w:val="20"/>
                <w:szCs w:val="20"/>
                <w:color w:val="auto"/>
              </w:rPr>
            </w:pPr>
            <w:r>
              <w:rPr>
                <w:rFonts w:ascii="Arial" w:cs="Arial" w:eastAsia="Arial" w:hAnsi="Arial"/>
                <w:sz w:val="13"/>
                <w:szCs w:val="13"/>
                <w:color w:val="auto"/>
              </w:rPr>
              <w:t>Contracted</w:t>
            </w:r>
          </w:p>
        </w:tc>
        <w:tc>
          <w:tcPr>
            <w:tcW w:w="500" w:type="dxa"/>
            <w:vAlign w:val="bottom"/>
          </w:tcPr>
          <w:p>
            <w:pPr>
              <w:spacing w:after="0"/>
              <w:rPr>
                <w:sz w:val="12"/>
                <w:szCs w:val="12"/>
                <w:color w:val="auto"/>
              </w:rPr>
            </w:pPr>
          </w:p>
        </w:tc>
        <w:tc>
          <w:tcPr>
            <w:tcW w:w="1040" w:type="dxa"/>
            <w:vAlign w:val="bottom"/>
          </w:tcPr>
          <w:p>
            <w:pPr>
              <w:jc w:val="right"/>
              <w:ind w:right="198"/>
              <w:spacing w:after="0" w:line="146" w:lineRule="exact"/>
              <w:rPr>
                <w:sz w:val="20"/>
                <w:szCs w:val="20"/>
                <w:color w:val="auto"/>
              </w:rPr>
            </w:pPr>
            <w:r>
              <w:rPr>
                <w:rFonts w:ascii="Arial" w:cs="Arial" w:eastAsia="Arial" w:hAnsi="Arial"/>
                <w:sz w:val="13"/>
                <w:szCs w:val="13"/>
                <w:color w:val="auto"/>
              </w:rPr>
              <w:t>Notional</w:t>
            </w:r>
          </w:p>
        </w:tc>
        <w:tc>
          <w:tcPr>
            <w:tcW w:w="520" w:type="dxa"/>
            <w:vAlign w:val="bottom"/>
          </w:tcPr>
          <w:p>
            <w:pPr>
              <w:spacing w:after="0"/>
              <w:rPr>
                <w:sz w:val="12"/>
                <w:szCs w:val="12"/>
                <w:color w:val="auto"/>
              </w:rPr>
            </w:pPr>
          </w:p>
        </w:tc>
        <w:tc>
          <w:tcPr>
            <w:tcW w:w="1040" w:type="dxa"/>
            <w:vAlign w:val="bottom"/>
          </w:tcPr>
          <w:p>
            <w:pPr>
              <w:jc w:val="right"/>
              <w:ind w:right="241"/>
              <w:spacing w:after="0" w:line="146" w:lineRule="exact"/>
              <w:rPr>
                <w:sz w:val="20"/>
                <w:szCs w:val="20"/>
                <w:color w:val="auto"/>
              </w:rPr>
            </w:pPr>
            <w:r>
              <w:rPr>
                <w:rFonts w:ascii="Arial" w:cs="Arial" w:eastAsia="Arial" w:hAnsi="Arial"/>
                <w:sz w:val="13"/>
                <w:szCs w:val="13"/>
                <w:color w:val="auto"/>
              </w:rPr>
              <w:t>Income</w:t>
            </w:r>
          </w:p>
        </w:tc>
        <w:tc>
          <w:tcPr>
            <w:tcW w:w="520" w:type="dxa"/>
            <w:vAlign w:val="bottom"/>
          </w:tcPr>
          <w:p>
            <w:pPr>
              <w:spacing w:after="0"/>
              <w:rPr>
                <w:sz w:val="12"/>
                <w:szCs w:val="12"/>
                <w:color w:val="auto"/>
              </w:rPr>
            </w:pPr>
          </w:p>
        </w:tc>
        <w:tc>
          <w:tcPr>
            <w:tcW w:w="116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Gain</w:t>
            </w:r>
          </w:p>
        </w:tc>
        <w:tc>
          <w:tcPr>
            <w:tcW w:w="0" w:type="dxa"/>
            <w:vAlign w:val="bottom"/>
          </w:tcPr>
          <w:p>
            <w:pPr>
              <w:spacing w:after="0"/>
              <w:rPr>
                <w:sz w:val="1"/>
                <w:szCs w:val="1"/>
                <w:color w:val="auto"/>
              </w:rPr>
            </w:pPr>
          </w:p>
        </w:tc>
      </w:tr>
      <w:tr>
        <w:trPr>
          <w:trHeight w:val="166"/>
        </w:trPr>
        <w:tc>
          <w:tcPr>
            <w:tcW w:w="4080" w:type="dxa"/>
            <w:vAlign w:val="bottom"/>
            <w:gridSpan w:val="2"/>
          </w:tcPr>
          <w:p>
            <w:pPr>
              <w:spacing w:after="0"/>
              <w:rPr>
                <w:sz w:val="20"/>
                <w:szCs w:val="20"/>
                <w:color w:val="auto"/>
              </w:rPr>
            </w:pPr>
            <w:r>
              <w:rPr>
                <w:rFonts w:ascii="Arial" w:cs="Arial" w:eastAsia="Arial" w:hAnsi="Arial"/>
                <w:sz w:val="13"/>
                <w:szCs w:val="13"/>
                <w:color w:val="auto"/>
              </w:rPr>
              <w:t>contracted rate)</w:t>
            </w:r>
          </w:p>
        </w:tc>
        <w:tc>
          <w:tcPr>
            <w:tcW w:w="2560" w:type="dxa"/>
            <w:vAlign w:val="bottom"/>
          </w:tcPr>
          <w:p>
            <w:pPr>
              <w:jc w:val="right"/>
              <w:ind w:right="200"/>
              <w:spacing w:after="0"/>
              <w:rPr>
                <w:sz w:val="20"/>
                <w:szCs w:val="20"/>
                <w:color w:val="auto"/>
              </w:rPr>
            </w:pPr>
            <w:r>
              <w:rPr>
                <w:rFonts w:ascii="Arial" w:cs="Arial" w:eastAsia="Arial" w:hAnsi="Arial"/>
                <w:sz w:val="13"/>
                <w:szCs w:val="13"/>
                <w:color w:val="auto"/>
              </w:rPr>
              <w:t>Rate</w:t>
            </w:r>
          </w:p>
        </w:tc>
        <w:tc>
          <w:tcPr>
            <w:tcW w:w="500" w:type="dxa"/>
            <w:vAlign w:val="bottom"/>
          </w:tcPr>
          <w:p>
            <w:pPr>
              <w:spacing w:after="0"/>
              <w:rPr>
                <w:sz w:val="14"/>
                <w:szCs w:val="14"/>
                <w:color w:val="auto"/>
              </w:rPr>
            </w:pPr>
          </w:p>
        </w:tc>
        <w:tc>
          <w:tcPr>
            <w:tcW w:w="1040" w:type="dxa"/>
            <w:vAlign w:val="bottom"/>
          </w:tcPr>
          <w:p>
            <w:pPr>
              <w:jc w:val="right"/>
              <w:ind w:right="198"/>
              <w:spacing w:after="0"/>
              <w:rPr>
                <w:sz w:val="20"/>
                <w:szCs w:val="20"/>
                <w:color w:val="auto"/>
              </w:rPr>
            </w:pPr>
            <w:r>
              <w:rPr>
                <w:rFonts w:ascii="Arial" w:cs="Arial" w:eastAsia="Arial" w:hAnsi="Arial"/>
                <w:sz w:val="13"/>
                <w:szCs w:val="13"/>
                <w:color w:val="auto"/>
              </w:rPr>
              <w:t>Amount</w:t>
            </w:r>
          </w:p>
        </w:tc>
        <w:tc>
          <w:tcPr>
            <w:tcW w:w="520" w:type="dxa"/>
            <w:vAlign w:val="bottom"/>
          </w:tcPr>
          <w:p>
            <w:pPr>
              <w:spacing w:after="0"/>
              <w:rPr>
                <w:sz w:val="14"/>
                <w:szCs w:val="14"/>
                <w:color w:val="auto"/>
              </w:rPr>
            </w:pPr>
          </w:p>
        </w:tc>
        <w:tc>
          <w:tcPr>
            <w:tcW w:w="1040" w:type="dxa"/>
            <w:vAlign w:val="bottom"/>
          </w:tcPr>
          <w:p>
            <w:pPr>
              <w:jc w:val="right"/>
              <w:ind w:right="241"/>
              <w:spacing w:after="0"/>
              <w:rPr>
                <w:sz w:val="20"/>
                <w:szCs w:val="20"/>
                <w:color w:val="auto"/>
              </w:rPr>
            </w:pPr>
            <w:r>
              <w:rPr>
                <w:rFonts w:ascii="Arial" w:cs="Arial" w:eastAsia="Arial" w:hAnsi="Arial"/>
                <w:sz w:val="13"/>
                <w:szCs w:val="13"/>
                <w:color w:val="auto"/>
              </w:rPr>
              <w:t>(Loss)</w:t>
            </w:r>
          </w:p>
        </w:tc>
        <w:tc>
          <w:tcPr>
            <w:tcW w:w="52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(Loss)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U.S. $/Sell Canadian dollar</w:t>
            </w:r>
          </w:p>
        </w:tc>
        <w:tc>
          <w:tcPr>
            <w:tcW w:w="256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0.7398</w:t>
            </w:r>
          </w:p>
        </w:tc>
        <w:tc>
          <w:tcPr>
            <w:tcW w:w="50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6,247.9</w:t>
            </w:r>
          </w:p>
        </w:tc>
        <w:tc>
          <w:tcPr>
            <w:tcW w:w="52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181"/>
              <w:spacing w:after="0"/>
              <w:rPr>
                <w:sz w:val="20"/>
                <w:szCs w:val="20"/>
                <w:color w:val="auto"/>
              </w:rPr>
            </w:pPr>
            <w:r>
              <w:rPr>
                <w:rFonts w:ascii="Arial" w:cs="Arial" w:eastAsia="Arial" w:hAnsi="Arial"/>
                <w:sz w:val="17"/>
                <w:szCs w:val="17"/>
                <w:b w:val="1"/>
                <w:bCs w:val="1"/>
                <w:color w:val="auto"/>
              </w:rPr>
              <w:t>(597.5)</w:t>
            </w:r>
          </w:p>
        </w:tc>
        <w:tc>
          <w:tcPr>
            <w:tcW w:w="520" w:type="dxa"/>
            <w:vAlign w:val="bottom"/>
            <w:shd w:val="clear" w:color="auto" w:fill="EEEEEE"/>
          </w:tcPr>
          <w:p>
            <w:pPr>
              <w:jc w:val="right"/>
              <w:ind w:right="114"/>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b w:val="1"/>
                <w:bCs w:val="1"/>
                <w:color w:val="auto"/>
              </w:rPr>
              <w:t>(72.2)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U.S. $/Sell Australian dollar</w:t>
            </w:r>
          </w:p>
        </w:tc>
        <w:tc>
          <w:tcPr>
            <w:tcW w:w="2560" w:type="dxa"/>
            <w:vAlign w:val="bottom"/>
          </w:tcPr>
          <w:p>
            <w:pPr>
              <w:jc w:val="right"/>
              <w:ind w:right="200"/>
              <w:spacing w:after="0"/>
              <w:rPr>
                <w:sz w:val="20"/>
                <w:szCs w:val="20"/>
                <w:color w:val="auto"/>
              </w:rPr>
            </w:pPr>
            <w:r>
              <w:rPr>
                <w:rFonts w:ascii="Arial" w:cs="Arial" w:eastAsia="Arial" w:hAnsi="Arial"/>
                <w:sz w:val="17"/>
                <w:szCs w:val="17"/>
                <w:b w:val="1"/>
                <w:bCs w:val="1"/>
                <w:color w:val="auto"/>
              </w:rPr>
              <w:t>0.7233</w:t>
            </w:r>
          </w:p>
        </w:tc>
        <w:tc>
          <w:tcPr>
            <w:tcW w:w="50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7"/>
                <w:szCs w:val="17"/>
                <w:b w:val="1"/>
                <w:bCs w:val="1"/>
                <w:color w:val="auto"/>
              </w:rPr>
              <w:t>36,306.0</w:t>
            </w:r>
          </w:p>
        </w:tc>
        <w:tc>
          <w:tcPr>
            <w:tcW w:w="520" w:type="dxa"/>
            <w:vAlign w:val="bottom"/>
          </w:tcPr>
          <w:p>
            <w:pPr>
              <w:spacing w:after="0"/>
              <w:rPr>
                <w:sz w:val="18"/>
                <w:szCs w:val="18"/>
                <w:color w:val="auto"/>
              </w:rPr>
            </w:pPr>
          </w:p>
        </w:tc>
        <w:tc>
          <w:tcPr>
            <w:tcW w:w="1040" w:type="dxa"/>
            <w:vAlign w:val="bottom"/>
          </w:tcPr>
          <w:p>
            <w:pPr>
              <w:jc w:val="right"/>
              <w:ind w:right="241"/>
              <w:spacing w:after="0"/>
              <w:rPr>
                <w:sz w:val="20"/>
                <w:szCs w:val="20"/>
                <w:color w:val="auto"/>
              </w:rPr>
            </w:pPr>
            <w:r>
              <w:rPr>
                <w:rFonts w:ascii="Arial" w:cs="Arial" w:eastAsia="Arial" w:hAnsi="Arial"/>
                <w:sz w:val="17"/>
                <w:szCs w:val="17"/>
                <w:b w:val="1"/>
                <w:bCs w:val="1"/>
                <w:color w:val="auto"/>
              </w:rPr>
              <w:t>78.7</w:t>
            </w:r>
          </w:p>
        </w:tc>
        <w:tc>
          <w:tcPr>
            <w:tcW w:w="5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(1,097.0)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U.S. $/Sell Euro</w:t>
            </w:r>
          </w:p>
        </w:tc>
        <w:tc>
          <w:tcPr>
            <w:tcW w:w="256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1.2385</w:t>
            </w:r>
          </w:p>
        </w:tc>
        <w:tc>
          <w:tcPr>
            <w:tcW w:w="5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80,319.7</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81"/>
              <w:spacing w:after="0"/>
              <w:rPr>
                <w:sz w:val="20"/>
                <w:szCs w:val="20"/>
                <w:color w:val="auto"/>
              </w:rPr>
            </w:pPr>
            <w:r>
              <w:rPr>
                <w:rFonts w:ascii="Arial" w:cs="Arial" w:eastAsia="Arial" w:hAnsi="Arial"/>
                <w:sz w:val="17"/>
                <w:szCs w:val="17"/>
                <w:b w:val="1"/>
                <w:bCs w:val="1"/>
                <w:color w:val="auto"/>
              </w:rPr>
              <w:t>(1,870.2)</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b w:val="1"/>
                <w:bCs w:val="1"/>
                <w:color w:val="auto"/>
              </w:rPr>
              <w:t>(836.8)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Australian dollar/ Sell U.S. $</w:t>
            </w:r>
          </w:p>
        </w:tc>
        <w:tc>
          <w:tcPr>
            <w:tcW w:w="2560" w:type="dxa"/>
            <w:vAlign w:val="bottom"/>
          </w:tcPr>
          <w:p>
            <w:pPr>
              <w:jc w:val="right"/>
              <w:ind w:right="200"/>
              <w:spacing w:after="0"/>
              <w:rPr>
                <w:sz w:val="20"/>
                <w:szCs w:val="20"/>
                <w:color w:val="auto"/>
              </w:rPr>
            </w:pPr>
            <w:r>
              <w:rPr>
                <w:rFonts w:ascii="Arial" w:cs="Arial" w:eastAsia="Arial" w:hAnsi="Arial"/>
                <w:sz w:val="17"/>
                <w:szCs w:val="17"/>
                <w:b w:val="1"/>
                <w:bCs w:val="1"/>
                <w:color w:val="auto"/>
              </w:rPr>
              <w:t>0.7471</w:t>
            </w:r>
          </w:p>
        </w:tc>
        <w:tc>
          <w:tcPr>
            <w:tcW w:w="50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7"/>
                <w:szCs w:val="17"/>
                <w:b w:val="1"/>
                <w:bCs w:val="1"/>
                <w:color w:val="auto"/>
              </w:rPr>
              <w:t>4,803.1</w:t>
            </w:r>
          </w:p>
        </w:tc>
        <w:tc>
          <w:tcPr>
            <w:tcW w:w="520" w:type="dxa"/>
            <w:vAlign w:val="bottom"/>
          </w:tcPr>
          <w:p>
            <w:pPr>
              <w:spacing w:after="0"/>
              <w:rPr>
                <w:sz w:val="18"/>
                <w:szCs w:val="18"/>
                <w:color w:val="auto"/>
              </w:rPr>
            </w:pPr>
          </w:p>
        </w:tc>
        <w:tc>
          <w:tcPr>
            <w:tcW w:w="1040" w:type="dxa"/>
            <w:vAlign w:val="bottom"/>
          </w:tcPr>
          <w:p>
            <w:pPr>
              <w:jc w:val="right"/>
              <w:ind w:right="181"/>
              <w:spacing w:after="0"/>
              <w:rPr>
                <w:sz w:val="20"/>
                <w:szCs w:val="20"/>
                <w:color w:val="auto"/>
              </w:rPr>
            </w:pPr>
            <w:r>
              <w:rPr>
                <w:rFonts w:ascii="Arial" w:cs="Arial" w:eastAsia="Arial" w:hAnsi="Arial"/>
                <w:sz w:val="17"/>
                <w:szCs w:val="17"/>
                <w:b w:val="1"/>
                <w:bCs w:val="1"/>
                <w:color w:val="auto"/>
              </w:rPr>
              <w:t>(33.8)</w:t>
            </w:r>
          </w:p>
        </w:tc>
        <w:tc>
          <w:tcPr>
            <w:tcW w:w="5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British pound/ Sell U.S. $</w:t>
            </w:r>
          </w:p>
        </w:tc>
        <w:tc>
          <w:tcPr>
            <w:tcW w:w="256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1.7914</w:t>
            </w:r>
          </w:p>
        </w:tc>
        <w:tc>
          <w:tcPr>
            <w:tcW w:w="5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1,191.3</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41"/>
              <w:spacing w:after="0"/>
              <w:rPr>
                <w:sz w:val="20"/>
                <w:szCs w:val="20"/>
                <w:color w:val="auto"/>
              </w:rPr>
            </w:pPr>
            <w:r>
              <w:rPr>
                <w:rFonts w:ascii="Arial" w:cs="Arial" w:eastAsia="Arial" w:hAnsi="Arial"/>
                <w:sz w:val="17"/>
                <w:szCs w:val="17"/>
                <w:b w:val="1"/>
                <w:bCs w:val="1"/>
                <w:color w:val="auto"/>
              </w:rPr>
              <w:t>15.6</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b w:val="1"/>
                <w:bCs w:val="1"/>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Japanese yen/ Sell U.S. $</w:t>
            </w:r>
          </w:p>
        </w:tc>
        <w:tc>
          <w:tcPr>
            <w:tcW w:w="2560" w:type="dxa"/>
            <w:vAlign w:val="bottom"/>
          </w:tcPr>
          <w:p>
            <w:pPr>
              <w:jc w:val="right"/>
              <w:ind w:right="200"/>
              <w:spacing w:after="0"/>
              <w:rPr>
                <w:sz w:val="20"/>
                <w:szCs w:val="20"/>
                <w:color w:val="auto"/>
              </w:rPr>
            </w:pPr>
            <w:r>
              <w:rPr>
                <w:rFonts w:ascii="Arial" w:cs="Arial" w:eastAsia="Arial" w:hAnsi="Arial"/>
                <w:sz w:val="17"/>
                <w:szCs w:val="17"/>
                <w:b w:val="1"/>
                <w:bCs w:val="1"/>
                <w:color w:val="auto"/>
              </w:rPr>
              <w:t>108.0643</w:t>
            </w:r>
          </w:p>
        </w:tc>
        <w:tc>
          <w:tcPr>
            <w:tcW w:w="50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7"/>
                <w:szCs w:val="17"/>
                <w:b w:val="1"/>
                <w:bCs w:val="1"/>
                <w:color w:val="auto"/>
              </w:rPr>
              <w:t>7,310.5</w:t>
            </w:r>
          </w:p>
        </w:tc>
        <w:tc>
          <w:tcPr>
            <w:tcW w:w="520" w:type="dxa"/>
            <w:vAlign w:val="bottom"/>
          </w:tcPr>
          <w:p>
            <w:pPr>
              <w:spacing w:after="0"/>
              <w:rPr>
                <w:sz w:val="18"/>
                <w:szCs w:val="18"/>
                <w:color w:val="auto"/>
              </w:rPr>
            </w:pPr>
          </w:p>
        </w:tc>
        <w:tc>
          <w:tcPr>
            <w:tcW w:w="1040" w:type="dxa"/>
            <w:vAlign w:val="bottom"/>
          </w:tcPr>
          <w:p>
            <w:pPr>
              <w:jc w:val="right"/>
              <w:ind w:right="241"/>
              <w:spacing w:after="0"/>
              <w:rPr>
                <w:sz w:val="20"/>
                <w:szCs w:val="20"/>
                <w:color w:val="auto"/>
              </w:rPr>
            </w:pPr>
            <w:r>
              <w:rPr>
                <w:rFonts w:ascii="Arial" w:cs="Arial" w:eastAsia="Arial" w:hAnsi="Arial"/>
                <w:sz w:val="17"/>
                <w:szCs w:val="17"/>
                <w:b w:val="1"/>
                <w:bCs w:val="1"/>
                <w:color w:val="auto"/>
              </w:rPr>
              <w:t>192.5</w:t>
            </w:r>
          </w:p>
        </w:tc>
        <w:tc>
          <w:tcPr>
            <w:tcW w:w="5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23.1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Mexican peso/ Sell U.S. $</w:t>
            </w:r>
          </w:p>
        </w:tc>
        <w:tc>
          <w:tcPr>
            <w:tcW w:w="256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12.0108</w:t>
            </w:r>
          </w:p>
        </w:tc>
        <w:tc>
          <w:tcPr>
            <w:tcW w:w="5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9,907.7</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41"/>
              <w:spacing w:after="0"/>
              <w:rPr>
                <w:sz w:val="20"/>
                <w:szCs w:val="20"/>
                <w:color w:val="auto"/>
              </w:rPr>
            </w:pPr>
            <w:r>
              <w:rPr>
                <w:rFonts w:ascii="Arial" w:cs="Arial" w:eastAsia="Arial" w:hAnsi="Arial"/>
                <w:sz w:val="17"/>
                <w:szCs w:val="17"/>
                <w:b w:val="1"/>
                <w:bCs w:val="1"/>
                <w:color w:val="auto"/>
              </w:rPr>
              <w:t>87.4</w:t>
            </w:r>
          </w:p>
        </w:tc>
        <w:tc>
          <w:tcPr>
            <w:tcW w:w="5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8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3"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86"/>
        <w:spacing w:after="0" w:line="319"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Our market risk on interest rates relates primarily to LIBOR-based short-term debt from commercial banks as well as the potential increase in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long-term debt resulting from a potential decrease in interest rates. However, we do not have a cash flow or earnings exposure due to market risks on long-term debt. We currently do not use interest rate swaps to mitigate the impact of fluctuations in interest rates. As of October 31, 2004, our financial liabilities with exposure to changes in interest rates consisted mainly of $1.1 million of short-term debt outstanding. Assuming a hypothetical increase of one percent (100 basis points) in short-term interest rates, with all other variables remaining constant including the average balance of short-term debt outstanding during fiscal 2004, interest expense would have increased $0.1 million in fiscal 2004. Included in long-term debt is $175.1 million of fixed-rate debt that is not subject to variable interest rate fluctuations. As a result, we have no earnings or cash flow exposure due to market risks on our long-term debt obligations. As of October 31, 2004, the estimated fair value of long-term debt with fixed interest rates was $189.7 million compared to its carrying value of $175.1 million. The fair value is estimated by discounting the projected cash flows using the rate that similar amounts of debt could currently be borrowed.</w:t>
      </w:r>
    </w:p>
    <w:p>
      <w:pPr>
        <w:spacing w:after="0" w:line="178"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b w:val="1"/>
          <w:bCs w:val="1"/>
          <w:i w:val="1"/>
          <w:iCs w:val="1"/>
          <w:color w:val="auto"/>
        </w:rPr>
        <w:t xml:space="preserve">Commodity Risk. </w:t>
      </w:r>
      <w:r>
        <w:rPr>
          <w:rFonts w:ascii="Arial" w:cs="Arial" w:eastAsia="Arial" w:hAnsi="Arial"/>
          <w:sz w:val="17"/>
          <w:szCs w:val="17"/>
          <w:color w:val="auto"/>
        </w:rPr>
        <w:t>Some raw materials used in our products are exposed to commodity price changes. We manage some of this risk by using a combination of short-and long-term agreements with some vendors. The primary commodity price exposures are with steel, aluminum, plastic resin, and linerboard. Further information regarding rising prices for steel and other commodities is presented in Item 7, section entitled “Inflation.”</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i w:val="1"/>
          <w:iCs w:val="1"/>
          <w:color w:val="auto"/>
        </w:rPr>
        <w:t xml:space="preserve">Equity Price Risk. </w:t>
      </w:r>
      <w:r>
        <w:rPr>
          <w:rFonts w:ascii="Arial" w:cs="Arial" w:eastAsia="Arial" w:hAnsi="Arial"/>
          <w:sz w:val="17"/>
          <w:szCs w:val="17"/>
          <w:color w:val="auto"/>
        </w:rPr>
        <w:t>The trading price of Toro common stock impacts compensation expense related to our stock-based compensation plans for our Performance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As the price of Toro common stock rises, our compensation expense for our Performance Share Plan increases. Our exposure to equity price risk will be substantially reduced after we adopt the provisions of SFAS No. 123. Additional information is presented in Item 7, section entitled “New Accounting Pronouncements to be Adopted.” Further information is also presented in Note 10 to our consolidated financial statements regarding our stock-based compensation plans.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right="4860"/>
        <w:spacing w:after="0" w:line="456" w:lineRule="auto"/>
        <w:rPr>
          <w:sz w:val="20"/>
          <w:szCs w:val="20"/>
          <w:color w:val="auto"/>
        </w:rPr>
      </w:pPr>
      <w:r>
        <w:rPr>
          <w:rFonts w:ascii="Arial" w:cs="Arial" w:eastAsia="Arial" w:hAnsi="Arial"/>
          <w:sz w:val="21"/>
          <w:szCs w:val="21"/>
          <w:b w:val="1"/>
          <w:bCs w:val="1"/>
          <w:color w:val="auto"/>
        </w:rPr>
        <w:t>ITEM 8. FINANCIAL STATEMENTS AND SUPPLEMENTARY DATA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and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audited the accompanying consolidated balance sheets of The Toro Company and subsidiaries as of October 31, 2004 and 2003, and the related consolidated statements of earnings, cash flows, and stockholders’ equity for each of the years in the three year period ended October 31, 2004. Our audits also included the financial statement schedule listed in Item 15(a) 2. These consolidated financial statements and schedule are the responsibility of the company’s management. Our responsibility is to express an opinion on these consolidated financial statements and schedule based on our audits.</w:t>
      </w:r>
    </w:p>
    <w:p>
      <w:pPr>
        <w:spacing w:after="0" w:line="169" w:lineRule="exact"/>
        <w:rPr>
          <w:sz w:val="20"/>
          <w:szCs w:val="20"/>
          <w:color w:val="auto"/>
        </w:rPr>
      </w:pPr>
    </w:p>
    <w:p>
      <w:pPr>
        <w:ind w:firstLine="83"/>
        <w:spacing w:after="0" w:line="26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 w:lineRule="exact"/>
        <w:rPr>
          <w:sz w:val="20"/>
          <w:szCs w:val="20"/>
          <w:color w:val="auto"/>
        </w:rPr>
      </w:pPr>
    </w:p>
    <w:p>
      <w:pPr>
        <w:ind w:right="100" w:firstLine="86"/>
        <w:spacing w:after="0" w:line="26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Toro Company and subsidiaries as of October 31, 2004 and 2003, and the results of their operations and their cash flows for each of the years in the three year period ended October 31, 2004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 As discussed in Note 1 to the consolidated financial statements, the company adopted the provisions of Statement of Financial Accounting Standards No. 142, “Goodwill and Other Intangible Assets,” on November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1066800" cy="210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6800" cy="21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December 6, 2004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064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gridSpan w:val="2"/>
          </w:tcPr>
          <w:p>
            <w:pPr>
              <w:spacing w:after="0"/>
              <w:rPr>
                <w:sz w:val="20"/>
                <w:szCs w:val="20"/>
                <w:color w:val="auto"/>
              </w:rPr>
            </w:pPr>
            <w:r>
              <w:rPr>
                <w:rFonts w:ascii="Arial" w:cs="Arial" w:eastAsia="Arial" w:hAnsi="Arial"/>
                <w:sz w:val="13"/>
                <w:szCs w:val="13"/>
                <w:color w:val="auto"/>
              </w:rPr>
              <w:t>(Dollars and shares in thousands, except per share data) Fiscal years ended October 31</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2004</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2003</w:t>
            </w:r>
          </w:p>
        </w:tc>
        <w:tc>
          <w:tcPr>
            <w:tcW w:w="4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sales</w:t>
            </w:r>
          </w:p>
        </w:tc>
        <w:tc>
          <w:tcPr>
            <w:tcW w:w="90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1,652,508</w:t>
            </w:r>
          </w:p>
        </w:tc>
        <w:tc>
          <w:tcPr>
            <w:tcW w:w="4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1,496,588</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1,399,273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b w:val="1"/>
                <w:bCs w:val="1"/>
                <w:color w:val="auto"/>
              </w:rPr>
              <w:t>Cost of sales</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1,059,438</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961,129</w:t>
            </w:r>
          </w:p>
        </w:tc>
        <w:tc>
          <w:tcPr>
            <w:tcW w:w="4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914,010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Gross profit</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593,070</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535,459</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485,263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tcPr>
          <w:p>
            <w:pPr>
              <w:spacing w:after="0" w:line="146" w:lineRule="exact"/>
              <w:rPr>
                <w:sz w:val="20"/>
                <w:szCs w:val="20"/>
                <w:color w:val="auto"/>
              </w:rPr>
            </w:pPr>
            <w:r>
              <w:rPr>
                <w:rFonts w:ascii="Arial" w:cs="Arial" w:eastAsia="Arial" w:hAnsi="Arial"/>
                <w:sz w:val="13"/>
                <w:szCs w:val="13"/>
                <w:b w:val="1"/>
                <w:bCs w:val="1"/>
                <w:color w:val="auto"/>
              </w:rPr>
              <w:t>Selling, general, and administrative expense</w:t>
            </w:r>
          </w:p>
        </w:tc>
        <w:tc>
          <w:tcPr>
            <w:tcW w:w="900" w:type="dxa"/>
            <w:vAlign w:val="bottom"/>
          </w:tcPr>
          <w:p>
            <w:pPr>
              <w:spacing w:after="0"/>
              <w:rPr>
                <w:sz w:val="12"/>
                <w:szCs w:val="12"/>
                <w:color w:val="auto"/>
              </w:rPr>
            </w:pPr>
          </w:p>
        </w:tc>
        <w:tc>
          <w:tcPr>
            <w:tcW w:w="980" w:type="dxa"/>
            <w:vAlign w:val="bottom"/>
          </w:tcPr>
          <w:p>
            <w:pPr>
              <w:jc w:val="right"/>
              <w:ind w:right="234"/>
              <w:spacing w:after="0" w:line="146" w:lineRule="exact"/>
              <w:rPr>
                <w:sz w:val="20"/>
                <w:szCs w:val="20"/>
                <w:color w:val="auto"/>
              </w:rPr>
            </w:pPr>
            <w:r>
              <w:rPr>
                <w:rFonts w:ascii="Arial" w:cs="Arial" w:eastAsia="Arial" w:hAnsi="Arial"/>
                <w:sz w:val="13"/>
                <w:szCs w:val="13"/>
                <w:b w:val="1"/>
                <w:bCs w:val="1"/>
                <w:color w:val="auto"/>
              </w:rPr>
              <w:t>428,527</w:t>
            </w:r>
          </w:p>
        </w:tc>
        <w:tc>
          <w:tcPr>
            <w:tcW w:w="480" w:type="dxa"/>
            <w:vAlign w:val="bottom"/>
          </w:tcPr>
          <w:p>
            <w:pPr>
              <w:spacing w:after="0"/>
              <w:rPr>
                <w:sz w:val="12"/>
                <w:szCs w:val="12"/>
                <w:color w:val="auto"/>
              </w:rPr>
            </w:pPr>
          </w:p>
        </w:tc>
        <w:tc>
          <w:tcPr>
            <w:tcW w:w="100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406,639</w:t>
            </w:r>
          </w:p>
        </w:tc>
        <w:tc>
          <w:tcPr>
            <w:tcW w:w="420" w:type="dxa"/>
            <w:vAlign w:val="bottom"/>
          </w:tcPr>
          <w:p>
            <w:pPr>
              <w:spacing w:after="0"/>
              <w:rPr>
                <w:sz w:val="12"/>
                <w:szCs w:val="12"/>
                <w:color w:val="auto"/>
              </w:rPr>
            </w:pPr>
          </w:p>
        </w:tc>
        <w:tc>
          <w:tcPr>
            <w:tcW w:w="94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377,889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Restructuring and other (income) expense</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(682)</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1,826</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8,409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Earnings from operations</w:t>
            </w:r>
          </w:p>
        </w:tc>
        <w:tc>
          <w:tcPr>
            <w:tcW w:w="900" w:type="dxa"/>
            <w:vAlign w:val="bottom"/>
          </w:tcPr>
          <w:p>
            <w:pPr>
              <w:spacing w:after="0"/>
              <w:rPr>
                <w:sz w:val="21"/>
                <w:szCs w:val="21"/>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165,225</w:t>
            </w:r>
          </w:p>
        </w:tc>
        <w:tc>
          <w:tcPr>
            <w:tcW w:w="480" w:type="dxa"/>
            <w:vAlign w:val="bottom"/>
          </w:tcPr>
          <w:p>
            <w:pPr>
              <w:spacing w:after="0"/>
              <w:rPr>
                <w:sz w:val="21"/>
                <w:szCs w:val="21"/>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126,994</w:t>
            </w:r>
          </w:p>
        </w:tc>
        <w:tc>
          <w:tcPr>
            <w:tcW w:w="4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98,965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Interest expense</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(15,523)</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(16,285)</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40"/>
              <w:spacing w:after="0" w:line="146" w:lineRule="exact"/>
              <w:rPr>
                <w:sz w:val="20"/>
                <w:szCs w:val="20"/>
                <w:color w:val="auto"/>
              </w:rPr>
            </w:pPr>
            <w:r>
              <w:rPr>
                <w:rFonts w:ascii="Arial" w:cs="Arial" w:eastAsia="Arial" w:hAnsi="Arial"/>
                <w:sz w:val="13"/>
                <w:szCs w:val="13"/>
                <w:color w:val="auto"/>
              </w:rPr>
              <w:t>(19,747)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b w:val="1"/>
                <w:bCs w:val="1"/>
                <w:color w:val="auto"/>
              </w:rPr>
              <w:t>Other income, net</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3,531</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10,209</w:t>
            </w:r>
          </w:p>
        </w:tc>
        <w:tc>
          <w:tcPr>
            <w:tcW w:w="4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7,581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Earnings before income taxes and cumulative effect of change in accounting principle</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153,233</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120,918</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86,799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b w:val="1"/>
                <w:bCs w:val="1"/>
                <w:color w:val="auto"/>
              </w:rPr>
              <w:t>Provision for income taxes</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50,567</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39,298</w:t>
            </w:r>
          </w:p>
        </w:tc>
        <w:tc>
          <w:tcPr>
            <w:tcW w:w="4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26,868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Earnings before cumulative effect of change in accounting principle</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102,666</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81,620</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59,931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80" w:type="dxa"/>
            <w:vAlign w:val="bottom"/>
          </w:tcPr>
          <w:p>
            <w:pPr>
              <w:spacing w:after="0" w:line="133" w:lineRule="exact"/>
              <w:rPr>
                <w:sz w:val="20"/>
                <w:szCs w:val="20"/>
                <w:color w:val="auto"/>
              </w:rPr>
            </w:pPr>
            <w:r>
              <w:rPr>
                <w:rFonts w:ascii="Arial" w:cs="Arial" w:eastAsia="Arial" w:hAnsi="Arial"/>
                <w:sz w:val="13"/>
                <w:szCs w:val="13"/>
                <w:b w:val="1"/>
                <w:bCs w:val="1"/>
                <w:color w:val="auto"/>
              </w:rPr>
              <w:t>Cumulative effect of change in accounting principle, net of income tax</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ind w:left="120"/>
              <w:spacing w:after="0"/>
              <w:rPr>
                <w:sz w:val="20"/>
                <w:szCs w:val="20"/>
                <w:color w:val="auto"/>
              </w:rPr>
            </w:pPr>
            <w:r>
              <w:rPr>
                <w:rFonts w:ascii="Arial" w:cs="Arial" w:eastAsia="Arial" w:hAnsi="Arial"/>
                <w:sz w:val="13"/>
                <w:szCs w:val="13"/>
                <w:b w:val="1"/>
                <w:bCs w:val="1"/>
                <w:color w:val="auto"/>
              </w:rPr>
              <w:t>benefit of $509</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(24,614)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earnings</w:t>
            </w:r>
          </w:p>
        </w:tc>
        <w:tc>
          <w:tcPr>
            <w:tcW w:w="90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102,666</w:t>
            </w:r>
          </w:p>
        </w:tc>
        <w:tc>
          <w:tcPr>
            <w:tcW w:w="4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81,620</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35,317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700" w:type="dxa"/>
            <w:vAlign w:val="bottom"/>
            <w:gridSpan w:val="2"/>
          </w:tcPr>
          <w:p>
            <w:pPr>
              <w:spacing w:after="0"/>
              <w:rPr>
                <w:sz w:val="20"/>
                <w:szCs w:val="20"/>
                <w:color w:val="auto"/>
              </w:rPr>
            </w:pPr>
            <w:r>
              <w:rPr>
                <w:rFonts w:ascii="Arial" w:cs="Arial" w:eastAsia="Arial" w:hAnsi="Arial"/>
                <w:sz w:val="13"/>
                <w:szCs w:val="13"/>
                <w:b w:val="1"/>
                <w:bCs w:val="1"/>
                <w:color w:val="auto"/>
              </w:rPr>
              <w:t>Basic net earnings per share of common stock, before cumulative effect of change in accounting principle</w:t>
            </w:r>
          </w:p>
        </w:tc>
        <w:tc>
          <w:tcPr>
            <w:tcW w:w="90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4.21</w:t>
            </w:r>
          </w:p>
        </w:tc>
        <w:tc>
          <w:tcPr>
            <w:tcW w:w="4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3.26</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Cumulative effect of change in accounting principle, net of income tax benefit</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EEEEEE"/>
          </w:tcPr>
          <w:p>
            <w:pPr>
              <w:spacing w:after="0"/>
              <w:rPr>
                <w:sz w:val="12"/>
                <w:szCs w:val="12"/>
                <w:color w:val="auto"/>
              </w:rPr>
            </w:pP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240"/>
              <w:spacing w:after="0" w:line="146" w:lineRule="exact"/>
              <w:rPr>
                <w:sz w:val="20"/>
                <w:szCs w:val="20"/>
                <w:color w:val="auto"/>
              </w:rPr>
            </w:pPr>
            <w:r>
              <w:rPr>
                <w:rFonts w:ascii="Arial" w:cs="Arial" w:eastAsia="Arial" w:hAnsi="Arial"/>
                <w:sz w:val="13"/>
                <w:szCs w:val="13"/>
                <w:color w:val="auto"/>
              </w:rPr>
              <w:t>(0.98)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6700" w:type="dxa"/>
            <w:vAlign w:val="bottom"/>
            <w:gridSpan w:val="2"/>
          </w:tcPr>
          <w:p>
            <w:pPr>
              <w:spacing w:after="0"/>
              <w:rPr>
                <w:sz w:val="20"/>
                <w:szCs w:val="20"/>
                <w:color w:val="auto"/>
              </w:rPr>
            </w:pPr>
            <w:r>
              <w:rPr>
                <w:rFonts w:ascii="Arial" w:cs="Arial" w:eastAsia="Arial" w:hAnsi="Arial"/>
                <w:sz w:val="13"/>
                <w:szCs w:val="13"/>
                <w:b w:val="1"/>
                <w:bCs w:val="1"/>
                <w:color w:val="auto"/>
              </w:rPr>
              <w:t>Basic net earnings per share of common stock</w:t>
            </w:r>
          </w:p>
        </w:tc>
        <w:tc>
          <w:tcPr>
            <w:tcW w:w="90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4.21</w:t>
            </w:r>
          </w:p>
        </w:tc>
        <w:tc>
          <w:tcPr>
            <w:tcW w:w="48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3.26</w:t>
            </w:r>
          </w:p>
        </w:tc>
        <w:tc>
          <w:tcPr>
            <w:tcW w:w="42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w w:val="99"/>
              </w:rPr>
              <w:t>Diluted net earnings per share of common stock, before cumulative effect of change in accounting principle</w:t>
            </w:r>
          </w:p>
        </w:tc>
        <w:tc>
          <w:tcPr>
            <w:tcW w:w="90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4.04</w:t>
            </w:r>
          </w:p>
        </w:tc>
        <w:tc>
          <w:tcPr>
            <w:tcW w:w="4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3.12</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80" w:type="dxa"/>
            <w:vAlign w:val="bottom"/>
          </w:tcPr>
          <w:p>
            <w:pPr>
              <w:spacing w:after="0"/>
              <w:rPr>
                <w:sz w:val="20"/>
                <w:szCs w:val="20"/>
                <w:color w:val="auto"/>
              </w:rPr>
            </w:pPr>
            <w:r>
              <w:rPr>
                <w:rFonts w:ascii="Arial" w:cs="Arial" w:eastAsia="Arial" w:hAnsi="Arial"/>
                <w:sz w:val="13"/>
                <w:szCs w:val="13"/>
                <w:b w:val="1"/>
                <w:bCs w:val="1"/>
                <w:color w:val="auto"/>
              </w:rPr>
              <w:t>Cumulative effect of change in accounting principle, net of income tax benefit</w:t>
            </w:r>
          </w:p>
        </w:tc>
        <w:tc>
          <w:tcPr>
            <w:tcW w:w="9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(0.95)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8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Diluted net earnings per share of common stock</w:t>
            </w:r>
          </w:p>
        </w:tc>
        <w:tc>
          <w:tcPr>
            <w:tcW w:w="90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4.04</w:t>
            </w:r>
          </w:p>
        </w:tc>
        <w:tc>
          <w:tcPr>
            <w:tcW w:w="4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3.12</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670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number of shares of common stock outstanding –</w:t>
            </w: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80" w:type="dxa"/>
            <w:vAlign w:val="bottom"/>
          </w:tcPr>
          <w:p>
            <w:pPr>
              <w:ind w:left="120"/>
              <w:spacing w:after="0"/>
              <w:rPr>
                <w:sz w:val="20"/>
                <w:szCs w:val="20"/>
                <w:color w:val="auto"/>
              </w:rPr>
            </w:pPr>
            <w:r>
              <w:rPr>
                <w:rFonts w:ascii="Arial" w:cs="Arial" w:eastAsia="Arial" w:hAnsi="Arial"/>
                <w:sz w:val="13"/>
                <w:szCs w:val="13"/>
                <w:b w:val="1"/>
                <w:bCs w:val="1"/>
                <w:color w:val="auto"/>
              </w:rPr>
              <w:t>Basic</w:t>
            </w:r>
          </w:p>
        </w:tc>
        <w:tc>
          <w:tcPr>
            <w:tcW w:w="900" w:type="dxa"/>
            <w:vAlign w:val="bottom"/>
          </w:tcPr>
          <w:p>
            <w:pPr>
              <w:spacing w:after="0"/>
              <w:rPr>
                <w:sz w:val="13"/>
                <w:szCs w:val="13"/>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24,364</w:t>
            </w:r>
          </w:p>
        </w:tc>
        <w:tc>
          <w:tcPr>
            <w:tcW w:w="480" w:type="dxa"/>
            <w:vAlign w:val="bottom"/>
          </w:tcPr>
          <w:p>
            <w:pPr>
              <w:spacing w:after="0"/>
              <w:rPr>
                <w:sz w:val="13"/>
                <w:szCs w:val="13"/>
                <w:color w:val="auto"/>
              </w:rPr>
            </w:pPr>
          </w:p>
        </w:tc>
        <w:tc>
          <w:tcPr>
            <w:tcW w:w="1000" w:type="dxa"/>
            <w:vAlign w:val="bottom"/>
          </w:tcPr>
          <w:p>
            <w:pPr>
              <w:jc w:val="right"/>
              <w:ind w:right="234"/>
              <w:spacing w:after="0"/>
              <w:rPr>
                <w:sz w:val="20"/>
                <w:szCs w:val="20"/>
                <w:color w:val="auto"/>
              </w:rPr>
            </w:pPr>
            <w:r>
              <w:rPr>
                <w:rFonts w:ascii="Arial" w:cs="Arial" w:eastAsia="Arial" w:hAnsi="Arial"/>
                <w:sz w:val="13"/>
                <w:szCs w:val="13"/>
                <w:color w:val="auto"/>
              </w:rPr>
              <w:t>24,998</w:t>
            </w:r>
          </w:p>
        </w:tc>
        <w:tc>
          <w:tcPr>
            <w:tcW w:w="42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25,050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8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Weighted average number of shares of common stock outstanding –</w:t>
            </w:r>
          </w:p>
        </w:tc>
        <w:tc>
          <w:tcPr>
            <w:tcW w:w="90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10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8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Dilutive</w:t>
            </w:r>
          </w:p>
        </w:tc>
        <w:tc>
          <w:tcPr>
            <w:tcW w:w="900" w:type="dxa"/>
            <w:vAlign w:val="bottom"/>
            <w:shd w:val="clear" w:color="auto" w:fill="EEEEEE"/>
          </w:tcPr>
          <w:p>
            <w:pPr>
              <w:spacing w:after="0"/>
              <w:rPr>
                <w:sz w:val="13"/>
                <w:szCs w:val="13"/>
                <w:color w:val="auto"/>
              </w:rPr>
            </w:pPr>
          </w:p>
        </w:tc>
        <w:tc>
          <w:tcPr>
            <w:tcW w:w="980" w:type="dxa"/>
            <w:vAlign w:val="bottom"/>
            <w:shd w:val="clear" w:color="auto" w:fill="EEEEEE"/>
          </w:tcPr>
          <w:p>
            <w:pPr>
              <w:jc w:val="right"/>
              <w:ind w:right="234"/>
              <w:spacing w:after="0"/>
              <w:rPr>
                <w:sz w:val="20"/>
                <w:szCs w:val="20"/>
                <w:color w:val="auto"/>
              </w:rPr>
            </w:pPr>
            <w:r>
              <w:rPr>
                <w:rFonts w:ascii="Arial" w:cs="Arial" w:eastAsia="Arial" w:hAnsi="Arial"/>
                <w:sz w:val="13"/>
                <w:szCs w:val="13"/>
                <w:b w:val="1"/>
                <w:bCs w:val="1"/>
                <w:color w:val="auto"/>
              </w:rPr>
              <w:t>25,383</w:t>
            </w:r>
          </w:p>
        </w:tc>
        <w:tc>
          <w:tcPr>
            <w:tcW w:w="480" w:type="dxa"/>
            <w:vAlign w:val="bottom"/>
            <w:shd w:val="clear" w:color="auto" w:fill="EEEEEE"/>
          </w:tcPr>
          <w:p>
            <w:pPr>
              <w:spacing w:after="0"/>
              <w:rPr>
                <w:sz w:val="13"/>
                <w:szCs w:val="13"/>
                <w:color w:val="auto"/>
              </w:rPr>
            </w:pPr>
          </w:p>
        </w:tc>
        <w:tc>
          <w:tcPr>
            <w:tcW w:w="1000" w:type="dxa"/>
            <w:vAlign w:val="bottom"/>
            <w:shd w:val="clear" w:color="auto" w:fill="EEEEEE"/>
          </w:tcPr>
          <w:p>
            <w:pPr>
              <w:jc w:val="right"/>
              <w:ind w:right="234"/>
              <w:spacing w:after="0"/>
              <w:rPr>
                <w:sz w:val="20"/>
                <w:szCs w:val="20"/>
                <w:color w:val="auto"/>
              </w:rPr>
            </w:pPr>
            <w:r>
              <w:rPr>
                <w:rFonts w:ascii="Arial" w:cs="Arial" w:eastAsia="Arial" w:hAnsi="Arial"/>
                <w:sz w:val="13"/>
                <w:szCs w:val="13"/>
                <w:color w:val="auto"/>
              </w:rPr>
              <w:t>26,149</w:t>
            </w:r>
          </w:p>
        </w:tc>
        <w:tc>
          <w:tcPr>
            <w:tcW w:w="420" w:type="dxa"/>
            <w:vAlign w:val="bottom"/>
            <w:shd w:val="clear" w:color="auto" w:fill="EEEEEE"/>
          </w:tcPr>
          <w:p>
            <w:pPr>
              <w:spacing w:after="0"/>
              <w:rPr>
                <w:sz w:val="13"/>
                <w:szCs w:val="13"/>
                <w:color w:val="auto"/>
              </w:rPr>
            </w:pP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25,873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3660"/>
        <w:spacing w:after="0"/>
        <w:rPr>
          <w:sz w:val="20"/>
          <w:szCs w:val="20"/>
          <w:color w:val="auto"/>
        </w:rPr>
      </w:pPr>
      <w:r>
        <w:rPr>
          <w:rFonts w:ascii="Arial" w:cs="Arial" w:eastAsia="Arial" w:hAnsi="Arial"/>
          <w:sz w:val="24"/>
          <w:szCs w:val="2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219710</wp:posOffset>
            </wp:positionV>
            <wp:extent cx="63423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42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480" w:type="dxa"/>
            <w:vAlign w:val="bottom"/>
            <w:gridSpan w:val="2"/>
          </w:tcPr>
          <w:p>
            <w:pPr>
              <w:spacing w:after="0"/>
              <w:rPr>
                <w:sz w:val="20"/>
                <w:szCs w:val="20"/>
                <w:color w:val="auto"/>
              </w:rPr>
            </w:pPr>
            <w:r>
              <w:rPr>
                <w:rFonts w:ascii="Arial" w:cs="Arial" w:eastAsia="Arial" w:hAnsi="Arial"/>
                <w:sz w:val="13"/>
                <w:szCs w:val="13"/>
                <w:color w:val="auto"/>
              </w:rPr>
              <w:t>(Dollars in thousands, except per share data) October 31</w:t>
            </w:r>
          </w:p>
        </w:tc>
        <w:tc>
          <w:tcPr>
            <w:tcW w:w="640" w:type="dxa"/>
            <w:vAlign w:val="bottom"/>
          </w:tcPr>
          <w:p>
            <w:pPr>
              <w:spacing w:after="0"/>
              <w:rPr>
                <w:sz w:val="14"/>
                <w:szCs w:val="14"/>
                <w:color w:val="auto"/>
              </w:rPr>
            </w:pPr>
          </w:p>
        </w:tc>
        <w:tc>
          <w:tcPr>
            <w:tcW w:w="1460" w:type="dxa"/>
            <w:vAlign w:val="bottom"/>
          </w:tcPr>
          <w:p>
            <w:pPr>
              <w:jc w:val="right"/>
              <w:ind w:right="455"/>
              <w:spacing w:after="0"/>
              <w:rPr>
                <w:sz w:val="20"/>
                <w:szCs w:val="20"/>
                <w:color w:val="auto"/>
              </w:rPr>
            </w:pPr>
            <w:r>
              <w:rPr>
                <w:rFonts w:ascii="Arial" w:cs="Arial" w:eastAsia="Arial" w:hAnsi="Arial"/>
                <w:sz w:val="13"/>
                <w:szCs w:val="13"/>
                <w:b w:val="1"/>
                <w:bCs w:val="1"/>
                <w:color w:val="auto"/>
              </w:rPr>
              <w:t>2004</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ASSETS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Cash and cash equivalents</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90,756</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110,287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Receivables,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w w:val="94"/>
              </w:rPr>
              <w:t>Customers (net of $2,195 as of October 31, 2004 and $2,421 as of October 31,</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2003 for allowance for doubtful accounts)</w:t>
            </w:r>
          </w:p>
        </w:tc>
        <w:tc>
          <w:tcPr>
            <w:tcW w:w="640" w:type="dxa"/>
            <w:vAlign w:val="bottom"/>
          </w:tcPr>
          <w:p>
            <w:pPr>
              <w:spacing w:after="0"/>
              <w:rPr>
                <w:sz w:val="19"/>
                <w:szCs w:val="19"/>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280,969</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273,584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Other</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4,767</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6,540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receivables, net</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285,736</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280,124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Inventories,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227,200</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228,909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Prepaid expenses and other current assets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16,931</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12,484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Deferred income taxes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44,552</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42,111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current assets</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665,175</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673,915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Property, plant, and equipment,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164,665</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159,116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Deferred income taxes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Other assets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18,652</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12,353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Goodwill</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78,055</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78,013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Other intangible assets,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2,200</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2,854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assets</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928,747</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927,432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vMerge w:val="restart"/>
          </w:tcPr>
          <w:p>
            <w:pPr>
              <w:spacing w:after="0"/>
              <w:rPr>
                <w:sz w:val="24"/>
                <w:szCs w:val="24"/>
                <w:color w:val="auto"/>
              </w:rPr>
            </w:pPr>
          </w:p>
        </w:tc>
        <w:tc>
          <w:tcPr>
            <w:tcW w:w="6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Current portion of long-term debt</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45</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3,830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Short-term debt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1,099</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2,138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Accounts payable</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87,147</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73,976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Accrued liabilities: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Accrued warranties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60,988</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59,372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Accrued advertising and marketing programs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41,973</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38,107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Accrued compensation and benefit costs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100,306</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83,908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Other</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49,217</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41,805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current liabilities</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340,775</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303,136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Long-term debt, less current portion</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175,046</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175,091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Long-term deferred income taxes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3,837</w:t>
            </w:r>
          </w:p>
        </w:tc>
        <w:tc>
          <w:tcPr>
            <w:tcW w:w="7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Deferred revenue and other long-term liabilities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13,475</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12,003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Stockholders’ equity:</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w w:val="93"/>
              </w:rPr>
              <w:t>Preferred stock, par value $1.00, authorized 1,000,000 voting and 850,000 non-</w:t>
            </w:r>
          </w:p>
        </w:tc>
        <w:tc>
          <w:tcPr>
            <w:tcW w:w="6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shd w:val="clear" w:color="auto" w:fill="EEEEEE"/>
          </w:tcPr>
          <w:p>
            <w:pPr>
              <w:ind w:left="660"/>
              <w:spacing w:after="0"/>
              <w:rPr>
                <w:sz w:val="20"/>
                <w:szCs w:val="20"/>
                <w:color w:val="auto"/>
              </w:rPr>
            </w:pPr>
            <w:r>
              <w:rPr>
                <w:rFonts w:ascii="Arial" w:cs="Arial" w:eastAsia="Arial" w:hAnsi="Arial"/>
                <w:sz w:val="17"/>
                <w:szCs w:val="17"/>
                <w:b w:val="1"/>
                <w:bCs w:val="1"/>
                <w:color w:val="auto"/>
              </w:rPr>
              <w:t>voting shares, none issued and outstanding</w:t>
            </w:r>
          </w:p>
        </w:tc>
        <w:tc>
          <w:tcPr>
            <w:tcW w:w="640" w:type="dxa"/>
            <w:vAlign w:val="bottom"/>
            <w:shd w:val="clear" w:color="auto" w:fill="EEEEEE"/>
          </w:tcPr>
          <w:p>
            <w:pPr>
              <w:spacing w:after="0"/>
              <w:rPr>
                <w:sz w:val="19"/>
                <w:szCs w:val="19"/>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w w:val="98"/>
              </w:rPr>
              <w:t>Common stock, par value $1.00, authorized 50,000,000 shares, issued and</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outstanding 22,518,329 shares as of October 31, 2004 (net of 4,497,781</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treasury shares) and 24,388,999 shares as of October 31, 2003 (net of</w:t>
            </w:r>
          </w:p>
        </w:tc>
        <w:tc>
          <w:tcPr>
            <w:tcW w:w="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2,627,111 treasury shares)</w:t>
            </w:r>
          </w:p>
        </w:tc>
        <w:tc>
          <w:tcPr>
            <w:tcW w:w="640" w:type="dxa"/>
            <w:vAlign w:val="bottom"/>
          </w:tcPr>
          <w:p>
            <w:pPr>
              <w:spacing w:after="0"/>
              <w:rPr>
                <w:sz w:val="19"/>
                <w:szCs w:val="19"/>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22,518</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24,389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Additional paid-in capital</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7,658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Retained earnings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384,238</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417,973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Accumulated other comprehensive loss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(11,142)</w:t>
            </w:r>
          </w:p>
        </w:tc>
        <w:tc>
          <w:tcPr>
            <w:tcW w:w="7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(12,818)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stockholders’ equity</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395,614</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437,202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820"/>
              <w:spacing w:after="0"/>
              <w:rPr>
                <w:sz w:val="20"/>
                <w:szCs w:val="20"/>
                <w:color w:val="auto"/>
              </w:rPr>
            </w:pPr>
            <w:r>
              <w:rPr>
                <w:rFonts w:ascii="Arial" w:cs="Arial" w:eastAsia="Arial" w:hAnsi="Arial"/>
                <w:sz w:val="17"/>
                <w:szCs w:val="17"/>
                <w:b w:val="1"/>
                <w:bCs w:val="1"/>
                <w:color w:val="auto"/>
              </w:rPr>
              <w:t>Total liabilities and stockholders’ equity</w:t>
            </w:r>
          </w:p>
        </w:tc>
        <w:tc>
          <w:tcPr>
            <w:tcW w:w="640" w:type="dxa"/>
            <w:vAlign w:val="bottom"/>
            <w:shd w:val="clear" w:color="auto" w:fill="EEEEEE"/>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928,747</w:t>
            </w:r>
          </w:p>
        </w:tc>
        <w:tc>
          <w:tcPr>
            <w:tcW w:w="70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927,432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ectPr>
          <w:pgSz w:w="11900" w:h="16838" w:orient="portrait"/>
          <w:cols w:equalWidth="0" w:num="1">
            <w:col w:w="10860"/>
          </w:cols>
          <w:pgMar w:left="240" w:top="413" w:right="799" w:bottom="1440" w:gutter="0" w:footer="0" w:header="0"/>
        </w:sect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064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20" w:type="dxa"/>
            <w:vAlign w:val="bottom"/>
            <w:gridSpan w:val="2"/>
          </w:tcPr>
          <w:p>
            <w:pPr>
              <w:spacing w:after="0"/>
              <w:rPr>
                <w:sz w:val="20"/>
                <w:szCs w:val="20"/>
                <w:color w:val="auto"/>
              </w:rPr>
            </w:pPr>
            <w:r>
              <w:rPr>
                <w:rFonts w:ascii="Arial" w:cs="Arial" w:eastAsia="Arial" w:hAnsi="Arial"/>
                <w:sz w:val="13"/>
                <w:szCs w:val="13"/>
                <w:color w:val="auto"/>
              </w:rPr>
              <w:t>(Dollars in thousands) Fiscal years ended October 31</w:t>
            </w:r>
          </w:p>
        </w:tc>
        <w:tc>
          <w:tcPr>
            <w:tcW w:w="700" w:type="dxa"/>
            <w:vAlign w:val="bottom"/>
          </w:tcPr>
          <w:p>
            <w:pPr>
              <w:spacing w:after="0"/>
              <w:rPr>
                <w:sz w:val="14"/>
                <w:szCs w:val="14"/>
                <w:color w:val="auto"/>
              </w:rPr>
            </w:pPr>
          </w:p>
        </w:tc>
        <w:tc>
          <w:tcPr>
            <w:tcW w:w="1340" w:type="dxa"/>
            <w:vAlign w:val="bottom"/>
          </w:tcPr>
          <w:p>
            <w:pPr>
              <w:jc w:val="right"/>
              <w:ind w:right="375"/>
              <w:spacing w:after="0"/>
              <w:rPr>
                <w:sz w:val="20"/>
                <w:szCs w:val="20"/>
                <w:color w:val="auto"/>
              </w:rPr>
            </w:pPr>
            <w:r>
              <w:rPr>
                <w:rFonts w:ascii="Arial" w:cs="Arial" w:eastAsia="Arial" w:hAnsi="Arial"/>
                <w:sz w:val="13"/>
                <w:szCs w:val="13"/>
                <w:b w:val="1"/>
                <w:bCs w:val="1"/>
                <w:color w:val="auto"/>
              </w:rPr>
              <w:t>2004</w:t>
            </w:r>
          </w:p>
        </w:tc>
        <w:tc>
          <w:tcPr>
            <w:tcW w:w="720" w:type="dxa"/>
            <w:vAlign w:val="bottom"/>
          </w:tcPr>
          <w:p>
            <w:pPr>
              <w:spacing w:after="0"/>
              <w:rPr>
                <w:sz w:val="14"/>
                <w:szCs w:val="14"/>
                <w:color w:val="auto"/>
              </w:rPr>
            </w:pPr>
          </w:p>
        </w:tc>
        <w:tc>
          <w:tcPr>
            <w:tcW w:w="1220" w:type="dxa"/>
            <w:vAlign w:val="bottom"/>
          </w:tcPr>
          <w:p>
            <w:pPr>
              <w:jc w:val="right"/>
              <w:ind w:right="315"/>
              <w:spacing w:after="0"/>
              <w:rPr>
                <w:sz w:val="20"/>
                <w:szCs w:val="20"/>
                <w:color w:val="auto"/>
              </w:rPr>
            </w:pPr>
            <w:r>
              <w:rPr>
                <w:rFonts w:ascii="Arial" w:cs="Arial" w:eastAsia="Arial" w:hAnsi="Arial"/>
                <w:sz w:val="13"/>
                <w:szCs w:val="13"/>
                <w:color w:val="auto"/>
              </w:rPr>
              <w:t>2003</w:t>
            </w:r>
          </w:p>
        </w:tc>
        <w:tc>
          <w:tcPr>
            <w:tcW w:w="5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2002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Net earnings</w:t>
            </w:r>
          </w:p>
        </w:tc>
        <w:tc>
          <w:tcPr>
            <w:tcW w:w="70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102,666</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81,620</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35,317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w w:val="95"/>
              </w:rPr>
              <w:t>Adjustments to reconcile net earnings to net cash provided by operating</w:t>
            </w:r>
          </w:p>
        </w:tc>
        <w:tc>
          <w:tcPr>
            <w:tcW w:w="7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00" w:type="dxa"/>
            <w:vAlign w:val="bottom"/>
            <w:shd w:val="clear" w:color="auto" w:fill="EEEEEE"/>
          </w:tcPr>
          <w:p>
            <w:pPr>
              <w:ind w:left="400"/>
              <w:spacing w:after="0"/>
              <w:rPr>
                <w:sz w:val="20"/>
                <w:szCs w:val="20"/>
                <w:color w:val="auto"/>
              </w:rPr>
            </w:pPr>
            <w:r>
              <w:rPr>
                <w:rFonts w:ascii="Arial" w:cs="Arial" w:eastAsia="Arial" w:hAnsi="Arial"/>
                <w:sz w:val="17"/>
                <w:szCs w:val="17"/>
                <w:b w:val="1"/>
                <w:bCs w:val="1"/>
                <w:color w:val="auto"/>
              </w:rPr>
              <w:t>activities:</w:t>
            </w:r>
          </w:p>
        </w:tc>
        <w:tc>
          <w:tcPr>
            <w:tcW w:w="700" w:type="dxa"/>
            <w:vAlign w:val="bottom"/>
            <w:shd w:val="clear" w:color="auto" w:fill="EEEEEE"/>
          </w:tcPr>
          <w:p>
            <w:pPr>
              <w:spacing w:after="0"/>
              <w:rPr>
                <w:sz w:val="19"/>
                <w:szCs w:val="19"/>
                <w:color w:val="auto"/>
              </w:rPr>
            </w:pPr>
          </w:p>
        </w:tc>
        <w:tc>
          <w:tcPr>
            <w:tcW w:w="134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12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Cumulative effect of change in accounting principle</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24,614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Non-cash asset impairment (recovery) write-off</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(726)</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6,814</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4,099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Provision for depreciation and amortization</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36,093</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34,136</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30,878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Equity losses from an investment</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781</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(Gain) loss on disposal of property, plant, and equipment</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(216)</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259</w:t>
            </w:r>
          </w:p>
        </w:tc>
        <w:tc>
          <w:tcPr>
            <w:tcW w:w="5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Decrease in deferred income taxes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2,758</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137</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Tax benefits related to employee stock option transactions</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9,857</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2,642</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1,508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Changes in operating assets and liabilities: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Receivables, net</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(10,717)</w:t>
            </w:r>
          </w:p>
        </w:tc>
        <w:tc>
          <w:tcPr>
            <w:tcW w:w="72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color w:val="auto"/>
              </w:rPr>
              <w:t>(27,953)</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14,534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Inventories, net</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(310)</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3,746</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12,360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Prepaid expenses and other assets</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(4,392)</w:t>
            </w:r>
          </w:p>
        </w:tc>
        <w:tc>
          <w:tcPr>
            <w:tcW w:w="72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color w:val="auto"/>
              </w:rPr>
              <w:t>(1,901)</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Accounts payable, accrued expenses, and deferred revenue</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49,354</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19,126</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22,051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900" w:type="dxa"/>
            <w:vAlign w:val="bottom"/>
          </w:tcPr>
          <w:p>
            <w:pPr>
              <w:ind w:left="860"/>
              <w:spacing w:after="0"/>
              <w:rPr>
                <w:sz w:val="20"/>
                <w:szCs w:val="20"/>
                <w:color w:val="auto"/>
              </w:rPr>
            </w:pPr>
            <w:r>
              <w:rPr>
                <w:rFonts w:ascii="Arial" w:cs="Arial" w:eastAsia="Arial" w:hAnsi="Arial"/>
                <w:sz w:val="17"/>
                <w:szCs w:val="17"/>
                <w:b w:val="1"/>
                <w:bCs w:val="1"/>
                <w:color w:val="auto"/>
              </w:rPr>
              <w:t>Net cash provided by operating activities</w:t>
            </w:r>
          </w:p>
        </w:tc>
        <w:tc>
          <w:tcPr>
            <w:tcW w:w="700" w:type="dxa"/>
            <w:vAlign w:val="bottom"/>
          </w:tcPr>
          <w:p>
            <w:pPr>
              <w:spacing w:after="0"/>
              <w:rPr>
                <w:sz w:val="24"/>
                <w:szCs w:val="24"/>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185,148</w:t>
            </w:r>
          </w:p>
        </w:tc>
        <w:tc>
          <w:tcPr>
            <w:tcW w:w="72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118,626</w:t>
            </w:r>
          </w:p>
        </w:tc>
        <w:tc>
          <w:tcPr>
            <w:tcW w:w="5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145,507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Purchases of property, plant, and equipment</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(40,812)</w:t>
            </w:r>
          </w:p>
        </w:tc>
        <w:tc>
          <w:tcPr>
            <w:tcW w:w="720" w:type="dxa"/>
            <w:vAlign w:val="bottom"/>
          </w:tcPr>
          <w:p>
            <w:pPr>
              <w:spacing w:after="0"/>
              <w:rPr>
                <w:sz w:val="18"/>
                <w:szCs w:val="18"/>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color w:val="auto"/>
              </w:rPr>
              <w:t>(43,265)</w:t>
            </w:r>
          </w:p>
        </w:tc>
        <w:tc>
          <w:tcPr>
            <w:tcW w:w="5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(45,609)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Proceeds from disposal of property, plant, and equipment</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2,098</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1,702</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3,479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(Increase) decrease in investments in affiliates</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(1,278)</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1,000</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Decrease (increase) in other assets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1,118</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308</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(2,286)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Proceeds from sale of businesses</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578</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1,016</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Acquisitions, net of cash acquired</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(1,244)</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900" w:type="dxa"/>
            <w:vAlign w:val="bottom"/>
          </w:tcPr>
          <w:p>
            <w:pPr>
              <w:ind w:left="860"/>
              <w:spacing w:after="0"/>
              <w:rPr>
                <w:sz w:val="20"/>
                <w:szCs w:val="20"/>
                <w:color w:val="auto"/>
              </w:rPr>
            </w:pPr>
            <w:r>
              <w:rPr>
                <w:rFonts w:ascii="Arial" w:cs="Arial" w:eastAsia="Arial" w:hAnsi="Arial"/>
                <w:sz w:val="17"/>
                <w:szCs w:val="17"/>
                <w:b w:val="1"/>
                <w:bCs w:val="1"/>
                <w:color w:val="auto"/>
              </w:rPr>
              <w:t>Net cash used in investing activities</w:t>
            </w:r>
          </w:p>
        </w:tc>
        <w:tc>
          <w:tcPr>
            <w:tcW w:w="700" w:type="dxa"/>
            <w:vAlign w:val="bottom"/>
          </w:tcPr>
          <w:p>
            <w:pPr>
              <w:spacing w:after="0"/>
              <w:rPr>
                <w:sz w:val="24"/>
                <w:szCs w:val="24"/>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(38,296)</w:t>
            </w:r>
          </w:p>
        </w:tc>
        <w:tc>
          <w:tcPr>
            <w:tcW w:w="720" w:type="dxa"/>
            <w:vAlign w:val="bottom"/>
          </w:tcPr>
          <w:p>
            <w:pPr>
              <w:spacing w:after="0"/>
              <w:rPr>
                <w:sz w:val="24"/>
                <w:szCs w:val="24"/>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color w:val="auto"/>
              </w:rPr>
              <w:t>(40,483)</w:t>
            </w:r>
          </w:p>
        </w:tc>
        <w:tc>
          <w:tcPr>
            <w:tcW w:w="5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(44,416)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(Repayments) increase in short-term debt</w:t>
            </w:r>
          </w:p>
        </w:tc>
        <w:tc>
          <w:tcPr>
            <w:tcW w:w="700" w:type="dxa"/>
            <w:vAlign w:val="bottom"/>
          </w:tcPr>
          <w:p>
            <w:pPr>
              <w:spacing w:after="0"/>
              <w:rPr>
                <w:sz w:val="18"/>
                <w:szCs w:val="18"/>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(1,039)</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883</w:t>
            </w:r>
          </w:p>
        </w:tc>
        <w:tc>
          <w:tcPr>
            <w:tcW w:w="5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(33,365)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Repayments of long-term debt</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(3,830)</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(15,846)</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Proceeds from exercise of stock options</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14,307</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8,923</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12,941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Purchases of Toro common stock</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(169,821)</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(18,726)</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(24,155)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Dividends paid on Toro common stock</w:t>
            </w:r>
          </w:p>
        </w:tc>
        <w:tc>
          <w:tcPr>
            <w:tcW w:w="700" w:type="dxa"/>
            <w:vAlign w:val="bottom"/>
          </w:tcPr>
          <w:p>
            <w:pPr>
              <w:spacing w:after="0"/>
              <w:rPr>
                <w:sz w:val="19"/>
                <w:szCs w:val="19"/>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(5,839)</w:t>
            </w:r>
          </w:p>
        </w:tc>
        <w:tc>
          <w:tcPr>
            <w:tcW w:w="720" w:type="dxa"/>
            <w:vAlign w:val="bottom"/>
          </w:tcPr>
          <w:p>
            <w:pPr>
              <w:spacing w:after="0"/>
              <w:rPr>
                <w:sz w:val="19"/>
                <w:szCs w:val="19"/>
                <w:color w:val="auto"/>
              </w:rPr>
            </w:pPr>
          </w:p>
        </w:tc>
        <w:tc>
          <w:tcPr>
            <w:tcW w:w="1220" w:type="dxa"/>
            <w:vAlign w:val="bottom"/>
          </w:tcPr>
          <w:p>
            <w:pPr>
              <w:jc w:val="right"/>
              <w:ind w:right="275"/>
              <w:spacing w:after="0"/>
              <w:rPr>
                <w:sz w:val="20"/>
                <w:szCs w:val="20"/>
                <w:color w:val="auto"/>
              </w:rPr>
            </w:pPr>
            <w:r>
              <w:rPr>
                <w:rFonts w:ascii="Arial" w:cs="Arial" w:eastAsia="Arial" w:hAnsi="Arial"/>
                <w:sz w:val="17"/>
                <w:szCs w:val="17"/>
                <w:color w:val="auto"/>
              </w:rPr>
              <w:t>(6,005)</w:t>
            </w:r>
          </w:p>
        </w:tc>
        <w:tc>
          <w:tcPr>
            <w:tcW w:w="5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(6,026)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860"/>
              <w:spacing w:after="0"/>
              <w:rPr>
                <w:sz w:val="20"/>
                <w:szCs w:val="20"/>
                <w:color w:val="auto"/>
              </w:rPr>
            </w:pPr>
            <w:r>
              <w:rPr>
                <w:rFonts w:ascii="Arial" w:cs="Arial" w:eastAsia="Arial" w:hAnsi="Arial"/>
                <w:sz w:val="17"/>
                <w:szCs w:val="17"/>
                <w:b w:val="1"/>
                <w:bCs w:val="1"/>
                <w:color w:val="auto"/>
              </w:rPr>
              <w:t>Net cash used in financing activities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(166,222)</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75"/>
              <w:spacing w:after="0"/>
              <w:rPr>
                <w:sz w:val="20"/>
                <w:szCs w:val="20"/>
                <w:color w:val="auto"/>
              </w:rPr>
            </w:pPr>
            <w:r>
              <w:rPr>
                <w:rFonts w:ascii="Arial" w:cs="Arial" w:eastAsia="Arial" w:hAnsi="Arial"/>
                <w:sz w:val="17"/>
                <w:szCs w:val="17"/>
                <w:color w:val="auto"/>
              </w:rPr>
              <w:t>(30,771)</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(51,102)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Effect of exchange rates on cash</w:t>
            </w:r>
          </w:p>
        </w:tc>
        <w:tc>
          <w:tcPr>
            <w:tcW w:w="700" w:type="dxa"/>
            <w:vAlign w:val="bottom"/>
          </w:tcPr>
          <w:p>
            <w:pPr>
              <w:spacing w:after="0"/>
              <w:rPr>
                <w:sz w:val="24"/>
                <w:szCs w:val="24"/>
                <w:color w:val="auto"/>
              </w:rPr>
            </w:pPr>
          </w:p>
        </w:tc>
        <w:tc>
          <w:tcPr>
            <w:tcW w:w="1340" w:type="dxa"/>
            <w:vAlign w:val="bottom"/>
          </w:tcPr>
          <w:p>
            <w:pPr>
              <w:jc w:val="right"/>
              <w:ind w:right="315"/>
              <w:spacing w:after="0"/>
              <w:rPr>
                <w:sz w:val="20"/>
                <w:szCs w:val="20"/>
                <w:color w:val="auto"/>
              </w:rPr>
            </w:pPr>
            <w:r>
              <w:rPr>
                <w:rFonts w:ascii="Arial" w:cs="Arial" w:eastAsia="Arial" w:hAnsi="Arial"/>
                <w:sz w:val="17"/>
                <w:szCs w:val="17"/>
                <w:b w:val="1"/>
                <w:bCs w:val="1"/>
                <w:color w:val="auto"/>
              </w:rPr>
              <w:t>(161)</w:t>
            </w:r>
          </w:p>
        </w:tc>
        <w:tc>
          <w:tcPr>
            <w:tcW w:w="720" w:type="dxa"/>
            <w:vAlign w:val="bottom"/>
          </w:tcPr>
          <w:p>
            <w:pPr>
              <w:spacing w:after="0"/>
              <w:rPr>
                <w:sz w:val="24"/>
                <w:szCs w:val="24"/>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99</w:t>
            </w:r>
          </w:p>
        </w:tc>
        <w:tc>
          <w:tcPr>
            <w:tcW w:w="5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(decrease) increase in cash and cash equivalents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15"/>
              <w:spacing w:after="0"/>
              <w:rPr>
                <w:sz w:val="20"/>
                <w:szCs w:val="20"/>
                <w:color w:val="auto"/>
              </w:rPr>
            </w:pPr>
            <w:r>
              <w:rPr>
                <w:rFonts w:ascii="Arial" w:cs="Arial" w:eastAsia="Arial" w:hAnsi="Arial"/>
                <w:sz w:val="17"/>
                <w:szCs w:val="17"/>
                <w:b w:val="1"/>
                <w:bCs w:val="1"/>
                <w:color w:val="auto"/>
              </w:rPr>
              <w:t>(19,531)</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47,471</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49,940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7"/>
                <w:szCs w:val="17"/>
                <w:b w:val="1"/>
                <w:bCs w:val="1"/>
                <w:color w:val="auto"/>
              </w:rPr>
              <w:t>Cash and cash equivalents as of the beginning of the fiscal year</w:t>
            </w:r>
          </w:p>
        </w:tc>
        <w:tc>
          <w:tcPr>
            <w:tcW w:w="7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110,287</w:t>
            </w:r>
          </w:p>
        </w:tc>
        <w:tc>
          <w:tcPr>
            <w:tcW w:w="720" w:type="dxa"/>
            <w:vAlign w:val="bottom"/>
          </w:tcPr>
          <w:p>
            <w:pPr>
              <w:spacing w:after="0"/>
              <w:rPr>
                <w:sz w:val="19"/>
                <w:szCs w:val="19"/>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62,816</w:t>
            </w:r>
          </w:p>
        </w:tc>
        <w:tc>
          <w:tcPr>
            <w:tcW w:w="5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12,876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and cash equivalents as of the end of the fiscal year</w:t>
            </w:r>
          </w:p>
        </w:tc>
        <w:tc>
          <w:tcPr>
            <w:tcW w:w="700" w:type="dxa"/>
            <w:vAlign w:val="bottom"/>
            <w:shd w:val="clear" w:color="auto" w:fill="EEEEEE"/>
          </w:tcPr>
          <w:p>
            <w:pPr>
              <w:jc w:val="right"/>
              <w:ind w:right="154"/>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90,756</w:t>
            </w: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110,287</w:t>
            </w:r>
          </w:p>
        </w:tc>
        <w:tc>
          <w:tcPr>
            <w:tcW w:w="5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62,816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Cash paid during the fiscal year for:</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560"/>
              <w:spacing w:after="0"/>
              <w:rPr>
                <w:sz w:val="20"/>
                <w:szCs w:val="20"/>
                <w:color w:val="auto"/>
              </w:rPr>
            </w:pPr>
            <w:r>
              <w:rPr>
                <w:rFonts w:ascii="Arial" w:cs="Arial" w:eastAsia="Arial" w:hAnsi="Arial"/>
                <w:sz w:val="17"/>
                <w:szCs w:val="17"/>
                <w:b w:val="1"/>
                <w:bCs w:val="1"/>
                <w:color w:val="auto"/>
              </w:rPr>
              <w:t>Interest</w:t>
            </w:r>
          </w:p>
        </w:tc>
        <w:tc>
          <w:tcPr>
            <w:tcW w:w="70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15,714</w:t>
            </w:r>
          </w:p>
        </w:tc>
        <w:tc>
          <w:tcPr>
            <w:tcW w:w="7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17,176</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19,647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Income taxes</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46,933</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31,681</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22,252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Stock issued in connection with stock compensation plans</w:t>
            </w:r>
          </w:p>
        </w:tc>
        <w:tc>
          <w:tcPr>
            <w:tcW w:w="700" w:type="dxa"/>
            <w:vAlign w:val="bottom"/>
          </w:tcPr>
          <w:p>
            <w:pPr>
              <w:spacing w:after="0"/>
              <w:rPr>
                <w:sz w:val="18"/>
                <w:szCs w:val="18"/>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5,567</w:t>
            </w:r>
          </w:p>
        </w:tc>
        <w:tc>
          <w:tcPr>
            <w:tcW w:w="720" w:type="dxa"/>
            <w:vAlign w:val="bottom"/>
          </w:tcPr>
          <w:p>
            <w:pPr>
              <w:spacing w:after="0"/>
              <w:rPr>
                <w:sz w:val="18"/>
                <w:szCs w:val="18"/>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3,672</w:t>
            </w:r>
          </w:p>
        </w:tc>
        <w:tc>
          <w:tcPr>
            <w:tcW w:w="5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3,927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Accounts receivable converted to long-term notes receivable</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75"/>
              <w:spacing w:after="0"/>
              <w:rPr>
                <w:sz w:val="20"/>
                <w:szCs w:val="20"/>
                <w:color w:val="auto"/>
              </w:rPr>
            </w:pPr>
            <w:r>
              <w:rPr>
                <w:rFonts w:ascii="Arial" w:cs="Arial" w:eastAsia="Arial" w:hAnsi="Arial"/>
                <w:sz w:val="17"/>
                <w:szCs w:val="17"/>
                <w:b w:val="1"/>
                <w:bCs w:val="1"/>
                <w:color w:val="auto"/>
              </w:rPr>
              <w:t>6,439</w:t>
            </w:r>
          </w:p>
        </w:tc>
        <w:tc>
          <w:tcPr>
            <w:tcW w:w="7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80"/>
              <w:spacing w:after="0"/>
              <w:rPr>
                <w:sz w:val="20"/>
                <w:szCs w:val="20"/>
                <w:color w:val="auto"/>
              </w:rPr>
            </w:pPr>
            <w:r>
              <w:rPr>
                <w:rFonts w:ascii="Arial" w:cs="Arial" w:eastAsia="Arial" w:hAnsi="Arial"/>
                <w:sz w:val="17"/>
                <w:szCs w:val="17"/>
                <w:b w:val="1"/>
                <w:bCs w:val="1"/>
                <w:color w:val="auto"/>
              </w:rPr>
              <w:t>Debt issued in connection with an acquisition</w:t>
            </w:r>
          </w:p>
        </w:tc>
        <w:tc>
          <w:tcPr>
            <w:tcW w:w="7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spacing w:after="0"/>
              <w:rPr>
                <w:sz w:val="19"/>
                <w:szCs w:val="19"/>
                <w:color w:val="auto"/>
              </w:rPr>
            </w:pPr>
          </w:p>
        </w:tc>
        <w:tc>
          <w:tcPr>
            <w:tcW w:w="1220" w:type="dxa"/>
            <w:vAlign w:val="bottom"/>
          </w:tcPr>
          <w:p>
            <w:pPr>
              <w:jc w:val="right"/>
              <w:ind w:right="315"/>
              <w:spacing w:after="0"/>
              <w:rPr>
                <w:sz w:val="20"/>
                <w:szCs w:val="20"/>
                <w:color w:val="auto"/>
              </w:rPr>
            </w:pPr>
            <w:r>
              <w:rPr>
                <w:rFonts w:ascii="Arial" w:cs="Arial" w:eastAsia="Arial" w:hAnsi="Arial"/>
                <w:sz w:val="17"/>
                <w:szCs w:val="17"/>
                <w:color w:val="auto"/>
              </w:rPr>
              <w:t>186</w:t>
            </w:r>
          </w:p>
        </w:tc>
        <w:tc>
          <w:tcPr>
            <w:tcW w:w="5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ectPr>
          <w:pgSz w:w="11900" w:h="16838" w:orient="portrait"/>
          <w:cols w:equalWidth="0" w:num="1">
            <w:col w:w="11420"/>
          </w:cols>
          <w:pgMar w:left="240" w:top="413"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6997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0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Accumulated</w:t>
            </w: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Additional</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Other</w:t>
            </w:r>
          </w:p>
        </w:tc>
        <w:tc>
          <w:tcPr>
            <w:tcW w:w="440" w:type="dxa"/>
            <w:vAlign w:val="bottom"/>
          </w:tcPr>
          <w:p>
            <w:pPr>
              <w:spacing w:after="0"/>
              <w:rPr>
                <w:sz w:val="12"/>
                <w:szCs w:val="12"/>
                <w:color w:val="auto"/>
              </w:rPr>
            </w:pPr>
          </w:p>
        </w:tc>
        <w:tc>
          <w:tcPr>
            <w:tcW w:w="1520" w:type="dxa"/>
            <w:vAlign w:val="bottom"/>
            <w:gridSpan w:val="3"/>
          </w:tcPr>
          <w:p>
            <w:pPr>
              <w:jc w:val="right"/>
              <w:ind w:right="660"/>
              <w:spacing w:after="0" w:line="146" w:lineRule="exact"/>
              <w:rPr>
                <w:sz w:val="20"/>
                <w:szCs w:val="20"/>
                <w:color w:val="auto"/>
              </w:rPr>
            </w:pPr>
            <w:r>
              <w:rPr>
                <w:rFonts w:ascii="Arial" w:cs="Arial" w:eastAsia="Arial" w:hAnsi="Arial"/>
                <w:sz w:val="13"/>
                <w:szCs w:val="13"/>
                <w:color w:val="auto"/>
              </w:rPr>
              <w:t>Total</w:t>
            </w:r>
          </w:p>
        </w:tc>
        <w:tc>
          <w:tcPr>
            <w:tcW w:w="13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Comprehensive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Common</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Paid-In</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Retained</w:t>
            </w: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color w:val="auto"/>
                <w:w w:val="98"/>
              </w:rPr>
              <w:t>Comprehensive</w:t>
            </w:r>
          </w:p>
        </w:tc>
        <w:tc>
          <w:tcPr>
            <w:tcW w:w="440" w:type="dxa"/>
            <w:vAlign w:val="bottom"/>
          </w:tcPr>
          <w:p>
            <w:pPr>
              <w:spacing w:after="0"/>
              <w:rPr>
                <w:sz w:val="12"/>
                <w:szCs w:val="12"/>
                <w:color w:val="auto"/>
              </w:rPr>
            </w:pPr>
          </w:p>
        </w:tc>
        <w:tc>
          <w:tcPr>
            <w:tcW w:w="1520" w:type="dxa"/>
            <w:vAlign w:val="bottom"/>
            <w:gridSpan w:val="3"/>
          </w:tcPr>
          <w:p>
            <w:pPr>
              <w:jc w:val="right"/>
              <w:ind w:right="660"/>
              <w:spacing w:after="0" w:line="146" w:lineRule="exact"/>
              <w:rPr>
                <w:sz w:val="20"/>
                <w:szCs w:val="20"/>
                <w:color w:val="auto"/>
              </w:rPr>
            </w:pPr>
            <w:r>
              <w:rPr>
                <w:rFonts w:ascii="Arial" w:cs="Arial" w:eastAsia="Arial" w:hAnsi="Arial"/>
                <w:sz w:val="13"/>
                <w:szCs w:val="13"/>
                <w:color w:val="auto"/>
              </w:rPr>
              <w:t>Stockholders’</w:t>
            </w:r>
          </w:p>
        </w:tc>
        <w:tc>
          <w:tcPr>
            <w:tcW w:w="13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Income</w:t>
            </w:r>
          </w:p>
        </w:tc>
        <w:tc>
          <w:tcPr>
            <w:tcW w:w="0" w:type="dxa"/>
            <w:vAlign w:val="bottom"/>
          </w:tcPr>
          <w:p>
            <w:pPr>
              <w:spacing w:after="0"/>
              <w:rPr>
                <w:sz w:val="1"/>
                <w:szCs w:val="1"/>
                <w:color w:val="auto"/>
              </w:rPr>
            </w:pPr>
          </w:p>
        </w:tc>
      </w:tr>
      <w:tr>
        <w:trPr>
          <w:trHeight w:val="166"/>
        </w:trPr>
        <w:tc>
          <w:tcPr>
            <w:tcW w:w="30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30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Stock</w:t>
            </w:r>
          </w:p>
        </w:tc>
        <w:tc>
          <w:tcPr>
            <w:tcW w:w="360" w:type="dxa"/>
            <w:vAlign w:val="bottom"/>
          </w:tcPr>
          <w:p>
            <w:pPr>
              <w:spacing w:after="0"/>
              <w:rPr>
                <w:sz w:val="14"/>
                <w:szCs w:val="14"/>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Capital</w:t>
            </w:r>
          </w:p>
        </w:tc>
        <w:tc>
          <w:tcPr>
            <w:tcW w:w="36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color w:val="auto"/>
              </w:rPr>
              <w:t>Earnings</w:t>
            </w:r>
          </w:p>
        </w:tc>
        <w:tc>
          <w:tcPr>
            <w:tcW w:w="34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Loss</w:t>
            </w:r>
          </w:p>
        </w:tc>
        <w:tc>
          <w:tcPr>
            <w:tcW w:w="440" w:type="dxa"/>
            <w:vAlign w:val="bottom"/>
          </w:tcPr>
          <w:p>
            <w:pPr>
              <w:spacing w:after="0"/>
              <w:rPr>
                <w:sz w:val="14"/>
                <w:szCs w:val="14"/>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3"/>
                <w:szCs w:val="13"/>
                <w:color w:val="auto"/>
              </w:rPr>
              <w:t>Equity</w:t>
            </w: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(Loss)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Balance as of October 31, 2001</w:t>
            </w:r>
          </w:p>
        </w:tc>
        <w:tc>
          <w:tcPr>
            <w:tcW w:w="3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24,531</w:t>
            </w:r>
          </w:p>
        </w:tc>
        <w:tc>
          <w:tcPr>
            <w:tcW w:w="3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16,783</w:t>
            </w:r>
          </w:p>
        </w:tc>
        <w:tc>
          <w:tcPr>
            <w:tcW w:w="36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313,067</w:t>
            </w:r>
          </w:p>
        </w:tc>
        <w:tc>
          <w:tcPr>
            <w:tcW w:w="3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(12,988)</w:t>
            </w:r>
          </w:p>
        </w:tc>
        <w:tc>
          <w:tcPr>
            <w:tcW w:w="44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341,393</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040" w:type="dxa"/>
            <w:vAlign w:val="bottom"/>
            <w:gridSpan w:val="2"/>
          </w:tcPr>
          <w:p>
            <w:pPr>
              <w:spacing w:after="0"/>
              <w:rPr>
                <w:sz w:val="20"/>
                <w:szCs w:val="20"/>
                <w:color w:val="auto"/>
              </w:rPr>
            </w:pPr>
            <w:r>
              <w:rPr>
                <w:rFonts w:ascii="Arial" w:cs="Arial" w:eastAsia="Arial" w:hAnsi="Arial"/>
                <w:sz w:val="13"/>
                <w:szCs w:val="13"/>
                <w:color w:val="auto"/>
              </w:rPr>
              <w:t>Cash dividends paid on common stock</w:t>
            </w:r>
          </w:p>
        </w:tc>
        <w:tc>
          <w:tcPr>
            <w:tcW w:w="300" w:type="dxa"/>
            <w:vAlign w:val="bottom"/>
          </w:tcPr>
          <w:p>
            <w:pPr>
              <w:spacing w:after="0"/>
              <w:rPr>
                <w:sz w:val="21"/>
                <w:szCs w:val="21"/>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1"/>
                <w:szCs w:val="21"/>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3"/>
                <w:szCs w:val="13"/>
                <w:color w:val="auto"/>
              </w:rPr>
              <w:t>(6,026)</w:t>
            </w:r>
          </w:p>
        </w:tc>
        <w:tc>
          <w:tcPr>
            <w:tcW w:w="340" w:type="dxa"/>
            <w:vAlign w:val="bottom"/>
          </w:tcPr>
          <w:p>
            <w:pPr>
              <w:spacing w:after="0"/>
              <w:rPr>
                <w:sz w:val="21"/>
                <w:szCs w:val="21"/>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3"/>
                <w:szCs w:val="13"/>
                <w:color w:val="auto"/>
              </w:rPr>
              <w:t>(6,026)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EEEEEE"/>
          </w:tcPr>
          <w:p>
            <w:pPr>
              <w:spacing w:after="0" w:line="137" w:lineRule="exact"/>
              <w:rPr>
                <w:sz w:val="20"/>
                <w:szCs w:val="20"/>
                <w:color w:val="auto"/>
              </w:rPr>
            </w:pPr>
            <w:r>
              <w:rPr>
                <w:rFonts w:ascii="Arial" w:cs="Arial" w:eastAsia="Arial" w:hAnsi="Arial"/>
                <w:sz w:val="13"/>
                <w:szCs w:val="13"/>
                <w:color w:val="auto"/>
              </w:rPr>
              <w:t>Issuance of 711,024 shares under stock</w:t>
            </w:r>
          </w:p>
        </w:tc>
        <w:tc>
          <w:tcPr>
            <w:tcW w:w="30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3"/>
                <w:szCs w:val="13"/>
                <w:color w:val="auto"/>
              </w:rPr>
              <w:t>compensation plans</w:t>
            </w:r>
          </w:p>
        </w:tc>
        <w:tc>
          <w:tcPr>
            <w:tcW w:w="30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711</w:t>
            </w:r>
          </w:p>
        </w:tc>
        <w:tc>
          <w:tcPr>
            <w:tcW w:w="360" w:type="dxa"/>
            <w:vAlign w:val="bottom"/>
            <w:shd w:val="clear" w:color="auto" w:fill="EEEEEE"/>
          </w:tcPr>
          <w:p>
            <w:pPr>
              <w:spacing w:after="0"/>
              <w:rPr>
                <w:sz w:val="13"/>
                <w:szCs w:val="13"/>
                <w:color w:val="auto"/>
              </w:rPr>
            </w:pPr>
          </w:p>
        </w:tc>
        <w:tc>
          <w:tcPr>
            <w:tcW w:w="92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13,412</w:t>
            </w:r>
          </w:p>
        </w:tc>
        <w:tc>
          <w:tcPr>
            <w:tcW w:w="360" w:type="dxa"/>
            <w:vAlign w:val="bottom"/>
            <w:shd w:val="clear" w:color="auto" w:fill="EEEEEE"/>
          </w:tcPr>
          <w:p>
            <w:pPr>
              <w:spacing w:after="0"/>
              <w:rPr>
                <w:sz w:val="13"/>
                <w:szCs w:val="13"/>
                <w:color w:val="auto"/>
              </w:rPr>
            </w:pPr>
          </w:p>
        </w:tc>
        <w:tc>
          <w:tcPr>
            <w:tcW w:w="8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3"/>
                <w:szCs w:val="13"/>
                <w:color w:val="auto"/>
              </w:rPr>
            </w:pPr>
          </w:p>
        </w:tc>
        <w:tc>
          <w:tcPr>
            <w:tcW w:w="1220" w:type="dxa"/>
            <w:vAlign w:val="bottom"/>
            <w:shd w:val="clear" w:color="auto" w:fill="EEEEEE"/>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3"/>
                <w:szCs w:val="13"/>
                <w:color w:val="auto"/>
              </w:rPr>
            </w:pPr>
          </w:p>
        </w:tc>
        <w:tc>
          <w:tcPr>
            <w:tcW w:w="11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14,123</w:t>
            </w: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9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color w:val="auto"/>
                <w:w w:val="96"/>
              </w:rPr>
              <w:t>Contribution of stock to a deferred compensation trust</w:t>
            </w: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2,745</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2,745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Purchase of 900,640 shares of common stock</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(900)</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(23,255)</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(24,155)</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3"/>
                <w:szCs w:val="13"/>
                <w:color w:val="auto"/>
              </w:rPr>
              <w:t>Tax benefits related to employee stock</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option transactions</w:t>
            </w:r>
          </w:p>
        </w:tc>
        <w:tc>
          <w:tcPr>
            <w:tcW w:w="300" w:type="dxa"/>
            <w:vAlign w:val="bottom"/>
          </w:tcPr>
          <w:p>
            <w:pPr>
              <w:spacing w:after="0"/>
              <w:rPr>
                <w:sz w:val="13"/>
                <w:szCs w:val="13"/>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1,508</w:t>
            </w:r>
          </w:p>
        </w:tc>
        <w:tc>
          <w:tcPr>
            <w:tcW w:w="360" w:type="dxa"/>
            <w:vAlign w:val="bottom"/>
          </w:tcPr>
          <w:p>
            <w:pPr>
              <w:spacing w:after="0"/>
              <w:rPr>
                <w:sz w:val="13"/>
                <w:szCs w:val="13"/>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1,508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Minimum pension liability adjustment, net of tax</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(397)</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(397)</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360"/>
              <w:spacing w:after="0" w:line="146" w:lineRule="exact"/>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color w:val="auto"/>
              </w:rPr>
              <w:t>Foreign currency translation adjustments</w:t>
            </w: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1,273</w:t>
            </w:r>
          </w:p>
        </w:tc>
        <w:tc>
          <w:tcPr>
            <w:tcW w:w="4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1,273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Unrealized loss on derivative instruments, net of tax</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(491)</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(491)</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360"/>
              <w:spacing w:after="0" w:line="146" w:lineRule="exact"/>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Net earnings</w:t>
            </w:r>
          </w:p>
        </w:tc>
        <w:tc>
          <w:tcPr>
            <w:tcW w:w="30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color w:val="auto"/>
              </w:rPr>
              <w:t>35,317</w:t>
            </w:r>
          </w:p>
        </w:tc>
        <w:tc>
          <w:tcPr>
            <w:tcW w:w="34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35,317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35,317</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Total comprehensive income</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520" w:type="dxa"/>
            <w:vAlign w:val="bottom"/>
            <w:gridSpan w:val="3"/>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EEEEEE"/>
          </w:tcPr>
          <w:p>
            <w:pPr>
              <w:jc w:val="right"/>
              <w:ind w:right="400"/>
              <w:spacing w:after="0" w:line="146" w:lineRule="exact"/>
              <w:rPr>
                <w:sz w:val="20"/>
                <w:szCs w:val="20"/>
                <w:color w:val="auto"/>
              </w:rPr>
            </w:pPr>
            <w:r>
              <w:rPr>
                <w:rFonts w:ascii="Arial" w:cs="Arial" w:eastAsia="Arial" w:hAnsi="Arial"/>
                <w:sz w:val="13"/>
                <w:szCs w:val="13"/>
                <w:color w:val="auto"/>
              </w:rPr>
              <w:t>35,702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rPr>
                <w:sz w:val="20"/>
                <w:szCs w:val="20"/>
                <w:color w:val="auto"/>
              </w:rPr>
            </w:pPr>
            <w:r>
              <w:rPr>
                <w:rFonts w:ascii="Arial" w:cs="Arial" w:eastAsia="Arial" w:hAnsi="Arial"/>
                <w:sz w:val="13"/>
                <w:szCs w:val="13"/>
                <w:color w:val="auto"/>
              </w:rPr>
              <w:t>Balance as of October 31, 2002</w:t>
            </w:r>
          </w:p>
        </w:tc>
        <w:tc>
          <w:tcPr>
            <w:tcW w:w="3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24,342</w:t>
            </w:r>
          </w:p>
        </w:tc>
        <w:tc>
          <w:tcPr>
            <w:tcW w:w="3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11,193</w:t>
            </w:r>
          </w:p>
        </w:tc>
        <w:tc>
          <w:tcPr>
            <w:tcW w:w="3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4"/>
              <w:spacing w:after="0"/>
              <w:rPr>
                <w:sz w:val="20"/>
                <w:szCs w:val="20"/>
                <w:color w:val="auto"/>
              </w:rPr>
            </w:pPr>
            <w:r>
              <w:rPr>
                <w:rFonts w:ascii="Arial" w:cs="Arial" w:eastAsia="Arial" w:hAnsi="Arial"/>
                <w:sz w:val="13"/>
                <w:szCs w:val="13"/>
                <w:color w:val="auto"/>
              </w:rPr>
              <w:t>342,358</w:t>
            </w:r>
          </w:p>
        </w:tc>
        <w:tc>
          <w:tcPr>
            <w:tcW w:w="3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94"/>
              <w:spacing w:after="0"/>
              <w:rPr>
                <w:sz w:val="20"/>
                <w:szCs w:val="20"/>
                <w:color w:val="auto"/>
              </w:rPr>
            </w:pPr>
            <w:r>
              <w:rPr>
                <w:rFonts w:ascii="Arial" w:cs="Arial" w:eastAsia="Arial" w:hAnsi="Arial"/>
                <w:sz w:val="13"/>
                <w:szCs w:val="13"/>
                <w:color w:val="auto"/>
              </w:rPr>
              <w:t>(12,603)</w:t>
            </w:r>
          </w:p>
        </w:tc>
        <w:tc>
          <w:tcPr>
            <w:tcW w:w="4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365,290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Cash dividends paid on common stock</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(6,005)</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(6,005)</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tcPr>
          <w:p>
            <w:pPr>
              <w:spacing w:after="0" w:line="137" w:lineRule="exact"/>
              <w:rPr>
                <w:sz w:val="20"/>
                <w:szCs w:val="20"/>
                <w:color w:val="auto"/>
              </w:rPr>
            </w:pPr>
            <w:r>
              <w:rPr>
                <w:rFonts w:ascii="Arial" w:cs="Arial" w:eastAsia="Arial" w:hAnsi="Arial"/>
                <w:sz w:val="13"/>
                <w:szCs w:val="13"/>
                <w:color w:val="auto"/>
              </w:rPr>
              <w:t>Issuance of 480,220 shares under stock</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compensation plans</w:t>
            </w:r>
          </w:p>
        </w:tc>
        <w:tc>
          <w:tcPr>
            <w:tcW w:w="300" w:type="dxa"/>
            <w:vAlign w:val="bottom"/>
          </w:tcPr>
          <w:p>
            <w:pPr>
              <w:spacing w:after="0"/>
              <w:rPr>
                <w:sz w:val="13"/>
                <w:szCs w:val="13"/>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color w:val="auto"/>
              </w:rPr>
              <w:t>480</w:t>
            </w:r>
          </w:p>
        </w:tc>
        <w:tc>
          <w:tcPr>
            <w:tcW w:w="360" w:type="dxa"/>
            <w:vAlign w:val="bottom"/>
          </w:tcPr>
          <w:p>
            <w:pPr>
              <w:spacing w:after="0"/>
              <w:rPr>
                <w:sz w:val="13"/>
                <w:szCs w:val="13"/>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9,433</w:t>
            </w:r>
          </w:p>
        </w:tc>
        <w:tc>
          <w:tcPr>
            <w:tcW w:w="360" w:type="dxa"/>
            <w:vAlign w:val="bottom"/>
          </w:tcPr>
          <w:p>
            <w:pPr>
              <w:spacing w:after="0"/>
              <w:rPr>
                <w:sz w:val="13"/>
                <w:szCs w:val="13"/>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color w:val="auto"/>
              </w:rPr>
              <w:t>9,913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w w:val="96"/>
              </w:rPr>
              <w:t>Contribution of stock to a deferred compensation trust</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2,683</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2,683</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color w:val="auto"/>
              </w:rPr>
              <w:t>Purchase of 433,345 shares of common stock</w:t>
            </w:r>
          </w:p>
        </w:tc>
        <w:tc>
          <w:tcPr>
            <w:tcW w:w="300" w:type="dxa"/>
            <w:vAlign w:val="bottom"/>
          </w:tcPr>
          <w:p>
            <w:pPr>
              <w:spacing w:after="0"/>
              <w:rPr>
                <w:sz w:val="12"/>
                <w:szCs w:val="12"/>
                <w:color w:val="auto"/>
              </w:rPr>
            </w:pPr>
          </w:p>
        </w:tc>
        <w:tc>
          <w:tcPr>
            <w:tcW w:w="7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(433)</w:t>
            </w:r>
          </w:p>
        </w:tc>
        <w:tc>
          <w:tcPr>
            <w:tcW w:w="360" w:type="dxa"/>
            <w:vAlign w:val="bottom"/>
          </w:tcPr>
          <w:p>
            <w:pPr>
              <w:spacing w:after="0"/>
              <w:rPr>
                <w:sz w:val="12"/>
                <w:szCs w:val="12"/>
                <w:color w:val="auto"/>
              </w:rPr>
            </w:pPr>
          </w:p>
        </w:tc>
        <w:tc>
          <w:tcPr>
            <w:tcW w:w="9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(18,293)</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11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(18,726)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shd w:val="clear" w:color="auto" w:fill="EEEEEE"/>
          </w:tcPr>
          <w:p>
            <w:pPr>
              <w:spacing w:after="0" w:line="137" w:lineRule="exact"/>
              <w:rPr>
                <w:sz w:val="20"/>
                <w:szCs w:val="20"/>
                <w:color w:val="auto"/>
              </w:rPr>
            </w:pPr>
            <w:r>
              <w:rPr>
                <w:rFonts w:ascii="Arial" w:cs="Arial" w:eastAsia="Arial" w:hAnsi="Arial"/>
                <w:sz w:val="13"/>
                <w:szCs w:val="13"/>
                <w:color w:val="auto"/>
              </w:rPr>
              <w:t>Tax benefits related to employee stock</w:t>
            </w:r>
          </w:p>
        </w:tc>
        <w:tc>
          <w:tcPr>
            <w:tcW w:w="30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3"/>
                <w:szCs w:val="13"/>
                <w:color w:val="auto"/>
              </w:rPr>
              <w:t>option transactions</w:t>
            </w:r>
          </w:p>
        </w:tc>
        <w:tc>
          <w:tcPr>
            <w:tcW w:w="30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3"/>
                <w:szCs w:val="13"/>
                <w:color w:val="auto"/>
              </w:rPr>
            </w:pPr>
          </w:p>
        </w:tc>
        <w:tc>
          <w:tcPr>
            <w:tcW w:w="92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2,642</w:t>
            </w:r>
          </w:p>
        </w:tc>
        <w:tc>
          <w:tcPr>
            <w:tcW w:w="360" w:type="dxa"/>
            <w:vAlign w:val="bottom"/>
            <w:shd w:val="clear" w:color="auto" w:fill="EEEEEE"/>
          </w:tcPr>
          <w:p>
            <w:pPr>
              <w:spacing w:after="0"/>
              <w:rPr>
                <w:sz w:val="13"/>
                <w:szCs w:val="13"/>
                <w:color w:val="auto"/>
              </w:rPr>
            </w:pPr>
          </w:p>
        </w:tc>
        <w:tc>
          <w:tcPr>
            <w:tcW w:w="8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3"/>
                <w:szCs w:val="13"/>
                <w:color w:val="auto"/>
              </w:rPr>
            </w:pPr>
          </w:p>
        </w:tc>
        <w:tc>
          <w:tcPr>
            <w:tcW w:w="1220" w:type="dxa"/>
            <w:vAlign w:val="bottom"/>
            <w:shd w:val="clear" w:color="auto" w:fill="EEEEEE"/>
          </w:tcPr>
          <w:p>
            <w:pPr>
              <w:jc w:val="right"/>
              <w:ind w:right="234"/>
              <w:spacing w:after="0"/>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3"/>
                <w:szCs w:val="13"/>
                <w:color w:val="auto"/>
              </w:rPr>
            </w:pPr>
          </w:p>
        </w:tc>
        <w:tc>
          <w:tcPr>
            <w:tcW w:w="11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2,642</w:t>
            </w: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9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color w:val="auto"/>
              </w:rPr>
              <w:t>Minimum pension liability adjustment, net of tax</w:t>
            </w: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(730)</w:t>
            </w:r>
          </w:p>
        </w:tc>
        <w:tc>
          <w:tcPr>
            <w:tcW w:w="440" w:type="dxa"/>
            <w:vAlign w:val="bottom"/>
          </w:tcPr>
          <w:p>
            <w:pPr>
              <w:spacing w:after="0"/>
              <w:rPr>
                <w:sz w:val="12"/>
                <w:szCs w:val="12"/>
                <w:color w:val="auto"/>
              </w:rPr>
            </w:pPr>
          </w:p>
        </w:tc>
        <w:tc>
          <w:tcPr>
            <w:tcW w:w="11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(730)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Foreign currency translation adjustments</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2,342</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2,342</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400"/>
              <w:spacing w:after="0" w:line="146" w:lineRule="exact"/>
              <w:rPr>
                <w:sz w:val="20"/>
                <w:szCs w:val="20"/>
                <w:color w:val="auto"/>
              </w:rPr>
            </w:pPr>
            <w:r>
              <w:rPr>
                <w:rFonts w:ascii="Arial" w:cs="Arial" w:eastAsia="Arial" w:hAnsi="Arial"/>
                <w:sz w:val="13"/>
                <w:szCs w:val="13"/>
                <w:color w:val="auto"/>
              </w:rPr>
              <w:t>2,342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color w:val="auto"/>
              </w:rPr>
              <w:t>Unrealized loss on derivative instruments, net of tax</w:t>
            </w: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(1,827)</w:t>
            </w:r>
          </w:p>
        </w:tc>
        <w:tc>
          <w:tcPr>
            <w:tcW w:w="440" w:type="dxa"/>
            <w:vAlign w:val="bottom"/>
          </w:tcPr>
          <w:p>
            <w:pPr>
              <w:spacing w:after="0"/>
              <w:rPr>
                <w:sz w:val="12"/>
                <w:szCs w:val="12"/>
                <w:color w:val="auto"/>
              </w:rPr>
            </w:pPr>
          </w:p>
        </w:tc>
        <w:tc>
          <w:tcPr>
            <w:tcW w:w="11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(1,827)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Net earnings</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81,620</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81,620</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400"/>
              <w:spacing w:after="0" w:line="146" w:lineRule="exact"/>
              <w:rPr>
                <w:sz w:val="20"/>
                <w:szCs w:val="20"/>
                <w:color w:val="auto"/>
              </w:rPr>
            </w:pPr>
            <w:r>
              <w:rPr>
                <w:rFonts w:ascii="Arial" w:cs="Arial" w:eastAsia="Arial" w:hAnsi="Arial"/>
                <w:sz w:val="13"/>
                <w:szCs w:val="13"/>
                <w:color w:val="auto"/>
              </w:rPr>
              <w:t>81,620</w:t>
            </w:r>
          </w:p>
        </w:tc>
        <w:tc>
          <w:tcPr>
            <w:tcW w:w="0" w:type="dxa"/>
            <w:vAlign w:val="bottom"/>
          </w:tcPr>
          <w:p>
            <w:pPr>
              <w:spacing w:after="0"/>
              <w:rPr>
                <w:sz w:val="1"/>
                <w:szCs w:val="1"/>
                <w:color w:val="auto"/>
              </w:rPr>
            </w:pPr>
          </w:p>
        </w:tc>
      </w:tr>
      <w:tr>
        <w:trPr>
          <w:trHeight w:val="106"/>
        </w:trPr>
        <w:tc>
          <w:tcPr>
            <w:tcW w:w="304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81,405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Balance as of October 31, 2003</w:t>
            </w:r>
          </w:p>
        </w:tc>
        <w:tc>
          <w:tcPr>
            <w:tcW w:w="3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24,389</w:t>
            </w:r>
          </w:p>
        </w:tc>
        <w:tc>
          <w:tcPr>
            <w:tcW w:w="3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7,658</w:t>
            </w:r>
          </w:p>
        </w:tc>
        <w:tc>
          <w:tcPr>
            <w:tcW w:w="36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417,973</w:t>
            </w:r>
          </w:p>
        </w:tc>
        <w:tc>
          <w:tcPr>
            <w:tcW w:w="3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(12,818)</w:t>
            </w:r>
          </w:p>
        </w:tc>
        <w:tc>
          <w:tcPr>
            <w:tcW w:w="44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437,202</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Cash dividends paid on common stock</w:t>
            </w: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3"/>
                <w:szCs w:val="13"/>
                <w:b w:val="1"/>
                <w:bCs w:val="1"/>
                <w:color w:val="auto"/>
              </w:rPr>
              <w:t>(16)</w:t>
            </w:r>
          </w:p>
        </w:tc>
        <w:tc>
          <w:tcPr>
            <w:tcW w:w="360" w:type="dxa"/>
            <w:vAlign w:val="bottom"/>
          </w:tcPr>
          <w:p>
            <w:pPr>
              <w:spacing w:after="0"/>
              <w:rPr>
                <w:sz w:val="21"/>
                <w:szCs w:val="21"/>
                <w:color w:val="auto"/>
              </w:rPr>
            </w:pPr>
          </w:p>
        </w:tc>
        <w:tc>
          <w:tcPr>
            <w:tcW w:w="920" w:type="dxa"/>
            <w:vAlign w:val="bottom"/>
          </w:tcPr>
          <w:p>
            <w:pPr>
              <w:jc w:val="right"/>
              <w:ind w:right="134"/>
              <w:spacing w:after="0"/>
              <w:rPr>
                <w:sz w:val="20"/>
                <w:szCs w:val="20"/>
                <w:color w:val="auto"/>
              </w:rPr>
            </w:pPr>
            <w:r>
              <w:rPr>
                <w:rFonts w:ascii="Arial" w:cs="Arial" w:eastAsia="Arial" w:hAnsi="Arial"/>
                <w:sz w:val="13"/>
                <w:szCs w:val="13"/>
                <w:b w:val="1"/>
                <w:bCs w:val="1"/>
                <w:color w:val="auto"/>
              </w:rPr>
              <w:t>(461)</w:t>
            </w:r>
          </w:p>
        </w:tc>
        <w:tc>
          <w:tcPr>
            <w:tcW w:w="360" w:type="dxa"/>
            <w:vAlign w:val="bottom"/>
          </w:tcPr>
          <w:p>
            <w:pPr>
              <w:spacing w:after="0"/>
              <w:rPr>
                <w:sz w:val="21"/>
                <w:szCs w:val="21"/>
                <w:color w:val="auto"/>
              </w:rPr>
            </w:pPr>
          </w:p>
        </w:tc>
        <w:tc>
          <w:tcPr>
            <w:tcW w:w="800" w:type="dxa"/>
            <w:vAlign w:val="bottom"/>
          </w:tcPr>
          <w:p>
            <w:pPr>
              <w:jc w:val="right"/>
              <w:ind w:right="114"/>
              <w:spacing w:after="0"/>
              <w:rPr>
                <w:sz w:val="20"/>
                <w:szCs w:val="20"/>
                <w:color w:val="auto"/>
              </w:rPr>
            </w:pPr>
            <w:r>
              <w:rPr>
                <w:rFonts w:ascii="Arial" w:cs="Arial" w:eastAsia="Arial" w:hAnsi="Arial"/>
                <w:sz w:val="13"/>
                <w:szCs w:val="13"/>
                <w:b w:val="1"/>
                <w:bCs w:val="1"/>
                <w:color w:val="auto"/>
              </w:rPr>
              <w:t>(5,362)</w:t>
            </w:r>
          </w:p>
        </w:tc>
        <w:tc>
          <w:tcPr>
            <w:tcW w:w="340" w:type="dxa"/>
            <w:vAlign w:val="bottom"/>
          </w:tcPr>
          <w:p>
            <w:pPr>
              <w:spacing w:after="0"/>
              <w:rPr>
                <w:sz w:val="21"/>
                <w:szCs w:val="21"/>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21"/>
                <w:szCs w:val="21"/>
                <w:color w:val="auto"/>
              </w:rPr>
            </w:pPr>
          </w:p>
        </w:tc>
        <w:tc>
          <w:tcPr>
            <w:tcW w:w="1100" w:type="dxa"/>
            <w:vAlign w:val="bottom"/>
          </w:tcPr>
          <w:p>
            <w:pPr>
              <w:jc w:val="right"/>
              <w:ind w:right="134"/>
              <w:spacing w:after="0"/>
              <w:rPr>
                <w:sz w:val="20"/>
                <w:szCs w:val="20"/>
                <w:color w:val="auto"/>
              </w:rPr>
            </w:pPr>
            <w:r>
              <w:rPr>
                <w:rFonts w:ascii="Arial" w:cs="Arial" w:eastAsia="Arial" w:hAnsi="Arial"/>
                <w:sz w:val="13"/>
                <w:szCs w:val="13"/>
                <w:b w:val="1"/>
                <w:bCs w:val="1"/>
                <w:color w:val="auto"/>
              </w:rPr>
              <w:t>(5,839)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Issuance of 780,064 shares under stock</w:t>
            </w:r>
          </w:p>
        </w:tc>
        <w:tc>
          <w:tcPr>
            <w:tcW w:w="30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compensation plans</w:t>
            </w:r>
          </w:p>
        </w:tc>
        <w:tc>
          <w:tcPr>
            <w:tcW w:w="30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3"/>
                <w:szCs w:val="13"/>
                <w:b w:val="1"/>
                <w:bCs w:val="1"/>
                <w:color w:val="auto"/>
              </w:rPr>
              <w:t>780</w:t>
            </w:r>
          </w:p>
        </w:tc>
        <w:tc>
          <w:tcPr>
            <w:tcW w:w="360" w:type="dxa"/>
            <w:vAlign w:val="bottom"/>
            <w:shd w:val="clear" w:color="auto" w:fill="EEEEEE"/>
          </w:tcPr>
          <w:p>
            <w:pPr>
              <w:spacing w:after="0"/>
              <w:rPr>
                <w:sz w:val="13"/>
                <w:szCs w:val="13"/>
                <w:color w:val="auto"/>
              </w:rPr>
            </w:pPr>
          </w:p>
        </w:tc>
        <w:tc>
          <w:tcPr>
            <w:tcW w:w="92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15,597</w:t>
            </w:r>
          </w:p>
        </w:tc>
        <w:tc>
          <w:tcPr>
            <w:tcW w:w="360" w:type="dxa"/>
            <w:vAlign w:val="bottom"/>
            <w:shd w:val="clear" w:color="auto" w:fill="EEEEEE"/>
          </w:tcPr>
          <w:p>
            <w:pPr>
              <w:spacing w:after="0"/>
              <w:rPr>
                <w:sz w:val="13"/>
                <w:szCs w:val="13"/>
                <w:color w:val="auto"/>
              </w:rPr>
            </w:pPr>
          </w:p>
        </w:tc>
        <w:tc>
          <w:tcPr>
            <w:tcW w:w="80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EEEEE"/>
          </w:tcPr>
          <w:p>
            <w:pPr>
              <w:spacing w:after="0"/>
              <w:rPr>
                <w:sz w:val="13"/>
                <w:szCs w:val="13"/>
                <w:color w:val="auto"/>
              </w:rPr>
            </w:pPr>
          </w:p>
        </w:tc>
        <w:tc>
          <w:tcPr>
            <w:tcW w:w="1220" w:type="dxa"/>
            <w:vAlign w:val="bottom"/>
            <w:shd w:val="clear" w:color="auto" w:fill="EEEEEE"/>
          </w:tcPr>
          <w:p>
            <w:pPr>
              <w:jc w:val="right"/>
              <w:ind w:right="234"/>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EEEEEE"/>
          </w:tcPr>
          <w:p>
            <w:pPr>
              <w:spacing w:after="0"/>
              <w:rPr>
                <w:sz w:val="13"/>
                <w:szCs w:val="13"/>
                <w:color w:val="auto"/>
              </w:rPr>
            </w:pPr>
          </w:p>
        </w:tc>
        <w:tc>
          <w:tcPr>
            <w:tcW w:w="110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16,377</w:t>
            </w: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9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line="133" w:lineRule="exact"/>
              <w:rPr>
                <w:sz w:val="20"/>
                <w:szCs w:val="20"/>
                <w:color w:val="auto"/>
              </w:rPr>
            </w:pPr>
            <w:r>
              <w:rPr>
                <w:rFonts w:ascii="Arial" w:cs="Arial" w:eastAsia="Arial" w:hAnsi="Arial"/>
                <w:sz w:val="13"/>
                <w:szCs w:val="13"/>
                <w:b w:val="1"/>
                <w:bCs w:val="1"/>
                <w:color w:val="auto"/>
              </w:rPr>
              <w:t>Contribution of stock to a deferred</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b w:val="1"/>
                <w:bCs w:val="1"/>
                <w:color w:val="auto"/>
              </w:rPr>
              <w:t>compensation trust</w:t>
            </w:r>
          </w:p>
        </w:tc>
        <w:tc>
          <w:tcPr>
            <w:tcW w:w="300" w:type="dxa"/>
            <w:vAlign w:val="bottom"/>
          </w:tcPr>
          <w:p>
            <w:pPr>
              <w:spacing w:after="0"/>
              <w:rPr>
                <w:sz w:val="13"/>
                <w:szCs w:val="13"/>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3,496</w:t>
            </w:r>
          </w:p>
        </w:tc>
        <w:tc>
          <w:tcPr>
            <w:tcW w:w="360" w:type="dxa"/>
            <w:vAlign w:val="bottom"/>
          </w:tcPr>
          <w:p>
            <w:pPr>
              <w:spacing w:after="0"/>
              <w:rPr>
                <w:sz w:val="13"/>
                <w:szCs w:val="13"/>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3,496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Purchase of 2,635,407 shares of common stock</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b w:val="1"/>
                <w:bCs w:val="1"/>
                <w:color w:val="auto"/>
              </w:rPr>
              <w:t>(2,635)</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b w:val="1"/>
                <w:bCs w:val="1"/>
                <w:color w:val="auto"/>
              </w:rPr>
              <w:t>(36,147)</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b w:val="1"/>
                <w:bCs w:val="1"/>
                <w:color w:val="auto"/>
              </w:rPr>
              <w:t>(131,039)</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b w:val="1"/>
                <w:bCs w:val="1"/>
                <w:color w:val="auto"/>
              </w:rPr>
              <w:t>(169,821)</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line="133" w:lineRule="exact"/>
              <w:rPr>
                <w:sz w:val="20"/>
                <w:szCs w:val="20"/>
                <w:color w:val="auto"/>
              </w:rPr>
            </w:pPr>
            <w:r>
              <w:rPr>
                <w:rFonts w:ascii="Arial" w:cs="Arial" w:eastAsia="Arial" w:hAnsi="Arial"/>
                <w:sz w:val="13"/>
                <w:szCs w:val="13"/>
                <w:b w:val="1"/>
                <w:bCs w:val="1"/>
                <w:color w:val="auto"/>
              </w:rPr>
              <w:t>Tax benefits related to employee stock</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b w:val="1"/>
                <w:bCs w:val="1"/>
                <w:color w:val="auto"/>
              </w:rPr>
              <w:t>option transactions</w:t>
            </w:r>
          </w:p>
        </w:tc>
        <w:tc>
          <w:tcPr>
            <w:tcW w:w="300" w:type="dxa"/>
            <w:vAlign w:val="bottom"/>
          </w:tcPr>
          <w:p>
            <w:pPr>
              <w:spacing w:after="0"/>
              <w:rPr>
                <w:sz w:val="13"/>
                <w:szCs w:val="13"/>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9,857</w:t>
            </w:r>
          </w:p>
        </w:tc>
        <w:tc>
          <w:tcPr>
            <w:tcW w:w="360" w:type="dxa"/>
            <w:vAlign w:val="bottom"/>
          </w:tcPr>
          <w:p>
            <w:pPr>
              <w:spacing w:after="0"/>
              <w:rPr>
                <w:sz w:val="13"/>
                <w:szCs w:val="13"/>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3"/>
                <w:szCs w:val="13"/>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9,857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Minimum pension liability adjustment, net of tax</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156</w:t>
            </w:r>
          </w:p>
        </w:tc>
        <w:tc>
          <w:tcPr>
            <w:tcW w:w="44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156</w:t>
            </w:r>
          </w:p>
        </w:tc>
        <w:tc>
          <w:tcPr>
            <w:tcW w:w="2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400"/>
              <w:spacing w:after="0" w:line="146" w:lineRule="exact"/>
              <w:rPr>
                <w:sz w:val="20"/>
                <w:szCs w:val="20"/>
                <w:color w:val="auto"/>
              </w:rPr>
            </w:pPr>
            <w:r>
              <w:rPr>
                <w:rFonts w:ascii="Arial" w:cs="Arial" w:eastAsia="Arial" w:hAnsi="Arial"/>
                <w:sz w:val="13"/>
                <w:szCs w:val="13"/>
                <w:b w:val="1"/>
                <w:bCs w:val="1"/>
                <w:color w:val="auto"/>
              </w:rPr>
              <w:t>156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20" w:type="dxa"/>
            <w:vAlign w:val="bottom"/>
          </w:tcPr>
          <w:p>
            <w:pPr>
              <w:spacing w:after="0" w:line="146" w:lineRule="exact"/>
              <w:rPr>
                <w:sz w:val="20"/>
                <w:szCs w:val="20"/>
                <w:color w:val="auto"/>
              </w:rPr>
            </w:pPr>
            <w:r>
              <w:rPr>
                <w:rFonts w:ascii="Arial" w:cs="Arial" w:eastAsia="Arial" w:hAnsi="Arial"/>
                <w:sz w:val="13"/>
                <w:szCs w:val="13"/>
                <w:b w:val="1"/>
                <w:bCs w:val="1"/>
                <w:color w:val="auto"/>
              </w:rPr>
              <w:t>Foreign currency translation adjustments</w:t>
            </w:r>
          </w:p>
        </w:tc>
        <w:tc>
          <w:tcPr>
            <w:tcW w:w="300" w:type="dxa"/>
            <w:vAlign w:val="bottom"/>
          </w:tcPr>
          <w:p>
            <w:pPr>
              <w:spacing w:after="0"/>
              <w:rPr>
                <w:sz w:val="12"/>
                <w:szCs w:val="12"/>
                <w:color w:val="auto"/>
              </w:rPr>
            </w:pPr>
          </w:p>
        </w:tc>
        <w:tc>
          <w:tcPr>
            <w:tcW w:w="78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2"/>
                <w:szCs w:val="12"/>
                <w:color w:val="auto"/>
              </w:rPr>
            </w:pPr>
          </w:p>
        </w:tc>
        <w:tc>
          <w:tcPr>
            <w:tcW w:w="92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2"/>
                <w:szCs w:val="12"/>
                <w:color w:val="auto"/>
              </w:rPr>
            </w:pPr>
          </w:p>
        </w:tc>
        <w:tc>
          <w:tcPr>
            <w:tcW w:w="80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2"/>
                <w:szCs w:val="12"/>
                <w:color w:val="auto"/>
              </w:rPr>
            </w:pPr>
          </w:p>
        </w:tc>
        <w:tc>
          <w:tcPr>
            <w:tcW w:w="1220" w:type="dxa"/>
            <w:vAlign w:val="bottom"/>
          </w:tcPr>
          <w:p>
            <w:pPr>
              <w:jc w:val="right"/>
              <w:ind w:right="234"/>
              <w:spacing w:after="0" w:line="146" w:lineRule="exact"/>
              <w:rPr>
                <w:sz w:val="20"/>
                <w:szCs w:val="20"/>
                <w:color w:val="auto"/>
              </w:rPr>
            </w:pPr>
            <w:r>
              <w:rPr>
                <w:rFonts w:ascii="Arial" w:cs="Arial" w:eastAsia="Arial" w:hAnsi="Arial"/>
                <w:sz w:val="13"/>
                <w:szCs w:val="13"/>
                <w:b w:val="1"/>
                <w:bCs w:val="1"/>
                <w:color w:val="auto"/>
              </w:rPr>
              <w:t>771</w:t>
            </w:r>
          </w:p>
        </w:tc>
        <w:tc>
          <w:tcPr>
            <w:tcW w:w="4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771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400"/>
              <w:spacing w:after="0" w:line="146" w:lineRule="exact"/>
              <w:rPr>
                <w:sz w:val="20"/>
                <w:szCs w:val="20"/>
                <w:color w:val="auto"/>
              </w:rPr>
            </w:pPr>
            <w:r>
              <w:rPr>
                <w:rFonts w:ascii="Arial" w:cs="Arial" w:eastAsia="Arial" w:hAnsi="Arial"/>
                <w:sz w:val="13"/>
                <w:szCs w:val="13"/>
                <w:b w:val="1"/>
                <w:bCs w:val="1"/>
                <w:color w:val="auto"/>
              </w:rPr>
              <w:t>771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w w:val="99"/>
              </w:rPr>
              <w:t>Unrealized gain on derivative instruments, net of</w:t>
            </w:r>
          </w:p>
        </w:tc>
        <w:tc>
          <w:tcPr>
            <w:tcW w:w="30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tax</w:t>
            </w:r>
          </w:p>
        </w:tc>
        <w:tc>
          <w:tcPr>
            <w:tcW w:w="30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54"/>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EEEEE"/>
          </w:tcPr>
          <w:p>
            <w:pPr>
              <w:spacing w:after="0"/>
              <w:rPr>
                <w:sz w:val="13"/>
                <w:szCs w:val="13"/>
                <w:color w:val="auto"/>
              </w:rPr>
            </w:pPr>
          </w:p>
        </w:tc>
        <w:tc>
          <w:tcPr>
            <w:tcW w:w="92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EEEEE"/>
          </w:tcPr>
          <w:p>
            <w:pPr>
              <w:spacing w:after="0"/>
              <w:rPr>
                <w:sz w:val="13"/>
                <w:szCs w:val="13"/>
                <w:color w:val="auto"/>
              </w:rPr>
            </w:pPr>
          </w:p>
        </w:tc>
        <w:tc>
          <w:tcPr>
            <w:tcW w:w="80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EEEEE"/>
          </w:tcPr>
          <w:p>
            <w:pPr>
              <w:spacing w:after="0"/>
              <w:rPr>
                <w:sz w:val="13"/>
                <w:szCs w:val="13"/>
                <w:color w:val="auto"/>
              </w:rPr>
            </w:pPr>
          </w:p>
        </w:tc>
        <w:tc>
          <w:tcPr>
            <w:tcW w:w="1220" w:type="dxa"/>
            <w:vAlign w:val="bottom"/>
            <w:shd w:val="clear" w:color="auto" w:fill="EEEEEE"/>
          </w:tcPr>
          <w:p>
            <w:pPr>
              <w:jc w:val="right"/>
              <w:ind w:right="234"/>
              <w:spacing w:after="0"/>
              <w:rPr>
                <w:sz w:val="20"/>
                <w:szCs w:val="20"/>
                <w:color w:val="auto"/>
              </w:rPr>
            </w:pPr>
            <w:r>
              <w:rPr>
                <w:rFonts w:ascii="Arial" w:cs="Arial" w:eastAsia="Arial" w:hAnsi="Arial"/>
                <w:sz w:val="13"/>
                <w:szCs w:val="13"/>
                <w:b w:val="1"/>
                <w:bCs w:val="1"/>
                <w:color w:val="auto"/>
              </w:rPr>
              <w:t>749</w:t>
            </w:r>
          </w:p>
        </w:tc>
        <w:tc>
          <w:tcPr>
            <w:tcW w:w="440" w:type="dxa"/>
            <w:vAlign w:val="bottom"/>
            <w:shd w:val="clear" w:color="auto" w:fill="EEEEEE"/>
          </w:tcPr>
          <w:p>
            <w:pPr>
              <w:spacing w:after="0"/>
              <w:rPr>
                <w:sz w:val="13"/>
                <w:szCs w:val="13"/>
                <w:color w:val="auto"/>
              </w:rPr>
            </w:pPr>
          </w:p>
        </w:tc>
        <w:tc>
          <w:tcPr>
            <w:tcW w:w="1100" w:type="dxa"/>
            <w:vAlign w:val="bottom"/>
            <w:shd w:val="clear" w:color="auto" w:fill="EEEEEE"/>
          </w:tcPr>
          <w:p>
            <w:pPr>
              <w:jc w:val="right"/>
              <w:ind w:right="174"/>
              <w:spacing w:after="0"/>
              <w:rPr>
                <w:sz w:val="20"/>
                <w:szCs w:val="20"/>
                <w:color w:val="auto"/>
              </w:rPr>
            </w:pPr>
            <w:r>
              <w:rPr>
                <w:rFonts w:ascii="Arial" w:cs="Arial" w:eastAsia="Arial" w:hAnsi="Arial"/>
                <w:sz w:val="13"/>
                <w:szCs w:val="13"/>
                <w:b w:val="1"/>
                <w:bCs w:val="1"/>
                <w:color w:val="auto"/>
              </w:rPr>
              <w:t>749</w:t>
            </w:r>
          </w:p>
        </w:tc>
        <w:tc>
          <w:tcPr>
            <w:tcW w:w="240" w:type="dxa"/>
            <w:vAlign w:val="bottom"/>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1340" w:type="dxa"/>
            <w:vAlign w:val="bottom"/>
            <w:gridSpan w:val="2"/>
            <w:shd w:val="clear" w:color="auto" w:fill="EEEEEE"/>
          </w:tcPr>
          <w:p>
            <w:pPr>
              <w:jc w:val="right"/>
              <w:ind w:right="400"/>
              <w:spacing w:after="0"/>
              <w:rPr>
                <w:sz w:val="20"/>
                <w:szCs w:val="20"/>
                <w:color w:val="auto"/>
              </w:rPr>
            </w:pPr>
            <w:r>
              <w:rPr>
                <w:rFonts w:ascii="Arial" w:cs="Arial" w:eastAsia="Arial" w:hAnsi="Arial"/>
                <w:sz w:val="13"/>
                <w:szCs w:val="13"/>
                <w:b w:val="1"/>
                <w:bCs w:val="1"/>
                <w:color w:val="auto"/>
              </w:rPr>
              <w:t>749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3"/>
                <w:szCs w:val="13"/>
                <w:b w:val="1"/>
                <w:bCs w:val="1"/>
                <w:color w:val="auto"/>
              </w:rPr>
              <w:t>Net earnings</w:t>
            </w:r>
          </w:p>
        </w:tc>
        <w:tc>
          <w:tcPr>
            <w:tcW w:w="30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3"/>
                <w:szCs w:val="13"/>
                <w:b w:val="1"/>
                <w:bCs w:val="1"/>
                <w:color w:val="auto"/>
              </w:rPr>
              <w:t>102,666</w:t>
            </w:r>
          </w:p>
        </w:tc>
        <w:tc>
          <w:tcPr>
            <w:tcW w:w="34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102,666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102,666</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Total comprehensive income</w:t>
            </w:r>
          </w:p>
        </w:tc>
        <w:tc>
          <w:tcPr>
            <w:tcW w:w="3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520" w:type="dxa"/>
            <w:vAlign w:val="bottom"/>
            <w:gridSpan w:val="3"/>
            <w:shd w:val="clear" w:color="auto" w:fill="EEEEEE"/>
          </w:tcPr>
          <w:p>
            <w:pPr>
              <w:jc w:val="right"/>
              <w:ind w:right="120"/>
              <w:spacing w:after="0" w:line="146" w:lineRule="exact"/>
              <w:rPr>
                <w:sz w:val="20"/>
                <w:szCs w:val="20"/>
                <w:color w:val="auto"/>
              </w:rPr>
            </w:pPr>
            <w:r>
              <w:rPr>
                <w:rFonts w:ascii="Arial" w:cs="Arial" w:eastAsia="Arial" w:hAnsi="Arial"/>
                <w:sz w:val="13"/>
                <w:szCs w:val="13"/>
                <w:b w:val="1"/>
                <w:bCs w:val="1"/>
                <w:color w:val="auto"/>
              </w:rPr>
              <w:t>$</w:t>
            </w:r>
          </w:p>
        </w:tc>
        <w:tc>
          <w:tcPr>
            <w:tcW w:w="1340" w:type="dxa"/>
            <w:vAlign w:val="bottom"/>
            <w:gridSpan w:val="2"/>
            <w:shd w:val="clear" w:color="auto" w:fill="EEEEEE"/>
          </w:tcPr>
          <w:p>
            <w:pPr>
              <w:jc w:val="right"/>
              <w:ind w:right="400"/>
              <w:spacing w:after="0" w:line="146" w:lineRule="exact"/>
              <w:rPr>
                <w:sz w:val="20"/>
                <w:szCs w:val="20"/>
                <w:color w:val="auto"/>
              </w:rPr>
            </w:pPr>
            <w:r>
              <w:rPr>
                <w:rFonts w:ascii="Arial" w:cs="Arial" w:eastAsia="Arial" w:hAnsi="Arial"/>
                <w:sz w:val="13"/>
                <w:szCs w:val="13"/>
                <w:b w:val="1"/>
                <w:bCs w:val="1"/>
                <w:color w:val="auto"/>
              </w:rPr>
              <w:t>104,342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Balance as of October 31, 2004</w:t>
            </w:r>
          </w:p>
        </w:tc>
        <w:tc>
          <w:tcPr>
            <w:tcW w:w="300" w:type="dxa"/>
            <w:vAlign w:val="bottom"/>
          </w:tcPr>
          <w:p>
            <w:pPr>
              <w:jc w:val="right"/>
              <w:ind w:right="14"/>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54"/>
              <w:spacing w:after="0"/>
              <w:rPr>
                <w:sz w:val="20"/>
                <w:szCs w:val="20"/>
                <w:color w:val="auto"/>
              </w:rPr>
            </w:pPr>
            <w:r>
              <w:rPr>
                <w:rFonts w:ascii="Arial" w:cs="Arial" w:eastAsia="Arial" w:hAnsi="Arial"/>
                <w:sz w:val="13"/>
                <w:szCs w:val="13"/>
                <w:b w:val="1"/>
                <w:bCs w:val="1"/>
                <w:color w:val="auto"/>
              </w:rPr>
              <w:t>22,518</w:t>
            </w:r>
          </w:p>
        </w:tc>
        <w:tc>
          <w:tcPr>
            <w:tcW w:w="36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jc w:val="right"/>
              <w:ind w:right="14"/>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74"/>
              <w:spacing w:after="0"/>
              <w:rPr>
                <w:sz w:val="20"/>
                <w:szCs w:val="20"/>
                <w:color w:val="auto"/>
              </w:rPr>
            </w:pPr>
            <w:r>
              <w:rPr>
                <w:rFonts w:ascii="Arial" w:cs="Arial" w:eastAsia="Arial" w:hAnsi="Arial"/>
                <w:sz w:val="13"/>
                <w:szCs w:val="13"/>
                <w:b w:val="1"/>
                <w:bCs w:val="1"/>
                <w:color w:val="auto"/>
              </w:rPr>
              <w:t>384,238</w:t>
            </w:r>
          </w:p>
        </w:tc>
        <w:tc>
          <w:tcPr>
            <w:tcW w:w="340" w:type="dxa"/>
            <w:vAlign w:val="bottom"/>
          </w:tcPr>
          <w:p>
            <w:pPr>
              <w:jc w:val="right"/>
              <w:ind w:right="34"/>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194"/>
              <w:spacing w:after="0"/>
              <w:rPr>
                <w:sz w:val="20"/>
                <w:szCs w:val="20"/>
                <w:color w:val="auto"/>
              </w:rPr>
            </w:pPr>
            <w:r>
              <w:rPr>
                <w:rFonts w:ascii="Arial" w:cs="Arial" w:eastAsia="Arial" w:hAnsi="Arial"/>
                <w:sz w:val="13"/>
                <w:szCs w:val="13"/>
                <w:b w:val="1"/>
                <w:bCs w:val="1"/>
                <w:color w:val="auto"/>
              </w:rPr>
              <w:t>(11,142)</w:t>
            </w:r>
          </w:p>
        </w:tc>
        <w:tc>
          <w:tcPr>
            <w:tcW w:w="44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395,614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right="3020" w:firstLine="6"/>
        <w:spacing w:after="0" w:line="253" w:lineRule="auto"/>
        <w:tabs>
          <w:tab w:leader="none" w:pos="688" w:val="left"/>
        </w:tabs>
        <w:numPr>
          <w:ilvl w:val="0"/>
          <w:numId w:val="19"/>
        </w:numPr>
        <w:rPr>
          <w:rFonts w:ascii="Arial" w:cs="Arial" w:eastAsia="Arial" w:hAnsi="Arial"/>
          <w:sz w:val="42"/>
          <w:szCs w:val="42"/>
          <w:b w:val="1"/>
          <w:bCs w:val="1"/>
          <w:color w:val="auto"/>
        </w:rPr>
      </w:pPr>
      <w:r>
        <w:rPr>
          <w:rFonts w:ascii="Arial" w:cs="Arial" w:eastAsia="Arial" w:hAnsi="Arial"/>
          <w:sz w:val="21"/>
          <w:szCs w:val="21"/>
          <w:b w:val="1"/>
          <w:bCs w:val="1"/>
          <w:color w:val="auto"/>
        </w:rPr>
        <w:t>SUMMARY OF SIGNIFICANT ACCOUNTING POLICIES AND RELATED DATA Basis of Consolidation</w:t>
      </w:r>
    </w:p>
    <w:p>
      <w:pPr>
        <w:spacing w:after="0" w:line="168"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color w:val="auto"/>
        </w:rPr>
        <w:t>The accompanying consolidated financial statements include the accounts of the company. The principles of Financial Accounting Standards Board (FASB) Interpretation No. 46R “Consolidation of Variable Interest Entities” (FIN 46R) and Accounting Research Bulletin (ARB) No. 51, “Consolidated Financial Statements” are considered when determining whether an entity is subject to consolidation. All material intercompany accounts and transactions have been eliminated from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Estimates</w:t>
      </w:r>
    </w:p>
    <w:p>
      <w:pPr>
        <w:spacing w:after="0" w:line="22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as of the date of the financial statements and the reported amounts of revenue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Reclassifications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from prior years’ financial statements have been reclassified to conform to the current year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and Cash Equivalents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purchased with a maturity of three months or less to be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Receivables</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grants credit to customers in the normal course of business. Management performs on-going credit evaluations of customers and maintains allowances for potential credit losses. Receivables are recorded at original carrying value less reserves for estimated uncollectible accounts.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Inventories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586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4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06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3"/>
                <w:szCs w:val="13"/>
                <w:b w:val="1"/>
                <w:bCs w:val="1"/>
                <w:color w:val="auto"/>
              </w:rPr>
              <w:t>2004</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Raw materials and work in progress</w:t>
            </w:r>
          </w:p>
        </w:tc>
        <w:tc>
          <w:tcPr>
            <w:tcW w:w="206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64,169</w:t>
            </w:r>
          </w:p>
        </w:tc>
        <w:tc>
          <w:tcPr>
            <w:tcW w:w="54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67,753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Finished goods and service parts</w:t>
            </w:r>
          </w:p>
        </w:tc>
        <w:tc>
          <w:tcPr>
            <w:tcW w:w="2060" w:type="dxa"/>
            <w:vAlign w:val="bottom"/>
          </w:tcPr>
          <w:p>
            <w:pPr>
              <w:spacing w:after="0"/>
              <w:rPr>
                <w:sz w:val="19"/>
                <w:szCs w:val="19"/>
                <w:color w:val="auto"/>
              </w:rPr>
            </w:pP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210,141</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208,176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274,310</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275,929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7"/>
                <w:szCs w:val="17"/>
                <w:b w:val="1"/>
                <w:bCs w:val="1"/>
                <w:color w:val="auto"/>
              </w:rPr>
              <w:t>Less: LIFO</w:t>
            </w:r>
          </w:p>
        </w:tc>
        <w:tc>
          <w:tcPr>
            <w:tcW w:w="2060" w:type="dxa"/>
            <w:vAlign w:val="bottom"/>
          </w:tcPr>
          <w:p>
            <w:pPr>
              <w:spacing w:after="0"/>
              <w:rPr>
                <w:sz w:val="18"/>
                <w:szCs w:val="18"/>
                <w:color w:val="auto"/>
              </w:rPr>
            </w:pP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30,227</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32,151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EEEEEE"/>
          </w:tcPr>
          <w:p>
            <w:pPr>
              <w:ind w:left="400"/>
              <w:spacing w:after="0"/>
              <w:rPr>
                <w:sz w:val="20"/>
                <w:szCs w:val="20"/>
                <w:color w:val="auto"/>
              </w:rPr>
            </w:pPr>
            <w:r>
              <w:rPr>
                <w:rFonts w:ascii="Arial" w:cs="Arial" w:eastAsia="Arial" w:hAnsi="Arial"/>
                <w:sz w:val="17"/>
                <w:szCs w:val="17"/>
                <w:b w:val="1"/>
                <w:bCs w:val="1"/>
                <w:color w:val="auto"/>
              </w:rPr>
              <w:t>Reserves for excess and</w:t>
            </w:r>
          </w:p>
        </w:tc>
        <w:tc>
          <w:tcPr>
            <w:tcW w:w="2060" w:type="dxa"/>
            <w:vAlign w:val="bottom"/>
            <w:shd w:val="clear" w:color="auto" w:fill="EEEEEE"/>
          </w:tcPr>
          <w:p>
            <w:pPr>
              <w:spacing w:after="0"/>
              <w:rPr>
                <w:sz w:val="20"/>
                <w:szCs w:val="20"/>
                <w:color w:val="auto"/>
              </w:rPr>
            </w:pPr>
          </w:p>
        </w:tc>
        <w:tc>
          <w:tcPr>
            <w:tcW w:w="104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40" w:type="dxa"/>
            <w:vAlign w:val="bottom"/>
          </w:tcPr>
          <w:p>
            <w:pPr>
              <w:ind w:left="500"/>
              <w:spacing w:after="0"/>
              <w:rPr>
                <w:sz w:val="20"/>
                <w:szCs w:val="20"/>
                <w:color w:val="auto"/>
              </w:rPr>
            </w:pPr>
            <w:r>
              <w:rPr>
                <w:rFonts w:ascii="Arial" w:cs="Arial" w:eastAsia="Arial" w:hAnsi="Arial"/>
                <w:sz w:val="17"/>
                <w:szCs w:val="17"/>
                <w:b w:val="1"/>
                <w:bCs w:val="1"/>
                <w:color w:val="auto"/>
              </w:rPr>
              <w:t>obsolete inventory</w:t>
            </w:r>
          </w:p>
        </w:tc>
        <w:tc>
          <w:tcPr>
            <w:tcW w:w="2060" w:type="dxa"/>
            <w:vAlign w:val="bottom"/>
          </w:tcPr>
          <w:p>
            <w:pPr>
              <w:spacing w:after="0"/>
              <w:rPr>
                <w:sz w:val="20"/>
                <w:szCs w:val="20"/>
                <w:color w:val="auto"/>
              </w:rPr>
            </w:pP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16,883</w:t>
            </w:r>
          </w:p>
        </w:tc>
        <w:tc>
          <w:tcPr>
            <w:tcW w:w="5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14,869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206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227,200</w:t>
            </w:r>
          </w:p>
        </w:tc>
        <w:tc>
          <w:tcPr>
            <w:tcW w:w="54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228,909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Property and Depreciation</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straight-line method. Software and web site development costs are generally amortized over 2 to 5 years utilizing the straight-line method. Expenditures for major renewals and betterments,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2004, 2003, and 2002, the company capitalized $446,000, $493,000, and $458,000 of interest, respectively.</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586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6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88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3"/>
                <w:szCs w:val="13"/>
                <w:b w:val="1"/>
                <w:bCs w:val="1"/>
                <w:color w:val="auto"/>
              </w:rPr>
              <w:t>2004</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2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Land and land improvements</w:t>
            </w:r>
          </w:p>
        </w:tc>
        <w:tc>
          <w:tcPr>
            <w:tcW w:w="188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16,936</w:t>
            </w:r>
          </w:p>
        </w:tc>
        <w:tc>
          <w:tcPr>
            <w:tcW w:w="54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14,603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b w:val="1"/>
                <w:bCs w:val="1"/>
                <w:color w:val="auto"/>
              </w:rPr>
              <w:t>Buildings and leasehold improvements</w:t>
            </w:r>
          </w:p>
        </w:tc>
        <w:tc>
          <w:tcPr>
            <w:tcW w:w="1880" w:type="dxa"/>
            <w:vAlign w:val="bottom"/>
          </w:tcPr>
          <w:p>
            <w:pPr>
              <w:spacing w:after="0"/>
              <w:rPr>
                <w:sz w:val="18"/>
                <w:szCs w:val="18"/>
                <w:color w:val="auto"/>
              </w:rPr>
            </w:pP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105,655</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95,501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Equipment</w:t>
            </w:r>
          </w:p>
        </w:tc>
        <w:tc>
          <w:tcPr>
            <w:tcW w:w="18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353,526</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359,820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Subtotal</w:t>
            </w:r>
          </w:p>
        </w:tc>
        <w:tc>
          <w:tcPr>
            <w:tcW w:w="1880" w:type="dxa"/>
            <w:vAlign w:val="bottom"/>
          </w:tcPr>
          <w:p>
            <w:pPr>
              <w:spacing w:after="0"/>
              <w:rPr>
                <w:sz w:val="24"/>
                <w:szCs w:val="24"/>
                <w:color w:val="auto"/>
              </w:rPr>
            </w:pP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476,117</w:t>
            </w: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469,924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Less accumulated depreciation</w:t>
            </w:r>
          </w:p>
        </w:tc>
        <w:tc>
          <w:tcPr>
            <w:tcW w:w="18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311,452</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310,808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Total property, plant, and equipment, net</w:t>
            </w:r>
          </w:p>
        </w:tc>
        <w:tc>
          <w:tcPr>
            <w:tcW w:w="188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237"/>
              <w:spacing w:after="0"/>
              <w:rPr>
                <w:sz w:val="20"/>
                <w:szCs w:val="20"/>
                <w:color w:val="auto"/>
              </w:rPr>
            </w:pPr>
            <w:r>
              <w:rPr>
                <w:rFonts w:ascii="Arial" w:cs="Arial" w:eastAsia="Arial" w:hAnsi="Arial"/>
                <w:sz w:val="17"/>
                <w:szCs w:val="17"/>
                <w:b w:val="1"/>
                <w:bCs w:val="1"/>
                <w:color w:val="auto"/>
              </w:rPr>
              <w:t>164,665</w:t>
            </w: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159,116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808080"/>
            </w:tcBorders>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3" w:right="239" w:bottom="0" w:gutter="0" w:footer="0" w:header="0"/>
        </w:sectPr>
      </w:pPr>
    </w:p>
    <w:bookmarkStart w:id="38" w:name="page39"/>
    <w:bookmarkEnd w:id="38"/>
    <w:p>
      <w:pPr>
        <w:ind w:left="100"/>
        <w:spacing w:after="0"/>
        <w:rPr>
          <w:sz w:val="20"/>
          <w:szCs w:val="20"/>
          <w:color w:val="auto"/>
        </w:rPr>
      </w:pPr>
      <w:r>
        <w:rPr>
          <w:rFonts w:ascii="Arial" w:cs="Arial" w:eastAsia="Arial" w:hAnsi="Arial"/>
          <w:sz w:val="17"/>
          <w:szCs w:val="17"/>
          <w:color w:val="auto"/>
        </w:rPr>
        <w:t>During fiscal years 2004, 2003, and 2002, the company recorded depreciation expense of $34,959,000, $33,054,000, and $29,733,000,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Goodwill and Other Intangible Assets</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excess of the purchase price over the fair value of net assets of businesses acquired and accounted for by the purchase method of accounting. On November 1, 2001, the company adopted Statement of Financial Accounting Standards (SFAS) No. 142 “Goodwill and Other Intangible Assets.” This statement eliminates the amortization of goodwill and intangible assets with indefinite lives and instead requires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that they be tested annually for impairment. See section “New Accounting Pronouncements” below in this Note 1 for the effects of adopting this standard. Other intangible assets with determinable lives consist primarily of patents and non-compete agreements that are amortized on a straight-line basis over periods ranging from 3 to 12 years.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Impairment of Long-Lived and Intangible Assets</w:t>
      </w:r>
    </w:p>
    <w:p>
      <w:pPr>
        <w:spacing w:after="0" w:line="22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The company reviews goodwill for impairment annually in accordance to the provisions of SFAS No. 142. Based on the company’s annual analysis during fiscal 2004, no goodwill was deemed impaired. In the fourth quarter of fiscal 2003, the company recorded a pre-tax impairment charge of $5.4 million for automation equipment as a result of its decision to no longer use the equipment for production of some professional segment products. In fiscal 2002, the company determined that goodwill, patents, and non-compete agreements related to the agricultural irrigation market were impaired. See section “New Accounting Pronouncements” in this Note 1 for more details regarding this goodwill impairment charge.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Accrued Warranties</w:t>
      </w:r>
    </w:p>
    <w:p>
      <w:pPr>
        <w:spacing w:after="0" w:line="22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company provides an accrual for estimated future warranty costs at the time of sale. The amount of the liability is based upon the historical relationship of warranty claims to sales by product line and major rework campaigns. The changes in warranty reserves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179705</wp:posOffset>
            </wp:positionV>
            <wp:extent cx="4888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8865" cy="8255"/>
                    </a:xfrm>
                    <a:prstGeom prst="rect">
                      <a:avLst/>
                    </a:prstGeom>
                    <a:noFill/>
                  </pic:spPr>
                </pic:pic>
              </a:graphicData>
            </a:graphic>
          </wp:anchor>
        </w:drawing>
      </w:r>
    </w:p>
    <w:p>
      <w:pPr>
        <w:spacing w:after="0" w:line="37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140" w:type="dxa"/>
            <w:vAlign w:val="bottom"/>
          </w:tcPr>
          <w:p>
            <w:pPr>
              <w:spacing w:after="0"/>
              <w:rPr>
                <w:sz w:val="13"/>
                <w:szCs w:val="13"/>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2004</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Beginning Balance</w:t>
            </w:r>
          </w:p>
        </w:tc>
        <w:tc>
          <w:tcPr>
            <w:tcW w:w="21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59,372</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53,590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b w:val="1"/>
                <w:bCs w:val="1"/>
                <w:color w:val="auto"/>
              </w:rPr>
              <w:t>Warranty provisions</w:t>
            </w:r>
          </w:p>
        </w:tc>
        <w:tc>
          <w:tcPr>
            <w:tcW w:w="2140" w:type="dxa"/>
            <w:vAlign w:val="bottom"/>
          </w:tcPr>
          <w:p>
            <w:pPr>
              <w:spacing w:after="0"/>
              <w:rPr>
                <w:sz w:val="18"/>
                <w:szCs w:val="18"/>
                <w:color w:val="auto"/>
              </w:rPr>
            </w:pPr>
          </w:p>
        </w:tc>
        <w:tc>
          <w:tcPr>
            <w:tcW w:w="980" w:type="dxa"/>
            <w:vAlign w:val="bottom"/>
          </w:tcPr>
          <w:p>
            <w:pPr>
              <w:jc w:val="right"/>
              <w:ind w:right="237"/>
              <w:spacing w:after="0"/>
              <w:rPr>
                <w:sz w:val="20"/>
                <w:szCs w:val="20"/>
                <w:color w:val="auto"/>
              </w:rPr>
            </w:pPr>
            <w:r>
              <w:rPr>
                <w:rFonts w:ascii="Arial" w:cs="Arial" w:eastAsia="Arial" w:hAnsi="Arial"/>
                <w:sz w:val="17"/>
                <w:szCs w:val="17"/>
                <w:b w:val="1"/>
                <w:bCs w:val="1"/>
                <w:color w:val="auto"/>
              </w:rPr>
              <w:t>42,304</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40,142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Warranty claims</w:t>
            </w:r>
          </w:p>
        </w:tc>
        <w:tc>
          <w:tcPr>
            <w:tcW w:w="21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77"/>
              <w:spacing w:after="0"/>
              <w:rPr>
                <w:sz w:val="20"/>
                <w:szCs w:val="20"/>
                <w:color w:val="auto"/>
              </w:rPr>
            </w:pPr>
            <w:r>
              <w:rPr>
                <w:rFonts w:ascii="Arial" w:cs="Arial" w:eastAsia="Arial" w:hAnsi="Arial"/>
                <w:sz w:val="17"/>
                <w:szCs w:val="17"/>
                <w:b w:val="1"/>
                <w:bCs w:val="1"/>
                <w:color w:val="auto"/>
              </w:rPr>
              <w:t>(42,494)</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(40,285)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7"/>
                <w:szCs w:val="17"/>
                <w:b w:val="1"/>
                <w:bCs w:val="1"/>
                <w:color w:val="auto"/>
              </w:rPr>
              <w:t>Changes in estimates</w:t>
            </w:r>
          </w:p>
        </w:tc>
        <w:tc>
          <w:tcPr>
            <w:tcW w:w="2140" w:type="dxa"/>
            <w:vAlign w:val="bottom"/>
          </w:tcPr>
          <w:p>
            <w:pPr>
              <w:spacing w:after="0"/>
              <w:rPr>
                <w:sz w:val="19"/>
                <w:szCs w:val="19"/>
                <w:color w:val="auto"/>
              </w:rPr>
            </w:pPr>
          </w:p>
        </w:tc>
        <w:tc>
          <w:tcPr>
            <w:tcW w:w="980" w:type="dxa"/>
            <w:vAlign w:val="bottom"/>
          </w:tcPr>
          <w:p>
            <w:pPr>
              <w:jc w:val="right"/>
              <w:ind w:right="237"/>
              <w:spacing w:after="0"/>
              <w:rPr>
                <w:sz w:val="20"/>
                <w:szCs w:val="20"/>
                <w:color w:val="auto"/>
              </w:rPr>
            </w:pPr>
            <w:r>
              <w:rPr>
                <w:rFonts w:ascii="Arial" w:cs="Arial" w:eastAsia="Arial" w:hAnsi="Arial"/>
                <w:sz w:val="17"/>
                <w:szCs w:val="17"/>
                <w:b w:val="1"/>
                <w:bCs w:val="1"/>
                <w:color w:val="auto"/>
              </w:rPr>
              <w:t>1,806</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Ending Balance</w:t>
            </w:r>
          </w:p>
        </w:tc>
        <w:tc>
          <w:tcPr>
            <w:tcW w:w="21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60,988</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59,372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Insurance</w:t>
      </w:r>
    </w:p>
    <w:p>
      <w:pPr>
        <w:spacing w:after="0" w:line="227" w:lineRule="exact"/>
        <w:rPr>
          <w:sz w:val="20"/>
          <w:szCs w:val="20"/>
          <w:color w:val="auto"/>
        </w:rPr>
      </w:pPr>
    </w:p>
    <w:p>
      <w:pPr>
        <w:jc w:val="both"/>
        <w:ind w:right="400"/>
        <w:spacing w:after="0" w:line="325" w:lineRule="auto"/>
        <w:rPr>
          <w:sz w:val="20"/>
          <w:szCs w:val="20"/>
          <w:color w:val="auto"/>
        </w:rPr>
      </w:pPr>
      <w:r>
        <w:rPr>
          <w:rFonts w:ascii="Arial" w:cs="Arial" w:eastAsia="Arial" w:hAnsi="Arial"/>
          <w:sz w:val="15"/>
          <w:szCs w:val="15"/>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Derivatives</w:t>
      </w:r>
    </w:p>
    <w:p>
      <w:pPr>
        <w:spacing w:after="0" w:line="2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Derivatives, consisting mainly of foreign currency exchange contracts, are used to hedge most foreign currency transactions and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accounting requirements for a hedge are adjusted to fair value through other income, net on the Consolidated Statements of Earnings.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Foreign Currency Translation and Transactions</w:t>
      </w:r>
    </w:p>
    <w:p>
      <w:pPr>
        <w:spacing w:after="0" w:line="227"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 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net, on the Consolidated Statements of Earnings.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2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The company has reflected the necessary deferred tax assets and liabilities in the accompanying balance sheets. Management believes the future tax deductions will be realized principally through carryback to taxable income in prior years, future reversals of existing taxable temporary differences, and future taxable income.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Recognition</w:t>
      </w:r>
    </w:p>
    <w:p>
      <w:pPr>
        <w:spacing w:after="0" w:line="22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Toro recognizes revenue when persuasive evidence of an arrangement exists, when title and risk of ownership passes, the sales price is fixed or determinable, and collectibility is probable. Generally, these criteria are met at the time product is shipped. A provision is made at the time the related revenue is recognized for estimated product returns, cost of product warranties, floor plan costs, price protection, and other sales</w:t>
      </w:r>
    </w:p>
    <w:p>
      <w:pPr>
        <w:sectPr>
          <w:pgSz w:w="11900" w:h="16838" w:orient="portrait"/>
          <w:cols w:equalWidth="0" w:num="1">
            <w:col w:w="11400"/>
          </w:cols>
          <w:pgMar w:left="240" w:top="413" w:right="259" w:bottom="878"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878"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promotional expenses. Retail customers may obtain financing through a third-party leasing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 Revenue earned from services is recognized ratably over the contractual period. Freight revenue billed to customers is included in net sales, and expenses incurred for shipping products to customers are included in cost of sales.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Financing Distributor/ Dealer Inventory</w:t>
      </w:r>
    </w:p>
    <w:p>
      <w:pPr>
        <w:spacing w:after="0" w:line="227"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color w:val="auto"/>
        </w:rPr>
        <w:t>The company enters into inventory repurchase agreements with third party financing companies. The company has repurchased immaterial amounts of inventory from third party financing companies over the last three fiscal years. However, an adverse change in retail sales could cause this situation to change and thereby require Toro to repurchase financed product. See Note 13 for additional information regarding the company’s repurchase arrangements.</w:t>
      </w:r>
    </w:p>
    <w:p>
      <w:pPr>
        <w:spacing w:after="0" w:line="1" w:lineRule="exact"/>
        <w:rPr>
          <w:sz w:val="20"/>
          <w:szCs w:val="20"/>
          <w:color w:val="auto"/>
        </w:rPr>
      </w:pPr>
    </w:p>
    <w:p>
      <w:pPr>
        <w:ind w:firstLine="86"/>
        <w:spacing w:after="0" w:line="264" w:lineRule="auto"/>
        <w:rPr>
          <w:sz w:val="20"/>
          <w:szCs w:val="20"/>
          <w:color w:val="auto"/>
        </w:rPr>
      </w:pPr>
      <w:r>
        <w:rPr>
          <w:rFonts w:ascii="Arial" w:cs="Arial" w:eastAsia="Arial" w:hAnsi="Arial"/>
          <w:sz w:val="17"/>
          <w:szCs w:val="17"/>
          <w:color w:val="auto"/>
        </w:rPr>
        <w:t>Included in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$10,521,000, $9,405,000, and $10,981,000 for the fiscal years ended October 31, 2004, 2003, and 2002,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Advertising</w:t>
      </w:r>
    </w:p>
    <w:p>
      <w:pPr>
        <w:spacing w:after="0" w:line="227"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General advertising expenditures and the related production are expensed in the period that costs are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 established for various product lines. Advertising costs were $38,115,000, $37,279,000, and $39,306,000 for the fiscal years ended October 31, 2004, 2003, and 2002,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Stock-Based Compensation</w:t>
      </w:r>
    </w:p>
    <w:p>
      <w:pPr>
        <w:spacing w:after="0" w:line="22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company accounts for stock-based compensation in accordance with the provisions of Accounting Principles Board Opinion No. 25, “Accounting for Stock Issued to Employees” (APB No. 25). This method defines cost for stock-based compensation as the excess of the stock’s market value at the time of grant over the amount that the employee is required to pay. SFAS No. 123, “Accounting for Stock-Based Compensation” requires companies to measure employee stock compensation grants based on the fair value method of accounting. Had stock-based compensation costs been recorded at fair value consistent with the provisions of SFAS No. 123, net earnings and net earnings per share would have been the following pro forma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191135</wp:posOffset>
            </wp:positionV>
            <wp:extent cx="5645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32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360" w:type="dxa"/>
            <w:vAlign w:val="bottom"/>
          </w:tcPr>
          <w:p>
            <w:pPr>
              <w:spacing w:after="0"/>
              <w:rPr>
                <w:sz w:val="12"/>
                <w:szCs w:val="12"/>
                <w:color w:val="auto"/>
              </w:rPr>
            </w:pPr>
          </w:p>
        </w:tc>
        <w:tc>
          <w:tcPr>
            <w:tcW w:w="980" w:type="dxa"/>
            <w:vAlign w:val="bottom"/>
            <w:vMerge w:val="restart"/>
          </w:tcPr>
          <w:p>
            <w:pPr>
              <w:jc w:val="right"/>
              <w:ind w:right="216"/>
              <w:spacing w:after="0"/>
              <w:rPr>
                <w:sz w:val="20"/>
                <w:szCs w:val="20"/>
                <w:color w:val="auto"/>
              </w:rPr>
            </w:pPr>
            <w:r>
              <w:rPr>
                <w:rFonts w:ascii="Arial" w:cs="Arial" w:eastAsia="Arial" w:hAnsi="Arial"/>
                <w:sz w:val="13"/>
                <w:szCs w:val="13"/>
                <w:b w:val="1"/>
                <w:bCs w:val="1"/>
                <w:color w:val="auto"/>
              </w:rPr>
              <w:t>2004</w:t>
            </w: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2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2003</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 as reported</w:t>
            </w:r>
          </w:p>
        </w:tc>
        <w:tc>
          <w:tcPr>
            <w:tcW w:w="36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216"/>
              <w:spacing w:after="0"/>
              <w:rPr>
                <w:sz w:val="20"/>
                <w:szCs w:val="20"/>
                <w:color w:val="auto"/>
              </w:rPr>
            </w:pPr>
            <w:r>
              <w:rPr>
                <w:rFonts w:ascii="Arial" w:cs="Arial" w:eastAsia="Arial" w:hAnsi="Arial"/>
                <w:sz w:val="17"/>
                <w:szCs w:val="17"/>
                <w:b w:val="1"/>
                <w:bCs w:val="1"/>
                <w:color w:val="auto"/>
              </w:rPr>
              <w:t>102,666</w:t>
            </w:r>
          </w:p>
        </w:tc>
        <w:tc>
          <w:tcPr>
            <w:tcW w:w="44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81,620</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35,317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w w:val="90"/>
              </w:rPr>
              <w:t>Add: Stock-based employee compensation costs, net of tax, included in</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100"/>
              <w:spacing w:after="0"/>
              <w:rPr>
                <w:sz w:val="20"/>
                <w:szCs w:val="20"/>
                <w:color w:val="auto"/>
              </w:rPr>
            </w:pPr>
            <w:r>
              <w:rPr>
                <w:rFonts w:ascii="Arial" w:cs="Arial" w:eastAsia="Arial" w:hAnsi="Arial"/>
                <w:sz w:val="17"/>
                <w:szCs w:val="17"/>
                <w:b w:val="1"/>
                <w:bCs w:val="1"/>
                <w:color w:val="auto"/>
              </w:rPr>
              <w:t>net earnings</w:t>
            </w:r>
          </w:p>
        </w:tc>
        <w:tc>
          <w:tcPr>
            <w:tcW w:w="360" w:type="dxa"/>
            <w:vAlign w:val="bottom"/>
          </w:tcPr>
          <w:p>
            <w:pPr>
              <w:spacing w:after="0"/>
              <w:rPr>
                <w:sz w:val="19"/>
                <w:szCs w:val="19"/>
                <w:color w:val="auto"/>
              </w:rPr>
            </w:pPr>
          </w:p>
        </w:tc>
        <w:tc>
          <w:tcPr>
            <w:tcW w:w="980" w:type="dxa"/>
            <w:vAlign w:val="bottom"/>
          </w:tcPr>
          <w:p>
            <w:pPr>
              <w:jc w:val="right"/>
              <w:ind w:right="216"/>
              <w:spacing w:after="0"/>
              <w:rPr>
                <w:sz w:val="20"/>
                <w:szCs w:val="20"/>
                <w:color w:val="auto"/>
              </w:rPr>
            </w:pPr>
            <w:r>
              <w:rPr>
                <w:rFonts w:ascii="Arial" w:cs="Arial" w:eastAsia="Arial" w:hAnsi="Arial"/>
                <w:sz w:val="17"/>
                <w:szCs w:val="17"/>
                <w:b w:val="1"/>
                <w:bCs w:val="1"/>
                <w:color w:val="auto"/>
              </w:rPr>
              <w:t>10,097</w:t>
            </w:r>
          </w:p>
        </w:tc>
        <w:tc>
          <w:tcPr>
            <w:tcW w:w="440" w:type="dxa"/>
            <w:vAlign w:val="bottom"/>
          </w:tcPr>
          <w:p>
            <w:pPr>
              <w:spacing w:after="0"/>
              <w:rPr>
                <w:sz w:val="19"/>
                <w:szCs w:val="19"/>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5,882</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4"/>
              </w:rPr>
              <w:t>Deduct: Stock-based employee compensation costs, net of tax, if fair</w:t>
            </w:r>
          </w:p>
        </w:tc>
        <w:tc>
          <w:tcPr>
            <w:tcW w:w="3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shd w:val="clear" w:color="auto" w:fill="EEEEEE"/>
          </w:tcPr>
          <w:p>
            <w:pPr>
              <w:ind w:left="100"/>
              <w:spacing w:after="0"/>
              <w:rPr>
                <w:sz w:val="20"/>
                <w:szCs w:val="20"/>
                <w:color w:val="auto"/>
              </w:rPr>
            </w:pPr>
            <w:r>
              <w:rPr>
                <w:rFonts w:ascii="Arial" w:cs="Arial" w:eastAsia="Arial" w:hAnsi="Arial"/>
                <w:sz w:val="17"/>
                <w:szCs w:val="17"/>
                <w:b w:val="1"/>
                <w:bCs w:val="1"/>
                <w:color w:val="auto"/>
              </w:rPr>
              <w:t>value method had been applied</w:t>
            </w:r>
          </w:p>
        </w:tc>
        <w:tc>
          <w:tcPr>
            <w:tcW w:w="360" w:type="dxa"/>
            <w:vAlign w:val="bottom"/>
            <w:shd w:val="clear" w:color="auto" w:fill="EEEEEE"/>
          </w:tcPr>
          <w:p>
            <w:pPr>
              <w:spacing w:after="0"/>
              <w:rPr>
                <w:sz w:val="19"/>
                <w:szCs w:val="19"/>
                <w:color w:val="auto"/>
              </w:rPr>
            </w:pPr>
          </w:p>
        </w:tc>
        <w:tc>
          <w:tcPr>
            <w:tcW w:w="980" w:type="dxa"/>
            <w:vAlign w:val="bottom"/>
            <w:shd w:val="clear" w:color="auto" w:fill="EEEEEE"/>
          </w:tcPr>
          <w:p>
            <w:pPr>
              <w:jc w:val="right"/>
              <w:ind w:right="156"/>
              <w:spacing w:after="0"/>
              <w:rPr>
                <w:sz w:val="20"/>
                <w:szCs w:val="20"/>
                <w:color w:val="auto"/>
              </w:rPr>
            </w:pPr>
            <w:r>
              <w:rPr>
                <w:rFonts w:ascii="Arial" w:cs="Arial" w:eastAsia="Arial" w:hAnsi="Arial"/>
                <w:sz w:val="17"/>
                <w:szCs w:val="17"/>
                <w:b w:val="1"/>
                <w:bCs w:val="1"/>
                <w:color w:val="auto"/>
              </w:rPr>
              <w:t>(7,020)</w:t>
            </w:r>
          </w:p>
        </w:tc>
        <w:tc>
          <w:tcPr>
            <w:tcW w:w="4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(6,432)</w:t>
            </w:r>
          </w:p>
        </w:tc>
        <w:tc>
          <w:tcPr>
            <w:tcW w:w="3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(6,157)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rPr>
              <w:t>Pro forma net earnings</w:t>
            </w:r>
          </w:p>
        </w:tc>
        <w:tc>
          <w:tcPr>
            <w:tcW w:w="36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216"/>
              <w:spacing w:after="0"/>
              <w:rPr>
                <w:sz w:val="20"/>
                <w:szCs w:val="20"/>
                <w:color w:val="auto"/>
              </w:rPr>
            </w:pPr>
            <w:r>
              <w:rPr>
                <w:rFonts w:ascii="Arial" w:cs="Arial" w:eastAsia="Arial" w:hAnsi="Arial"/>
                <w:sz w:val="17"/>
                <w:szCs w:val="17"/>
                <w:b w:val="1"/>
                <w:bCs w:val="1"/>
                <w:color w:val="auto"/>
              </w:rPr>
              <w:t>105,743</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81,070</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32,533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 per share data:</w:t>
            </w:r>
          </w:p>
        </w:tc>
        <w:tc>
          <w:tcPr>
            <w:tcW w:w="3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7"/>
                <w:szCs w:val="17"/>
                <w:b w:val="1"/>
                <w:bCs w:val="1"/>
                <w:color w:val="auto"/>
              </w:rPr>
              <w:t>As reported – Basic</w:t>
            </w:r>
          </w:p>
        </w:tc>
        <w:tc>
          <w:tcPr>
            <w:tcW w:w="36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216"/>
              <w:spacing w:after="0"/>
              <w:rPr>
                <w:sz w:val="20"/>
                <w:szCs w:val="20"/>
                <w:color w:val="auto"/>
              </w:rPr>
            </w:pPr>
            <w:r>
              <w:rPr>
                <w:rFonts w:ascii="Arial" w:cs="Arial" w:eastAsia="Arial" w:hAnsi="Arial"/>
                <w:sz w:val="17"/>
                <w:szCs w:val="17"/>
                <w:b w:val="1"/>
                <w:bCs w:val="1"/>
                <w:color w:val="auto"/>
              </w:rPr>
              <w:t>4.21</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3.26</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Pro forma – Basic</w:t>
            </w:r>
          </w:p>
        </w:tc>
        <w:tc>
          <w:tcPr>
            <w:tcW w:w="3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6"/>
              <w:spacing w:after="0"/>
              <w:rPr>
                <w:sz w:val="20"/>
                <w:szCs w:val="20"/>
                <w:color w:val="auto"/>
              </w:rPr>
            </w:pPr>
            <w:r>
              <w:rPr>
                <w:rFonts w:ascii="Arial" w:cs="Arial" w:eastAsia="Arial" w:hAnsi="Arial"/>
                <w:sz w:val="17"/>
                <w:szCs w:val="17"/>
                <w:b w:val="1"/>
                <w:bCs w:val="1"/>
                <w:color w:val="auto"/>
              </w:rPr>
              <w:t>4.34</w:t>
            </w: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3.24</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7"/>
                <w:szCs w:val="17"/>
                <w:b w:val="1"/>
                <w:bCs w:val="1"/>
                <w:color w:val="auto"/>
              </w:rPr>
              <w:t>As reported – Diluted</w:t>
            </w:r>
          </w:p>
        </w:tc>
        <w:tc>
          <w:tcPr>
            <w:tcW w:w="360" w:type="dxa"/>
            <w:vAlign w:val="bottom"/>
          </w:tcPr>
          <w:p>
            <w:pPr>
              <w:spacing w:after="0"/>
              <w:rPr>
                <w:sz w:val="18"/>
                <w:szCs w:val="18"/>
                <w:color w:val="auto"/>
              </w:rPr>
            </w:pPr>
          </w:p>
        </w:tc>
        <w:tc>
          <w:tcPr>
            <w:tcW w:w="980" w:type="dxa"/>
            <w:vAlign w:val="bottom"/>
          </w:tcPr>
          <w:p>
            <w:pPr>
              <w:jc w:val="right"/>
              <w:ind w:right="216"/>
              <w:spacing w:after="0"/>
              <w:rPr>
                <w:sz w:val="20"/>
                <w:szCs w:val="20"/>
                <w:color w:val="auto"/>
              </w:rPr>
            </w:pPr>
            <w:r>
              <w:rPr>
                <w:rFonts w:ascii="Arial" w:cs="Arial" w:eastAsia="Arial" w:hAnsi="Arial"/>
                <w:sz w:val="17"/>
                <w:szCs w:val="17"/>
                <w:b w:val="1"/>
                <w:bCs w:val="1"/>
                <w:color w:val="auto"/>
              </w:rPr>
              <w:t>4.04</w:t>
            </w:r>
          </w:p>
        </w:tc>
        <w:tc>
          <w:tcPr>
            <w:tcW w:w="440" w:type="dxa"/>
            <w:vAlign w:val="bottom"/>
          </w:tcPr>
          <w:p>
            <w:pPr>
              <w:spacing w:after="0"/>
              <w:rPr>
                <w:sz w:val="18"/>
                <w:szCs w:val="18"/>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3.12</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Pro forma – Diluted</w:t>
            </w:r>
          </w:p>
        </w:tc>
        <w:tc>
          <w:tcPr>
            <w:tcW w:w="3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6"/>
              <w:spacing w:after="0"/>
              <w:rPr>
                <w:sz w:val="20"/>
                <w:szCs w:val="20"/>
                <w:color w:val="auto"/>
              </w:rPr>
            </w:pPr>
            <w:r>
              <w:rPr>
                <w:rFonts w:ascii="Arial" w:cs="Arial" w:eastAsia="Arial" w:hAnsi="Arial"/>
                <w:sz w:val="17"/>
                <w:szCs w:val="17"/>
                <w:b w:val="1"/>
                <w:bCs w:val="1"/>
                <w:color w:val="auto"/>
              </w:rPr>
              <w:t>4.17</w:t>
            </w: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3.10</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 w:firstLine="83"/>
        <w:spacing w:after="0" w:line="286" w:lineRule="auto"/>
        <w:rPr>
          <w:sz w:val="20"/>
          <w:szCs w:val="20"/>
          <w:color w:val="auto"/>
        </w:rPr>
      </w:pPr>
      <w:r>
        <w:rPr>
          <w:rFonts w:ascii="Arial" w:cs="Arial" w:eastAsia="Arial" w:hAnsi="Arial"/>
          <w:sz w:val="17"/>
          <w:szCs w:val="17"/>
          <w:color w:val="auto"/>
        </w:rPr>
        <w:t>The fair value of stock options is estimated as of the grant date using the Black-Scholes option pricing model with the following weighted average assumptions for options granted in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314325</wp:posOffset>
            </wp:positionV>
            <wp:extent cx="56362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362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2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820" w:type="dxa"/>
            <w:vAlign w:val="bottom"/>
          </w:tcPr>
          <w:p>
            <w:pPr>
              <w:jc w:val="right"/>
              <w:ind w:right="418"/>
              <w:spacing w:after="0"/>
              <w:rPr>
                <w:sz w:val="20"/>
                <w:szCs w:val="20"/>
                <w:color w:val="auto"/>
              </w:rPr>
            </w:pPr>
            <w:r>
              <w:rPr>
                <w:rFonts w:ascii="Arial" w:cs="Arial" w:eastAsia="Arial" w:hAnsi="Arial"/>
                <w:sz w:val="13"/>
                <w:szCs w:val="13"/>
                <w:b w:val="1"/>
                <w:bCs w:val="1"/>
                <w:color w:val="auto"/>
              </w:rPr>
              <w:t>2004</w:t>
            </w:r>
          </w:p>
        </w:tc>
        <w:tc>
          <w:tcPr>
            <w:tcW w:w="1160" w:type="dxa"/>
            <w:vAlign w:val="bottom"/>
          </w:tcPr>
          <w:p>
            <w:pPr>
              <w:jc w:val="right"/>
              <w:ind w:right="358"/>
              <w:spacing w:after="0"/>
              <w:rPr>
                <w:sz w:val="20"/>
                <w:szCs w:val="20"/>
                <w:color w:val="auto"/>
              </w:rPr>
            </w:pPr>
            <w:r>
              <w:rPr>
                <w:rFonts w:ascii="Arial" w:cs="Arial" w:eastAsia="Arial" w:hAnsi="Arial"/>
                <w:sz w:val="13"/>
                <w:szCs w:val="13"/>
                <w:color w:val="auto"/>
              </w:rPr>
              <w:t>2003</w:t>
            </w:r>
          </w:p>
        </w:tc>
        <w:tc>
          <w:tcPr>
            <w:tcW w:w="70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Risk-free interest rate</w:t>
            </w:r>
          </w:p>
        </w:tc>
        <w:tc>
          <w:tcPr>
            <w:tcW w:w="282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3.05%</w:t>
            </w:r>
          </w:p>
        </w:tc>
        <w:tc>
          <w:tcPr>
            <w:tcW w:w="11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3.00%</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b w:val="1"/>
                <w:bCs w:val="1"/>
                <w:color w:val="auto"/>
              </w:rPr>
              <w:t>Expected life of option in years</w:t>
            </w:r>
          </w:p>
        </w:tc>
        <w:tc>
          <w:tcPr>
            <w:tcW w:w="2820" w:type="dxa"/>
            <w:vAlign w:val="bottom"/>
          </w:tcPr>
          <w:p>
            <w:pPr>
              <w:jc w:val="right"/>
              <w:ind w:right="418"/>
              <w:spacing w:after="0"/>
              <w:rPr>
                <w:sz w:val="20"/>
                <w:szCs w:val="20"/>
                <w:color w:val="auto"/>
              </w:rPr>
            </w:pPr>
            <w:r>
              <w:rPr>
                <w:rFonts w:ascii="Arial" w:cs="Arial" w:eastAsia="Arial" w:hAnsi="Arial"/>
                <w:sz w:val="17"/>
                <w:szCs w:val="17"/>
                <w:b w:val="1"/>
                <w:bCs w:val="1"/>
                <w:color w:val="auto"/>
              </w:rPr>
              <w:t>5.94</w:t>
            </w:r>
          </w:p>
        </w:tc>
        <w:tc>
          <w:tcPr>
            <w:tcW w:w="1160" w:type="dxa"/>
            <w:vAlign w:val="bottom"/>
          </w:tcPr>
          <w:p>
            <w:pPr>
              <w:jc w:val="right"/>
              <w:ind w:right="358"/>
              <w:spacing w:after="0"/>
              <w:rPr>
                <w:sz w:val="20"/>
                <w:szCs w:val="20"/>
                <w:color w:val="auto"/>
              </w:rPr>
            </w:pPr>
            <w:r>
              <w:rPr>
                <w:rFonts w:ascii="Arial" w:cs="Arial" w:eastAsia="Arial" w:hAnsi="Arial"/>
                <w:sz w:val="17"/>
                <w:szCs w:val="17"/>
                <w:color w:val="auto"/>
              </w:rPr>
              <w:t>5.76</w:t>
            </w:r>
          </w:p>
        </w:tc>
        <w:tc>
          <w:tcPr>
            <w:tcW w:w="700" w:type="dxa"/>
            <w:vAlign w:val="bottom"/>
          </w:tcPr>
          <w:p>
            <w:pPr>
              <w:jc w:val="right"/>
              <w:spacing w:after="0"/>
              <w:rPr>
                <w:sz w:val="20"/>
                <w:szCs w:val="20"/>
                <w:color w:val="auto"/>
              </w:rPr>
            </w:pPr>
            <w:r>
              <w:rPr>
                <w:rFonts w:ascii="Arial" w:cs="Arial" w:eastAsia="Arial" w:hAnsi="Arial"/>
                <w:sz w:val="17"/>
                <w:szCs w:val="17"/>
                <w:color w:val="auto"/>
              </w:rPr>
              <w:t>5.78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Expected dividend yield</w:t>
            </w:r>
          </w:p>
        </w:tc>
        <w:tc>
          <w:tcPr>
            <w:tcW w:w="282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0.32%</w:t>
            </w:r>
          </w:p>
        </w:tc>
        <w:tc>
          <w:tcPr>
            <w:tcW w:w="11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0.52%</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7"/>
                <w:szCs w:val="17"/>
                <w:b w:val="1"/>
                <w:bCs w:val="1"/>
                <w:color w:val="auto"/>
              </w:rPr>
              <w:t>Expected stock volatility</w:t>
            </w:r>
          </w:p>
        </w:tc>
        <w:tc>
          <w:tcPr>
            <w:tcW w:w="2820" w:type="dxa"/>
            <w:vAlign w:val="bottom"/>
          </w:tcPr>
          <w:p>
            <w:pPr>
              <w:jc w:val="right"/>
              <w:ind w:right="238"/>
              <w:spacing w:after="0"/>
              <w:rPr>
                <w:sz w:val="20"/>
                <w:szCs w:val="20"/>
                <w:color w:val="auto"/>
              </w:rPr>
            </w:pPr>
            <w:r>
              <w:rPr>
                <w:rFonts w:ascii="Arial" w:cs="Arial" w:eastAsia="Arial" w:hAnsi="Arial"/>
                <w:sz w:val="17"/>
                <w:szCs w:val="17"/>
                <w:b w:val="1"/>
                <w:bCs w:val="1"/>
                <w:color w:val="auto"/>
              </w:rPr>
              <w:t>27.72%</w:t>
            </w:r>
          </w:p>
        </w:tc>
        <w:tc>
          <w:tcPr>
            <w:tcW w:w="1160" w:type="dxa"/>
            <w:vAlign w:val="bottom"/>
          </w:tcPr>
          <w:p>
            <w:pPr>
              <w:jc w:val="right"/>
              <w:ind w:right="218"/>
              <w:spacing w:after="0"/>
              <w:rPr>
                <w:sz w:val="20"/>
                <w:szCs w:val="20"/>
                <w:color w:val="auto"/>
              </w:rPr>
            </w:pPr>
            <w:r>
              <w:rPr>
                <w:rFonts w:ascii="Arial" w:cs="Arial" w:eastAsia="Arial" w:hAnsi="Arial"/>
                <w:sz w:val="17"/>
                <w:szCs w:val="17"/>
                <w:color w:val="auto"/>
              </w:rPr>
              <w:t>28.13%</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28.86%</w:t>
            </w: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60" w:firstLine="83"/>
        <w:spacing w:after="0" w:line="273" w:lineRule="auto"/>
        <w:rPr>
          <w:sz w:val="20"/>
          <w:szCs w:val="20"/>
          <w:color w:val="auto"/>
        </w:rPr>
      </w:pPr>
      <w:r>
        <w:rPr>
          <w:rFonts w:ascii="Arial" w:cs="Arial" w:eastAsia="Arial" w:hAnsi="Arial"/>
          <w:sz w:val="17"/>
          <w:szCs w:val="17"/>
          <w:color w:val="auto"/>
        </w:rPr>
        <w:t>The weighted average fair market value of options issued for the fiscal years ended October 31, 2004, 2003, and 2002 was estimated to be $15.37, $9.91, and $7.49 per share, respectively. The weighted average fair market value of Performance Shares amortized in the fiscal years ended October 31, 2004, 2003, and 2002 was estimated to be $32.84, $25.06, and $20.10 per share, respectively.</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Note 10 for additional information regarding stock-based compensation plans.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Effective November 1, 2004, the company voluntarily adopted SFAS No. 123.</w:t>
      </w:r>
    </w:p>
    <w:p>
      <w:pPr>
        <w:sectPr>
          <w:pgSz w:w="11900" w:h="16838" w:orient="portrait"/>
          <w:cols w:equalWidth="0" w:num="1">
            <w:col w:w="11400"/>
          </w:cols>
          <w:pgMar w:left="240" w:top="413" w:right="259" w:bottom="362"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362"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Net Earnings Per Share Calculation</w:t>
      </w:r>
    </w:p>
    <w:p>
      <w:pPr>
        <w:spacing w:after="0" w:line="22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Basic net earnings per share is calculated using net earnings available to common stockholders divided by the weighted average number of shares of common stock outstanding during the year plus the assumed issuance of contingent shares. Diluted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Reconciliations of basic and dilutive weighted average shares of common stock outstanding are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355600</wp:posOffset>
            </wp:positionV>
            <wp:extent cx="5645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540" w:type="dxa"/>
            <w:vAlign w:val="bottom"/>
          </w:tcPr>
          <w:p>
            <w:pPr>
              <w:spacing w:after="0"/>
              <w:rPr>
                <w:sz w:val="20"/>
                <w:szCs w:val="20"/>
                <w:color w:val="auto"/>
              </w:rPr>
            </w:pPr>
            <w:r>
              <w:rPr>
                <w:rFonts w:ascii="Arial" w:cs="Arial" w:eastAsia="Arial" w:hAnsi="Arial"/>
                <w:sz w:val="13"/>
                <w:szCs w:val="13"/>
                <w:color w:val="auto"/>
              </w:rPr>
              <w:t>(Shares in thousands)</w:t>
            </w:r>
          </w:p>
        </w:tc>
        <w:tc>
          <w:tcPr>
            <w:tcW w:w="128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2004</w:t>
            </w: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4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1280" w:type="dxa"/>
            <w:vAlign w:val="bottom"/>
            <w:vMerge w:val="continue"/>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3"/>
                <w:szCs w:val="13"/>
                <w:color w:val="auto"/>
              </w:rPr>
              <w:t>2003</w:t>
            </w:r>
          </w:p>
        </w:tc>
        <w:tc>
          <w:tcPr>
            <w:tcW w:w="84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5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540" w:type="dxa"/>
            <w:vAlign w:val="bottom"/>
          </w:tcPr>
          <w:p>
            <w:pPr>
              <w:spacing w:after="0"/>
              <w:rPr>
                <w:sz w:val="20"/>
                <w:szCs w:val="20"/>
                <w:color w:val="auto"/>
              </w:rPr>
            </w:pPr>
            <w:r>
              <w:rPr>
                <w:rFonts w:ascii="Arial" w:cs="Arial" w:eastAsia="Arial" w:hAnsi="Arial"/>
                <w:sz w:val="17"/>
                <w:szCs w:val="17"/>
                <w:b w:val="1"/>
                <w:bCs w:val="1"/>
                <w:color w:val="auto"/>
              </w:rPr>
              <w:t>Weighted average number of shares of common stock outstanding</w:t>
            </w:r>
          </w:p>
        </w:tc>
        <w:tc>
          <w:tcPr>
            <w:tcW w:w="1280" w:type="dxa"/>
            <w:vAlign w:val="bottom"/>
          </w:tcPr>
          <w:p>
            <w:pPr>
              <w:jc w:val="right"/>
              <w:ind w:right="319"/>
              <w:spacing w:after="0"/>
              <w:rPr>
                <w:sz w:val="20"/>
                <w:szCs w:val="20"/>
                <w:color w:val="auto"/>
              </w:rPr>
            </w:pPr>
            <w:r>
              <w:rPr>
                <w:rFonts w:ascii="Arial" w:cs="Arial" w:eastAsia="Arial" w:hAnsi="Arial"/>
                <w:sz w:val="17"/>
                <w:szCs w:val="17"/>
                <w:b w:val="1"/>
                <w:bCs w:val="1"/>
                <w:color w:val="auto"/>
              </w:rPr>
              <w:t>24,353</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24,988</w:t>
            </w:r>
          </w:p>
        </w:tc>
        <w:tc>
          <w:tcPr>
            <w:tcW w:w="840" w:type="dxa"/>
            <w:vAlign w:val="bottom"/>
          </w:tcPr>
          <w:p>
            <w:pPr>
              <w:jc w:val="right"/>
              <w:spacing w:after="0"/>
              <w:rPr>
                <w:sz w:val="20"/>
                <w:szCs w:val="20"/>
                <w:color w:val="auto"/>
              </w:rPr>
            </w:pPr>
            <w:r>
              <w:rPr>
                <w:rFonts w:ascii="Arial" w:cs="Arial" w:eastAsia="Arial" w:hAnsi="Arial"/>
                <w:sz w:val="17"/>
                <w:szCs w:val="17"/>
                <w:color w:val="auto"/>
              </w:rPr>
              <w:t>25,035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7"/>
                <w:szCs w:val="17"/>
                <w:b w:val="1"/>
                <w:bCs w:val="1"/>
                <w:color w:val="auto"/>
              </w:rPr>
              <w:t>Assumed issuance of contingent shares</w:t>
            </w:r>
          </w:p>
        </w:tc>
        <w:tc>
          <w:tcPr>
            <w:tcW w:w="1280" w:type="dxa"/>
            <w:vAlign w:val="bottom"/>
          </w:tcPr>
          <w:p>
            <w:pPr>
              <w:jc w:val="right"/>
              <w:ind w:right="319"/>
              <w:spacing w:after="0"/>
              <w:rPr>
                <w:sz w:val="20"/>
                <w:szCs w:val="20"/>
                <w:color w:val="auto"/>
              </w:rPr>
            </w:pPr>
            <w:r>
              <w:rPr>
                <w:rFonts w:ascii="Arial" w:cs="Arial" w:eastAsia="Arial" w:hAnsi="Arial"/>
                <w:sz w:val="17"/>
                <w:szCs w:val="17"/>
                <w:b w:val="1"/>
                <w:bCs w:val="1"/>
                <w:color w:val="auto"/>
              </w:rPr>
              <w:t>11</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10</w:t>
            </w: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5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540" w:type="dxa"/>
            <w:vAlign w:val="bottom"/>
          </w:tcPr>
          <w:p>
            <w:pPr>
              <w:spacing w:after="0"/>
              <w:rPr>
                <w:sz w:val="20"/>
                <w:szCs w:val="20"/>
                <w:color w:val="auto"/>
              </w:rPr>
            </w:pPr>
            <w:r>
              <w:rPr>
                <w:rFonts w:ascii="Arial" w:cs="Arial" w:eastAsia="Arial" w:hAnsi="Arial"/>
                <w:sz w:val="17"/>
                <w:szCs w:val="17"/>
                <w:b w:val="1"/>
                <w:bCs w:val="1"/>
                <w:color w:val="auto"/>
                <w:w w:val="95"/>
              </w:rPr>
              <w:t>Weighted average number of shares of common stock outstanding and</w:t>
            </w: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20"/>
              <w:spacing w:after="0"/>
              <w:rPr>
                <w:sz w:val="20"/>
                <w:szCs w:val="20"/>
                <w:color w:val="auto"/>
              </w:rPr>
            </w:pPr>
            <w:r>
              <w:rPr>
                <w:rFonts w:ascii="Arial" w:cs="Arial" w:eastAsia="Arial" w:hAnsi="Arial"/>
                <w:sz w:val="17"/>
                <w:szCs w:val="17"/>
                <w:b w:val="1"/>
                <w:bCs w:val="1"/>
                <w:color w:val="auto"/>
              </w:rPr>
              <w:t>assumed issuance of contingent shares</w:t>
            </w:r>
          </w:p>
        </w:tc>
        <w:tc>
          <w:tcPr>
            <w:tcW w:w="1280" w:type="dxa"/>
            <w:vAlign w:val="bottom"/>
          </w:tcPr>
          <w:p>
            <w:pPr>
              <w:jc w:val="right"/>
              <w:ind w:right="319"/>
              <w:spacing w:after="0"/>
              <w:rPr>
                <w:sz w:val="20"/>
                <w:szCs w:val="20"/>
                <w:color w:val="auto"/>
              </w:rPr>
            </w:pPr>
            <w:r>
              <w:rPr>
                <w:rFonts w:ascii="Arial" w:cs="Arial" w:eastAsia="Arial" w:hAnsi="Arial"/>
                <w:sz w:val="17"/>
                <w:szCs w:val="17"/>
                <w:b w:val="1"/>
                <w:bCs w:val="1"/>
                <w:color w:val="auto"/>
              </w:rPr>
              <w:t>24,364</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24,998</w:t>
            </w:r>
          </w:p>
        </w:tc>
        <w:tc>
          <w:tcPr>
            <w:tcW w:w="840" w:type="dxa"/>
            <w:vAlign w:val="bottom"/>
          </w:tcPr>
          <w:p>
            <w:pPr>
              <w:jc w:val="right"/>
              <w:spacing w:after="0"/>
              <w:rPr>
                <w:sz w:val="20"/>
                <w:szCs w:val="20"/>
                <w:color w:val="auto"/>
              </w:rPr>
            </w:pPr>
            <w:r>
              <w:rPr>
                <w:rFonts w:ascii="Arial" w:cs="Arial" w:eastAsia="Arial" w:hAnsi="Arial"/>
                <w:sz w:val="17"/>
                <w:szCs w:val="17"/>
                <w:color w:val="auto"/>
              </w:rPr>
              <w:t>25,050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5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355600</wp:posOffset>
            </wp:positionV>
            <wp:extent cx="5645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620" w:type="dxa"/>
            <w:vAlign w:val="bottom"/>
          </w:tcPr>
          <w:p>
            <w:pPr>
              <w:spacing w:after="0"/>
              <w:rPr>
                <w:sz w:val="20"/>
                <w:szCs w:val="20"/>
                <w:color w:val="auto"/>
              </w:rPr>
            </w:pPr>
            <w:r>
              <w:rPr>
                <w:rFonts w:ascii="Arial" w:cs="Arial" w:eastAsia="Arial" w:hAnsi="Arial"/>
                <w:sz w:val="13"/>
                <w:szCs w:val="13"/>
                <w:color w:val="auto"/>
              </w:rPr>
              <w:t>(Shares in thousands)</w:t>
            </w:r>
          </w:p>
        </w:tc>
        <w:tc>
          <w:tcPr>
            <w:tcW w:w="120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2004</w:t>
            </w: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62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1200" w:type="dxa"/>
            <w:vAlign w:val="bottom"/>
            <w:vMerge w:val="continue"/>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3"/>
                <w:szCs w:val="13"/>
                <w:color w:val="auto"/>
              </w:rPr>
              <w:t>2003</w:t>
            </w:r>
          </w:p>
        </w:tc>
        <w:tc>
          <w:tcPr>
            <w:tcW w:w="84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6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620" w:type="dxa"/>
            <w:vAlign w:val="bottom"/>
          </w:tcPr>
          <w:p>
            <w:pPr>
              <w:spacing w:after="0"/>
              <w:rPr>
                <w:sz w:val="20"/>
                <w:szCs w:val="20"/>
                <w:color w:val="auto"/>
              </w:rPr>
            </w:pPr>
            <w:r>
              <w:rPr>
                <w:rFonts w:ascii="Arial" w:cs="Arial" w:eastAsia="Arial" w:hAnsi="Arial"/>
                <w:sz w:val="17"/>
                <w:szCs w:val="17"/>
                <w:b w:val="1"/>
                <w:bCs w:val="1"/>
                <w:color w:val="auto"/>
                <w:w w:val="97"/>
              </w:rPr>
              <w:t>Weighted average number of shares of common stock outstanding and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assumed issuance of contingent shares</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24,364</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24,998</w:t>
            </w:r>
          </w:p>
        </w:tc>
        <w:tc>
          <w:tcPr>
            <w:tcW w:w="840" w:type="dxa"/>
            <w:vAlign w:val="bottom"/>
          </w:tcPr>
          <w:p>
            <w:pPr>
              <w:jc w:val="right"/>
              <w:spacing w:after="0"/>
              <w:rPr>
                <w:sz w:val="20"/>
                <w:szCs w:val="20"/>
                <w:color w:val="auto"/>
              </w:rPr>
            </w:pPr>
            <w:r>
              <w:rPr>
                <w:rFonts w:ascii="Arial" w:cs="Arial" w:eastAsia="Arial" w:hAnsi="Arial"/>
                <w:sz w:val="17"/>
                <w:szCs w:val="17"/>
                <w:color w:val="auto"/>
              </w:rPr>
              <w:t>25,050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7"/>
                <w:szCs w:val="17"/>
                <w:b w:val="1"/>
                <w:bCs w:val="1"/>
                <w:color w:val="auto"/>
                <w:w w:val="93"/>
              </w:rPr>
              <w:t>Assumed conversion of stock options and assumed issuance of restricted</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shares</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1,019</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1,151</w:t>
            </w:r>
          </w:p>
        </w:tc>
        <w:tc>
          <w:tcPr>
            <w:tcW w:w="840" w:type="dxa"/>
            <w:vAlign w:val="bottom"/>
          </w:tcPr>
          <w:p>
            <w:pPr>
              <w:jc w:val="right"/>
              <w:spacing w:after="0"/>
              <w:rPr>
                <w:sz w:val="20"/>
                <w:szCs w:val="20"/>
                <w:color w:val="auto"/>
              </w:rPr>
            </w:pPr>
            <w:r>
              <w:rPr>
                <w:rFonts w:ascii="Arial" w:cs="Arial" w:eastAsia="Arial" w:hAnsi="Arial"/>
                <w:sz w:val="17"/>
                <w:szCs w:val="17"/>
                <w:color w:val="auto"/>
              </w:rPr>
              <w:t>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620" w:type="dxa"/>
            <w:vAlign w:val="bottom"/>
          </w:tcPr>
          <w:p>
            <w:pPr>
              <w:spacing w:after="0"/>
              <w:rPr>
                <w:sz w:val="20"/>
                <w:szCs w:val="20"/>
                <w:color w:val="auto"/>
              </w:rPr>
            </w:pPr>
            <w:r>
              <w:rPr>
                <w:rFonts w:ascii="Arial" w:cs="Arial" w:eastAsia="Arial" w:hAnsi="Arial"/>
                <w:sz w:val="17"/>
                <w:szCs w:val="17"/>
                <w:b w:val="1"/>
                <w:bCs w:val="1"/>
                <w:color w:val="auto"/>
                <w:w w:val="93"/>
              </w:rPr>
              <w:t>Weighted average number of shares of common stock, assumed issuance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w w:val="96"/>
              </w:rPr>
              <w:t>of contingent and restricted shares, and assumed conversion of stock</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options</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25,383</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26,149</w:t>
            </w:r>
          </w:p>
        </w:tc>
        <w:tc>
          <w:tcPr>
            <w:tcW w:w="840" w:type="dxa"/>
            <w:vAlign w:val="bottom"/>
          </w:tcPr>
          <w:p>
            <w:pPr>
              <w:jc w:val="right"/>
              <w:spacing w:after="0"/>
              <w:rPr>
                <w:sz w:val="20"/>
                <w:szCs w:val="20"/>
                <w:color w:val="auto"/>
              </w:rPr>
            </w:pPr>
            <w:r>
              <w:rPr>
                <w:rFonts w:ascii="Arial" w:cs="Arial" w:eastAsia="Arial" w:hAnsi="Arial"/>
                <w:sz w:val="17"/>
                <w:szCs w:val="17"/>
                <w:color w:val="auto"/>
              </w:rPr>
              <w:t>25,873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Accounting Pronouncements</w:t>
      </w:r>
    </w:p>
    <w:p>
      <w:pPr>
        <w:spacing w:after="0" w:line="22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November 2004, the FASB issued SFAS No. 151, “Inventory Costs,” which amends the guidance in ARB No. 43, Chapter 4, “Inventory Pricing,” to clarify the accounting for abnormal amounts of idle facility expense, freight, handling costs, and wasted material. This Statement requires that those items be recognized as current-period charges regardless of whether they meet the criterion of “so abnormal.” In addition, this Statement requires allocation of fixed production overheads to the costs of conversion be based on the normal capacity of the production facilities. The company is currently evaluating the provisions of SFAS No. 151 and will it adopt on November 1, 2005, as required.</w:t>
      </w:r>
    </w:p>
    <w:p>
      <w:pPr>
        <w:spacing w:after="0" w:line="1" w:lineRule="exact"/>
        <w:rPr>
          <w:sz w:val="20"/>
          <w:szCs w:val="20"/>
          <w:color w:val="auto"/>
        </w:rPr>
      </w:pPr>
    </w:p>
    <w:p>
      <w:pPr>
        <w:ind w:firstLine="86"/>
        <w:spacing w:after="0" w:line="276" w:lineRule="auto"/>
        <w:rPr>
          <w:sz w:val="20"/>
          <w:szCs w:val="20"/>
          <w:color w:val="auto"/>
        </w:rPr>
      </w:pPr>
      <w:r>
        <w:rPr>
          <w:rFonts w:ascii="Arial" w:cs="Arial" w:eastAsia="Arial" w:hAnsi="Arial"/>
          <w:sz w:val="16"/>
          <w:szCs w:val="16"/>
          <w:color w:val="auto"/>
        </w:rPr>
        <w:t>In December 2003, the FASB issued FIN No. 46R, “Consolidation of Variable Interest Entities,” which requires an entity to consolidate a variable interest entity if it is designated as the primary beneficiary of that entity even if the entity does not have a majority of voting interests. A variable interest entity is generally defined as an entity where its equity is inadequate to finance its activities or where the owners of the entity lack the risk and rewards of ownership. The company evaluated the provisions of FIN No. 46R during the first fiscal quarter of fiscal 2004, as required, and determined that the company did not have any material interest entities and did not have any variable interest entities that require consolidation into the company’s financial statements. During the third quarter of fiscal 2004, the company entered into a joint venture agreement with a leading engine manufacturer to source two-cycle snow thrower engines for Toro and other customers. The company has determined that this new entity is a variable interest entity under the provisions of FIN 46. The company has determined that it is not required to consolidate the entity because Toro is not the primary beneficiary. During fiscal 2004, no material transactions were recorded in this joint venture.</w:t>
      </w:r>
    </w:p>
    <w:p>
      <w:pPr>
        <w:spacing w:after="0" w:line="1" w:lineRule="exact"/>
        <w:rPr>
          <w:sz w:val="20"/>
          <w:szCs w:val="20"/>
          <w:color w:val="auto"/>
        </w:rPr>
      </w:pPr>
    </w:p>
    <w:p>
      <w:pPr>
        <w:ind w:right="260" w:firstLine="86"/>
        <w:spacing w:after="0" w:line="259" w:lineRule="auto"/>
        <w:rPr>
          <w:sz w:val="20"/>
          <w:szCs w:val="20"/>
          <w:color w:val="auto"/>
        </w:rPr>
      </w:pPr>
      <w:r>
        <w:rPr>
          <w:rFonts w:ascii="Arial" w:cs="Arial" w:eastAsia="Arial" w:hAnsi="Arial"/>
          <w:sz w:val="17"/>
          <w:szCs w:val="17"/>
          <w:color w:val="auto"/>
        </w:rPr>
        <w:t>In December 2003, the FASB issued SFAS No. 132 (revised 2003), “Employers’ Disclosures about Pensions and Other Postretirement Benefits,” amendments of FASB Statements No. 87, 88, and 106. This statement added certain disclosure requirements about pension and other postretirement benefit plans, which are presented in Note 11.</w:t>
      </w:r>
    </w:p>
    <w:p>
      <w:pPr>
        <w:spacing w:after="0" w:line="2" w:lineRule="exact"/>
        <w:rPr>
          <w:sz w:val="20"/>
          <w:szCs w:val="20"/>
          <w:color w:val="auto"/>
        </w:rPr>
      </w:pPr>
    </w:p>
    <w:p>
      <w:pPr>
        <w:ind w:right="140" w:firstLine="86"/>
        <w:spacing w:after="0" w:line="281" w:lineRule="auto"/>
        <w:rPr>
          <w:sz w:val="20"/>
          <w:szCs w:val="20"/>
          <w:color w:val="auto"/>
        </w:rPr>
      </w:pPr>
      <w:r>
        <w:rPr>
          <w:rFonts w:ascii="Arial" w:cs="Arial" w:eastAsia="Arial" w:hAnsi="Arial"/>
          <w:sz w:val="16"/>
          <w:szCs w:val="16"/>
          <w:color w:val="auto"/>
        </w:rPr>
        <w:t>In June 2001, the FASB issued SFAS No. 142, “Goodwill and Other Intangible Assets.” SFAS No. 142 requires that goodwill and intangible assets with indefinite useful lives may no longer be amortized but instead must be tested for impairment annually at the reporting unit level. Effective November 1, 2001, the company adopted SFAS No. 142. The company tested for impairment of its reporting units by comparing fair value to carrying value. Fair value was determined using a discounted cash flow and cost methodology. An evaluation of the fair value of the company’s agricultural irrigation reporting unit indicated that all the goodwill recorded for acquisitions in the agricultural irrigation market was impaired. The performance of these acquired businesses has not met management’s original expectations. This is due mainly to lower than anticipated growth rates in the drip line market, which has resulted in lower industry-wide pricing and margins on product sales. Accordingly, non-cash impairment charges on adoption of SFAS No. 142 of $24.6 million, net of income tax benefit of $0.5 million, were recognized as a cumulative effect of change in accounting principle in the first quarter of fiscal 2002.</w:t>
      </w:r>
    </w:p>
    <w:p>
      <w:pPr>
        <w:sectPr>
          <w:pgSz w:w="11900" w:h="16838" w:orient="portrait"/>
          <w:cols w:equalWidth="0" w:num="1">
            <w:col w:w="11420"/>
          </w:cols>
          <w:pgMar w:left="240" w:top="413" w:right="239" w:bottom="1089"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089"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694"/>
        <w:spacing w:after="0"/>
        <w:tabs>
          <w:tab w:leader="none" w:pos="700" w:val="left"/>
        </w:tabs>
        <w:numPr>
          <w:ilvl w:val="0"/>
          <w:numId w:val="20"/>
        </w:numPr>
        <w:rPr>
          <w:rFonts w:ascii="Arial" w:cs="Arial" w:eastAsia="Arial" w:hAnsi="Arial"/>
          <w:sz w:val="42"/>
          <w:szCs w:val="42"/>
          <w:b w:val="1"/>
          <w:bCs w:val="1"/>
          <w:color w:val="auto"/>
        </w:rPr>
      </w:pPr>
      <w:r>
        <w:rPr>
          <w:rFonts w:ascii="Arial" w:cs="Arial" w:eastAsia="Arial" w:hAnsi="Arial"/>
          <w:sz w:val="21"/>
          <w:szCs w:val="21"/>
          <w:b w:val="1"/>
          <w:bCs w:val="1"/>
          <w:color w:val="auto"/>
        </w:rPr>
        <w:t>BUSINESS ACQUISITIONS AND DIVESTITURES</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fiscal 2004, Toro made an equity investment in a start-up technology company that produces innovative irrigation controllers designed to conserve water usage. In fiscal 2003, Toro completed the purchase of R &amp; D Engineering, a company in the business of designing patented wireless rain and freeze switches for residential irrigation systems. The company also acquired a southeastern-based U.S. distributing company during fiscal 2003, and subsequently sold it during fiscal 2004. Effective December 31, 2002, the company also sold a previously owned distributorship. These acquisitions, investment, and divestitures were immaterial based on the company’s consolidated financial position and results of operations.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During the first quarter of fiscal 2005, the company completed the sale of its southwestern-based distribution company.</w:t>
      </w:r>
    </w:p>
    <w:p>
      <w:pPr>
        <w:spacing w:after="0" w:line="239" w:lineRule="exact"/>
        <w:rPr>
          <w:sz w:val="20"/>
          <w:szCs w:val="20"/>
          <w:color w:val="auto"/>
        </w:rPr>
      </w:pPr>
    </w:p>
    <w:p>
      <w:pPr>
        <w:ind w:left="700" w:hanging="694"/>
        <w:spacing w:after="0"/>
        <w:tabs>
          <w:tab w:leader="none" w:pos="700" w:val="left"/>
        </w:tabs>
        <w:numPr>
          <w:ilvl w:val="0"/>
          <w:numId w:val="21"/>
        </w:numPr>
        <w:rPr>
          <w:rFonts w:ascii="Arial" w:cs="Arial" w:eastAsia="Arial" w:hAnsi="Arial"/>
          <w:sz w:val="42"/>
          <w:szCs w:val="42"/>
          <w:b w:val="1"/>
          <w:bCs w:val="1"/>
          <w:color w:val="auto"/>
        </w:rPr>
      </w:pPr>
      <w:r>
        <w:rPr>
          <w:rFonts w:ascii="Arial" w:cs="Arial" w:eastAsia="Arial" w:hAnsi="Arial"/>
          <w:sz w:val="21"/>
          <w:szCs w:val="21"/>
          <w:b w:val="1"/>
          <w:bCs w:val="1"/>
          <w:color w:val="auto"/>
        </w:rPr>
        <w:t>RESTRUCTURING ACTIVITIES</w:t>
      </w:r>
    </w:p>
    <w:p>
      <w:pPr>
        <w:spacing w:after="0" w:line="20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fiscal 2003, the company announced plans to close its two-cycle engine manufacturing facility located in Oxford, Mississippi, which ceased operations on April 30, 2004. Approximately 115 job positions and related staff reductions were eliminated in connection with closing this facility. In fiscal 2002, the company announced plans to close its Riverside, California manufacturing operations and its Evansville, Indiana and Madera, California manufacturing facilities. Approximately 550 job positions and related office staff reductions were made in connection with closing these operations. These actions are part of Toro’s overall long-term strategy to reduce production costs and improve long-term competitiveness. The company will incur ongoing costs until the facilities are sold. Asset impairment charges include the write-down of facilities and equipment related to the closure of manufacturing operations. In fiscal 2004, the company realized a net benefit of $0.4 million for the reversal of an impairment write down for the held-for-sale Madera, California facility that was sold during the first quarter of fiscal 2005 for a gain.</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is an analysis of the company’s restructuring and other expense reserve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70561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80" w:type="dxa"/>
            <w:vAlign w:val="bottom"/>
          </w:tcPr>
          <w:p>
            <w:pPr>
              <w:jc w:val="right"/>
              <w:ind w:right="258"/>
              <w:spacing w:after="0"/>
              <w:rPr>
                <w:sz w:val="20"/>
                <w:szCs w:val="20"/>
                <w:color w:val="auto"/>
              </w:rPr>
            </w:pPr>
            <w:r>
              <w:rPr>
                <w:rFonts w:ascii="Arial" w:cs="Arial" w:eastAsia="Arial" w:hAnsi="Arial"/>
                <w:sz w:val="13"/>
                <w:szCs w:val="13"/>
                <w:color w:val="auto"/>
              </w:rPr>
              <w:t>Asset</w:t>
            </w:r>
          </w:p>
        </w:tc>
        <w:tc>
          <w:tcPr>
            <w:tcW w:w="520" w:type="dxa"/>
            <w:vAlign w:val="bottom"/>
          </w:tcPr>
          <w:p>
            <w:pPr>
              <w:spacing w:after="0"/>
              <w:rPr>
                <w:sz w:val="13"/>
                <w:szCs w:val="13"/>
                <w:color w:val="auto"/>
              </w:rPr>
            </w:pPr>
          </w:p>
        </w:tc>
        <w:tc>
          <w:tcPr>
            <w:tcW w:w="1120" w:type="dxa"/>
            <w:vAlign w:val="bottom"/>
          </w:tcPr>
          <w:p>
            <w:pPr>
              <w:jc w:val="right"/>
              <w:ind w:right="298"/>
              <w:spacing w:after="0"/>
              <w:rPr>
                <w:sz w:val="20"/>
                <w:szCs w:val="20"/>
                <w:color w:val="auto"/>
              </w:rPr>
            </w:pPr>
            <w:r>
              <w:rPr>
                <w:rFonts w:ascii="Arial" w:cs="Arial" w:eastAsia="Arial" w:hAnsi="Arial"/>
                <w:sz w:val="13"/>
                <w:szCs w:val="13"/>
                <w:color w:val="auto"/>
              </w:rPr>
              <w:t>Severance</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8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020" w:type="dxa"/>
            <w:vAlign w:val="bottom"/>
          </w:tcPr>
          <w:p>
            <w:pPr>
              <w:spacing w:after="0"/>
              <w:rPr>
                <w:sz w:val="14"/>
                <w:szCs w:val="14"/>
                <w:color w:val="auto"/>
              </w:rPr>
            </w:pPr>
          </w:p>
        </w:tc>
        <w:tc>
          <w:tcPr>
            <w:tcW w:w="1080" w:type="dxa"/>
            <w:vAlign w:val="bottom"/>
          </w:tcPr>
          <w:p>
            <w:pPr>
              <w:jc w:val="right"/>
              <w:ind w:right="258"/>
              <w:spacing w:after="0"/>
              <w:rPr>
                <w:sz w:val="20"/>
                <w:szCs w:val="20"/>
                <w:color w:val="auto"/>
              </w:rPr>
            </w:pPr>
            <w:r>
              <w:rPr>
                <w:rFonts w:ascii="Arial" w:cs="Arial" w:eastAsia="Arial" w:hAnsi="Arial"/>
                <w:sz w:val="13"/>
                <w:szCs w:val="13"/>
                <w:color w:val="auto"/>
              </w:rPr>
              <w:t>Impairment</w:t>
            </w:r>
          </w:p>
        </w:tc>
        <w:tc>
          <w:tcPr>
            <w:tcW w:w="520" w:type="dxa"/>
            <w:vAlign w:val="bottom"/>
          </w:tcPr>
          <w:p>
            <w:pPr>
              <w:spacing w:after="0"/>
              <w:rPr>
                <w:sz w:val="14"/>
                <w:szCs w:val="14"/>
                <w:color w:val="auto"/>
              </w:rPr>
            </w:pPr>
          </w:p>
        </w:tc>
        <w:tc>
          <w:tcPr>
            <w:tcW w:w="1120" w:type="dxa"/>
            <w:vAlign w:val="bottom"/>
          </w:tcPr>
          <w:p>
            <w:pPr>
              <w:jc w:val="right"/>
              <w:ind w:right="298"/>
              <w:spacing w:after="0"/>
              <w:rPr>
                <w:sz w:val="20"/>
                <w:szCs w:val="20"/>
                <w:color w:val="auto"/>
              </w:rPr>
            </w:pPr>
            <w:r>
              <w:rPr>
                <w:rFonts w:ascii="Arial" w:cs="Arial" w:eastAsia="Arial" w:hAnsi="Arial"/>
                <w:sz w:val="13"/>
                <w:szCs w:val="13"/>
                <w:color w:val="auto"/>
              </w:rPr>
              <w:t>&amp; Benefits</w:t>
            </w:r>
          </w:p>
        </w:tc>
        <w:tc>
          <w:tcPr>
            <w:tcW w:w="5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3"/>
                <w:szCs w:val="13"/>
                <w:color w:val="auto"/>
              </w:rPr>
              <w:t>Other</w:t>
            </w:r>
          </w:p>
        </w:tc>
        <w:tc>
          <w:tcPr>
            <w:tcW w:w="4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2002</w:t>
            </w:r>
          </w:p>
        </w:tc>
        <w:tc>
          <w:tcPr>
            <w:tcW w:w="20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1,865</w:t>
            </w:r>
          </w:p>
        </w:tc>
        <w:tc>
          <w:tcPr>
            <w:tcW w:w="50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872</w:t>
            </w:r>
          </w:p>
        </w:tc>
        <w:tc>
          <w:tcPr>
            <w:tcW w:w="4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Initial charge</w:t>
            </w:r>
          </w:p>
        </w:tc>
        <w:tc>
          <w:tcPr>
            <w:tcW w:w="2020" w:type="dxa"/>
            <w:vAlign w:val="bottom"/>
          </w:tcPr>
          <w:p>
            <w:pPr>
              <w:spacing w:after="0"/>
              <w:rPr>
                <w:sz w:val="18"/>
                <w:szCs w:val="18"/>
                <w:color w:val="auto"/>
              </w:rPr>
            </w:pPr>
          </w:p>
        </w:tc>
        <w:tc>
          <w:tcPr>
            <w:tcW w:w="1080" w:type="dxa"/>
            <w:vAlign w:val="bottom"/>
          </w:tcPr>
          <w:p>
            <w:pPr>
              <w:jc w:val="right"/>
              <w:ind w:right="258"/>
              <w:spacing w:after="0"/>
              <w:rPr>
                <w:sz w:val="20"/>
                <w:szCs w:val="20"/>
                <w:color w:val="auto"/>
              </w:rPr>
            </w:pPr>
            <w:r>
              <w:rPr>
                <w:rFonts w:ascii="Arial" w:cs="Arial" w:eastAsia="Arial" w:hAnsi="Arial"/>
                <w:sz w:val="17"/>
                <w:szCs w:val="17"/>
                <w:color w:val="auto"/>
              </w:rPr>
              <w:t>901</w:t>
            </w:r>
          </w:p>
        </w:tc>
        <w:tc>
          <w:tcPr>
            <w:tcW w:w="520" w:type="dxa"/>
            <w:vAlign w:val="bottom"/>
          </w:tcPr>
          <w:p>
            <w:pPr>
              <w:spacing w:after="0"/>
              <w:rPr>
                <w:sz w:val="18"/>
                <w:szCs w:val="18"/>
                <w:color w:val="auto"/>
              </w:rPr>
            </w:pPr>
          </w:p>
        </w:tc>
        <w:tc>
          <w:tcPr>
            <w:tcW w:w="1120" w:type="dxa"/>
            <w:vAlign w:val="bottom"/>
          </w:tcPr>
          <w:p>
            <w:pPr>
              <w:jc w:val="right"/>
              <w:ind w:right="298"/>
              <w:spacing w:after="0"/>
              <w:rPr>
                <w:sz w:val="20"/>
                <w:szCs w:val="20"/>
                <w:color w:val="auto"/>
              </w:rPr>
            </w:pPr>
            <w:r>
              <w:rPr>
                <w:rFonts w:ascii="Arial" w:cs="Arial" w:eastAsia="Arial" w:hAnsi="Arial"/>
                <w:sz w:val="17"/>
                <w:szCs w:val="17"/>
                <w:color w:val="auto"/>
              </w:rPr>
              <w:t>763</w:t>
            </w:r>
          </w:p>
        </w:tc>
        <w:tc>
          <w:tcPr>
            <w:tcW w:w="50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Arial" w:cs="Arial" w:eastAsia="Arial" w:hAnsi="Arial"/>
                <w:sz w:val="17"/>
                <w:szCs w:val="17"/>
                <w:color w:val="auto"/>
              </w:rPr>
              <w:t>5</w:t>
            </w:r>
          </w:p>
        </w:tc>
        <w:tc>
          <w:tcPr>
            <w:tcW w:w="4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1,669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color w:val="auto"/>
              </w:rPr>
              <w:t>Changes in estimates</w:t>
            </w:r>
          </w:p>
        </w:tc>
        <w:tc>
          <w:tcPr>
            <w:tcW w:w="20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626</w:t>
            </w:r>
          </w:p>
        </w:tc>
        <w:tc>
          <w:tcPr>
            <w:tcW w:w="5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106</w:t>
            </w:r>
          </w:p>
        </w:tc>
        <w:tc>
          <w:tcPr>
            <w:tcW w:w="5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(575)</w:t>
            </w: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Utilization</w:t>
            </w:r>
          </w:p>
        </w:tc>
        <w:tc>
          <w:tcPr>
            <w:tcW w:w="2020" w:type="dxa"/>
            <w:vAlign w:val="bottom"/>
          </w:tcPr>
          <w:p>
            <w:pPr>
              <w:spacing w:after="0"/>
              <w:rPr>
                <w:sz w:val="18"/>
                <w:szCs w:val="18"/>
                <w:color w:val="auto"/>
              </w:rPr>
            </w:pPr>
          </w:p>
        </w:tc>
        <w:tc>
          <w:tcPr>
            <w:tcW w:w="1080" w:type="dxa"/>
            <w:vAlign w:val="bottom"/>
          </w:tcPr>
          <w:p>
            <w:pPr>
              <w:jc w:val="right"/>
              <w:ind w:right="198"/>
              <w:spacing w:after="0"/>
              <w:rPr>
                <w:sz w:val="20"/>
                <w:szCs w:val="20"/>
                <w:color w:val="auto"/>
              </w:rPr>
            </w:pPr>
            <w:r>
              <w:rPr>
                <w:rFonts w:ascii="Arial" w:cs="Arial" w:eastAsia="Arial" w:hAnsi="Arial"/>
                <w:sz w:val="17"/>
                <w:szCs w:val="17"/>
                <w:color w:val="auto"/>
              </w:rPr>
              <w:t>(1,527)</w:t>
            </w:r>
          </w:p>
        </w:tc>
        <w:tc>
          <w:tcPr>
            <w:tcW w:w="52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7"/>
                <w:szCs w:val="17"/>
                <w:color w:val="auto"/>
              </w:rPr>
              <w:t>(1,890)</w:t>
            </w:r>
          </w:p>
        </w:tc>
        <w:tc>
          <w:tcPr>
            <w:tcW w:w="500" w:type="dxa"/>
            <w:vAlign w:val="bottom"/>
          </w:tcPr>
          <w:p>
            <w:pPr>
              <w:spacing w:after="0"/>
              <w:rPr>
                <w:sz w:val="18"/>
                <w:szCs w:val="18"/>
                <w:color w:val="auto"/>
              </w:rPr>
            </w:pPr>
          </w:p>
        </w:tc>
        <w:tc>
          <w:tcPr>
            <w:tcW w:w="760" w:type="dxa"/>
            <w:vAlign w:val="bottom"/>
          </w:tcPr>
          <w:p>
            <w:pPr>
              <w:jc w:val="right"/>
              <w:ind w:right="176"/>
              <w:spacing w:after="0"/>
              <w:rPr>
                <w:sz w:val="20"/>
                <w:szCs w:val="20"/>
                <w:color w:val="auto"/>
              </w:rPr>
            </w:pPr>
            <w:r>
              <w:rPr>
                <w:rFonts w:ascii="Arial" w:cs="Arial" w:eastAsia="Arial" w:hAnsi="Arial"/>
                <w:sz w:val="17"/>
                <w:szCs w:val="17"/>
                <w:color w:val="auto"/>
              </w:rPr>
              <w:t>(73)</w:t>
            </w:r>
          </w:p>
        </w:tc>
        <w:tc>
          <w:tcPr>
            <w:tcW w:w="4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(3,490)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2003</w:t>
            </w:r>
          </w:p>
        </w:tc>
        <w:tc>
          <w:tcPr>
            <w:tcW w:w="20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844</w:t>
            </w:r>
          </w:p>
        </w:tc>
        <w:tc>
          <w:tcPr>
            <w:tcW w:w="50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229</w:t>
            </w:r>
          </w:p>
        </w:tc>
        <w:tc>
          <w:tcPr>
            <w:tcW w:w="4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Changes in estimates</w:t>
            </w:r>
          </w:p>
        </w:tc>
        <w:tc>
          <w:tcPr>
            <w:tcW w:w="2020" w:type="dxa"/>
            <w:vAlign w:val="bottom"/>
          </w:tcPr>
          <w:p>
            <w:pPr>
              <w:spacing w:after="0"/>
              <w:rPr>
                <w:sz w:val="24"/>
                <w:szCs w:val="24"/>
                <w:color w:val="auto"/>
              </w:rPr>
            </w:pPr>
          </w:p>
        </w:tc>
        <w:tc>
          <w:tcPr>
            <w:tcW w:w="1080" w:type="dxa"/>
            <w:vAlign w:val="bottom"/>
          </w:tcPr>
          <w:p>
            <w:pPr>
              <w:jc w:val="right"/>
              <w:ind w:right="198"/>
              <w:spacing w:after="0"/>
              <w:rPr>
                <w:sz w:val="20"/>
                <w:szCs w:val="20"/>
                <w:color w:val="auto"/>
              </w:rPr>
            </w:pPr>
            <w:r>
              <w:rPr>
                <w:rFonts w:ascii="Arial" w:cs="Arial" w:eastAsia="Arial" w:hAnsi="Arial"/>
                <w:sz w:val="17"/>
                <w:szCs w:val="17"/>
                <w:b w:val="1"/>
                <w:bCs w:val="1"/>
                <w:color w:val="auto"/>
              </w:rPr>
              <w:t>(413)</w:t>
            </w:r>
          </w:p>
        </w:tc>
        <w:tc>
          <w:tcPr>
            <w:tcW w:w="520" w:type="dxa"/>
            <w:vAlign w:val="bottom"/>
          </w:tcPr>
          <w:p>
            <w:pPr>
              <w:spacing w:after="0"/>
              <w:rPr>
                <w:sz w:val="24"/>
                <w:szCs w:val="24"/>
                <w:color w:val="auto"/>
              </w:rPr>
            </w:pPr>
          </w:p>
        </w:tc>
        <w:tc>
          <w:tcPr>
            <w:tcW w:w="1120" w:type="dxa"/>
            <w:vAlign w:val="bottom"/>
          </w:tcPr>
          <w:p>
            <w:pPr>
              <w:jc w:val="right"/>
              <w:ind w:right="238"/>
              <w:spacing w:after="0"/>
              <w:rPr>
                <w:sz w:val="20"/>
                <w:szCs w:val="20"/>
                <w:color w:val="auto"/>
              </w:rPr>
            </w:pPr>
            <w:r>
              <w:rPr>
                <w:rFonts w:ascii="Arial" w:cs="Arial" w:eastAsia="Arial" w:hAnsi="Arial"/>
                <w:sz w:val="17"/>
                <w:szCs w:val="17"/>
                <w:b w:val="1"/>
                <w:bCs w:val="1"/>
                <w:color w:val="auto"/>
              </w:rPr>
              <w:t>(177)</w:t>
            </w:r>
          </w:p>
        </w:tc>
        <w:tc>
          <w:tcPr>
            <w:tcW w:w="500" w:type="dxa"/>
            <w:vAlign w:val="bottom"/>
          </w:tcPr>
          <w:p>
            <w:pPr>
              <w:spacing w:after="0"/>
              <w:rPr>
                <w:sz w:val="24"/>
                <w:szCs w:val="24"/>
                <w:color w:val="auto"/>
              </w:rPr>
            </w:pPr>
          </w:p>
        </w:tc>
        <w:tc>
          <w:tcPr>
            <w:tcW w:w="760" w:type="dxa"/>
            <w:vAlign w:val="bottom"/>
          </w:tcPr>
          <w:p>
            <w:pPr>
              <w:jc w:val="right"/>
              <w:ind w:right="176"/>
              <w:spacing w:after="0"/>
              <w:rPr>
                <w:sz w:val="20"/>
                <w:szCs w:val="20"/>
                <w:color w:val="auto"/>
              </w:rPr>
            </w:pPr>
            <w:r>
              <w:rPr>
                <w:rFonts w:ascii="Arial" w:cs="Arial" w:eastAsia="Arial" w:hAnsi="Arial"/>
                <w:sz w:val="17"/>
                <w:szCs w:val="17"/>
                <w:b w:val="1"/>
                <w:bCs w:val="1"/>
                <w:color w:val="auto"/>
              </w:rPr>
              <w:t>(92)</w:t>
            </w:r>
          </w:p>
        </w:tc>
        <w:tc>
          <w:tcPr>
            <w:tcW w:w="4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(682)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Utilization</w:t>
            </w:r>
          </w:p>
        </w:tc>
        <w:tc>
          <w:tcPr>
            <w:tcW w:w="202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58"/>
              <w:spacing w:after="0"/>
              <w:rPr>
                <w:sz w:val="20"/>
                <w:szCs w:val="20"/>
                <w:color w:val="auto"/>
              </w:rPr>
            </w:pPr>
            <w:r>
              <w:rPr>
                <w:rFonts w:ascii="Arial" w:cs="Arial" w:eastAsia="Arial" w:hAnsi="Arial"/>
                <w:sz w:val="17"/>
                <w:szCs w:val="17"/>
                <w:b w:val="1"/>
                <w:bCs w:val="1"/>
                <w:color w:val="auto"/>
              </w:rPr>
              <w:t>413</w:t>
            </w:r>
          </w:p>
        </w:tc>
        <w:tc>
          <w:tcPr>
            <w:tcW w:w="5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(650)</w:t>
            </w:r>
          </w:p>
        </w:tc>
        <w:tc>
          <w:tcPr>
            <w:tcW w:w="5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(126)</w:t>
            </w: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b w:val="1"/>
                <w:bCs w:val="1"/>
                <w:color w:val="auto"/>
              </w:rPr>
              <w:t>(363)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Balance as of October 31, 2004</w:t>
            </w:r>
          </w:p>
        </w:tc>
        <w:tc>
          <w:tcPr>
            <w:tcW w:w="20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258"/>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98"/>
              <w:spacing w:after="0"/>
              <w:rPr>
                <w:sz w:val="20"/>
                <w:szCs w:val="20"/>
                <w:color w:val="auto"/>
              </w:rPr>
            </w:pPr>
            <w:r>
              <w:rPr>
                <w:rFonts w:ascii="Arial" w:cs="Arial" w:eastAsia="Arial" w:hAnsi="Arial"/>
                <w:sz w:val="17"/>
                <w:szCs w:val="17"/>
                <w:b w:val="1"/>
                <w:bCs w:val="1"/>
                <w:color w:val="auto"/>
              </w:rPr>
              <w:t>17</w:t>
            </w:r>
          </w:p>
        </w:tc>
        <w:tc>
          <w:tcPr>
            <w:tcW w:w="50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236"/>
              <w:spacing w:after="0"/>
              <w:rPr>
                <w:sz w:val="20"/>
                <w:szCs w:val="20"/>
                <w:color w:val="auto"/>
              </w:rPr>
            </w:pPr>
            <w:r>
              <w:rPr>
                <w:rFonts w:ascii="Arial" w:cs="Arial" w:eastAsia="Arial" w:hAnsi="Arial"/>
                <w:sz w:val="17"/>
                <w:szCs w:val="17"/>
                <w:b w:val="1"/>
                <w:bCs w:val="1"/>
                <w:color w:val="auto"/>
              </w:rPr>
              <w:t>11</w:t>
            </w:r>
          </w:p>
        </w:tc>
        <w:tc>
          <w:tcPr>
            <w:tcW w:w="48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249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company expects the remaining reserve to be utilized by the end of the first quarter of fiscal 2005.</w:t>
      </w:r>
    </w:p>
    <w:p>
      <w:pPr>
        <w:spacing w:after="0" w:line="239" w:lineRule="exact"/>
        <w:rPr>
          <w:sz w:val="20"/>
          <w:szCs w:val="20"/>
          <w:color w:val="auto"/>
        </w:rPr>
      </w:pPr>
    </w:p>
    <w:p>
      <w:pPr>
        <w:ind w:left="700" w:hanging="694"/>
        <w:spacing w:after="0"/>
        <w:tabs>
          <w:tab w:leader="none" w:pos="700" w:val="left"/>
        </w:tabs>
        <w:numPr>
          <w:ilvl w:val="0"/>
          <w:numId w:val="22"/>
        </w:numPr>
        <w:rPr>
          <w:rFonts w:ascii="Arial" w:cs="Arial" w:eastAsia="Arial" w:hAnsi="Arial"/>
          <w:sz w:val="42"/>
          <w:szCs w:val="42"/>
          <w:b w:val="1"/>
          <w:bCs w:val="1"/>
          <w:color w:val="auto"/>
        </w:rPr>
      </w:pPr>
      <w:r>
        <w:rPr>
          <w:rFonts w:ascii="Arial" w:cs="Arial" w:eastAsia="Arial" w:hAnsi="Arial"/>
          <w:sz w:val="21"/>
          <w:szCs w:val="21"/>
          <w:b w:val="1"/>
          <w:bCs w:val="1"/>
          <w:color w:val="auto"/>
        </w:rPr>
        <w:t>OTHER INCOME, NET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351790</wp:posOffset>
            </wp:positionV>
            <wp:extent cx="5645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0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840" w:type="dxa"/>
            <w:vAlign w:val="bottom"/>
          </w:tcPr>
          <w:p>
            <w:pPr>
              <w:spacing w:after="0"/>
              <w:rPr>
                <w:sz w:val="12"/>
                <w:szCs w:val="12"/>
                <w:color w:val="auto"/>
              </w:rPr>
            </w:pPr>
          </w:p>
        </w:tc>
        <w:tc>
          <w:tcPr>
            <w:tcW w:w="84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2004</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8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176"/>
              <w:spacing w:after="0"/>
              <w:rPr>
                <w:sz w:val="20"/>
                <w:szCs w:val="20"/>
                <w:color w:val="auto"/>
              </w:rPr>
            </w:pPr>
            <w:r>
              <w:rPr>
                <w:rFonts w:ascii="Arial" w:cs="Arial" w:eastAsia="Arial" w:hAnsi="Arial"/>
                <w:sz w:val="13"/>
                <w:szCs w:val="13"/>
                <w:color w:val="auto"/>
              </w:rPr>
              <w:t>2003</w:t>
            </w:r>
          </w:p>
        </w:tc>
        <w:tc>
          <w:tcPr>
            <w:tcW w:w="3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Interest income</w:t>
            </w:r>
          </w:p>
        </w:tc>
        <w:tc>
          <w:tcPr>
            <w:tcW w:w="184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1,132</w:t>
            </w:r>
          </w:p>
        </w:tc>
        <w:tc>
          <w:tcPr>
            <w:tcW w:w="40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613</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1,345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Gross finance charge revenue</w:t>
            </w:r>
          </w:p>
        </w:tc>
        <w:tc>
          <w:tcPr>
            <w:tcW w:w="1840" w:type="dxa"/>
            <w:vAlign w:val="bottom"/>
          </w:tcPr>
          <w:p>
            <w:pPr>
              <w:spacing w:after="0"/>
              <w:rPr>
                <w:sz w:val="18"/>
                <w:szCs w:val="18"/>
                <w:color w:val="auto"/>
              </w:rPr>
            </w:pPr>
          </w:p>
        </w:tc>
        <w:tc>
          <w:tcPr>
            <w:tcW w:w="840" w:type="dxa"/>
            <w:vAlign w:val="bottom"/>
          </w:tcPr>
          <w:p>
            <w:pPr>
              <w:jc w:val="right"/>
              <w:ind w:right="196"/>
              <w:spacing w:after="0"/>
              <w:rPr>
                <w:sz w:val="20"/>
                <w:szCs w:val="20"/>
                <w:color w:val="auto"/>
              </w:rPr>
            </w:pPr>
            <w:r>
              <w:rPr>
                <w:rFonts w:ascii="Arial" w:cs="Arial" w:eastAsia="Arial" w:hAnsi="Arial"/>
                <w:sz w:val="17"/>
                <w:szCs w:val="17"/>
                <w:b w:val="1"/>
                <w:bCs w:val="1"/>
                <w:color w:val="auto"/>
              </w:rPr>
              <w:t>3,266</w:t>
            </w:r>
          </w:p>
        </w:tc>
        <w:tc>
          <w:tcPr>
            <w:tcW w:w="4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2,665</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Retail financing revenue</w:t>
            </w:r>
          </w:p>
        </w:tc>
        <w:tc>
          <w:tcPr>
            <w:tcW w:w="18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1,770</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1,232</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Royalty and licensing income</w:t>
            </w:r>
          </w:p>
        </w:tc>
        <w:tc>
          <w:tcPr>
            <w:tcW w:w="1840" w:type="dxa"/>
            <w:vAlign w:val="bottom"/>
          </w:tcPr>
          <w:p>
            <w:pPr>
              <w:spacing w:after="0"/>
              <w:rPr>
                <w:sz w:val="18"/>
                <w:szCs w:val="18"/>
                <w:color w:val="auto"/>
              </w:rPr>
            </w:pPr>
          </w:p>
        </w:tc>
        <w:tc>
          <w:tcPr>
            <w:tcW w:w="840" w:type="dxa"/>
            <w:vAlign w:val="bottom"/>
          </w:tcPr>
          <w:p>
            <w:pPr>
              <w:jc w:val="right"/>
              <w:ind w:right="196"/>
              <w:spacing w:after="0"/>
              <w:rPr>
                <w:sz w:val="20"/>
                <w:szCs w:val="20"/>
                <w:color w:val="auto"/>
              </w:rPr>
            </w:pPr>
            <w:r>
              <w:rPr>
                <w:rFonts w:ascii="Arial" w:cs="Arial" w:eastAsia="Arial" w:hAnsi="Arial"/>
                <w:sz w:val="17"/>
                <w:szCs w:val="17"/>
                <w:b w:val="1"/>
                <w:bCs w:val="1"/>
                <w:color w:val="auto"/>
              </w:rPr>
              <w:t>992</w:t>
            </w:r>
          </w:p>
        </w:tc>
        <w:tc>
          <w:tcPr>
            <w:tcW w:w="4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1,243</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Foreign currency (losses) gains</w:t>
            </w:r>
          </w:p>
        </w:tc>
        <w:tc>
          <w:tcPr>
            <w:tcW w:w="18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36"/>
              <w:spacing w:after="0"/>
              <w:rPr>
                <w:sz w:val="20"/>
                <w:szCs w:val="20"/>
                <w:color w:val="auto"/>
              </w:rPr>
            </w:pPr>
            <w:r>
              <w:rPr>
                <w:rFonts w:ascii="Arial" w:cs="Arial" w:eastAsia="Arial" w:hAnsi="Arial"/>
                <w:sz w:val="17"/>
                <w:szCs w:val="17"/>
                <w:b w:val="1"/>
                <w:bCs w:val="1"/>
                <w:color w:val="auto"/>
              </w:rPr>
              <w:t>(1,198)</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(1,070)</w:t>
            </w: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Insurance recovery, net</w:t>
            </w:r>
          </w:p>
        </w:tc>
        <w:tc>
          <w:tcPr>
            <w:tcW w:w="1840" w:type="dxa"/>
            <w:vAlign w:val="bottom"/>
          </w:tcPr>
          <w:p>
            <w:pPr>
              <w:spacing w:after="0"/>
              <w:rPr>
                <w:sz w:val="18"/>
                <w:szCs w:val="18"/>
                <w:color w:val="auto"/>
              </w:rPr>
            </w:pPr>
          </w:p>
        </w:tc>
        <w:tc>
          <w:tcPr>
            <w:tcW w:w="840" w:type="dxa"/>
            <w:vAlign w:val="bottom"/>
          </w:tcPr>
          <w:p>
            <w:pPr>
              <w:jc w:val="right"/>
              <w:ind w:right="196"/>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1,302</w:t>
            </w:r>
          </w:p>
        </w:tc>
        <w:tc>
          <w:tcPr>
            <w:tcW w:w="3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(Loss) gain on sale of businesses</w:t>
            </w:r>
          </w:p>
        </w:tc>
        <w:tc>
          <w:tcPr>
            <w:tcW w:w="18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36"/>
              <w:spacing w:after="0"/>
              <w:rPr>
                <w:sz w:val="20"/>
                <w:szCs w:val="20"/>
                <w:color w:val="auto"/>
              </w:rPr>
            </w:pPr>
            <w:r>
              <w:rPr>
                <w:rFonts w:ascii="Arial" w:cs="Arial" w:eastAsia="Arial" w:hAnsi="Arial"/>
                <w:sz w:val="17"/>
                <w:szCs w:val="17"/>
                <w:b w:val="1"/>
                <w:bCs w:val="1"/>
                <w:color w:val="auto"/>
              </w:rPr>
              <w:t>(853)</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567</w:t>
            </w:r>
          </w:p>
        </w:tc>
        <w:tc>
          <w:tcPr>
            <w:tcW w:w="3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Equity losses from an investment</w:t>
            </w:r>
          </w:p>
        </w:tc>
        <w:tc>
          <w:tcPr>
            <w:tcW w:w="1840" w:type="dxa"/>
            <w:vAlign w:val="bottom"/>
          </w:tcPr>
          <w:p>
            <w:pPr>
              <w:spacing w:after="0"/>
              <w:rPr>
                <w:sz w:val="18"/>
                <w:szCs w:val="18"/>
                <w:color w:val="auto"/>
              </w:rPr>
            </w:pP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(781)</w:t>
            </w:r>
          </w:p>
        </w:tc>
        <w:tc>
          <w:tcPr>
            <w:tcW w:w="40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Litigation (settlement) recovery</w:t>
            </w:r>
          </w:p>
        </w:tc>
        <w:tc>
          <w:tcPr>
            <w:tcW w:w="18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36"/>
              <w:spacing w:after="0"/>
              <w:rPr>
                <w:sz w:val="20"/>
                <w:szCs w:val="20"/>
                <w:color w:val="auto"/>
              </w:rPr>
            </w:pPr>
            <w:r>
              <w:rPr>
                <w:rFonts w:ascii="Arial" w:cs="Arial" w:eastAsia="Arial" w:hAnsi="Arial"/>
                <w:sz w:val="17"/>
                <w:szCs w:val="17"/>
                <w:b w:val="1"/>
                <w:bCs w:val="1"/>
                <w:color w:val="auto"/>
              </w:rPr>
              <w:t>(1,400)</w:t>
            </w:r>
          </w:p>
        </w:tc>
        <w:tc>
          <w:tcPr>
            <w:tcW w:w="4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3,171</w:t>
            </w:r>
          </w:p>
        </w:tc>
        <w:tc>
          <w:tcPr>
            <w:tcW w:w="3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Miscellaneous</w:t>
            </w:r>
          </w:p>
        </w:tc>
        <w:tc>
          <w:tcPr>
            <w:tcW w:w="184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Arial" w:cs="Arial" w:eastAsia="Arial" w:hAnsi="Arial"/>
                <w:sz w:val="17"/>
                <w:szCs w:val="17"/>
                <w:b w:val="1"/>
                <w:bCs w:val="1"/>
                <w:color w:val="auto"/>
              </w:rPr>
              <w:t>603</w:t>
            </w:r>
          </w:p>
        </w:tc>
        <w:tc>
          <w:tcPr>
            <w:tcW w:w="400" w:type="dxa"/>
            <w:vAlign w:val="bottom"/>
          </w:tcPr>
          <w:p>
            <w:pPr>
              <w:spacing w:after="0"/>
              <w:rPr>
                <w:sz w:val="19"/>
                <w:szCs w:val="19"/>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486</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84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3,531</w:t>
            </w:r>
          </w:p>
        </w:tc>
        <w:tc>
          <w:tcPr>
            <w:tcW w:w="40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10,209</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7,581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tabs>
          <w:tab w:leader="none" w:pos="680" w:val="left"/>
        </w:tabs>
        <w:rPr>
          <w:sz w:val="20"/>
          <w:szCs w:val="20"/>
          <w:color w:val="auto"/>
        </w:rPr>
      </w:pPr>
      <w:r>
        <w:rPr>
          <w:rFonts w:ascii="Arial" w:cs="Arial" w:eastAsia="Arial" w:hAnsi="Arial"/>
          <w:sz w:val="42"/>
          <w:szCs w:val="42"/>
          <w:b w:val="1"/>
          <w:bCs w:val="1"/>
          <w:color w:val="auto"/>
        </w:rPr>
        <w:t>5</w:t>
      </w:r>
      <w:r>
        <w:rPr>
          <w:sz w:val="20"/>
          <w:szCs w:val="20"/>
          <w:color w:val="auto"/>
        </w:rPr>
        <w:tab/>
      </w:r>
      <w:r>
        <w:rPr>
          <w:rFonts w:ascii="Arial" w:cs="Arial" w:eastAsia="Arial" w:hAnsi="Arial"/>
          <w:sz w:val="21"/>
          <w:szCs w:val="21"/>
          <w:b w:val="1"/>
          <w:bCs w:val="1"/>
          <w:color w:val="auto"/>
        </w:rPr>
        <w:t>GOODWILL AND OTHER INTANGIBLE ASSETS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Goodwill – </w:t>
      </w:r>
      <w:r>
        <w:rPr>
          <w:rFonts w:ascii="Arial" w:cs="Arial" w:eastAsia="Arial" w:hAnsi="Arial"/>
          <w:sz w:val="17"/>
          <w:szCs w:val="17"/>
          <w:color w:val="auto"/>
        </w:rPr>
        <w:t>The changes in the net carrying amount of goodwill for fiscal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355600</wp:posOffset>
            </wp:positionV>
            <wp:extent cx="63423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42380" cy="8255"/>
                    </a:xfrm>
                    <a:prstGeom prst="rect">
                      <a:avLst/>
                    </a:prstGeom>
                    <a:noFill/>
                  </pic:spPr>
                </pic:pic>
              </a:graphicData>
            </a:graphic>
          </wp:anchor>
        </w:drawing>
      </w:r>
    </w:p>
    <w:p>
      <w:pPr>
        <w:sectPr>
          <w:pgSz w:w="11900" w:h="16838" w:orient="portrait"/>
          <w:cols w:equalWidth="0" w:num="1">
            <w:col w:w="11420"/>
          </w:cols>
          <w:pgMar w:left="240" w:top="413" w:right="239" w:bottom="211"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tcPr>
          <w:p>
            <w:pPr>
              <w:jc w:val="right"/>
              <w:ind w:right="282"/>
              <w:spacing w:after="0"/>
              <w:rPr>
                <w:sz w:val="20"/>
                <w:szCs w:val="20"/>
                <w:color w:val="auto"/>
              </w:rPr>
            </w:pPr>
            <w:r>
              <w:rPr>
                <w:rFonts w:ascii="Arial" w:cs="Arial" w:eastAsia="Arial" w:hAnsi="Arial"/>
                <w:sz w:val="13"/>
                <w:szCs w:val="13"/>
                <w:color w:val="auto"/>
              </w:rPr>
              <w:t>Professional</w:t>
            </w:r>
          </w:p>
        </w:tc>
        <w:tc>
          <w:tcPr>
            <w:tcW w:w="560" w:type="dxa"/>
            <w:vAlign w:val="bottom"/>
          </w:tcPr>
          <w:p>
            <w:pPr>
              <w:spacing w:after="0"/>
              <w:rPr>
                <w:sz w:val="13"/>
                <w:szCs w:val="13"/>
                <w:color w:val="auto"/>
              </w:rPr>
            </w:pPr>
          </w:p>
        </w:tc>
        <w:tc>
          <w:tcPr>
            <w:tcW w:w="1080" w:type="dxa"/>
            <w:vAlign w:val="bottom"/>
          </w:tcPr>
          <w:p>
            <w:pPr>
              <w:jc w:val="right"/>
              <w:ind w:right="302"/>
              <w:spacing w:after="0"/>
              <w:rPr>
                <w:sz w:val="20"/>
                <w:szCs w:val="20"/>
                <w:color w:val="auto"/>
              </w:rPr>
            </w:pPr>
            <w:r>
              <w:rPr>
                <w:rFonts w:ascii="Arial" w:cs="Arial" w:eastAsia="Arial" w:hAnsi="Arial"/>
                <w:sz w:val="13"/>
                <w:szCs w:val="13"/>
                <w:color w:val="auto"/>
              </w:rPr>
              <w:t>Residential</w:t>
            </w: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40" w:type="dxa"/>
            <w:vAlign w:val="bottom"/>
            <w:gridSpan w:val="2"/>
          </w:tcPr>
          <w:p>
            <w:pPr>
              <w:ind w:left="580"/>
              <w:spacing w:after="0"/>
              <w:rPr>
                <w:sz w:val="20"/>
                <w:szCs w:val="20"/>
                <w:color w:val="auto"/>
              </w:rPr>
            </w:pPr>
            <w:r>
              <w:rPr>
                <w:rFonts w:ascii="Arial" w:cs="Arial" w:eastAsia="Arial" w:hAnsi="Arial"/>
                <w:sz w:val="13"/>
                <w:szCs w:val="13"/>
                <w:color w:val="auto"/>
              </w:rPr>
              <w:t>(Dollars in thousands)</w:t>
            </w:r>
          </w:p>
        </w:tc>
        <w:tc>
          <w:tcPr>
            <w:tcW w:w="2400" w:type="dxa"/>
            <w:vAlign w:val="bottom"/>
          </w:tcPr>
          <w:p>
            <w:pPr>
              <w:spacing w:after="0"/>
              <w:rPr>
                <w:sz w:val="14"/>
                <w:szCs w:val="14"/>
                <w:color w:val="auto"/>
              </w:rPr>
            </w:pPr>
          </w:p>
        </w:tc>
        <w:tc>
          <w:tcPr>
            <w:tcW w:w="1180" w:type="dxa"/>
            <w:vAlign w:val="bottom"/>
          </w:tcPr>
          <w:p>
            <w:pPr>
              <w:jc w:val="right"/>
              <w:ind w:right="282"/>
              <w:spacing w:after="0"/>
              <w:rPr>
                <w:sz w:val="20"/>
                <w:szCs w:val="20"/>
                <w:color w:val="auto"/>
              </w:rPr>
            </w:pPr>
            <w:r>
              <w:rPr>
                <w:rFonts w:ascii="Arial" w:cs="Arial" w:eastAsia="Arial" w:hAnsi="Arial"/>
                <w:sz w:val="13"/>
                <w:szCs w:val="13"/>
                <w:color w:val="auto"/>
              </w:rPr>
              <w:t>Segment</w:t>
            </w:r>
          </w:p>
        </w:tc>
        <w:tc>
          <w:tcPr>
            <w:tcW w:w="560" w:type="dxa"/>
            <w:vAlign w:val="bottom"/>
          </w:tcPr>
          <w:p>
            <w:pPr>
              <w:spacing w:after="0"/>
              <w:rPr>
                <w:sz w:val="14"/>
                <w:szCs w:val="14"/>
                <w:color w:val="auto"/>
              </w:rPr>
            </w:pPr>
          </w:p>
        </w:tc>
        <w:tc>
          <w:tcPr>
            <w:tcW w:w="1080" w:type="dxa"/>
            <w:vAlign w:val="bottom"/>
          </w:tcPr>
          <w:p>
            <w:pPr>
              <w:jc w:val="right"/>
              <w:ind w:right="302"/>
              <w:spacing w:after="0"/>
              <w:rPr>
                <w:sz w:val="20"/>
                <w:szCs w:val="20"/>
                <w:color w:val="auto"/>
              </w:rPr>
            </w:pPr>
            <w:r>
              <w:rPr>
                <w:rFonts w:ascii="Arial" w:cs="Arial" w:eastAsia="Arial" w:hAnsi="Arial"/>
                <w:sz w:val="13"/>
                <w:szCs w:val="13"/>
                <w:color w:val="auto"/>
              </w:rPr>
              <w:t>Segment</w:t>
            </w:r>
          </w:p>
        </w:tc>
        <w:tc>
          <w:tcPr>
            <w:tcW w:w="540" w:type="dxa"/>
            <w:vAlign w:val="bottom"/>
          </w:tcPr>
          <w:p>
            <w:pPr>
              <w:spacing w:after="0"/>
              <w:rPr>
                <w:sz w:val="14"/>
                <w:szCs w:val="14"/>
                <w:color w:val="auto"/>
              </w:rPr>
            </w:pPr>
          </w:p>
        </w:tc>
        <w:tc>
          <w:tcPr>
            <w:tcW w:w="860" w:type="dxa"/>
            <w:vAlign w:val="bottom"/>
            <w:gridSpan w:val="2"/>
          </w:tcPr>
          <w:p>
            <w:pPr>
              <w:ind w:left="300"/>
              <w:spacing w:after="0"/>
              <w:rPr>
                <w:sz w:val="20"/>
                <w:szCs w:val="20"/>
                <w:color w:val="auto"/>
              </w:rPr>
            </w:pPr>
            <w:r>
              <w:rPr>
                <w:rFonts w:ascii="Arial" w:cs="Arial" w:eastAsia="Arial" w:hAnsi="Arial"/>
                <w:sz w:val="13"/>
                <w:szCs w:val="13"/>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2003</w:t>
            </w:r>
          </w:p>
        </w:tc>
        <w:tc>
          <w:tcPr>
            <w:tcW w:w="240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EEEEEE"/>
          </w:tcPr>
          <w:p>
            <w:pPr>
              <w:jc w:val="right"/>
              <w:ind w:right="282"/>
              <w:spacing w:after="0"/>
              <w:rPr>
                <w:sz w:val="20"/>
                <w:szCs w:val="20"/>
                <w:color w:val="auto"/>
              </w:rPr>
            </w:pPr>
            <w:r>
              <w:rPr>
                <w:rFonts w:ascii="Arial" w:cs="Arial" w:eastAsia="Arial" w:hAnsi="Arial"/>
                <w:sz w:val="17"/>
                <w:szCs w:val="17"/>
                <w:color w:val="auto"/>
              </w:rPr>
              <w:t>68,985</w:t>
            </w:r>
          </w:p>
        </w:tc>
        <w:tc>
          <w:tcPr>
            <w:tcW w:w="5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302"/>
              <w:spacing w:after="0"/>
              <w:rPr>
                <w:sz w:val="20"/>
                <w:szCs w:val="20"/>
                <w:color w:val="auto"/>
              </w:rPr>
            </w:pPr>
            <w:r>
              <w:rPr>
                <w:rFonts w:ascii="Arial" w:cs="Arial" w:eastAsia="Arial" w:hAnsi="Arial"/>
                <w:sz w:val="17"/>
                <w:szCs w:val="17"/>
                <w:color w:val="auto"/>
              </w:rPr>
              <w:t>9,028</w:t>
            </w:r>
          </w:p>
        </w:tc>
        <w:tc>
          <w:tcPr>
            <w:tcW w:w="5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78,013</w:t>
            </w:r>
          </w:p>
        </w:tc>
        <w:tc>
          <w:tcPr>
            <w:tcW w:w="2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Translation adjustment</w:t>
            </w:r>
          </w:p>
        </w:tc>
        <w:tc>
          <w:tcPr>
            <w:tcW w:w="2400" w:type="dxa"/>
            <w:vAlign w:val="bottom"/>
          </w:tcPr>
          <w:p>
            <w:pPr>
              <w:spacing w:after="0"/>
              <w:rPr>
                <w:sz w:val="18"/>
                <w:szCs w:val="18"/>
                <w:color w:val="auto"/>
              </w:rPr>
            </w:pPr>
          </w:p>
        </w:tc>
        <w:tc>
          <w:tcPr>
            <w:tcW w:w="1180" w:type="dxa"/>
            <w:vAlign w:val="bottom"/>
          </w:tcPr>
          <w:p>
            <w:pPr>
              <w:jc w:val="right"/>
              <w:ind w:right="282"/>
              <w:spacing w:after="0"/>
              <w:rPr>
                <w:sz w:val="20"/>
                <w:szCs w:val="20"/>
                <w:color w:val="auto"/>
              </w:rPr>
            </w:pPr>
            <w:r>
              <w:rPr>
                <w:rFonts w:ascii="Arial" w:cs="Arial" w:eastAsia="Arial" w:hAnsi="Arial"/>
                <w:sz w:val="17"/>
                <w:szCs w:val="17"/>
                <w:color w:val="auto"/>
              </w:rPr>
              <w:t>11</w:t>
            </w:r>
          </w:p>
        </w:tc>
        <w:tc>
          <w:tcPr>
            <w:tcW w:w="560" w:type="dxa"/>
            <w:vAlign w:val="bottom"/>
          </w:tcPr>
          <w:p>
            <w:pPr>
              <w:spacing w:after="0"/>
              <w:rPr>
                <w:sz w:val="18"/>
                <w:szCs w:val="18"/>
                <w:color w:val="auto"/>
              </w:rPr>
            </w:pPr>
          </w:p>
        </w:tc>
        <w:tc>
          <w:tcPr>
            <w:tcW w:w="1080" w:type="dxa"/>
            <w:vAlign w:val="bottom"/>
          </w:tcPr>
          <w:p>
            <w:pPr>
              <w:jc w:val="right"/>
              <w:ind w:right="302"/>
              <w:spacing w:after="0"/>
              <w:rPr>
                <w:sz w:val="20"/>
                <w:szCs w:val="20"/>
                <w:color w:val="auto"/>
              </w:rPr>
            </w:pPr>
            <w:r>
              <w:rPr>
                <w:rFonts w:ascii="Arial" w:cs="Arial" w:eastAsia="Arial" w:hAnsi="Arial"/>
                <w:sz w:val="17"/>
                <w:szCs w:val="17"/>
                <w:color w:val="auto"/>
              </w:rPr>
              <w:t>31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24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as of October 31, 2004</w:t>
            </w:r>
          </w:p>
        </w:tc>
        <w:tc>
          <w:tcPr>
            <w:tcW w:w="240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EEEEEE"/>
          </w:tcPr>
          <w:p>
            <w:pPr>
              <w:jc w:val="right"/>
              <w:ind w:right="282"/>
              <w:spacing w:after="0"/>
              <w:rPr>
                <w:sz w:val="20"/>
                <w:szCs w:val="20"/>
                <w:color w:val="auto"/>
              </w:rPr>
            </w:pPr>
            <w:r>
              <w:rPr>
                <w:rFonts w:ascii="Arial" w:cs="Arial" w:eastAsia="Arial" w:hAnsi="Arial"/>
                <w:sz w:val="17"/>
                <w:szCs w:val="17"/>
                <w:b w:val="1"/>
                <w:bCs w:val="1"/>
                <w:color w:val="auto"/>
              </w:rPr>
              <w:t>68,996</w:t>
            </w:r>
          </w:p>
        </w:tc>
        <w:tc>
          <w:tcPr>
            <w:tcW w:w="56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EEEEEE"/>
          </w:tcPr>
          <w:p>
            <w:pPr>
              <w:jc w:val="right"/>
              <w:ind w:right="302"/>
              <w:spacing w:after="0"/>
              <w:rPr>
                <w:sz w:val="20"/>
                <w:szCs w:val="20"/>
                <w:color w:val="auto"/>
              </w:rPr>
            </w:pPr>
            <w:r>
              <w:rPr>
                <w:rFonts w:ascii="Arial" w:cs="Arial" w:eastAsia="Arial" w:hAnsi="Arial"/>
                <w:sz w:val="17"/>
                <w:szCs w:val="17"/>
                <w:b w:val="1"/>
                <w:bCs w:val="1"/>
                <w:color w:val="auto"/>
              </w:rPr>
              <w:t>9,059</w:t>
            </w:r>
          </w:p>
        </w:tc>
        <w:tc>
          <w:tcPr>
            <w:tcW w:w="54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78,055</w:t>
            </w:r>
          </w:p>
        </w:tc>
        <w:tc>
          <w:tcPr>
            <w:tcW w:w="2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0" w:type="dxa"/>
            <w:vAlign w:val="bottom"/>
          </w:tcPr>
          <w:p>
            <w:pPr>
              <w:jc w:val="right"/>
              <w:ind w:right="754"/>
              <w:spacing w:after="0"/>
              <w:rPr>
                <w:sz w:val="20"/>
                <w:szCs w:val="20"/>
                <w:color w:val="auto"/>
              </w:rPr>
            </w:pPr>
            <w:r>
              <w:rPr>
                <w:rFonts w:ascii="Arial" w:cs="Arial" w:eastAsia="Arial" w:hAnsi="Arial"/>
                <w:sz w:val="17"/>
                <w:szCs w:val="17"/>
                <w:color w:val="auto"/>
              </w:rPr>
              <w:t>37</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 xml:space="preserve">Other Intangible Assets – </w:t>
      </w:r>
      <w:r>
        <w:rPr>
          <w:rFonts w:ascii="Arial" w:cs="Arial" w:eastAsia="Arial" w:hAnsi="Arial"/>
          <w:sz w:val="17"/>
          <w:szCs w:val="17"/>
          <w:color w:val="auto"/>
        </w:rPr>
        <w:t>Total other intangible assets, net as of October 31, 2004 and 2003 were $2,200,000 and $2,854,000, respectively. During fiscal 2003,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recorded some amortizable intangible assets related to the acquisition of R &amp; D Engineering previously mentioned.</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components of other amortizable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217170</wp:posOffset>
            </wp:positionV>
            <wp:extent cx="6216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1601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80"/>
        <w:spacing w:after="0"/>
        <w:tabs>
          <w:tab w:leader="none" w:pos="7420" w:val="left"/>
          <w:tab w:leader="none" w:pos="9640" w:val="left"/>
        </w:tabs>
        <w:rPr>
          <w:sz w:val="20"/>
          <w:szCs w:val="20"/>
          <w:color w:val="auto"/>
        </w:rPr>
      </w:pPr>
      <w:r>
        <w:rPr>
          <w:rFonts w:ascii="Arial" w:cs="Arial" w:eastAsia="Arial" w:hAnsi="Arial"/>
          <w:sz w:val="13"/>
          <w:szCs w:val="13"/>
          <w:color w:val="auto"/>
        </w:rPr>
        <w:t>(Dollars in thousands)</w:t>
      </w:r>
      <w:r>
        <w:rPr>
          <w:sz w:val="20"/>
          <w:szCs w:val="20"/>
          <w:color w:val="auto"/>
        </w:rPr>
        <w:tab/>
      </w:r>
      <w:r>
        <w:rPr>
          <w:rFonts w:ascii="Arial" w:cs="Arial" w:eastAsia="Arial" w:hAnsi="Arial"/>
          <w:sz w:val="13"/>
          <w:szCs w:val="13"/>
          <w:color w:val="auto"/>
        </w:rPr>
        <w:t>Gross Carrying</w:t>
      </w:r>
      <w:r>
        <w:rPr>
          <w:sz w:val="20"/>
          <w:szCs w:val="20"/>
          <w:color w:val="auto"/>
        </w:rPr>
        <w:tab/>
      </w:r>
      <w:r>
        <w:rPr>
          <w:rFonts w:ascii="Arial" w:cs="Arial" w:eastAsia="Arial" w:hAnsi="Arial"/>
          <w:sz w:val="12"/>
          <w:szCs w:val="12"/>
          <w:color w:val="auto"/>
        </w:rPr>
        <w:t>Accumulated</w:t>
      </w:r>
    </w:p>
    <w:p>
      <w:pPr>
        <w:spacing w:after="0" w:line="6" w:lineRule="exact"/>
        <w:rPr>
          <w:sz w:val="20"/>
          <w:szCs w:val="20"/>
          <w:color w:val="auto"/>
        </w:rPr>
      </w:pPr>
    </w:p>
    <w:p>
      <w:pPr>
        <w:ind w:left="580"/>
        <w:spacing w:after="0"/>
        <w:tabs>
          <w:tab w:leader="none" w:pos="7800" w:val="left"/>
          <w:tab w:leader="none" w:pos="9640" w:val="left"/>
        </w:tabs>
        <w:rPr>
          <w:sz w:val="20"/>
          <w:szCs w:val="20"/>
          <w:color w:val="auto"/>
        </w:rPr>
      </w:pPr>
      <w:r>
        <w:rPr>
          <w:rFonts w:ascii="Arial" w:cs="Arial" w:eastAsia="Arial" w:hAnsi="Arial"/>
          <w:sz w:val="13"/>
          <w:szCs w:val="13"/>
          <w:color w:val="auto"/>
        </w:rPr>
        <w:t>October 31, 2004</w:t>
      </w:r>
      <w:r>
        <w:rPr>
          <w:sz w:val="20"/>
          <w:szCs w:val="20"/>
          <w:color w:val="auto"/>
        </w:rPr>
        <w:tab/>
      </w:r>
      <w:r>
        <w:rPr>
          <w:rFonts w:ascii="Arial" w:cs="Arial" w:eastAsia="Arial" w:hAnsi="Arial"/>
          <w:sz w:val="13"/>
          <w:szCs w:val="13"/>
          <w:color w:val="auto"/>
        </w:rPr>
        <w:t>Amount</w:t>
      </w:r>
      <w:r>
        <w:rPr>
          <w:sz w:val="20"/>
          <w:szCs w:val="20"/>
          <w:color w:val="auto"/>
        </w:rPr>
        <w:tab/>
      </w:r>
      <w:r>
        <w:rPr>
          <w:rFonts w:ascii="Arial" w:cs="Arial" w:eastAsia="Arial" w:hAnsi="Arial"/>
          <w:sz w:val="12"/>
          <w:szCs w:val="12"/>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64135</wp:posOffset>
            </wp:positionV>
            <wp:extent cx="6216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16015" cy="8255"/>
                    </a:xfrm>
                    <a:prstGeom prst="rect">
                      <a:avLst/>
                    </a:prstGeom>
                    <a:noFill/>
                  </pic:spPr>
                </pic:pic>
              </a:graphicData>
            </a:graphic>
          </wp:anchor>
        </w:drawing>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Patents</w:t>
            </w:r>
          </w:p>
        </w:tc>
        <w:tc>
          <w:tcPr>
            <w:tcW w:w="25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500" w:type="dxa"/>
            <w:vAlign w:val="bottom"/>
            <w:shd w:val="clear" w:color="auto" w:fill="EEEEEE"/>
          </w:tcPr>
          <w:p>
            <w:pPr>
              <w:jc w:val="right"/>
              <w:ind w:right="438"/>
              <w:spacing w:after="0"/>
              <w:rPr>
                <w:sz w:val="20"/>
                <w:szCs w:val="20"/>
                <w:color w:val="auto"/>
              </w:rPr>
            </w:pPr>
            <w:r>
              <w:rPr>
                <w:rFonts w:ascii="Arial" w:cs="Arial" w:eastAsia="Arial" w:hAnsi="Arial"/>
                <w:sz w:val="17"/>
                <w:szCs w:val="17"/>
                <w:b w:val="1"/>
                <w:bCs w:val="1"/>
                <w:color w:val="auto"/>
              </w:rPr>
              <w:t>6,553</w:t>
            </w:r>
          </w:p>
        </w:tc>
        <w:tc>
          <w:tcPr>
            <w:tcW w:w="76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b w:val="1"/>
                <w:bCs w:val="1"/>
                <w:color w:val="auto"/>
              </w:rPr>
              <w:t>(5,275)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b w:val="1"/>
                <w:bCs w:val="1"/>
                <w:color w:val="auto"/>
              </w:rPr>
              <w:t>Non-compete agreements</w:t>
            </w:r>
          </w:p>
        </w:tc>
        <w:tc>
          <w:tcPr>
            <w:tcW w:w="2540" w:type="dxa"/>
            <w:vAlign w:val="bottom"/>
          </w:tcPr>
          <w:p>
            <w:pPr>
              <w:spacing w:after="0"/>
              <w:rPr>
                <w:sz w:val="18"/>
                <w:szCs w:val="18"/>
                <w:color w:val="auto"/>
              </w:rPr>
            </w:pPr>
          </w:p>
        </w:tc>
        <w:tc>
          <w:tcPr>
            <w:tcW w:w="1500" w:type="dxa"/>
            <w:vAlign w:val="bottom"/>
          </w:tcPr>
          <w:p>
            <w:pPr>
              <w:jc w:val="right"/>
              <w:ind w:right="438"/>
              <w:spacing w:after="0"/>
              <w:rPr>
                <w:sz w:val="20"/>
                <w:szCs w:val="20"/>
                <w:color w:val="auto"/>
              </w:rPr>
            </w:pPr>
            <w:r>
              <w:rPr>
                <w:rFonts w:ascii="Arial" w:cs="Arial" w:eastAsia="Arial" w:hAnsi="Arial"/>
                <w:sz w:val="17"/>
                <w:szCs w:val="17"/>
                <w:b w:val="1"/>
                <w:bCs w:val="1"/>
                <w:color w:val="auto"/>
              </w:rPr>
              <w:t>1,000</w:t>
            </w:r>
          </w:p>
        </w:tc>
        <w:tc>
          <w:tcPr>
            <w:tcW w:w="7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(723)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w:t>
            </w:r>
          </w:p>
        </w:tc>
        <w:tc>
          <w:tcPr>
            <w:tcW w:w="25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438"/>
              <w:spacing w:after="0"/>
              <w:rPr>
                <w:sz w:val="20"/>
                <w:szCs w:val="20"/>
                <w:color w:val="auto"/>
              </w:rPr>
            </w:pPr>
            <w:r>
              <w:rPr>
                <w:rFonts w:ascii="Arial" w:cs="Arial" w:eastAsia="Arial" w:hAnsi="Arial"/>
                <w:sz w:val="17"/>
                <w:szCs w:val="17"/>
                <w:b w:val="1"/>
                <w:bCs w:val="1"/>
                <w:color w:val="auto"/>
              </w:rPr>
              <w:t>1,700</w:t>
            </w:r>
          </w:p>
        </w:tc>
        <w:tc>
          <w:tcPr>
            <w:tcW w:w="7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b w:val="1"/>
                <w:bCs w:val="1"/>
                <w:color w:val="auto"/>
              </w:rPr>
              <w:t>(1,055)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6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254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ind w:right="438"/>
              <w:spacing w:after="0"/>
              <w:rPr>
                <w:sz w:val="20"/>
                <w:szCs w:val="20"/>
                <w:color w:val="auto"/>
              </w:rPr>
            </w:pPr>
            <w:r>
              <w:rPr>
                <w:rFonts w:ascii="Arial" w:cs="Arial" w:eastAsia="Arial" w:hAnsi="Arial"/>
                <w:sz w:val="17"/>
                <w:szCs w:val="17"/>
                <w:b w:val="1"/>
                <w:bCs w:val="1"/>
                <w:color w:val="auto"/>
              </w:rPr>
              <w:t>9,253</w:t>
            </w:r>
          </w:p>
        </w:tc>
        <w:tc>
          <w:tcPr>
            <w:tcW w:w="7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(7,053)</w:t>
            </w:r>
          </w:p>
        </w:tc>
        <w:tc>
          <w:tcPr>
            <w:tcW w:w="0" w:type="dxa"/>
            <w:vAlign w:val="bottom"/>
          </w:tcPr>
          <w:p>
            <w:pPr>
              <w:spacing w:after="0"/>
              <w:rPr>
                <w:sz w:val="1"/>
                <w:szCs w:val="1"/>
                <w:color w:val="auto"/>
              </w:rPr>
            </w:pPr>
          </w:p>
        </w:tc>
      </w:tr>
      <w:tr>
        <w:trPr>
          <w:trHeight w:val="109"/>
        </w:trPr>
        <w:tc>
          <w:tcPr>
            <w:tcW w:w="4160" w:type="dxa"/>
            <w:vAlign w:val="bottom"/>
            <w:tcBorders>
              <w:bottom w:val="single" w:sz="8" w:color="808080"/>
            </w:tcBorders>
            <w:gridSpan w:val="2"/>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540" w:type="dxa"/>
            <w:vAlign w:val="bottom"/>
          </w:tcPr>
          <w:p>
            <w:pPr>
              <w:spacing w:after="0"/>
              <w:rPr>
                <w:sz w:val="20"/>
                <w:szCs w:val="20"/>
                <w:color w:val="auto"/>
              </w:rPr>
            </w:pPr>
          </w:p>
        </w:tc>
        <w:tc>
          <w:tcPr>
            <w:tcW w:w="1500" w:type="dxa"/>
            <w:vAlign w:val="bottom"/>
          </w:tcPr>
          <w:p>
            <w:pPr>
              <w:jc w:val="right"/>
              <w:ind w:right="438"/>
              <w:spacing w:after="0"/>
              <w:rPr>
                <w:sz w:val="20"/>
                <w:szCs w:val="20"/>
                <w:color w:val="auto"/>
              </w:rPr>
            </w:pPr>
            <w:r>
              <w:rPr>
                <w:rFonts w:ascii="Arial" w:cs="Arial" w:eastAsia="Arial" w:hAnsi="Arial"/>
                <w:sz w:val="13"/>
                <w:szCs w:val="13"/>
                <w:color w:val="auto"/>
              </w:rPr>
              <w:t>Gross Carrying</w:t>
            </w:r>
          </w:p>
        </w:tc>
        <w:tc>
          <w:tcPr>
            <w:tcW w:w="76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Accumulated</w:t>
            </w:r>
          </w:p>
        </w:tc>
        <w:tc>
          <w:tcPr>
            <w:tcW w:w="0" w:type="dxa"/>
            <w:vAlign w:val="bottom"/>
          </w:tcPr>
          <w:p>
            <w:pPr>
              <w:spacing w:after="0"/>
              <w:rPr>
                <w:sz w:val="1"/>
                <w:szCs w:val="1"/>
                <w:color w:val="auto"/>
              </w:rPr>
            </w:pPr>
          </w:p>
        </w:tc>
      </w:tr>
      <w:tr>
        <w:trPr>
          <w:trHeight w:val="166"/>
        </w:trPr>
        <w:tc>
          <w:tcPr>
            <w:tcW w:w="4160" w:type="dxa"/>
            <w:vAlign w:val="bottom"/>
            <w:gridSpan w:val="2"/>
          </w:tcPr>
          <w:p>
            <w:pPr>
              <w:spacing w:after="0"/>
              <w:rPr>
                <w:sz w:val="20"/>
                <w:szCs w:val="20"/>
                <w:color w:val="auto"/>
              </w:rPr>
            </w:pPr>
            <w:r>
              <w:rPr>
                <w:rFonts w:ascii="Arial" w:cs="Arial" w:eastAsia="Arial" w:hAnsi="Arial"/>
                <w:sz w:val="13"/>
                <w:szCs w:val="13"/>
                <w:color w:val="auto"/>
              </w:rPr>
              <w:t>October 31, 2003</w:t>
            </w:r>
          </w:p>
        </w:tc>
        <w:tc>
          <w:tcPr>
            <w:tcW w:w="2540" w:type="dxa"/>
            <w:vAlign w:val="bottom"/>
          </w:tcPr>
          <w:p>
            <w:pPr>
              <w:spacing w:after="0"/>
              <w:rPr>
                <w:sz w:val="14"/>
                <w:szCs w:val="14"/>
                <w:color w:val="auto"/>
              </w:rPr>
            </w:pPr>
          </w:p>
        </w:tc>
        <w:tc>
          <w:tcPr>
            <w:tcW w:w="1500" w:type="dxa"/>
            <w:vAlign w:val="bottom"/>
          </w:tcPr>
          <w:p>
            <w:pPr>
              <w:jc w:val="right"/>
              <w:ind w:right="438"/>
              <w:spacing w:after="0"/>
              <w:rPr>
                <w:sz w:val="20"/>
                <w:szCs w:val="20"/>
                <w:color w:val="auto"/>
              </w:rPr>
            </w:pPr>
            <w:r>
              <w:rPr>
                <w:rFonts w:ascii="Arial" w:cs="Arial" w:eastAsia="Arial" w:hAnsi="Arial"/>
                <w:sz w:val="13"/>
                <w:szCs w:val="13"/>
                <w:color w:val="auto"/>
              </w:rPr>
              <w:t>Amount</w:t>
            </w:r>
          </w:p>
        </w:tc>
        <w:tc>
          <w:tcPr>
            <w:tcW w:w="76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color w:val="auto"/>
              </w:rPr>
              <w:t>Amortization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color w:val="auto"/>
              </w:rPr>
              <w:t>Patents</w:t>
            </w:r>
          </w:p>
        </w:tc>
        <w:tc>
          <w:tcPr>
            <w:tcW w:w="254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shd w:val="clear" w:color="auto" w:fill="EEEEEE"/>
          </w:tcPr>
          <w:p>
            <w:pPr>
              <w:jc w:val="right"/>
              <w:ind w:right="438"/>
              <w:spacing w:after="0"/>
              <w:rPr>
                <w:sz w:val="20"/>
                <w:szCs w:val="20"/>
                <w:color w:val="auto"/>
              </w:rPr>
            </w:pPr>
            <w:r>
              <w:rPr>
                <w:rFonts w:ascii="Arial" w:cs="Arial" w:eastAsia="Arial" w:hAnsi="Arial"/>
                <w:sz w:val="17"/>
                <w:szCs w:val="17"/>
                <w:color w:val="auto"/>
              </w:rPr>
              <w:t>6,553</w:t>
            </w:r>
          </w:p>
        </w:tc>
        <w:tc>
          <w:tcPr>
            <w:tcW w:w="7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(4,931)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Non-compete agreements</w:t>
            </w:r>
          </w:p>
        </w:tc>
        <w:tc>
          <w:tcPr>
            <w:tcW w:w="2540" w:type="dxa"/>
            <w:vAlign w:val="bottom"/>
          </w:tcPr>
          <w:p>
            <w:pPr>
              <w:spacing w:after="0"/>
              <w:rPr>
                <w:sz w:val="18"/>
                <w:szCs w:val="18"/>
                <w:color w:val="auto"/>
              </w:rPr>
            </w:pPr>
          </w:p>
        </w:tc>
        <w:tc>
          <w:tcPr>
            <w:tcW w:w="1500" w:type="dxa"/>
            <w:vAlign w:val="bottom"/>
          </w:tcPr>
          <w:p>
            <w:pPr>
              <w:jc w:val="right"/>
              <w:ind w:right="438"/>
              <w:spacing w:after="0"/>
              <w:rPr>
                <w:sz w:val="20"/>
                <w:szCs w:val="20"/>
                <w:color w:val="auto"/>
              </w:rPr>
            </w:pPr>
            <w:r>
              <w:rPr>
                <w:rFonts w:ascii="Arial" w:cs="Arial" w:eastAsia="Arial" w:hAnsi="Arial"/>
                <w:sz w:val="17"/>
                <w:szCs w:val="17"/>
                <w:color w:val="auto"/>
              </w:rPr>
              <w:t>1,000</w:t>
            </w:r>
          </w:p>
        </w:tc>
        <w:tc>
          <w:tcPr>
            <w:tcW w:w="76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color w:val="auto"/>
              </w:rPr>
              <w:t>Other</w:t>
            </w:r>
          </w:p>
        </w:tc>
        <w:tc>
          <w:tcPr>
            <w:tcW w:w="254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438"/>
              <w:spacing w:after="0"/>
              <w:rPr>
                <w:sz w:val="20"/>
                <w:szCs w:val="20"/>
                <w:color w:val="auto"/>
              </w:rPr>
            </w:pPr>
            <w:r>
              <w:rPr>
                <w:rFonts w:ascii="Arial" w:cs="Arial" w:eastAsia="Arial" w:hAnsi="Arial"/>
                <w:sz w:val="17"/>
                <w:szCs w:val="17"/>
                <w:color w:val="auto"/>
              </w:rPr>
              <w:t>1,700</w:t>
            </w:r>
          </w:p>
        </w:tc>
        <w:tc>
          <w:tcPr>
            <w:tcW w:w="7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54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438"/>
              <w:spacing w:after="0"/>
              <w:rPr>
                <w:sz w:val="20"/>
                <w:szCs w:val="20"/>
                <w:color w:val="auto"/>
              </w:rPr>
            </w:pPr>
            <w:r>
              <w:rPr>
                <w:rFonts w:ascii="Arial" w:cs="Arial" w:eastAsia="Arial" w:hAnsi="Arial"/>
                <w:sz w:val="17"/>
                <w:szCs w:val="17"/>
                <w:color w:val="auto"/>
              </w:rPr>
              <w:t>9,253</w:t>
            </w: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7"/>
                <w:szCs w:val="17"/>
                <w:color w:val="auto"/>
              </w:rPr>
              <w:t>(6,399)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69215</wp:posOffset>
            </wp:positionV>
            <wp:extent cx="65182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199" w:lineRule="exact"/>
        <w:rPr>
          <w:sz w:val="20"/>
          <w:szCs w:val="20"/>
          <w:color w:val="auto"/>
        </w:rPr>
      </w:pPr>
    </w:p>
    <w:p>
      <w:pPr>
        <w:jc w:val="both"/>
        <w:ind w:right="300" w:firstLine="77"/>
        <w:spacing w:after="0" w:line="273" w:lineRule="auto"/>
        <w:rPr>
          <w:sz w:val="20"/>
          <w:szCs w:val="20"/>
          <w:color w:val="auto"/>
        </w:rPr>
      </w:pPr>
      <w:r>
        <w:rPr>
          <w:rFonts w:ascii="Arial" w:cs="Arial" w:eastAsia="Arial" w:hAnsi="Arial"/>
          <w:sz w:val="17"/>
          <w:szCs w:val="17"/>
          <w:color w:val="auto"/>
        </w:rPr>
        <w:t>Amortization expense for intangible assets for fiscal years ended October 31, 2004, 2003, 2002 was $653,000, $601,000, and $670,000, respectively. Estimated amortization expense for the succeeding fiscal years is as follows: 2005, $628,000; 2006, $601,000; 2007, $407,000; 2008, $281,000; 2009, $121,000; and after 2009, $162,000.</w:t>
      </w:r>
    </w:p>
    <w:p>
      <w:pPr>
        <w:spacing w:after="0" w:line="190" w:lineRule="exact"/>
        <w:rPr>
          <w:sz w:val="20"/>
          <w:szCs w:val="20"/>
          <w:color w:val="auto"/>
        </w:rPr>
      </w:pPr>
    </w:p>
    <w:p>
      <w:pPr>
        <w:ind w:left="700" w:hanging="694"/>
        <w:spacing w:after="0"/>
        <w:tabs>
          <w:tab w:leader="none" w:pos="700" w:val="left"/>
        </w:tabs>
        <w:numPr>
          <w:ilvl w:val="0"/>
          <w:numId w:val="23"/>
        </w:numPr>
        <w:rPr>
          <w:rFonts w:ascii="Arial" w:cs="Arial" w:eastAsia="Arial" w:hAnsi="Arial"/>
          <w:sz w:val="42"/>
          <w:szCs w:val="42"/>
          <w:b w:val="1"/>
          <w:bCs w:val="1"/>
          <w:color w:val="auto"/>
        </w:rPr>
      </w:pPr>
      <w:r>
        <w:rPr>
          <w:rFonts w:ascii="Arial" w:cs="Arial" w:eastAsia="Arial" w:hAnsi="Arial"/>
          <w:sz w:val="21"/>
          <w:szCs w:val="21"/>
          <w:b w:val="1"/>
          <w:bCs w:val="1"/>
          <w:color w:val="auto"/>
        </w:rPr>
        <w:t>SHORT-TERM CAPITAL RESOURCES</w:t>
      </w:r>
    </w:p>
    <w:p>
      <w:pPr>
        <w:spacing w:after="0" w:line="207"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As of October 31, 2004, the company had available a $175.0 million unsecured senior five-year revolving credit facility, which expires in September 2009. The company also has a $75.0 million secured credit line backed by a multi-year credit agreement, expiring in July 2006, which is renewable annually. This credit line is secured by certain domestic receivables. Interest expense on these credit lines is determined from a LIBOR or commercial paper rate plus a basis point spread defined in the credit agreements. The company’s non-U.S. operations and a domestic subsidiary maintain unsecured short-term lines of credit of $1,592,000. These facilities bear interest at various rates depending on the rates in their respective countries of operation. The company had $1,099,000 outstanding as of October 31, 2004 and $2,138,000 outstanding as of October 31, 2003 under these lines of credit, which included 600,000 Australian dollar and 36,000 Euro denominated short-term debt outstanding as of October 31, 2003. The weighted average interest rate on short-term debt outstanding as of October 31, 2004 and 2003 was 2.10 percent and 2.73 percent, respectively. The company was in compliance with all covenants related to the lines of credit described above as of October 31, 2004.</w:t>
      </w:r>
    </w:p>
    <w:p>
      <w:pPr>
        <w:spacing w:after="0" w:line="174" w:lineRule="exact"/>
        <w:rPr>
          <w:sz w:val="20"/>
          <w:szCs w:val="20"/>
          <w:color w:val="auto"/>
        </w:rPr>
      </w:pPr>
    </w:p>
    <w:p>
      <w:pPr>
        <w:ind w:left="700" w:hanging="694"/>
        <w:spacing w:after="0"/>
        <w:tabs>
          <w:tab w:leader="none" w:pos="700" w:val="left"/>
        </w:tabs>
        <w:numPr>
          <w:ilvl w:val="0"/>
          <w:numId w:val="24"/>
        </w:numPr>
        <w:rPr>
          <w:rFonts w:ascii="Arial" w:cs="Arial" w:eastAsia="Arial" w:hAnsi="Arial"/>
          <w:sz w:val="42"/>
          <w:szCs w:val="42"/>
          <w:b w:val="1"/>
          <w:bCs w:val="1"/>
          <w:color w:val="auto"/>
        </w:rPr>
      </w:pPr>
      <w:r>
        <w:rPr>
          <w:rFonts w:ascii="Arial" w:cs="Arial" w:eastAsia="Arial" w:hAnsi="Arial"/>
          <w:sz w:val="21"/>
          <w:szCs w:val="21"/>
          <w:b w:val="1"/>
          <w:bCs w:val="1"/>
          <w:color w:val="auto"/>
        </w:rPr>
        <w:t>LONG-TERM DEBT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 summary of long-term debt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351790</wp:posOffset>
            </wp:positionV>
            <wp:extent cx="5594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94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900" w:type="dxa"/>
            <w:vAlign w:val="bottom"/>
            <w:gridSpan w:val="2"/>
          </w:tcPr>
          <w:p>
            <w:pPr>
              <w:spacing w:after="0"/>
              <w:rPr>
                <w:sz w:val="20"/>
                <w:szCs w:val="20"/>
                <w:color w:val="auto"/>
              </w:rPr>
            </w:pPr>
            <w:r>
              <w:rPr>
                <w:rFonts w:ascii="Arial" w:cs="Arial" w:eastAsia="Arial" w:hAnsi="Arial"/>
                <w:sz w:val="13"/>
                <w:szCs w:val="13"/>
                <w:color w:val="auto"/>
              </w:rPr>
              <w:t>(Dollars in thousands) October 31</w:t>
            </w:r>
          </w:p>
        </w:tc>
        <w:tc>
          <w:tcPr>
            <w:tcW w:w="164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7.125% Notes, due June 15, 2007</w:t>
            </w:r>
          </w:p>
        </w:tc>
        <w:tc>
          <w:tcPr>
            <w:tcW w:w="16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75,000</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b w:val="1"/>
                <w:bCs w:val="1"/>
                <w:color w:val="auto"/>
              </w:rPr>
              <w:t>Industrial Revenue Bond due November 1, 2017</w:t>
            </w:r>
          </w:p>
        </w:tc>
        <w:tc>
          <w:tcPr>
            <w:tcW w:w="1640" w:type="dxa"/>
            <w:vAlign w:val="bottom"/>
          </w:tcPr>
          <w:p>
            <w:pPr>
              <w:spacing w:after="0"/>
              <w:rPr>
                <w:sz w:val="18"/>
                <w:szCs w:val="18"/>
                <w:color w:val="auto"/>
              </w:rPr>
            </w:pPr>
          </w:p>
        </w:tc>
        <w:tc>
          <w:tcPr>
            <w:tcW w:w="1040" w:type="dxa"/>
            <w:vAlign w:val="bottom"/>
          </w:tcPr>
          <w:p>
            <w:pPr>
              <w:jc w:val="right"/>
              <w:ind w:right="236"/>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7.800% Debentures, due June 15, 2027</w:t>
            </w:r>
          </w:p>
        </w:tc>
        <w:tc>
          <w:tcPr>
            <w:tcW w:w="1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100,000</w:t>
            </w:r>
          </w:p>
        </w:tc>
        <w:tc>
          <w:tcPr>
            <w:tcW w:w="5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100,000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640" w:type="dxa"/>
            <w:vAlign w:val="bottom"/>
          </w:tcPr>
          <w:p>
            <w:pPr>
              <w:spacing w:after="0"/>
              <w:rPr>
                <w:sz w:val="19"/>
                <w:szCs w:val="19"/>
                <w:color w:val="auto"/>
              </w:rPr>
            </w:pPr>
          </w:p>
        </w:tc>
        <w:tc>
          <w:tcPr>
            <w:tcW w:w="1040" w:type="dxa"/>
            <w:vAlign w:val="bottom"/>
          </w:tcPr>
          <w:p>
            <w:pPr>
              <w:jc w:val="right"/>
              <w:ind w:right="236"/>
              <w:spacing w:after="0"/>
              <w:rPr>
                <w:sz w:val="20"/>
                <w:szCs w:val="20"/>
                <w:color w:val="auto"/>
              </w:rPr>
            </w:pPr>
            <w:r>
              <w:rPr>
                <w:rFonts w:ascii="Arial" w:cs="Arial" w:eastAsia="Arial" w:hAnsi="Arial"/>
                <w:sz w:val="17"/>
                <w:szCs w:val="17"/>
                <w:b w:val="1"/>
                <w:bCs w:val="1"/>
                <w:color w:val="auto"/>
              </w:rPr>
              <w:t>91</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175,091</w:t>
            </w:r>
          </w:p>
        </w:tc>
        <w:tc>
          <w:tcPr>
            <w:tcW w:w="54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178,921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7"/>
                <w:szCs w:val="17"/>
                <w:b w:val="1"/>
                <w:bCs w:val="1"/>
                <w:color w:val="auto"/>
              </w:rPr>
              <w:t>Less current portion</w:t>
            </w:r>
          </w:p>
        </w:tc>
        <w:tc>
          <w:tcPr>
            <w:tcW w:w="1640" w:type="dxa"/>
            <w:vAlign w:val="bottom"/>
          </w:tcPr>
          <w:p>
            <w:pPr>
              <w:spacing w:after="0"/>
              <w:rPr>
                <w:sz w:val="19"/>
                <w:szCs w:val="19"/>
                <w:color w:val="auto"/>
              </w:rPr>
            </w:pPr>
          </w:p>
        </w:tc>
        <w:tc>
          <w:tcPr>
            <w:tcW w:w="1040" w:type="dxa"/>
            <w:vAlign w:val="bottom"/>
          </w:tcPr>
          <w:p>
            <w:pPr>
              <w:jc w:val="right"/>
              <w:ind w:right="236"/>
              <w:spacing w:after="0"/>
              <w:rPr>
                <w:sz w:val="20"/>
                <w:szCs w:val="20"/>
                <w:color w:val="auto"/>
              </w:rPr>
            </w:pPr>
            <w:r>
              <w:rPr>
                <w:rFonts w:ascii="Arial" w:cs="Arial" w:eastAsia="Arial" w:hAnsi="Arial"/>
                <w:sz w:val="17"/>
                <w:szCs w:val="17"/>
                <w:b w:val="1"/>
                <w:bCs w:val="1"/>
                <w:color w:val="auto"/>
              </w:rPr>
              <w:t>45</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Long-term debt, less current portion</w:t>
            </w:r>
          </w:p>
        </w:tc>
        <w:tc>
          <w:tcPr>
            <w:tcW w:w="164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175,046</w:t>
            </w:r>
          </w:p>
        </w:tc>
        <w:tc>
          <w:tcPr>
            <w:tcW w:w="54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175,091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industrial revenue bond for $3.6 million due November 1, 2017 was called and paid in the first quarter of fiscal 2004.</w:t>
      </w:r>
    </w:p>
    <w:p>
      <w:pPr>
        <w:spacing w:after="0" w:line="22" w:lineRule="exact"/>
        <w:rPr>
          <w:sz w:val="20"/>
          <w:szCs w:val="20"/>
          <w:color w:val="auto"/>
        </w:rPr>
      </w:pPr>
    </w:p>
    <w:p>
      <w:pPr>
        <w:ind w:firstLine="86"/>
        <w:spacing w:after="0" w:line="276" w:lineRule="auto"/>
        <w:rPr>
          <w:sz w:val="20"/>
          <w:szCs w:val="20"/>
          <w:color w:val="auto"/>
        </w:rPr>
      </w:pPr>
      <w:r>
        <w:rPr>
          <w:rFonts w:ascii="Arial" w:cs="Arial" w:eastAsia="Arial" w:hAnsi="Arial"/>
          <w:sz w:val="16"/>
          <w:szCs w:val="16"/>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ind w:right="660" w:firstLine="86"/>
        <w:spacing w:after="0" w:line="279" w:lineRule="auto"/>
        <w:rPr>
          <w:sz w:val="20"/>
          <w:szCs w:val="20"/>
          <w:color w:val="auto"/>
        </w:rPr>
      </w:pPr>
      <w:r>
        <w:rPr>
          <w:rFonts w:ascii="Arial" w:cs="Arial" w:eastAsia="Arial" w:hAnsi="Arial"/>
          <w:sz w:val="17"/>
          <w:szCs w:val="17"/>
          <w:color w:val="auto"/>
        </w:rPr>
        <w:t>Principal payments required on long-term debt in each of the next five fiscal years ending October 31 are as follows: 2005, $45,000; 2006, $46,000; 2007, $75,000,000; 2008, $0; and after 2009, $100,000,000.</w:t>
      </w:r>
    </w:p>
    <w:p>
      <w:pPr>
        <w:sectPr>
          <w:pgSz w:w="11900" w:h="16838" w:orient="portrait"/>
          <w:cols w:equalWidth="0" w:num="1">
            <w:col w:w="11360"/>
          </w:cols>
          <w:pgMar w:left="240" w:top="413" w:right="299" w:bottom="0" w:gutter="0" w:footer="0" w:header="0"/>
        </w:sectPr>
      </w:pPr>
    </w:p>
    <w:p>
      <w:pPr>
        <w:spacing w:after="0" w:line="186" w:lineRule="exact"/>
        <w:rPr>
          <w:sz w:val="20"/>
          <w:szCs w:val="20"/>
          <w:color w:val="auto"/>
        </w:rPr>
      </w:pPr>
    </w:p>
    <w:p>
      <w:pPr>
        <w:ind w:left="700" w:hanging="694"/>
        <w:spacing w:after="0"/>
        <w:tabs>
          <w:tab w:leader="none" w:pos="700" w:val="left"/>
        </w:tabs>
        <w:numPr>
          <w:ilvl w:val="0"/>
          <w:numId w:val="25"/>
        </w:numPr>
        <w:rPr>
          <w:rFonts w:ascii="Arial" w:cs="Arial" w:eastAsia="Arial" w:hAnsi="Arial"/>
          <w:sz w:val="42"/>
          <w:szCs w:val="42"/>
          <w:b w:val="1"/>
          <w:bCs w:val="1"/>
          <w:color w:val="auto"/>
        </w:rPr>
      </w:pPr>
      <w:r>
        <w:rPr>
          <w:rFonts w:ascii="Arial" w:cs="Arial" w:eastAsia="Arial" w:hAnsi="Arial"/>
          <w:sz w:val="21"/>
          <w:szCs w:val="21"/>
          <w:b w:val="1"/>
          <w:bCs w:val="1"/>
          <w:color w:val="auto"/>
        </w:rPr>
        <w:t>STOCKHOLDERS’ EQUITY</w:t>
      </w:r>
    </w:p>
    <w:p>
      <w:pPr>
        <w:sectPr>
          <w:pgSz w:w="11900" w:h="16838" w:orient="portrait"/>
          <w:cols w:equalWidth="0" w:num="1">
            <w:col w:w="11360"/>
          </w:cols>
          <w:pgMar w:left="240" w:top="413" w:right="299" w:bottom="0" w:gutter="0" w:footer="0" w:header="0"/>
          <w:type w:val="continuous"/>
        </w:sectPr>
      </w:pPr>
    </w:p>
    <w:bookmarkStart w:id="45" w:name="page46"/>
    <w:bookmarkEnd w:id="45"/>
    <w:p>
      <w:pPr>
        <w:spacing w:after="0" w:line="271" w:lineRule="auto"/>
        <w:rPr>
          <w:sz w:val="20"/>
          <w:szCs w:val="20"/>
          <w:color w:val="auto"/>
        </w:rPr>
      </w:pPr>
      <w:r>
        <w:rPr>
          <w:rFonts w:ascii="Arial" w:cs="Arial" w:eastAsia="Arial" w:hAnsi="Arial"/>
          <w:sz w:val="17"/>
          <w:szCs w:val="17"/>
          <w:b w:val="1"/>
          <w:bCs w:val="1"/>
          <w:color w:val="auto"/>
        </w:rPr>
        <w:t xml:space="preserve">Stock repurchase program – </w:t>
      </w:r>
      <w:r>
        <w:rPr>
          <w:rFonts w:ascii="Arial" w:cs="Arial" w:eastAsia="Arial" w:hAnsi="Arial"/>
          <w:sz w:val="17"/>
          <w:szCs w:val="17"/>
          <w:color w:val="auto"/>
        </w:rPr>
        <w:t>In March 2004, the company’s Board of Directors authorized the repurchase of 1,000,000 shares of the company’s common stock. In</w:t>
      </w:r>
      <w:r>
        <w:rPr>
          <w:rFonts w:ascii="Arial" w:cs="Arial" w:eastAsia="Arial" w:hAnsi="Arial"/>
          <w:sz w:val="17"/>
          <w:szCs w:val="17"/>
          <w:b w:val="1"/>
          <w:bCs w:val="1"/>
          <w:color w:val="auto"/>
        </w:rPr>
        <w:t xml:space="preserve"> </w:t>
      </w:r>
      <w:r>
        <w:rPr>
          <w:rFonts w:ascii="Arial" w:cs="Arial" w:eastAsia="Arial" w:hAnsi="Arial"/>
          <w:sz w:val="17"/>
          <w:szCs w:val="17"/>
          <w:color w:val="auto"/>
        </w:rPr>
        <w:t>May 2004, the Board of Directors authorized an additional 2,000,000 shares for repurchase. In September 2004, the Board of Directors authorized an additional 1,000,000 shares for repurchase, bringing the total maximum number of shares to 4,000,000. During fiscal 2004, Toro paid $169.8 million to repurchase 2,635,407 shares. As of October 31, 2004, 1,884,497 shares remained authorized for repurchase.</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 xml:space="preserve">Shareholder rights plan – </w:t>
      </w:r>
      <w:r>
        <w:rPr>
          <w:rFonts w:ascii="Arial" w:cs="Arial" w:eastAsia="Arial" w:hAnsi="Arial"/>
          <w:sz w:val="17"/>
          <w:szCs w:val="17"/>
          <w:color w:val="auto"/>
        </w:rPr>
        <w:t>Under the terms of a Rights Agreement dated as of May 20, 1998 between Toro and Wells Fargo Bank, National Association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to Norwest Bank Minnesota, National 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two-hundredth interest in a share of a series of preferred stock, at a price of $180 per one one-hundredth of a preferred share.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$0.005 per right at any time before a person or group acquires beneficial ownership of 15 percent or more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Stock split – </w:t>
      </w:r>
      <w:r>
        <w:rPr>
          <w:rFonts w:ascii="Arial" w:cs="Arial" w:eastAsia="Arial" w:hAnsi="Arial"/>
          <w:sz w:val="16"/>
          <w:szCs w:val="16"/>
          <w:color w:val="auto"/>
        </w:rPr>
        <w:t>On March 20, 2003, the company’s Board of Directors declared a two-for-one split of the company’s common stock, effected in the form of a</w:t>
      </w:r>
    </w:p>
    <w:p>
      <w:pPr>
        <w:spacing w:after="0" w:line="3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100 percent stock dividend issued to stockholders of record as of April 1, 2003 and paid on April 14, 2003. As a result of this action, approximately 12.5 million shares were issued. Par value of the common stock remains at $1.00 per share and accordingly, approximately $12.5 million was transferred from additional paid-in capital to common stock. All references to the number of common shares and per common share amounts have been adjusted to give retroactive effect to the stock split for all periods presented.</w:t>
      </w:r>
    </w:p>
    <w:p>
      <w:pPr>
        <w:spacing w:after="0" w:line="197" w:lineRule="exact"/>
        <w:rPr>
          <w:sz w:val="20"/>
          <w:szCs w:val="20"/>
          <w:color w:val="auto"/>
        </w:rPr>
      </w:pPr>
    </w:p>
    <w:p>
      <w:pPr>
        <w:ind w:left="700" w:hanging="694"/>
        <w:spacing w:after="0"/>
        <w:tabs>
          <w:tab w:leader="none" w:pos="700" w:val="left"/>
        </w:tabs>
        <w:numPr>
          <w:ilvl w:val="0"/>
          <w:numId w:val="26"/>
        </w:numPr>
        <w:rPr>
          <w:rFonts w:ascii="Arial" w:cs="Arial" w:eastAsia="Arial" w:hAnsi="Arial"/>
          <w:sz w:val="42"/>
          <w:szCs w:val="42"/>
          <w:b w:val="1"/>
          <w:bCs w:val="1"/>
          <w:color w:val="auto"/>
        </w:rPr>
      </w:pPr>
      <w:r>
        <w:rPr>
          <w:rFonts w:ascii="Arial" w:cs="Arial" w:eastAsia="Arial" w:hAnsi="Arial"/>
          <w:sz w:val="21"/>
          <w:szCs w:val="21"/>
          <w:b w:val="1"/>
          <w:bCs w:val="1"/>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federal income tax rate to the company’s consolidated effective tax rate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351790</wp:posOffset>
            </wp:positionV>
            <wp:extent cx="56870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2"/>
          </w:tcPr>
          <w:p>
            <w:pPr>
              <w:ind w:left="560"/>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3"/>
                <w:szCs w:val="13"/>
                <w:color w:val="auto"/>
              </w:rPr>
              <w:t>2003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Statutory federal income tax rate</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35.0%</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35.0%</w:t>
            </w:r>
          </w:p>
        </w:tc>
        <w:tc>
          <w:tcPr>
            <w:tcW w:w="740" w:type="dxa"/>
            <w:vAlign w:val="bottom"/>
            <w:gridSpan w:val="3"/>
            <w:shd w:val="clear" w:color="auto" w:fill="EEEEEE"/>
          </w:tcPr>
          <w:p>
            <w:pPr>
              <w:jc w:val="right"/>
              <w:ind w:right="40"/>
              <w:spacing w:after="0"/>
              <w:rPr>
                <w:sz w:val="20"/>
                <w:szCs w:val="20"/>
                <w:color w:val="auto"/>
              </w:rPr>
            </w:pPr>
            <w:r>
              <w:rPr>
                <w:rFonts w:ascii="Arial" w:cs="Arial" w:eastAsia="Arial" w:hAnsi="Arial"/>
                <w:sz w:val="17"/>
                <w:szCs w:val="17"/>
                <w:color w:val="auto"/>
              </w:rPr>
              <w:t>35.0%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Increase (reduction) in income taxes resulting from:</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Benefits from export incentives</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97"/>
              <w:spacing w:after="0"/>
              <w:rPr>
                <w:sz w:val="20"/>
                <w:szCs w:val="20"/>
                <w:color w:val="auto"/>
              </w:rPr>
            </w:pPr>
            <w:r>
              <w:rPr>
                <w:rFonts w:ascii="Arial" w:cs="Arial" w:eastAsia="Arial" w:hAnsi="Arial"/>
                <w:sz w:val="17"/>
                <w:szCs w:val="17"/>
                <w:b w:val="1"/>
                <w:bCs w:val="1"/>
                <w:color w:val="auto"/>
              </w:rPr>
              <w:t>(1.6)</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77"/>
              <w:spacing w:after="0"/>
              <w:rPr>
                <w:sz w:val="20"/>
                <w:szCs w:val="20"/>
                <w:color w:val="auto"/>
              </w:rPr>
            </w:pPr>
            <w:r>
              <w:rPr>
                <w:rFonts w:ascii="Arial" w:cs="Arial" w:eastAsia="Arial" w:hAnsi="Arial"/>
                <w:sz w:val="17"/>
                <w:szCs w:val="17"/>
                <w:color w:val="auto"/>
              </w:rPr>
              <w:t>(1.6)</w:t>
            </w: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7"/>
                <w:szCs w:val="17"/>
                <w:color w:val="auto"/>
              </w:rPr>
              <w:t>(1.7)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Refund related to prior years’ foreign sales corporation</w:t>
            </w:r>
          </w:p>
        </w:tc>
        <w:tc>
          <w:tcPr>
            <w:tcW w:w="800" w:type="dxa"/>
            <w:vAlign w:val="bottom"/>
          </w:tcPr>
          <w:p>
            <w:pPr>
              <w:spacing w:after="0"/>
              <w:rPr>
                <w:sz w:val="18"/>
                <w:szCs w:val="18"/>
                <w:color w:val="auto"/>
              </w:rPr>
            </w:pPr>
          </w:p>
        </w:tc>
        <w:tc>
          <w:tcPr>
            <w:tcW w:w="1200" w:type="dxa"/>
            <w:vAlign w:val="bottom"/>
          </w:tcPr>
          <w:p>
            <w:pPr>
              <w:jc w:val="right"/>
              <w:ind w:right="157"/>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020" w:type="dxa"/>
            <w:vAlign w:val="bottom"/>
          </w:tcPr>
          <w:p>
            <w:pPr>
              <w:jc w:val="right"/>
              <w:ind w:right="337"/>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9"/>
              </w:rPr>
              <w:t>State and local income taxes, net of federal income tax benefit</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57"/>
              <w:spacing w:after="0"/>
              <w:rPr>
                <w:sz w:val="20"/>
                <w:szCs w:val="20"/>
                <w:color w:val="auto"/>
              </w:rPr>
            </w:pPr>
            <w:r>
              <w:rPr>
                <w:rFonts w:ascii="Arial" w:cs="Arial" w:eastAsia="Arial" w:hAnsi="Arial"/>
                <w:sz w:val="17"/>
                <w:szCs w:val="17"/>
                <w:b w:val="1"/>
                <w:bCs w:val="1"/>
                <w:color w:val="auto"/>
              </w:rPr>
              <w:t>0.9</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37"/>
              <w:spacing w:after="0"/>
              <w:rPr>
                <w:sz w:val="20"/>
                <w:szCs w:val="20"/>
                <w:color w:val="auto"/>
              </w:rPr>
            </w:pPr>
            <w:r>
              <w:rPr>
                <w:rFonts w:ascii="Arial" w:cs="Arial" w:eastAsia="Arial" w:hAnsi="Arial"/>
                <w:sz w:val="17"/>
                <w:szCs w:val="17"/>
                <w:color w:val="auto"/>
              </w:rPr>
              <w:t>1.1</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16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Effect of foreign source income</w:t>
            </w:r>
          </w:p>
        </w:tc>
        <w:tc>
          <w:tcPr>
            <w:tcW w:w="800" w:type="dxa"/>
            <w:vAlign w:val="bottom"/>
          </w:tcPr>
          <w:p>
            <w:pPr>
              <w:spacing w:after="0"/>
              <w:rPr>
                <w:sz w:val="18"/>
                <w:szCs w:val="18"/>
                <w:color w:val="auto"/>
              </w:rPr>
            </w:pPr>
          </w:p>
        </w:tc>
        <w:tc>
          <w:tcPr>
            <w:tcW w:w="1200" w:type="dxa"/>
            <w:vAlign w:val="bottom"/>
          </w:tcPr>
          <w:p>
            <w:pPr>
              <w:jc w:val="right"/>
              <w:ind w:right="97"/>
              <w:spacing w:after="0"/>
              <w:rPr>
                <w:sz w:val="20"/>
                <w:szCs w:val="20"/>
                <w:color w:val="auto"/>
              </w:rPr>
            </w:pPr>
            <w:r>
              <w:rPr>
                <w:rFonts w:ascii="Arial" w:cs="Arial" w:eastAsia="Arial" w:hAnsi="Arial"/>
                <w:sz w:val="17"/>
                <w:szCs w:val="17"/>
                <w:b w:val="1"/>
                <w:bCs w:val="1"/>
                <w:color w:val="auto"/>
              </w:rPr>
              <w:t>(1.9)</w:t>
            </w:r>
          </w:p>
        </w:tc>
        <w:tc>
          <w:tcPr>
            <w:tcW w:w="320" w:type="dxa"/>
            <w:vAlign w:val="bottom"/>
          </w:tcPr>
          <w:p>
            <w:pPr>
              <w:spacing w:after="0"/>
              <w:rPr>
                <w:sz w:val="18"/>
                <w:szCs w:val="18"/>
                <w:color w:val="auto"/>
              </w:rPr>
            </w:pPr>
          </w:p>
        </w:tc>
        <w:tc>
          <w:tcPr>
            <w:tcW w:w="1020" w:type="dxa"/>
            <w:vAlign w:val="bottom"/>
          </w:tcPr>
          <w:p>
            <w:pPr>
              <w:jc w:val="right"/>
              <w:ind w:right="277"/>
              <w:spacing w:after="0"/>
              <w:rPr>
                <w:sz w:val="20"/>
                <w:szCs w:val="20"/>
                <w:color w:val="auto"/>
              </w:rPr>
            </w:pPr>
            <w:r>
              <w:rPr>
                <w:rFonts w:ascii="Arial" w:cs="Arial" w:eastAsia="Arial" w:hAnsi="Arial"/>
                <w:sz w:val="17"/>
                <w:szCs w:val="17"/>
                <w:color w:val="auto"/>
              </w:rPr>
              <w:t>(0.6)</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(0.4)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net</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157"/>
              <w:spacing w:after="0"/>
              <w:rPr>
                <w:sz w:val="20"/>
                <w:szCs w:val="20"/>
                <w:color w:val="auto"/>
              </w:rPr>
            </w:pPr>
            <w:r>
              <w:rPr>
                <w:rFonts w:ascii="Arial" w:cs="Arial" w:eastAsia="Arial" w:hAnsi="Arial"/>
                <w:sz w:val="17"/>
                <w:szCs w:val="17"/>
                <w:b w:val="1"/>
                <w:bCs w:val="1"/>
                <w:color w:val="auto"/>
              </w:rPr>
              <w:t>0.6</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77"/>
              <w:spacing w:after="0"/>
              <w:rPr>
                <w:sz w:val="20"/>
                <w:szCs w:val="20"/>
                <w:color w:val="auto"/>
              </w:rPr>
            </w:pPr>
            <w:r>
              <w:rPr>
                <w:rFonts w:ascii="Arial" w:cs="Arial" w:eastAsia="Arial" w:hAnsi="Arial"/>
                <w:sz w:val="17"/>
                <w:szCs w:val="17"/>
                <w:color w:val="auto"/>
              </w:rPr>
              <w:t>(1.4)</w:t>
            </w:r>
          </w:p>
        </w:tc>
        <w:tc>
          <w:tcPr>
            <w:tcW w:w="740" w:type="dxa"/>
            <w:vAlign w:val="bottom"/>
            <w:gridSpan w:val="3"/>
            <w:shd w:val="clear" w:color="auto" w:fill="EEEEEE"/>
          </w:tcPr>
          <w:p>
            <w:pPr>
              <w:jc w:val="right"/>
              <w:ind w:right="120"/>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3"/>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ind w:left="560"/>
              <w:spacing w:after="0"/>
              <w:rPr>
                <w:sz w:val="20"/>
                <w:szCs w:val="20"/>
                <w:color w:val="auto"/>
              </w:rPr>
            </w:pPr>
            <w:r>
              <w:rPr>
                <w:rFonts w:ascii="Arial" w:cs="Arial" w:eastAsia="Arial" w:hAnsi="Arial"/>
                <w:sz w:val="17"/>
                <w:szCs w:val="17"/>
                <w:b w:val="1"/>
                <w:bCs w:val="1"/>
                <w:color w:val="auto"/>
              </w:rPr>
              <w:t>Consolidated effective tax rate</w:t>
            </w:r>
          </w:p>
        </w:tc>
        <w:tc>
          <w:tcPr>
            <w:tcW w:w="8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33.0%</w:t>
            </w:r>
          </w:p>
        </w:tc>
        <w:tc>
          <w:tcPr>
            <w:tcW w:w="320" w:type="dxa"/>
            <w:vAlign w:val="bottom"/>
          </w:tcPr>
          <w:p>
            <w:pPr>
              <w:spacing w:after="0"/>
              <w:rPr>
                <w:sz w:val="24"/>
                <w:szCs w:val="24"/>
                <w:color w:val="auto"/>
              </w:rPr>
            </w:pPr>
          </w:p>
        </w:tc>
        <w:tc>
          <w:tcPr>
            <w:tcW w:w="1020" w:type="dxa"/>
            <w:vAlign w:val="bottom"/>
          </w:tcPr>
          <w:p>
            <w:pPr>
              <w:jc w:val="right"/>
              <w:ind w:right="197"/>
              <w:spacing w:after="0"/>
              <w:rPr>
                <w:sz w:val="20"/>
                <w:szCs w:val="20"/>
                <w:color w:val="auto"/>
              </w:rPr>
            </w:pPr>
            <w:r>
              <w:rPr>
                <w:rFonts w:ascii="Arial" w:cs="Arial" w:eastAsia="Arial" w:hAnsi="Arial"/>
                <w:sz w:val="17"/>
                <w:szCs w:val="17"/>
                <w:color w:val="auto"/>
              </w:rPr>
              <w:t>32.5%</w:t>
            </w: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31.0%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6120" w:type="dxa"/>
            <w:vAlign w:val="bottom"/>
            <w:gridSpan w:val="4"/>
          </w:tcPr>
          <w:p>
            <w:pPr>
              <w:ind w:left="20"/>
              <w:spacing w:after="0"/>
              <w:rPr>
                <w:sz w:val="20"/>
                <w:szCs w:val="20"/>
                <w:color w:val="auto"/>
              </w:rPr>
            </w:pPr>
            <w:r>
              <w:rPr>
                <w:rFonts w:ascii="Arial" w:cs="Arial" w:eastAsia="Arial" w:hAnsi="Arial"/>
                <w:sz w:val="17"/>
                <w:szCs w:val="17"/>
                <w:color w:val="auto"/>
              </w:rPr>
              <w:t>Components of the provision for income taxes were as follows:</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00" w:type="dxa"/>
            <w:vAlign w:val="bottom"/>
          </w:tcPr>
          <w:p>
            <w:pPr>
              <w:spacing w:after="0"/>
              <w:rPr>
                <w:sz w:val="24"/>
                <w:szCs w:val="24"/>
                <w:color w:val="auto"/>
              </w:rPr>
            </w:pPr>
          </w:p>
        </w:tc>
        <w:tc>
          <w:tcPr>
            <w:tcW w:w="5620" w:type="dxa"/>
            <w:vAlign w:val="bottom"/>
            <w:tcBorders>
              <w:bottom w:val="single" w:sz="8" w:color="808080"/>
            </w:tcBorders>
            <w:gridSpan w:val="3"/>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3"/>
                <w:szCs w:val="13"/>
                <w:color w:val="auto"/>
              </w:rPr>
              <w:t>(Dollars in thousands)</w:t>
            </w:r>
          </w:p>
        </w:tc>
        <w:tc>
          <w:tcPr>
            <w:tcW w:w="800" w:type="dxa"/>
            <w:vAlign w:val="bottom"/>
          </w:tcPr>
          <w:p>
            <w:pPr>
              <w:spacing w:after="0"/>
              <w:rPr>
                <w:sz w:val="20"/>
                <w:szCs w:val="20"/>
                <w:color w:val="auto"/>
              </w:rPr>
            </w:pPr>
          </w:p>
        </w:tc>
        <w:tc>
          <w:tcPr>
            <w:tcW w:w="1200" w:type="dxa"/>
            <w:vAlign w:val="bottom"/>
            <w:vMerge w:val="restart"/>
          </w:tcPr>
          <w:p>
            <w:pPr>
              <w:jc w:val="right"/>
              <w:ind w:right="437"/>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5620" w:type="dxa"/>
            <w:vAlign w:val="bottom"/>
            <w:gridSpan w:val="3"/>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297"/>
              <w:spacing w:after="0"/>
              <w:rPr>
                <w:sz w:val="20"/>
                <w:szCs w:val="20"/>
                <w:color w:val="auto"/>
              </w:rPr>
            </w:pPr>
            <w:r>
              <w:rPr>
                <w:rFonts w:ascii="Arial" w:cs="Arial" w:eastAsia="Arial" w:hAnsi="Arial"/>
                <w:sz w:val="13"/>
                <w:szCs w:val="13"/>
                <w:color w:val="auto"/>
              </w:rPr>
              <w:t>2003</w:t>
            </w:r>
          </w:p>
        </w:tc>
        <w:tc>
          <w:tcPr>
            <w:tcW w:w="46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Provision for income taxes:</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7"/>
                <w:szCs w:val="17"/>
                <w:b w:val="1"/>
                <w:bCs w:val="1"/>
                <w:color w:val="auto"/>
              </w:rPr>
              <w:t>Current –</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Federal</w:t>
            </w:r>
          </w:p>
        </w:tc>
        <w:tc>
          <w:tcPr>
            <w:tcW w:w="8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EEEEEE"/>
          </w:tcPr>
          <w:p>
            <w:pPr>
              <w:jc w:val="right"/>
              <w:ind w:right="437"/>
              <w:spacing w:after="0"/>
              <w:rPr>
                <w:sz w:val="20"/>
                <w:szCs w:val="20"/>
                <w:color w:val="auto"/>
              </w:rPr>
            </w:pPr>
            <w:r>
              <w:rPr>
                <w:rFonts w:ascii="Arial" w:cs="Arial" w:eastAsia="Arial" w:hAnsi="Arial"/>
                <w:sz w:val="17"/>
                <w:szCs w:val="17"/>
                <w:b w:val="1"/>
                <w:bCs w:val="1"/>
                <w:color w:val="auto"/>
              </w:rPr>
              <w:t>47,894</w:t>
            </w:r>
          </w:p>
        </w:tc>
        <w:tc>
          <w:tcPr>
            <w:tcW w:w="3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EEEEEE"/>
          </w:tcPr>
          <w:p>
            <w:pPr>
              <w:jc w:val="right"/>
              <w:ind w:right="297"/>
              <w:spacing w:after="0"/>
              <w:rPr>
                <w:sz w:val="20"/>
                <w:szCs w:val="20"/>
                <w:color w:val="auto"/>
              </w:rPr>
            </w:pPr>
            <w:r>
              <w:rPr>
                <w:rFonts w:ascii="Arial" w:cs="Arial" w:eastAsia="Arial" w:hAnsi="Arial"/>
                <w:sz w:val="17"/>
                <w:szCs w:val="17"/>
                <w:color w:val="auto"/>
              </w:rPr>
              <w:t>34,470</w:t>
            </w:r>
          </w:p>
        </w:tc>
        <w:tc>
          <w:tcPr>
            <w:tcW w:w="460" w:type="dxa"/>
            <w:vAlign w:val="bottom"/>
            <w:shd w:val="clear" w:color="auto" w:fill="EEEEEE"/>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22,789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ind w:left="240"/>
              <w:spacing w:after="0"/>
              <w:rPr>
                <w:sz w:val="20"/>
                <w:szCs w:val="20"/>
                <w:color w:val="auto"/>
              </w:rPr>
            </w:pPr>
            <w:r>
              <w:rPr>
                <w:rFonts w:ascii="Arial" w:cs="Arial" w:eastAsia="Arial" w:hAnsi="Arial"/>
                <w:sz w:val="17"/>
                <w:szCs w:val="17"/>
                <w:b w:val="1"/>
                <w:bCs w:val="1"/>
                <w:color w:val="auto"/>
              </w:rPr>
              <w:t>State</w:t>
            </w:r>
          </w:p>
        </w:tc>
        <w:tc>
          <w:tcPr>
            <w:tcW w:w="800" w:type="dxa"/>
            <w:vAlign w:val="bottom"/>
          </w:tcPr>
          <w:p>
            <w:pPr>
              <w:spacing w:after="0"/>
              <w:rPr>
                <w:sz w:val="18"/>
                <w:szCs w:val="18"/>
                <w:color w:val="auto"/>
              </w:rPr>
            </w:pPr>
          </w:p>
        </w:tc>
        <w:tc>
          <w:tcPr>
            <w:tcW w:w="1200" w:type="dxa"/>
            <w:vAlign w:val="bottom"/>
          </w:tcPr>
          <w:p>
            <w:pPr>
              <w:jc w:val="right"/>
              <w:ind w:right="437"/>
              <w:spacing w:after="0"/>
              <w:rPr>
                <w:sz w:val="20"/>
                <w:szCs w:val="20"/>
                <w:color w:val="auto"/>
              </w:rPr>
            </w:pPr>
            <w:r>
              <w:rPr>
                <w:rFonts w:ascii="Arial" w:cs="Arial" w:eastAsia="Arial" w:hAnsi="Arial"/>
                <w:sz w:val="17"/>
                <w:szCs w:val="17"/>
                <w:b w:val="1"/>
                <w:bCs w:val="1"/>
                <w:color w:val="auto"/>
              </w:rPr>
              <w:t>2,401</w:t>
            </w:r>
          </w:p>
        </w:tc>
        <w:tc>
          <w:tcPr>
            <w:tcW w:w="320" w:type="dxa"/>
            <w:vAlign w:val="bottom"/>
          </w:tcPr>
          <w:p>
            <w:pPr>
              <w:spacing w:after="0"/>
              <w:rPr>
                <w:sz w:val="18"/>
                <w:szCs w:val="18"/>
                <w:color w:val="auto"/>
              </w:rPr>
            </w:pP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1,812</w:t>
            </w:r>
          </w:p>
        </w:tc>
        <w:tc>
          <w:tcPr>
            <w:tcW w:w="4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1,588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Non-U.S.</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437"/>
              <w:spacing w:after="0"/>
              <w:rPr>
                <w:sz w:val="20"/>
                <w:szCs w:val="20"/>
                <w:color w:val="auto"/>
              </w:rPr>
            </w:pPr>
            <w:r>
              <w:rPr>
                <w:rFonts w:ascii="Arial" w:cs="Arial" w:eastAsia="Arial" w:hAnsi="Arial"/>
                <w:sz w:val="17"/>
                <w:szCs w:val="17"/>
                <w:b w:val="1"/>
                <w:bCs w:val="1"/>
                <w:color w:val="auto"/>
              </w:rPr>
              <w:t>1,287</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7"/>
              <w:spacing w:after="0"/>
              <w:rPr>
                <w:sz w:val="20"/>
                <w:szCs w:val="20"/>
                <w:color w:val="auto"/>
              </w:rPr>
            </w:pPr>
            <w:r>
              <w:rPr>
                <w:rFonts w:ascii="Arial" w:cs="Arial" w:eastAsia="Arial" w:hAnsi="Arial"/>
                <w:sz w:val="17"/>
                <w:szCs w:val="17"/>
                <w:color w:val="auto"/>
              </w:rPr>
              <w:t>1,449</w:t>
            </w:r>
          </w:p>
        </w:tc>
        <w:tc>
          <w:tcPr>
            <w:tcW w:w="4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694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2"/>
          </w:tcPr>
          <w:p>
            <w:pPr>
              <w:ind w:left="240"/>
              <w:spacing w:after="0"/>
              <w:rPr>
                <w:sz w:val="20"/>
                <w:szCs w:val="20"/>
                <w:color w:val="auto"/>
              </w:rPr>
            </w:pPr>
            <w:r>
              <w:rPr>
                <w:rFonts w:ascii="Arial" w:cs="Arial" w:eastAsia="Arial" w:hAnsi="Arial"/>
                <w:sz w:val="17"/>
                <w:szCs w:val="17"/>
                <w:b w:val="1"/>
                <w:bCs w:val="1"/>
                <w:color w:val="auto"/>
              </w:rPr>
              <w:t>Current provision</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437"/>
              <w:spacing w:after="0"/>
              <w:rPr>
                <w:sz w:val="20"/>
                <w:szCs w:val="20"/>
                <w:color w:val="auto"/>
              </w:rPr>
            </w:pPr>
            <w:r>
              <w:rPr>
                <w:rFonts w:ascii="Arial" w:cs="Arial" w:eastAsia="Arial" w:hAnsi="Arial"/>
                <w:sz w:val="17"/>
                <w:szCs w:val="17"/>
                <w:b w:val="1"/>
                <w:bCs w:val="1"/>
                <w:color w:val="auto"/>
              </w:rPr>
              <w:t>51,582</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37,731</w:t>
            </w: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25,071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Deferred –</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ind w:left="240"/>
              <w:spacing w:after="0"/>
              <w:rPr>
                <w:sz w:val="20"/>
                <w:szCs w:val="20"/>
                <w:color w:val="auto"/>
              </w:rPr>
            </w:pPr>
            <w:r>
              <w:rPr>
                <w:rFonts w:ascii="Arial" w:cs="Arial" w:eastAsia="Arial" w:hAnsi="Arial"/>
                <w:sz w:val="17"/>
                <w:szCs w:val="17"/>
                <w:b w:val="1"/>
                <w:bCs w:val="1"/>
                <w:color w:val="auto"/>
              </w:rPr>
              <w:t>Federal</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397"/>
              <w:spacing w:after="0"/>
              <w:rPr>
                <w:sz w:val="20"/>
                <w:szCs w:val="20"/>
                <w:color w:val="auto"/>
              </w:rPr>
            </w:pPr>
            <w:r>
              <w:rPr>
                <w:rFonts w:ascii="Arial" w:cs="Arial" w:eastAsia="Arial" w:hAnsi="Arial"/>
                <w:sz w:val="17"/>
                <w:szCs w:val="17"/>
                <w:b w:val="1"/>
                <w:bCs w:val="1"/>
                <w:color w:val="auto"/>
              </w:rPr>
              <w:t>(106)</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1,719</w:t>
            </w: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1,357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State</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97"/>
              <w:spacing w:after="0"/>
              <w:rPr>
                <w:sz w:val="20"/>
                <w:szCs w:val="20"/>
                <w:color w:val="auto"/>
              </w:rPr>
            </w:pPr>
            <w:r>
              <w:rPr>
                <w:rFonts w:ascii="Arial" w:cs="Arial" w:eastAsia="Arial" w:hAnsi="Arial"/>
                <w:sz w:val="17"/>
                <w:szCs w:val="17"/>
                <w:b w:val="1"/>
                <w:bCs w:val="1"/>
                <w:color w:val="auto"/>
              </w:rPr>
              <w:t>(304)</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7"/>
              <w:spacing w:after="0"/>
              <w:rPr>
                <w:sz w:val="20"/>
                <w:szCs w:val="20"/>
                <w:color w:val="auto"/>
              </w:rPr>
            </w:pPr>
            <w:r>
              <w:rPr>
                <w:rFonts w:ascii="Arial" w:cs="Arial" w:eastAsia="Arial" w:hAnsi="Arial"/>
                <w:sz w:val="17"/>
                <w:szCs w:val="17"/>
                <w:color w:val="auto"/>
              </w:rPr>
              <w:t>218</w:t>
            </w:r>
          </w:p>
        </w:tc>
        <w:tc>
          <w:tcPr>
            <w:tcW w:w="46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2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7"/>
                <w:szCs w:val="17"/>
                <w:b w:val="1"/>
                <w:bCs w:val="1"/>
                <w:color w:val="auto"/>
              </w:rPr>
              <w:t>Non-U.S.</w:t>
            </w:r>
          </w:p>
        </w:tc>
        <w:tc>
          <w:tcPr>
            <w:tcW w:w="800" w:type="dxa"/>
            <w:vAlign w:val="bottom"/>
          </w:tcPr>
          <w:p>
            <w:pPr>
              <w:spacing w:after="0"/>
              <w:rPr>
                <w:sz w:val="19"/>
                <w:szCs w:val="19"/>
                <w:color w:val="auto"/>
              </w:rPr>
            </w:pPr>
          </w:p>
        </w:tc>
        <w:tc>
          <w:tcPr>
            <w:tcW w:w="1200" w:type="dxa"/>
            <w:vAlign w:val="bottom"/>
          </w:tcPr>
          <w:p>
            <w:pPr>
              <w:jc w:val="right"/>
              <w:ind w:right="397"/>
              <w:spacing w:after="0"/>
              <w:rPr>
                <w:sz w:val="20"/>
                <w:szCs w:val="20"/>
                <w:color w:val="auto"/>
              </w:rPr>
            </w:pPr>
            <w:r>
              <w:rPr>
                <w:rFonts w:ascii="Arial" w:cs="Arial" w:eastAsia="Arial" w:hAnsi="Arial"/>
                <w:sz w:val="17"/>
                <w:szCs w:val="17"/>
                <w:b w:val="1"/>
                <w:bCs w:val="1"/>
                <w:color w:val="auto"/>
              </w:rPr>
              <w:t>(605)</w:t>
            </w:r>
          </w:p>
        </w:tc>
        <w:tc>
          <w:tcPr>
            <w:tcW w:w="3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7"/>
                <w:szCs w:val="17"/>
                <w:color w:val="auto"/>
              </w:rPr>
              <w:t>(370)</w:t>
            </w:r>
          </w:p>
        </w:tc>
        <w:tc>
          <w:tcPr>
            <w:tcW w:w="46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467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3"/>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Deferred provision</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397"/>
              <w:spacing w:after="0"/>
              <w:rPr>
                <w:sz w:val="20"/>
                <w:szCs w:val="20"/>
                <w:color w:val="auto"/>
              </w:rPr>
            </w:pPr>
            <w:r>
              <w:rPr>
                <w:rFonts w:ascii="Arial" w:cs="Arial" w:eastAsia="Arial" w:hAnsi="Arial"/>
                <w:sz w:val="17"/>
                <w:szCs w:val="17"/>
                <w:b w:val="1"/>
                <w:bCs w:val="1"/>
                <w:color w:val="auto"/>
              </w:rPr>
              <w:t>(1,015)</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7"/>
              <w:spacing w:after="0"/>
              <w:rPr>
                <w:sz w:val="20"/>
                <w:szCs w:val="20"/>
                <w:color w:val="auto"/>
              </w:rPr>
            </w:pPr>
            <w:r>
              <w:rPr>
                <w:rFonts w:ascii="Arial" w:cs="Arial" w:eastAsia="Arial" w:hAnsi="Arial"/>
                <w:sz w:val="17"/>
                <w:szCs w:val="17"/>
                <w:color w:val="auto"/>
              </w:rPr>
              <w:t>1,567</w:t>
            </w:r>
          </w:p>
        </w:tc>
        <w:tc>
          <w:tcPr>
            <w:tcW w:w="4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20"/>
              <w:spacing w:after="0"/>
              <w:rPr>
                <w:sz w:val="20"/>
                <w:szCs w:val="20"/>
                <w:color w:val="auto"/>
              </w:rPr>
            </w:pPr>
            <w:r>
              <w:rPr>
                <w:rFonts w:ascii="Arial" w:cs="Arial" w:eastAsia="Arial" w:hAnsi="Arial"/>
                <w:sz w:val="17"/>
                <w:szCs w:val="17"/>
                <w:color w:val="auto"/>
              </w:rPr>
              <w:t>1,797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7"/>
                <w:szCs w:val="17"/>
                <w:b w:val="1"/>
                <w:bCs w:val="1"/>
                <w:color w:val="auto"/>
              </w:rPr>
              <w:t>Total provision for income taxes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437"/>
              <w:spacing w:after="0"/>
              <w:rPr>
                <w:sz w:val="20"/>
                <w:szCs w:val="20"/>
                <w:color w:val="auto"/>
              </w:rPr>
            </w:pPr>
            <w:r>
              <w:rPr>
                <w:rFonts w:ascii="Arial" w:cs="Arial" w:eastAsia="Arial" w:hAnsi="Arial"/>
                <w:sz w:val="17"/>
                <w:szCs w:val="17"/>
                <w:b w:val="1"/>
                <w:bCs w:val="1"/>
                <w:color w:val="auto"/>
              </w:rPr>
              <w:t>50,567</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97"/>
              <w:spacing w:after="0"/>
              <w:rPr>
                <w:sz w:val="20"/>
                <w:szCs w:val="20"/>
                <w:color w:val="auto"/>
              </w:rPr>
            </w:pPr>
            <w:r>
              <w:rPr>
                <w:rFonts w:ascii="Arial" w:cs="Arial" w:eastAsia="Arial" w:hAnsi="Arial"/>
                <w:sz w:val="17"/>
                <w:szCs w:val="17"/>
                <w:color w:val="auto"/>
              </w:rPr>
              <w:t>39,298</w:t>
            </w: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26,868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8960" w:type="dxa"/>
            <w:vAlign w:val="bottom"/>
            <w:tcBorders>
              <w:bottom w:val="single" w:sz="8" w:color="808080"/>
            </w:tcBorders>
            <w:gridSpan w:val="7"/>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9460" w:type="dxa"/>
            <w:vAlign w:val="bottom"/>
            <w:gridSpan w:val="8"/>
          </w:tcPr>
          <w:p>
            <w:pPr>
              <w:spacing w:after="0"/>
              <w:rPr>
                <w:sz w:val="20"/>
                <w:szCs w:val="20"/>
                <w:color w:val="auto"/>
              </w:rPr>
            </w:pPr>
            <w:r>
              <w:rPr>
                <w:rFonts w:ascii="Arial" w:cs="Arial" w:eastAsia="Arial" w:hAnsi="Arial"/>
                <w:sz w:val="17"/>
                <w:szCs w:val="17"/>
                <w:color w:val="auto"/>
                <w:w w:val="98"/>
              </w:rPr>
              <w:t>The company has net operating loss carryforwards of approximately $2.9 million in foreign jurisdictions with unlimited expiration.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gridSpan w:val="4"/>
          </w:tcPr>
          <w:p>
            <w:pPr>
              <w:ind w:left="20"/>
              <w:spacing w:after="0"/>
              <w:rPr>
                <w:sz w:val="20"/>
                <w:szCs w:val="20"/>
                <w:color w:val="auto"/>
              </w:rPr>
            </w:pPr>
            <w:r>
              <w:rPr>
                <w:rFonts w:ascii="Arial" w:cs="Arial" w:eastAsia="Arial" w:hAnsi="Arial"/>
                <w:sz w:val="17"/>
                <w:szCs w:val="17"/>
                <w:color w:val="auto"/>
              </w:rPr>
              <w:t>Earnings before income taxes and accounting change were as follows:</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500" w:type="dxa"/>
            <w:vAlign w:val="bottom"/>
          </w:tcPr>
          <w:p>
            <w:pPr>
              <w:spacing w:after="0"/>
              <w:rPr>
                <w:sz w:val="24"/>
                <w:szCs w:val="24"/>
                <w:color w:val="auto"/>
              </w:rPr>
            </w:pPr>
          </w:p>
        </w:tc>
        <w:tc>
          <w:tcPr>
            <w:tcW w:w="5620" w:type="dxa"/>
            <w:vAlign w:val="bottom"/>
            <w:tcBorders>
              <w:bottom w:val="single" w:sz="8" w:color="808080"/>
            </w:tcBorders>
            <w:gridSpan w:val="3"/>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620" w:type="dxa"/>
            <w:vAlign w:val="bottom"/>
            <w:gridSpan w:val="3"/>
          </w:tcPr>
          <w:p>
            <w:pPr>
              <w:spacing w:after="0"/>
              <w:rPr>
                <w:sz w:val="20"/>
                <w:szCs w:val="20"/>
                <w:color w:val="auto"/>
              </w:rPr>
            </w:pPr>
            <w:r>
              <w:rPr>
                <w:rFonts w:ascii="Arial" w:cs="Arial" w:eastAsia="Arial" w:hAnsi="Arial"/>
                <w:sz w:val="13"/>
                <w:szCs w:val="13"/>
                <w:color w:val="auto"/>
              </w:rPr>
              <w:t>(Dollars in thousands)</w:t>
            </w:r>
          </w:p>
        </w:tc>
        <w:tc>
          <w:tcPr>
            <w:tcW w:w="800" w:type="dxa"/>
            <w:vAlign w:val="bottom"/>
          </w:tcPr>
          <w:p>
            <w:pPr>
              <w:spacing w:after="0"/>
              <w:rPr>
                <w:sz w:val="20"/>
                <w:szCs w:val="20"/>
                <w:color w:val="auto"/>
              </w:rPr>
            </w:pPr>
          </w:p>
        </w:tc>
        <w:tc>
          <w:tcPr>
            <w:tcW w:w="1200" w:type="dxa"/>
            <w:vAlign w:val="bottom"/>
            <w:vMerge w:val="restart"/>
          </w:tcPr>
          <w:p>
            <w:pPr>
              <w:jc w:val="right"/>
              <w:ind w:right="457"/>
              <w:spacing w:after="0"/>
              <w:rPr>
                <w:sz w:val="20"/>
                <w:szCs w:val="20"/>
                <w:color w:val="auto"/>
              </w:rPr>
            </w:pPr>
            <w:r>
              <w:rPr>
                <w:rFonts w:ascii="Arial" w:cs="Arial" w:eastAsia="Arial" w:hAnsi="Arial"/>
                <w:sz w:val="13"/>
                <w:szCs w:val="13"/>
                <w:b w:val="1"/>
                <w:bCs w:val="1"/>
                <w:color w:val="auto"/>
              </w:rPr>
              <w:t>2004</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5620" w:type="dxa"/>
            <w:vAlign w:val="bottom"/>
            <w:gridSpan w:val="3"/>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3"/>
                <w:szCs w:val="13"/>
                <w:color w:val="auto"/>
              </w:rPr>
              <w:t>2003</w:t>
            </w:r>
          </w:p>
        </w:tc>
        <w:tc>
          <w:tcPr>
            <w:tcW w:w="46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60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Earnings before income taxes and accounting change:</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tcPr>
          <w:p>
            <w:pPr>
              <w:ind w:left="240"/>
              <w:spacing w:after="0"/>
              <w:rPr>
                <w:sz w:val="20"/>
                <w:szCs w:val="20"/>
                <w:color w:val="auto"/>
              </w:rPr>
            </w:pPr>
            <w:r>
              <w:rPr>
                <w:rFonts w:ascii="Arial" w:cs="Arial" w:eastAsia="Arial" w:hAnsi="Arial"/>
                <w:sz w:val="17"/>
                <w:szCs w:val="17"/>
                <w:b w:val="1"/>
                <w:bCs w:val="1"/>
                <w:color w:val="auto"/>
              </w:rPr>
              <w:t>U.S.</w:t>
            </w:r>
          </w:p>
        </w:tc>
        <w:tc>
          <w:tcPr>
            <w:tcW w:w="8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457"/>
              <w:spacing w:after="0"/>
              <w:rPr>
                <w:sz w:val="20"/>
                <w:szCs w:val="20"/>
                <w:color w:val="auto"/>
              </w:rPr>
            </w:pPr>
            <w:r>
              <w:rPr>
                <w:rFonts w:ascii="Arial" w:cs="Arial" w:eastAsia="Arial" w:hAnsi="Arial"/>
                <w:sz w:val="17"/>
                <w:szCs w:val="17"/>
                <w:b w:val="1"/>
                <w:bCs w:val="1"/>
                <w:color w:val="auto"/>
              </w:rPr>
              <w:t>142,982</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57"/>
              <w:spacing w:after="0"/>
              <w:rPr>
                <w:sz w:val="20"/>
                <w:szCs w:val="20"/>
                <w:color w:val="auto"/>
              </w:rPr>
            </w:pPr>
            <w:r>
              <w:rPr>
                <w:rFonts w:ascii="Arial" w:cs="Arial" w:eastAsia="Arial" w:hAnsi="Arial"/>
                <w:sz w:val="17"/>
                <w:szCs w:val="17"/>
                <w:color w:val="auto"/>
              </w:rPr>
              <w:t>116,442</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82,407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0" w:type="dxa"/>
            <w:vAlign w:val="bottom"/>
            <w:gridSpan w:val="2"/>
            <w:shd w:val="clear" w:color="auto" w:fill="EEEEEE"/>
          </w:tcPr>
          <w:p>
            <w:pPr>
              <w:ind w:left="240"/>
              <w:spacing w:after="0"/>
              <w:rPr>
                <w:sz w:val="20"/>
                <w:szCs w:val="20"/>
                <w:color w:val="auto"/>
              </w:rPr>
            </w:pPr>
            <w:r>
              <w:rPr>
                <w:rFonts w:ascii="Arial" w:cs="Arial" w:eastAsia="Arial" w:hAnsi="Arial"/>
                <w:sz w:val="17"/>
                <w:szCs w:val="17"/>
                <w:b w:val="1"/>
                <w:bCs w:val="1"/>
                <w:color w:val="auto"/>
              </w:rPr>
              <w:t>Non-U.S.</w:t>
            </w:r>
          </w:p>
        </w:tc>
        <w:tc>
          <w:tcPr>
            <w:tcW w:w="80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457"/>
              <w:spacing w:after="0"/>
              <w:rPr>
                <w:sz w:val="20"/>
                <w:szCs w:val="20"/>
                <w:color w:val="auto"/>
              </w:rPr>
            </w:pPr>
            <w:r>
              <w:rPr>
                <w:rFonts w:ascii="Arial" w:cs="Arial" w:eastAsia="Arial" w:hAnsi="Arial"/>
                <w:sz w:val="17"/>
                <w:szCs w:val="17"/>
                <w:b w:val="1"/>
                <w:bCs w:val="1"/>
                <w:color w:val="auto"/>
              </w:rPr>
              <w:t>10,251</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57"/>
              <w:spacing w:after="0"/>
              <w:rPr>
                <w:sz w:val="20"/>
                <w:szCs w:val="20"/>
                <w:color w:val="auto"/>
              </w:rPr>
            </w:pPr>
            <w:r>
              <w:rPr>
                <w:rFonts w:ascii="Arial" w:cs="Arial" w:eastAsia="Arial" w:hAnsi="Arial"/>
                <w:sz w:val="17"/>
                <w:szCs w:val="17"/>
                <w:color w:val="auto"/>
              </w:rPr>
              <w:t>4,476</w:t>
            </w:r>
          </w:p>
        </w:tc>
        <w:tc>
          <w:tcPr>
            <w:tcW w:w="46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4,392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gridSpan w:val="3"/>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562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8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457"/>
              <w:spacing w:after="0"/>
              <w:rPr>
                <w:sz w:val="20"/>
                <w:szCs w:val="20"/>
                <w:color w:val="auto"/>
              </w:rPr>
            </w:pPr>
            <w:r>
              <w:rPr>
                <w:rFonts w:ascii="Arial" w:cs="Arial" w:eastAsia="Arial" w:hAnsi="Arial"/>
                <w:sz w:val="17"/>
                <w:szCs w:val="17"/>
                <w:b w:val="1"/>
                <w:bCs w:val="1"/>
                <w:color w:val="auto"/>
              </w:rPr>
              <w:t>153,233</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57"/>
              <w:spacing w:after="0"/>
              <w:rPr>
                <w:sz w:val="20"/>
                <w:szCs w:val="20"/>
                <w:color w:val="auto"/>
              </w:rPr>
            </w:pPr>
            <w:r>
              <w:rPr>
                <w:rFonts w:ascii="Arial" w:cs="Arial" w:eastAsia="Arial" w:hAnsi="Arial"/>
                <w:sz w:val="17"/>
                <w:szCs w:val="17"/>
                <w:color w:val="auto"/>
              </w:rPr>
              <w:t>120,918</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86,799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69215</wp:posOffset>
            </wp:positionV>
            <wp:extent cx="6518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tax effects of temporary differences that give rise to the net deferred income tax assets (liabilities)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217170</wp:posOffset>
            </wp:positionV>
            <wp:extent cx="49307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30775" cy="8255"/>
                    </a:xfrm>
                    <a:prstGeom prst="rect">
                      <a:avLst/>
                    </a:prstGeom>
                    <a:noFill/>
                  </pic:spPr>
                </pic:pic>
              </a:graphicData>
            </a:graphic>
          </wp:anchor>
        </w:drawing>
      </w:r>
    </w:p>
    <w:p>
      <w:pPr>
        <w:sectPr>
          <w:pgSz w:w="11900" w:h="16838" w:orient="portrait"/>
          <w:cols w:equalWidth="0" w:num="1">
            <w:col w:w="11400"/>
          </w:cols>
          <w:pgMar w:left="240" w:top="413" w:right="259" w:bottom="0" w:gutter="0" w:footer="0" w:header="0"/>
        </w:sectPr>
      </w:pPr>
    </w:p>
    <w:p>
      <w:pPr>
        <w:spacing w:after="0" w:line="200" w:lineRule="exact"/>
        <w:rPr>
          <w:sz w:val="20"/>
          <w:szCs w:val="20"/>
          <w:color w:val="auto"/>
        </w:rPr>
      </w:pPr>
    </w:p>
    <w:p>
      <w:pPr>
        <w:spacing w:after="0" w:line="24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900" w:type="dxa"/>
            <w:vAlign w:val="bottom"/>
          </w:tcPr>
          <w:p>
            <w:pPr>
              <w:spacing w:after="0"/>
              <w:rPr>
                <w:sz w:val="20"/>
                <w:szCs w:val="20"/>
                <w:color w:val="auto"/>
              </w:rPr>
            </w:pPr>
            <w:r>
              <w:rPr>
                <w:rFonts w:ascii="Arial" w:cs="Arial" w:eastAsia="Arial" w:hAnsi="Arial"/>
                <w:sz w:val="13"/>
                <w:szCs w:val="13"/>
                <w:color w:val="auto"/>
              </w:rPr>
              <w:t>(Dollars in thousands)</w:t>
            </w:r>
          </w:p>
        </w:tc>
        <w:tc>
          <w:tcPr>
            <w:tcW w:w="310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auto"/>
              </w:rPr>
              <w:t>2004</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310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2003</w:t>
            </w:r>
          </w:p>
        </w:tc>
        <w:tc>
          <w:tcPr>
            <w:tcW w:w="0" w:type="dxa"/>
            <w:vAlign w:val="bottom"/>
          </w:tcPr>
          <w:p>
            <w:pPr>
              <w:spacing w:after="0"/>
              <w:rPr>
                <w:sz w:val="1"/>
                <w:szCs w:val="1"/>
                <w:color w:val="auto"/>
              </w:rPr>
            </w:pPr>
          </w:p>
        </w:tc>
      </w:tr>
    </w:tbl>
    <w:p>
      <w:pPr>
        <w:sectPr>
          <w:pgSz w:w="11900" w:h="16838" w:orient="portrait"/>
          <w:cols w:equalWidth="0" w:num="1">
            <w:col w:w="11400"/>
          </w:cols>
          <w:pgMar w:left="240" w:top="413" w:right="259" w:bottom="0" w:gutter="0" w:footer="0" w:header="0"/>
          <w:type w:val="continuous"/>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1248410</wp:posOffset>
            </wp:positionH>
            <wp:positionV relativeFrom="page">
              <wp:posOffset>88900</wp:posOffset>
            </wp:positionV>
            <wp:extent cx="49307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30775" cy="8255"/>
                    </a:xfrm>
                    <a:prstGeom prst="rect">
                      <a:avLst/>
                    </a:prstGeom>
                    <a:noFill/>
                  </pic:spPr>
                </pic:pic>
              </a:graphicData>
            </a:graphic>
          </wp:anchor>
        </w:drawing>
      </w:r>
    </w:p>
    <w:tbl>
      <w:tblPr>
        <w:tblLayout w:type="fixed"/>
        <w:tblInd w:w="17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Allowance for doubtful accounts</w:t>
            </w:r>
          </w:p>
        </w:tc>
        <w:tc>
          <w:tcPr>
            <w:tcW w:w="18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7"/>
                <w:szCs w:val="17"/>
                <w:b w:val="1"/>
                <w:bCs w:val="1"/>
                <w:color w:val="auto"/>
              </w:rPr>
              <w:t>1,697</w:t>
            </w: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54"/>
              <w:spacing w:after="0"/>
              <w:rPr>
                <w:sz w:val="20"/>
                <w:szCs w:val="20"/>
                <w:color w:val="auto"/>
              </w:rPr>
            </w:pPr>
            <w:r>
              <w:rPr>
                <w:rFonts w:ascii="Arial" w:cs="Arial" w:eastAsia="Arial" w:hAnsi="Arial"/>
                <w:sz w:val="17"/>
                <w:szCs w:val="17"/>
                <w:color w:val="auto"/>
              </w:rPr>
              <w:t>3,043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Inventory items</w:t>
            </w:r>
          </w:p>
        </w:tc>
        <w:tc>
          <w:tcPr>
            <w:tcW w:w="18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7"/>
                <w:szCs w:val="17"/>
                <w:b w:val="1"/>
                <w:bCs w:val="1"/>
                <w:color w:val="auto"/>
              </w:rPr>
              <w:t>(1,062)</w:t>
            </w:r>
          </w:p>
        </w:tc>
        <w:tc>
          <w:tcPr>
            <w:tcW w:w="42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Depreciation</w:t>
            </w:r>
          </w:p>
        </w:tc>
        <w:tc>
          <w:tcPr>
            <w:tcW w:w="18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7"/>
                <w:szCs w:val="17"/>
                <w:b w:val="1"/>
                <w:bCs w:val="1"/>
                <w:color w:val="auto"/>
              </w:rPr>
              <w:t>(3,837)</w:t>
            </w: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Warranty reserves</w:t>
            </w:r>
          </w:p>
        </w:tc>
        <w:tc>
          <w:tcPr>
            <w:tcW w:w="184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b w:val="1"/>
                <w:bCs w:val="1"/>
                <w:color w:val="auto"/>
              </w:rPr>
              <w:t>4,885</w:t>
            </w:r>
          </w:p>
        </w:tc>
        <w:tc>
          <w:tcPr>
            <w:tcW w:w="42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5,030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Employee benefits</w:t>
            </w:r>
          </w:p>
        </w:tc>
        <w:tc>
          <w:tcPr>
            <w:tcW w:w="18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7"/>
                <w:szCs w:val="17"/>
                <w:b w:val="1"/>
                <w:bCs w:val="1"/>
                <w:color w:val="auto"/>
              </w:rPr>
              <w:t>16,773</w:t>
            </w: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54"/>
              <w:spacing w:after="0"/>
              <w:rPr>
                <w:sz w:val="20"/>
                <w:szCs w:val="20"/>
                <w:color w:val="auto"/>
              </w:rPr>
            </w:pPr>
            <w:r>
              <w:rPr>
                <w:rFonts w:ascii="Arial" w:cs="Arial" w:eastAsia="Arial" w:hAnsi="Arial"/>
                <w:sz w:val="17"/>
                <w:szCs w:val="17"/>
                <w:color w:val="auto"/>
              </w:rPr>
              <w:t>14,269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b w:val="1"/>
                <w:bCs w:val="1"/>
                <w:color w:val="auto"/>
              </w:rPr>
              <w:t>Other accruals not yet deductible</w:t>
            </w:r>
          </w:p>
        </w:tc>
        <w:tc>
          <w:tcPr>
            <w:tcW w:w="1840" w:type="dxa"/>
            <w:vAlign w:val="bottom"/>
          </w:tcPr>
          <w:p>
            <w:pPr>
              <w:spacing w:after="0"/>
              <w:rPr>
                <w:sz w:val="19"/>
                <w:szCs w:val="19"/>
                <w:color w:val="auto"/>
              </w:rPr>
            </w:pPr>
          </w:p>
        </w:tc>
        <w:tc>
          <w:tcPr>
            <w:tcW w:w="880" w:type="dxa"/>
            <w:vAlign w:val="bottom"/>
          </w:tcPr>
          <w:p>
            <w:pPr>
              <w:jc w:val="right"/>
              <w:ind w:right="194"/>
              <w:spacing w:after="0"/>
              <w:rPr>
                <w:sz w:val="20"/>
                <w:szCs w:val="20"/>
                <w:color w:val="auto"/>
              </w:rPr>
            </w:pPr>
            <w:r>
              <w:rPr>
                <w:rFonts w:ascii="Arial" w:cs="Arial" w:eastAsia="Arial" w:hAnsi="Arial"/>
                <w:sz w:val="17"/>
                <w:szCs w:val="17"/>
                <w:b w:val="1"/>
                <w:bCs w:val="1"/>
                <w:color w:val="auto"/>
              </w:rPr>
              <w:t>22,259</w:t>
            </w:r>
          </w:p>
        </w:tc>
        <w:tc>
          <w:tcPr>
            <w:tcW w:w="42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18,617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Deferred income tax assets, net</w:t>
            </w:r>
          </w:p>
        </w:tc>
        <w:tc>
          <w:tcPr>
            <w:tcW w:w="18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7"/>
                <w:szCs w:val="17"/>
                <w:b w:val="1"/>
                <w:bCs w:val="1"/>
                <w:color w:val="auto"/>
              </w:rPr>
              <w:t>40,715</w:t>
            </w:r>
          </w:p>
        </w:tc>
        <w:tc>
          <w:tcPr>
            <w:tcW w:w="42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54"/>
              <w:spacing w:after="0"/>
              <w:rPr>
                <w:sz w:val="20"/>
                <w:szCs w:val="20"/>
                <w:color w:val="auto"/>
              </w:rPr>
            </w:pPr>
            <w:r>
              <w:rPr>
                <w:rFonts w:ascii="Arial" w:cs="Arial" w:eastAsia="Arial" w:hAnsi="Arial"/>
                <w:sz w:val="17"/>
                <w:szCs w:val="17"/>
                <w:color w:val="auto"/>
              </w:rPr>
              <w:t>43,292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0" w:firstLine="86"/>
        <w:spacing w:after="0" w:line="298" w:lineRule="auto"/>
        <w:rPr>
          <w:sz w:val="20"/>
          <w:szCs w:val="20"/>
          <w:color w:val="auto"/>
        </w:rPr>
      </w:pPr>
      <w:r>
        <w:rPr>
          <w:rFonts w:ascii="Arial" w:cs="Arial" w:eastAsia="Arial" w:hAnsi="Arial"/>
          <w:sz w:val="15"/>
          <w:szCs w:val="15"/>
          <w:color w:val="auto"/>
        </w:rPr>
        <w:t>During the fiscal years ended October 31, 2004, 2003, and 2002, respectively, $9,857,000, $2,642,000, and $1,580,000 was added to additional paid-in capital in accordance with APB No. 25 reflecting the permanent book to tax difference in accounting for tax benefits related to employee stock option transactions.</w:t>
      </w:r>
    </w:p>
    <w:p>
      <w:pPr>
        <w:spacing w:after="0" w:line="1" w:lineRule="exact"/>
        <w:rPr>
          <w:sz w:val="20"/>
          <w:szCs w:val="20"/>
          <w:color w:val="auto"/>
        </w:rPr>
      </w:pPr>
    </w:p>
    <w:p>
      <w:pPr>
        <w:ind w:firstLine="77"/>
        <w:spacing w:after="0" w:line="279" w:lineRule="auto"/>
        <w:rPr>
          <w:sz w:val="20"/>
          <w:szCs w:val="20"/>
          <w:color w:val="auto"/>
        </w:rPr>
      </w:pPr>
      <w:r>
        <w:rPr>
          <w:rFonts w:ascii="Arial" w:cs="Arial" w:eastAsia="Arial" w:hAnsi="Arial"/>
          <w:sz w:val="17"/>
          <w:szCs w:val="17"/>
          <w:color w:val="auto"/>
        </w:rPr>
        <w:t>As of October 31, 2004, the company had approximately $16.8 million of accumulated undistributed earnings of subsidiaries outside of the United States that are considered to be reinvested indefinitely. No deferred tax liability has been provided for such earnings.</w:t>
      </w:r>
    </w:p>
    <w:p>
      <w:pPr>
        <w:spacing w:after="0" w:line="17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2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64" w:lineRule="exact"/>
        <w:rPr>
          <w:sz w:val="20"/>
          <w:szCs w:val="20"/>
          <w:color w:val="auto"/>
        </w:rPr>
      </w:pPr>
    </w:p>
    <w:p>
      <w:pPr>
        <w:spacing w:after="0"/>
        <w:tabs>
          <w:tab w:leader="none" w:pos="920" w:val="left"/>
        </w:tabs>
        <w:rPr>
          <w:sz w:val="20"/>
          <w:szCs w:val="20"/>
          <w:color w:val="auto"/>
        </w:rPr>
      </w:pPr>
      <w:r>
        <w:rPr>
          <w:rFonts w:ascii="Arial" w:cs="Arial" w:eastAsia="Arial" w:hAnsi="Arial"/>
          <w:sz w:val="42"/>
          <w:szCs w:val="42"/>
          <w:b w:val="1"/>
          <w:bCs w:val="1"/>
          <w:color w:val="auto"/>
        </w:rPr>
        <w:t>10</w:t>
      </w:r>
      <w:r>
        <w:rPr>
          <w:sz w:val="20"/>
          <w:szCs w:val="20"/>
          <w:color w:val="auto"/>
        </w:rPr>
        <w:tab/>
      </w:r>
      <w:r>
        <w:rPr>
          <w:rFonts w:ascii="Arial" w:cs="Arial" w:eastAsia="Arial" w:hAnsi="Arial"/>
          <w:sz w:val="21"/>
          <w:szCs w:val="21"/>
          <w:b w:val="1"/>
          <w:bCs w:val="1"/>
          <w:color w:val="auto"/>
        </w:rPr>
        <w:t>STOCK-BASED COMPENSATION PLANS</w:t>
      </w:r>
    </w:p>
    <w:p>
      <w:pPr>
        <w:spacing w:after="0" w:line="200" w:lineRule="exact"/>
        <w:rPr>
          <w:sz w:val="20"/>
          <w:szCs w:val="20"/>
          <w:color w:val="auto"/>
        </w:rPr>
      </w:pPr>
    </w:p>
    <w:p>
      <w:pPr>
        <w:spacing w:after="0" w:line="26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Under the company’s stock option plans, certain employees and non-employee directors have been granted options to purchase shares of common stock at prices equal to fair market value of the company’s common stock on the date the option was granted. Options granted through fiscal 2004 are generally exercisable immediately or become exercisable over three years, and expire five to ten years after the date of grant.</w:t>
      </w:r>
    </w:p>
    <w:p>
      <w:pPr>
        <w:spacing w:after="0" w:line="180" w:lineRule="exact"/>
        <w:rPr>
          <w:sz w:val="20"/>
          <w:szCs w:val="20"/>
          <w:color w:val="auto"/>
        </w:rPr>
      </w:pPr>
    </w:p>
    <w:p>
      <w:pPr>
        <w:ind w:right="140" w:firstLine="86"/>
        <w:spacing w:after="0" w:line="296" w:lineRule="auto"/>
        <w:rPr>
          <w:sz w:val="20"/>
          <w:szCs w:val="20"/>
          <w:color w:val="auto"/>
        </w:rPr>
      </w:pPr>
      <w:r>
        <w:rPr>
          <w:rFonts w:ascii="Arial" w:cs="Arial" w:eastAsia="Arial" w:hAnsi="Arial"/>
          <w:sz w:val="15"/>
          <w:szCs w:val="15"/>
          <w:color w:val="auto"/>
        </w:rPr>
        <w:t>Under The Toro Company 2000 Stock Option Plan, 3,000,000 shares are authorized for issuance; under The Toro Company 1993 Stock Option Plan, 3,200,000 shares are authorized for issuance; under The Toro Company Directors Stock Plan, 130,000 shares are authorized for issuance; and under The Toro Company 2000 Directors Stock Plan, 240,000 shares are authorized for issuance. As of October 31, 2004, 628,261 shares were available for future grants under The Toro Company 2000 Stock Option Plan, 9,882 shares were available for future grants under The Toro Company Directors Stock Plan, and 120,000 shares were available for future grants under The Toro Company 2000 Directors Stock Plan. There were no shares available for future grants under The Toro Company 1993 Stock Option Plan.</w:t>
      </w:r>
    </w:p>
    <w:p>
      <w:pPr>
        <w:ind w:left="80"/>
        <w:spacing w:after="0"/>
        <w:rPr>
          <w:sz w:val="20"/>
          <w:szCs w:val="20"/>
          <w:color w:val="auto"/>
        </w:rPr>
      </w:pPr>
      <w:r>
        <w:rPr>
          <w:rFonts w:ascii="Arial" w:cs="Arial" w:eastAsia="Arial" w:hAnsi="Arial"/>
          <w:sz w:val="17"/>
          <w:szCs w:val="17"/>
          <w:color w:val="auto"/>
        </w:rPr>
        <w:t>A summary of stock option activity under the plans previously described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586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340"/>
              <w:spacing w:after="0" w:line="146" w:lineRule="exact"/>
              <w:rPr>
                <w:sz w:val="20"/>
                <w:szCs w:val="20"/>
                <w:color w:val="auto"/>
              </w:rPr>
            </w:pPr>
            <w:r>
              <w:rPr>
                <w:rFonts w:ascii="Arial" w:cs="Arial" w:eastAsia="Arial" w:hAnsi="Arial"/>
                <w:sz w:val="13"/>
                <w:szCs w:val="13"/>
                <w:color w:val="auto"/>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760" w:type="dxa"/>
            <w:vAlign w:val="bottom"/>
          </w:tcPr>
          <w:p>
            <w:pPr>
              <w:jc w:val="right"/>
              <w:ind w:right="316"/>
              <w:spacing w:after="0" w:line="146" w:lineRule="exact"/>
              <w:rPr>
                <w:sz w:val="20"/>
                <w:szCs w:val="20"/>
                <w:color w:val="auto"/>
              </w:rPr>
            </w:pPr>
            <w:r>
              <w:rPr>
                <w:rFonts w:ascii="Arial" w:cs="Arial" w:eastAsia="Arial" w:hAnsi="Arial"/>
                <w:sz w:val="13"/>
                <w:szCs w:val="13"/>
                <w:color w:val="auto"/>
              </w:rPr>
              <w:t>Options</w:t>
            </w:r>
          </w:p>
        </w:tc>
        <w:tc>
          <w:tcPr>
            <w:tcW w:w="560" w:type="dxa"/>
            <w:vAlign w:val="bottom"/>
          </w:tcPr>
          <w:p>
            <w:pPr>
              <w:spacing w:after="0"/>
              <w:rPr>
                <w:sz w:val="12"/>
                <w:szCs w:val="12"/>
                <w:color w:val="auto"/>
              </w:rPr>
            </w:pPr>
          </w:p>
        </w:tc>
        <w:tc>
          <w:tcPr>
            <w:tcW w:w="960" w:type="dxa"/>
            <w:vAlign w:val="bottom"/>
            <w:gridSpan w:val="2"/>
          </w:tcPr>
          <w:p>
            <w:pPr>
              <w:jc w:val="right"/>
              <w:ind w:right="340"/>
              <w:spacing w:after="0" w:line="146" w:lineRule="exact"/>
              <w:rPr>
                <w:sz w:val="20"/>
                <w:szCs w:val="20"/>
                <w:color w:val="auto"/>
              </w:rPr>
            </w:pPr>
            <w:r>
              <w:rPr>
                <w:rFonts w:ascii="Arial" w:cs="Arial" w:eastAsia="Arial" w:hAnsi="Arial"/>
                <w:sz w:val="13"/>
                <w:szCs w:val="13"/>
                <w:color w:val="auto"/>
              </w:rPr>
              <w:t>exercise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760" w:type="dxa"/>
            <w:vAlign w:val="bottom"/>
          </w:tcPr>
          <w:p>
            <w:pPr>
              <w:jc w:val="right"/>
              <w:ind w:right="316"/>
              <w:spacing w:after="0"/>
              <w:rPr>
                <w:sz w:val="20"/>
                <w:szCs w:val="20"/>
                <w:color w:val="auto"/>
              </w:rPr>
            </w:pPr>
            <w:r>
              <w:rPr>
                <w:rFonts w:ascii="Arial" w:cs="Arial" w:eastAsia="Arial" w:hAnsi="Arial"/>
                <w:sz w:val="13"/>
                <w:szCs w:val="13"/>
                <w:color w:val="auto"/>
              </w:rPr>
              <w:t>Outstanding</w:t>
            </w:r>
          </w:p>
        </w:tc>
        <w:tc>
          <w:tcPr>
            <w:tcW w:w="5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price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2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2002</w:t>
            </w:r>
          </w:p>
        </w:tc>
        <w:tc>
          <w:tcPr>
            <w:tcW w:w="27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Outstanding as of the beginning of the year</w:t>
            </w:r>
          </w:p>
        </w:tc>
        <w:tc>
          <w:tcPr>
            <w:tcW w:w="2760" w:type="dxa"/>
            <w:vAlign w:val="bottom"/>
          </w:tcPr>
          <w:p>
            <w:pPr>
              <w:jc w:val="right"/>
              <w:ind w:right="316"/>
              <w:spacing w:after="0"/>
              <w:rPr>
                <w:sz w:val="20"/>
                <w:szCs w:val="20"/>
                <w:color w:val="auto"/>
              </w:rPr>
            </w:pPr>
            <w:r>
              <w:rPr>
                <w:rFonts w:ascii="Arial" w:cs="Arial" w:eastAsia="Arial" w:hAnsi="Arial"/>
                <w:sz w:val="17"/>
                <w:szCs w:val="17"/>
                <w:color w:val="auto"/>
              </w:rPr>
              <w:t>2,205,786</w:t>
            </w:r>
          </w:p>
        </w:tc>
        <w:tc>
          <w:tcPr>
            <w:tcW w:w="5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16.84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Granted</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color w:val="auto"/>
              </w:rPr>
              <w:t>659,548</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23.56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Exercised</w:t>
            </w:r>
          </w:p>
        </w:tc>
        <w:tc>
          <w:tcPr>
            <w:tcW w:w="2760" w:type="dxa"/>
            <w:vAlign w:val="bottom"/>
          </w:tcPr>
          <w:p>
            <w:pPr>
              <w:jc w:val="right"/>
              <w:ind w:right="256"/>
              <w:spacing w:after="0"/>
              <w:rPr>
                <w:sz w:val="20"/>
                <w:szCs w:val="20"/>
                <w:color w:val="auto"/>
              </w:rPr>
            </w:pPr>
            <w:r>
              <w:rPr>
                <w:rFonts w:ascii="Arial" w:cs="Arial" w:eastAsia="Arial" w:hAnsi="Arial"/>
                <w:sz w:val="17"/>
                <w:szCs w:val="17"/>
                <w:color w:val="auto"/>
              </w:rPr>
              <w:t>(653,530)</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19.54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Cancelled</w:t>
            </w:r>
          </w:p>
        </w:tc>
        <w:tc>
          <w:tcPr>
            <w:tcW w:w="276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(52,000)</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15.97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840" w:type="dxa"/>
            <w:vAlign w:val="bottom"/>
            <w:gridSpan w:val="2"/>
          </w:tcPr>
          <w:p>
            <w:pPr>
              <w:spacing w:after="0"/>
              <w:rPr>
                <w:sz w:val="20"/>
                <w:szCs w:val="20"/>
                <w:color w:val="auto"/>
              </w:rPr>
            </w:pPr>
            <w:r>
              <w:rPr>
                <w:rFonts w:ascii="Arial" w:cs="Arial" w:eastAsia="Arial" w:hAnsi="Arial"/>
                <w:sz w:val="17"/>
                <w:szCs w:val="17"/>
                <w:color w:val="auto"/>
              </w:rPr>
              <w:t>Outstanding as of October 31, 2002</w:t>
            </w:r>
          </w:p>
        </w:tc>
        <w:tc>
          <w:tcPr>
            <w:tcW w:w="2760" w:type="dxa"/>
            <w:vAlign w:val="bottom"/>
          </w:tcPr>
          <w:p>
            <w:pPr>
              <w:jc w:val="right"/>
              <w:ind w:right="316"/>
              <w:spacing w:after="0"/>
              <w:rPr>
                <w:sz w:val="20"/>
                <w:szCs w:val="20"/>
                <w:color w:val="auto"/>
              </w:rPr>
            </w:pPr>
            <w:r>
              <w:rPr>
                <w:rFonts w:ascii="Arial" w:cs="Arial" w:eastAsia="Arial" w:hAnsi="Arial"/>
                <w:sz w:val="17"/>
                <w:szCs w:val="17"/>
                <w:color w:val="auto"/>
              </w:rPr>
              <w:t>2,159,804</w:t>
            </w:r>
          </w:p>
        </w:tc>
        <w:tc>
          <w:tcPr>
            <w:tcW w:w="5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18.10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Exercisable as of October 31, 2002</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color w:val="auto"/>
              </w:rPr>
              <w:t>1,591,804</w:t>
            </w:r>
          </w:p>
        </w:tc>
        <w:tc>
          <w:tcPr>
            <w:tcW w:w="5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18.60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808080"/>
            </w:tcBorders>
          </w:tcPr>
          <w:p>
            <w:pPr>
              <w:spacing w:after="0"/>
              <w:rPr>
                <w:sz w:val="17"/>
                <w:szCs w:val="17"/>
                <w:color w:val="auto"/>
              </w:rPr>
            </w:pPr>
          </w:p>
        </w:tc>
        <w:tc>
          <w:tcPr>
            <w:tcW w:w="276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4840" w:type="dxa"/>
            <w:vAlign w:val="bottom"/>
            <w:gridSpan w:val="2"/>
          </w:tcPr>
          <w:p>
            <w:pPr>
              <w:spacing w:after="0"/>
              <w:rPr>
                <w:sz w:val="20"/>
                <w:szCs w:val="20"/>
                <w:color w:val="auto"/>
              </w:rPr>
            </w:pPr>
            <w:r>
              <w:rPr>
                <w:rFonts w:ascii="Arial" w:cs="Arial" w:eastAsia="Arial" w:hAnsi="Arial"/>
                <w:sz w:val="17"/>
                <w:szCs w:val="17"/>
                <w:color w:val="auto"/>
              </w:rPr>
              <w:t>2003</w:t>
            </w: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Outstanding as of the beginning of the year</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color w:val="auto"/>
              </w:rPr>
              <w:t>2,159,804</w:t>
            </w:r>
          </w:p>
        </w:tc>
        <w:tc>
          <w:tcPr>
            <w:tcW w:w="5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18.10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Granted</w:t>
            </w:r>
          </w:p>
        </w:tc>
        <w:tc>
          <w:tcPr>
            <w:tcW w:w="2760" w:type="dxa"/>
            <w:vAlign w:val="bottom"/>
          </w:tcPr>
          <w:p>
            <w:pPr>
              <w:jc w:val="right"/>
              <w:ind w:right="316"/>
              <w:spacing w:after="0"/>
              <w:rPr>
                <w:sz w:val="20"/>
                <w:szCs w:val="20"/>
                <w:color w:val="auto"/>
              </w:rPr>
            </w:pPr>
            <w:r>
              <w:rPr>
                <w:rFonts w:ascii="Arial" w:cs="Arial" w:eastAsia="Arial" w:hAnsi="Arial"/>
                <w:sz w:val="17"/>
                <w:szCs w:val="17"/>
                <w:color w:val="auto"/>
              </w:rPr>
              <w:t>553,000</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Exercised</w:t>
            </w:r>
          </w:p>
        </w:tc>
        <w:tc>
          <w:tcPr>
            <w:tcW w:w="276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(442,744)</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19.70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Cancelled</w:t>
            </w:r>
          </w:p>
        </w:tc>
        <w:tc>
          <w:tcPr>
            <w:tcW w:w="2760" w:type="dxa"/>
            <w:vAlign w:val="bottom"/>
          </w:tcPr>
          <w:p>
            <w:pPr>
              <w:jc w:val="right"/>
              <w:ind w:right="256"/>
              <w:spacing w:after="0"/>
              <w:rPr>
                <w:sz w:val="20"/>
                <w:szCs w:val="20"/>
                <w:color w:val="auto"/>
              </w:rPr>
            </w:pPr>
            <w:r>
              <w:rPr>
                <w:rFonts w:ascii="Arial" w:cs="Arial" w:eastAsia="Arial" w:hAnsi="Arial"/>
                <w:sz w:val="17"/>
                <w:szCs w:val="17"/>
                <w:color w:val="auto"/>
              </w:rPr>
              <w:t>(32,000)</w:t>
            </w:r>
          </w:p>
        </w:tc>
        <w:tc>
          <w:tcPr>
            <w:tcW w:w="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2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color w:val="auto"/>
              </w:rPr>
              <w:t>Outstanding as of October 31, 2003</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color w:val="auto"/>
              </w:rPr>
              <w:t>2,238,060</w:t>
            </w:r>
          </w:p>
        </w:tc>
        <w:tc>
          <w:tcPr>
            <w:tcW w:w="5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21.30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840" w:type="dxa"/>
            <w:vAlign w:val="bottom"/>
            <w:gridSpan w:val="2"/>
          </w:tcPr>
          <w:p>
            <w:pPr>
              <w:spacing w:after="0"/>
              <w:rPr>
                <w:sz w:val="20"/>
                <w:szCs w:val="20"/>
                <w:color w:val="auto"/>
              </w:rPr>
            </w:pPr>
            <w:r>
              <w:rPr>
                <w:rFonts w:ascii="Arial" w:cs="Arial" w:eastAsia="Arial" w:hAnsi="Arial"/>
                <w:sz w:val="17"/>
                <w:szCs w:val="17"/>
                <w:color w:val="auto"/>
              </w:rPr>
              <w:t>Exercisable as of October 31, 2003</w:t>
            </w:r>
          </w:p>
        </w:tc>
        <w:tc>
          <w:tcPr>
            <w:tcW w:w="2760" w:type="dxa"/>
            <w:vAlign w:val="bottom"/>
          </w:tcPr>
          <w:p>
            <w:pPr>
              <w:jc w:val="right"/>
              <w:ind w:right="316"/>
              <w:spacing w:after="0"/>
              <w:rPr>
                <w:sz w:val="20"/>
                <w:szCs w:val="20"/>
                <w:color w:val="auto"/>
              </w:rPr>
            </w:pPr>
            <w:r>
              <w:rPr>
                <w:rFonts w:ascii="Arial" w:cs="Arial" w:eastAsia="Arial" w:hAnsi="Arial"/>
                <w:sz w:val="17"/>
                <w:szCs w:val="17"/>
                <w:color w:val="auto"/>
              </w:rPr>
              <w:t>1,702,060</w:t>
            </w:r>
          </w:p>
        </w:tc>
        <w:tc>
          <w:tcPr>
            <w:tcW w:w="5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22.77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bottom w:val="single" w:sz="8" w:color="808080"/>
            </w:tcBorders>
          </w:tcPr>
          <w:p>
            <w:pPr>
              <w:spacing w:after="0"/>
              <w:rPr>
                <w:sz w:val="17"/>
                <w:szCs w:val="17"/>
                <w:color w:val="auto"/>
              </w:rPr>
            </w:pPr>
          </w:p>
        </w:tc>
        <w:tc>
          <w:tcPr>
            <w:tcW w:w="276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64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2004</w:t>
            </w:r>
          </w:p>
        </w:tc>
        <w:tc>
          <w:tcPr>
            <w:tcW w:w="27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Outstanding as of the beginning of the year</w:t>
            </w:r>
          </w:p>
        </w:tc>
        <w:tc>
          <w:tcPr>
            <w:tcW w:w="2760" w:type="dxa"/>
            <w:vAlign w:val="bottom"/>
          </w:tcPr>
          <w:p>
            <w:pPr>
              <w:jc w:val="right"/>
              <w:ind w:right="316"/>
              <w:spacing w:after="0"/>
              <w:rPr>
                <w:sz w:val="20"/>
                <w:szCs w:val="20"/>
                <w:color w:val="auto"/>
              </w:rPr>
            </w:pPr>
            <w:r>
              <w:rPr>
                <w:rFonts w:ascii="Arial" w:cs="Arial" w:eastAsia="Arial" w:hAnsi="Arial"/>
                <w:sz w:val="17"/>
                <w:szCs w:val="17"/>
                <w:b w:val="1"/>
                <w:bCs w:val="1"/>
                <w:color w:val="auto"/>
              </w:rPr>
              <w:t>2,238,060</w:t>
            </w:r>
          </w:p>
        </w:tc>
        <w:tc>
          <w:tcPr>
            <w:tcW w:w="5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21.30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Granted</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b w:val="1"/>
                <w:bCs w:val="1"/>
                <w:color w:val="auto"/>
              </w:rPr>
              <w:t>332,800</w:t>
            </w:r>
          </w:p>
        </w:tc>
        <w:tc>
          <w:tcPr>
            <w:tcW w:w="56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48.46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Exercised</w:t>
            </w:r>
          </w:p>
        </w:tc>
        <w:tc>
          <w:tcPr>
            <w:tcW w:w="2760" w:type="dxa"/>
            <w:vAlign w:val="bottom"/>
          </w:tcPr>
          <w:p>
            <w:pPr>
              <w:jc w:val="right"/>
              <w:ind w:right="256"/>
              <w:spacing w:after="0"/>
              <w:rPr>
                <w:sz w:val="20"/>
                <w:szCs w:val="20"/>
                <w:color w:val="auto"/>
              </w:rPr>
            </w:pPr>
            <w:r>
              <w:rPr>
                <w:rFonts w:ascii="Arial" w:cs="Arial" w:eastAsia="Arial" w:hAnsi="Arial"/>
                <w:sz w:val="17"/>
                <w:szCs w:val="17"/>
                <w:b w:val="1"/>
                <w:bCs w:val="1"/>
                <w:color w:val="auto"/>
              </w:rPr>
              <w:t>(733,453)</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19.26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2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Outstanding as of October 31, 2004</w:t>
            </w:r>
          </w:p>
        </w:tc>
        <w:tc>
          <w:tcPr>
            <w:tcW w:w="2760" w:type="dxa"/>
            <w:vAlign w:val="bottom"/>
            <w:shd w:val="clear" w:color="auto" w:fill="EEEEEE"/>
          </w:tcPr>
          <w:p>
            <w:pPr>
              <w:jc w:val="right"/>
              <w:ind w:right="316"/>
              <w:spacing w:after="0"/>
              <w:rPr>
                <w:sz w:val="20"/>
                <w:szCs w:val="20"/>
                <w:color w:val="auto"/>
              </w:rPr>
            </w:pPr>
            <w:r>
              <w:rPr>
                <w:rFonts w:ascii="Arial" w:cs="Arial" w:eastAsia="Arial" w:hAnsi="Arial"/>
                <w:sz w:val="17"/>
                <w:szCs w:val="17"/>
                <w:b w:val="1"/>
                <w:bCs w:val="1"/>
                <w:color w:val="auto"/>
              </w:rPr>
              <w:t>1,837,407</w:t>
            </w:r>
          </w:p>
        </w:tc>
        <w:tc>
          <w:tcPr>
            <w:tcW w:w="56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27.04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840" w:type="dxa"/>
            <w:vAlign w:val="bottom"/>
            <w:gridSpan w:val="2"/>
          </w:tcPr>
          <w:p>
            <w:pPr>
              <w:spacing w:after="0"/>
              <w:rPr>
                <w:sz w:val="20"/>
                <w:szCs w:val="20"/>
                <w:color w:val="auto"/>
              </w:rPr>
            </w:pPr>
            <w:r>
              <w:rPr>
                <w:rFonts w:ascii="Arial" w:cs="Arial" w:eastAsia="Arial" w:hAnsi="Arial"/>
                <w:sz w:val="17"/>
                <w:szCs w:val="17"/>
                <w:b w:val="1"/>
                <w:bCs w:val="1"/>
                <w:color w:val="auto"/>
              </w:rPr>
              <w:t>Exercisable as of October 31, 2004</w:t>
            </w:r>
          </w:p>
        </w:tc>
        <w:tc>
          <w:tcPr>
            <w:tcW w:w="2760" w:type="dxa"/>
            <w:vAlign w:val="bottom"/>
          </w:tcPr>
          <w:p>
            <w:pPr>
              <w:jc w:val="right"/>
              <w:ind w:right="316"/>
              <w:spacing w:after="0"/>
              <w:rPr>
                <w:sz w:val="20"/>
                <w:szCs w:val="20"/>
                <w:color w:val="auto"/>
              </w:rPr>
            </w:pPr>
            <w:r>
              <w:rPr>
                <w:rFonts w:ascii="Arial" w:cs="Arial" w:eastAsia="Arial" w:hAnsi="Arial"/>
                <w:sz w:val="17"/>
                <w:szCs w:val="17"/>
                <w:b w:val="1"/>
                <w:bCs w:val="1"/>
                <w:color w:val="auto"/>
              </w:rPr>
              <w:t>1,669,207</w:t>
            </w:r>
          </w:p>
        </w:tc>
        <w:tc>
          <w:tcPr>
            <w:tcW w:w="56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24.92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69215</wp:posOffset>
            </wp:positionV>
            <wp:extent cx="57962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199" w:lineRule="exact"/>
        <w:rPr>
          <w:sz w:val="20"/>
          <w:szCs w:val="20"/>
          <w:color w:val="auto"/>
        </w:rPr>
      </w:pPr>
    </w:p>
    <w:p>
      <w:pPr>
        <w:ind w:right="240" w:firstLine="83"/>
        <w:spacing w:after="0" w:line="286" w:lineRule="auto"/>
        <w:rPr>
          <w:sz w:val="20"/>
          <w:szCs w:val="20"/>
          <w:color w:val="auto"/>
        </w:rPr>
      </w:pPr>
      <w:r>
        <w:rPr>
          <w:rFonts w:ascii="Arial" w:cs="Arial" w:eastAsia="Arial" w:hAnsi="Arial"/>
          <w:sz w:val="17"/>
          <w:szCs w:val="17"/>
          <w:color w:val="auto"/>
        </w:rPr>
        <w:t>The table below presents the number, weighted average remaining contractual life, and weighted average exercise price for options outstanding as of October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69970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065"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jc w:val="right"/>
              <w:ind w:right="523"/>
              <w:spacing w:after="0" w:line="146" w:lineRule="exact"/>
              <w:rPr>
                <w:sz w:val="20"/>
                <w:szCs w:val="20"/>
                <w:color w:val="auto"/>
              </w:rPr>
            </w:pPr>
            <w:r>
              <w:rPr>
                <w:rFonts w:ascii="Arial" w:cs="Arial" w:eastAsia="Arial" w:hAnsi="Arial"/>
                <w:sz w:val="13"/>
                <w:szCs w:val="13"/>
                <w:color w:val="auto"/>
              </w:rPr>
              <w:t>Weighted</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tcPr>
          <w:p>
            <w:pPr>
              <w:jc w:val="right"/>
              <w:ind w:right="523"/>
              <w:spacing w:after="0" w:line="146" w:lineRule="exact"/>
              <w:rPr>
                <w:sz w:val="20"/>
                <w:szCs w:val="20"/>
                <w:color w:val="auto"/>
              </w:rPr>
            </w:pPr>
            <w:r>
              <w:rPr>
                <w:rFonts w:ascii="Arial" w:cs="Arial" w:eastAsia="Arial" w:hAnsi="Arial"/>
                <w:sz w:val="13"/>
                <w:szCs w:val="13"/>
                <w:color w:val="auto"/>
              </w:rPr>
              <w:t>average</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780" w:type="dxa"/>
            <w:vAlign w:val="bottom"/>
          </w:tcPr>
          <w:p>
            <w:pPr>
              <w:jc w:val="right"/>
              <w:ind w:right="260"/>
              <w:spacing w:after="0" w:line="146" w:lineRule="exact"/>
              <w:rPr>
                <w:sz w:val="20"/>
                <w:szCs w:val="20"/>
                <w:color w:val="auto"/>
              </w:rPr>
            </w:pPr>
            <w:r>
              <w:rPr>
                <w:rFonts w:ascii="Arial" w:cs="Arial" w:eastAsia="Arial" w:hAnsi="Arial"/>
                <w:sz w:val="13"/>
                <w:szCs w:val="13"/>
                <w:color w:val="auto"/>
              </w:rPr>
              <w:t>Number of</w:t>
            </w:r>
          </w:p>
        </w:tc>
        <w:tc>
          <w:tcPr>
            <w:tcW w:w="560" w:type="dxa"/>
            <w:vAlign w:val="bottom"/>
          </w:tcPr>
          <w:p>
            <w:pPr>
              <w:spacing w:after="0"/>
              <w:rPr>
                <w:sz w:val="12"/>
                <w:szCs w:val="12"/>
                <w:color w:val="auto"/>
              </w:rPr>
            </w:pPr>
          </w:p>
        </w:tc>
        <w:tc>
          <w:tcPr>
            <w:tcW w:w="1240" w:type="dxa"/>
            <w:vAlign w:val="bottom"/>
          </w:tcPr>
          <w:p>
            <w:pPr>
              <w:jc w:val="right"/>
              <w:ind w:right="523"/>
              <w:spacing w:after="0" w:line="146" w:lineRule="exact"/>
              <w:rPr>
                <w:sz w:val="20"/>
                <w:szCs w:val="20"/>
                <w:color w:val="auto"/>
              </w:rPr>
            </w:pPr>
            <w:r>
              <w:rPr>
                <w:rFonts w:ascii="Arial" w:cs="Arial" w:eastAsia="Arial" w:hAnsi="Arial"/>
                <w:sz w:val="13"/>
                <w:szCs w:val="13"/>
                <w:color w:val="auto"/>
              </w:rPr>
              <w:t>exercise</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contractual</w:t>
            </w:r>
          </w:p>
        </w:tc>
        <w:tc>
          <w:tcPr>
            <w:tcW w:w="0" w:type="dxa"/>
            <w:vAlign w:val="bottom"/>
          </w:tcPr>
          <w:p>
            <w:pPr>
              <w:spacing w:after="0"/>
              <w:rPr>
                <w:sz w:val="1"/>
                <w:szCs w:val="1"/>
                <w:color w:val="auto"/>
              </w:rPr>
            </w:pPr>
          </w:p>
        </w:tc>
      </w:tr>
      <w:tr>
        <w:trPr>
          <w:trHeight w:val="166"/>
        </w:trPr>
        <w:tc>
          <w:tcPr>
            <w:tcW w:w="4200" w:type="dxa"/>
            <w:vAlign w:val="bottom"/>
            <w:gridSpan w:val="2"/>
          </w:tcPr>
          <w:p>
            <w:pPr>
              <w:spacing w:after="0"/>
              <w:rPr>
                <w:sz w:val="20"/>
                <w:szCs w:val="20"/>
                <w:color w:val="auto"/>
              </w:rPr>
            </w:pPr>
            <w:r>
              <w:rPr>
                <w:rFonts w:ascii="Arial" w:cs="Arial" w:eastAsia="Arial" w:hAnsi="Arial"/>
                <w:sz w:val="13"/>
                <w:szCs w:val="13"/>
                <w:color w:val="auto"/>
              </w:rPr>
              <w:t>Exercise price range</w:t>
            </w:r>
          </w:p>
        </w:tc>
        <w:tc>
          <w:tcPr>
            <w:tcW w:w="3780" w:type="dxa"/>
            <w:vAlign w:val="bottom"/>
          </w:tcPr>
          <w:p>
            <w:pPr>
              <w:jc w:val="right"/>
              <w:ind w:right="260"/>
              <w:spacing w:after="0"/>
              <w:rPr>
                <w:sz w:val="20"/>
                <w:szCs w:val="20"/>
                <w:color w:val="auto"/>
              </w:rPr>
            </w:pPr>
            <w:r>
              <w:rPr>
                <w:rFonts w:ascii="Arial" w:cs="Arial" w:eastAsia="Arial" w:hAnsi="Arial"/>
                <w:sz w:val="13"/>
                <w:szCs w:val="13"/>
                <w:color w:val="auto"/>
              </w:rPr>
              <w:t>options</w:t>
            </w:r>
          </w:p>
        </w:tc>
        <w:tc>
          <w:tcPr>
            <w:tcW w:w="560" w:type="dxa"/>
            <w:vAlign w:val="bottom"/>
          </w:tcPr>
          <w:p>
            <w:pPr>
              <w:spacing w:after="0"/>
              <w:rPr>
                <w:sz w:val="14"/>
                <w:szCs w:val="14"/>
                <w:color w:val="auto"/>
              </w:rPr>
            </w:pPr>
          </w:p>
        </w:tc>
        <w:tc>
          <w:tcPr>
            <w:tcW w:w="1240" w:type="dxa"/>
            <w:vAlign w:val="bottom"/>
          </w:tcPr>
          <w:p>
            <w:pPr>
              <w:jc w:val="right"/>
              <w:ind w:right="523"/>
              <w:spacing w:after="0"/>
              <w:rPr>
                <w:sz w:val="20"/>
                <w:szCs w:val="20"/>
                <w:color w:val="auto"/>
              </w:rPr>
            </w:pPr>
            <w:r>
              <w:rPr>
                <w:rFonts w:ascii="Arial" w:cs="Arial" w:eastAsia="Arial" w:hAnsi="Arial"/>
                <w:sz w:val="13"/>
                <w:szCs w:val="13"/>
                <w:color w:val="auto"/>
              </w:rPr>
              <w:t>price</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life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$12.4688 – $18.8125</w:t>
            </w:r>
          </w:p>
        </w:tc>
        <w:tc>
          <w:tcPr>
            <w:tcW w:w="3780" w:type="dxa"/>
            <w:vAlign w:val="bottom"/>
            <w:shd w:val="clear" w:color="auto" w:fill="EEEEEE"/>
          </w:tcPr>
          <w:p>
            <w:pPr>
              <w:jc w:val="right"/>
              <w:ind w:right="260"/>
              <w:spacing w:after="0"/>
              <w:rPr>
                <w:sz w:val="20"/>
                <w:szCs w:val="20"/>
                <w:color w:val="auto"/>
              </w:rPr>
            </w:pPr>
            <w:r>
              <w:rPr>
                <w:rFonts w:ascii="Arial" w:cs="Arial" w:eastAsia="Arial" w:hAnsi="Arial"/>
                <w:sz w:val="17"/>
                <w:szCs w:val="17"/>
                <w:color w:val="auto"/>
              </w:rPr>
              <w:t>661,005</w:t>
            </w:r>
          </w:p>
        </w:tc>
        <w:tc>
          <w:tcPr>
            <w:tcW w:w="56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523"/>
              <w:spacing w:after="0"/>
              <w:rPr>
                <w:sz w:val="20"/>
                <w:szCs w:val="20"/>
                <w:color w:val="auto"/>
              </w:rPr>
            </w:pPr>
            <w:r>
              <w:rPr>
                <w:rFonts w:ascii="Arial" w:cs="Arial" w:eastAsia="Arial" w:hAnsi="Arial"/>
                <w:sz w:val="17"/>
                <w:szCs w:val="17"/>
                <w:color w:val="auto"/>
              </w:rPr>
              <w:t>15.92</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4.3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$21.2750 – $27.8650</w:t>
            </w:r>
          </w:p>
        </w:tc>
        <w:tc>
          <w:tcPr>
            <w:tcW w:w="3780" w:type="dxa"/>
            <w:vAlign w:val="bottom"/>
          </w:tcPr>
          <w:p>
            <w:pPr>
              <w:jc w:val="right"/>
              <w:ind w:right="260"/>
              <w:spacing w:after="0"/>
              <w:rPr>
                <w:sz w:val="20"/>
                <w:szCs w:val="20"/>
                <w:color w:val="auto"/>
              </w:rPr>
            </w:pPr>
            <w:r>
              <w:rPr>
                <w:rFonts w:ascii="Arial" w:cs="Arial" w:eastAsia="Arial" w:hAnsi="Arial"/>
                <w:sz w:val="17"/>
                <w:szCs w:val="17"/>
                <w:color w:val="auto"/>
              </w:rPr>
              <w:t>433,390</w:t>
            </w:r>
          </w:p>
        </w:tc>
        <w:tc>
          <w:tcPr>
            <w:tcW w:w="560" w:type="dxa"/>
            <w:vAlign w:val="bottom"/>
          </w:tcPr>
          <w:p>
            <w:pPr>
              <w:spacing w:after="0"/>
              <w:rPr>
                <w:sz w:val="18"/>
                <w:szCs w:val="18"/>
                <w:color w:val="auto"/>
              </w:rPr>
            </w:pPr>
          </w:p>
        </w:tc>
        <w:tc>
          <w:tcPr>
            <w:tcW w:w="1240" w:type="dxa"/>
            <w:vAlign w:val="bottom"/>
          </w:tcPr>
          <w:p>
            <w:pPr>
              <w:jc w:val="right"/>
              <w:ind w:right="523"/>
              <w:spacing w:after="0"/>
              <w:rPr>
                <w:sz w:val="20"/>
                <w:szCs w:val="20"/>
                <w:color w:val="auto"/>
              </w:rPr>
            </w:pPr>
            <w:r>
              <w:rPr>
                <w:rFonts w:ascii="Arial" w:cs="Arial" w:eastAsia="Arial" w:hAnsi="Arial"/>
                <w:sz w:val="17"/>
                <w:szCs w:val="17"/>
                <w:color w:val="auto"/>
              </w:rPr>
              <w:t>23.36</w:t>
            </w:r>
          </w:p>
        </w:tc>
        <w:tc>
          <w:tcPr>
            <w:tcW w:w="1640" w:type="dxa"/>
            <w:vAlign w:val="bottom"/>
            <w:gridSpan w:val="2"/>
          </w:tcPr>
          <w:p>
            <w:pPr>
              <w:jc w:val="right"/>
              <w:ind w:right="400"/>
              <w:spacing w:after="0"/>
              <w:rPr>
                <w:sz w:val="20"/>
                <w:szCs w:val="20"/>
                <w:color w:val="auto"/>
              </w:rPr>
            </w:pPr>
            <w:r>
              <w:rPr>
                <w:rFonts w:ascii="Arial" w:cs="Arial" w:eastAsia="Arial" w:hAnsi="Arial"/>
                <w:sz w:val="17"/>
                <w:szCs w:val="17"/>
                <w:color w:val="auto"/>
              </w:rPr>
              <w:t>5.1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color w:val="auto"/>
              </w:rPr>
              <w:t>$32.2750 – $40.4200</w:t>
            </w:r>
          </w:p>
        </w:tc>
        <w:tc>
          <w:tcPr>
            <w:tcW w:w="3780" w:type="dxa"/>
            <w:vAlign w:val="bottom"/>
            <w:shd w:val="clear" w:color="auto" w:fill="EEEEEE"/>
          </w:tcPr>
          <w:p>
            <w:pPr>
              <w:jc w:val="right"/>
              <w:ind w:right="260"/>
              <w:spacing w:after="0"/>
              <w:rPr>
                <w:sz w:val="20"/>
                <w:szCs w:val="20"/>
                <w:color w:val="auto"/>
              </w:rPr>
            </w:pPr>
            <w:r>
              <w:rPr>
                <w:rFonts w:ascii="Arial" w:cs="Arial" w:eastAsia="Arial" w:hAnsi="Arial"/>
                <w:sz w:val="17"/>
                <w:szCs w:val="17"/>
                <w:color w:val="auto"/>
              </w:rPr>
              <w:t>434,402</w:t>
            </w:r>
          </w:p>
        </w:tc>
        <w:tc>
          <w:tcPr>
            <w:tcW w:w="56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523"/>
              <w:spacing w:after="0"/>
              <w:rPr>
                <w:sz w:val="20"/>
                <w:szCs w:val="20"/>
                <w:color w:val="auto"/>
              </w:rPr>
            </w:pPr>
            <w:r>
              <w:rPr>
                <w:rFonts w:ascii="Arial" w:cs="Arial" w:eastAsia="Arial" w:hAnsi="Arial"/>
                <w:sz w:val="17"/>
                <w:szCs w:val="17"/>
                <w:color w:val="auto"/>
              </w:rPr>
              <w:t>32.38</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5.8 years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$48.3200 – $50.7000</w:t>
            </w:r>
          </w:p>
        </w:tc>
        <w:tc>
          <w:tcPr>
            <w:tcW w:w="3780" w:type="dxa"/>
            <w:vAlign w:val="bottom"/>
          </w:tcPr>
          <w:p>
            <w:pPr>
              <w:jc w:val="right"/>
              <w:ind w:right="260"/>
              <w:spacing w:after="0"/>
              <w:rPr>
                <w:sz w:val="20"/>
                <w:szCs w:val="20"/>
                <w:color w:val="auto"/>
              </w:rPr>
            </w:pPr>
            <w:r>
              <w:rPr>
                <w:rFonts w:ascii="Arial" w:cs="Arial" w:eastAsia="Arial" w:hAnsi="Arial"/>
                <w:sz w:val="17"/>
                <w:szCs w:val="17"/>
                <w:color w:val="auto"/>
              </w:rPr>
              <w:t>308,610</w:t>
            </w:r>
          </w:p>
        </w:tc>
        <w:tc>
          <w:tcPr>
            <w:tcW w:w="560" w:type="dxa"/>
            <w:vAlign w:val="bottom"/>
          </w:tcPr>
          <w:p>
            <w:pPr>
              <w:spacing w:after="0"/>
              <w:rPr>
                <w:sz w:val="18"/>
                <w:szCs w:val="18"/>
                <w:color w:val="auto"/>
              </w:rPr>
            </w:pPr>
          </w:p>
        </w:tc>
        <w:tc>
          <w:tcPr>
            <w:tcW w:w="1240" w:type="dxa"/>
            <w:vAlign w:val="bottom"/>
          </w:tcPr>
          <w:p>
            <w:pPr>
              <w:jc w:val="right"/>
              <w:ind w:right="523"/>
              <w:spacing w:after="0"/>
              <w:rPr>
                <w:sz w:val="20"/>
                <w:szCs w:val="20"/>
                <w:color w:val="auto"/>
              </w:rPr>
            </w:pPr>
            <w:r>
              <w:rPr>
                <w:rFonts w:ascii="Arial" w:cs="Arial" w:eastAsia="Arial" w:hAnsi="Arial"/>
                <w:sz w:val="17"/>
                <w:szCs w:val="17"/>
                <w:color w:val="auto"/>
              </w:rPr>
              <w:t>48.47</w:t>
            </w:r>
          </w:p>
        </w:tc>
        <w:tc>
          <w:tcPr>
            <w:tcW w:w="1640" w:type="dxa"/>
            <w:vAlign w:val="bottom"/>
            <w:gridSpan w:val="2"/>
          </w:tcPr>
          <w:p>
            <w:pPr>
              <w:jc w:val="right"/>
              <w:ind w:right="400"/>
              <w:spacing w:after="0"/>
              <w:rPr>
                <w:sz w:val="20"/>
                <w:szCs w:val="20"/>
                <w:color w:val="auto"/>
              </w:rPr>
            </w:pPr>
            <w:r>
              <w:rPr>
                <w:rFonts w:ascii="Arial" w:cs="Arial" w:eastAsia="Arial" w:hAnsi="Arial"/>
                <w:sz w:val="17"/>
                <w:szCs w:val="17"/>
                <w:color w:val="auto"/>
              </w:rPr>
              <w:t>6.7 years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3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3780" w:type="dxa"/>
            <w:vAlign w:val="bottom"/>
            <w:shd w:val="clear" w:color="auto" w:fill="EEEEEE"/>
          </w:tcPr>
          <w:p>
            <w:pPr>
              <w:jc w:val="right"/>
              <w:ind w:right="260"/>
              <w:spacing w:after="0"/>
              <w:rPr>
                <w:sz w:val="20"/>
                <w:szCs w:val="20"/>
                <w:color w:val="auto"/>
              </w:rPr>
            </w:pPr>
            <w:r>
              <w:rPr>
                <w:rFonts w:ascii="Arial" w:cs="Arial" w:eastAsia="Arial" w:hAnsi="Arial"/>
                <w:sz w:val="17"/>
                <w:szCs w:val="17"/>
                <w:b w:val="1"/>
                <w:bCs w:val="1"/>
                <w:color w:val="auto"/>
              </w:rPr>
              <w:t>1,837,407</w:t>
            </w:r>
          </w:p>
        </w:tc>
        <w:tc>
          <w:tcPr>
            <w:tcW w:w="56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EEEEEE"/>
          </w:tcPr>
          <w:p>
            <w:pPr>
              <w:jc w:val="right"/>
              <w:ind w:right="523"/>
              <w:spacing w:after="0"/>
              <w:rPr>
                <w:sz w:val="20"/>
                <w:szCs w:val="20"/>
                <w:color w:val="auto"/>
              </w:rPr>
            </w:pPr>
            <w:r>
              <w:rPr>
                <w:rFonts w:ascii="Arial" w:cs="Arial" w:eastAsia="Arial" w:hAnsi="Arial"/>
                <w:sz w:val="17"/>
                <w:szCs w:val="17"/>
                <w:b w:val="1"/>
                <w:bCs w:val="1"/>
                <w:color w:val="auto"/>
              </w:rPr>
              <w:t>27.04</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b w:val="1"/>
                <w:bCs w:val="1"/>
                <w:color w:val="auto"/>
              </w:rPr>
              <w:t>5.2 years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00"/>
        <w:spacing w:after="0" w:line="296" w:lineRule="auto"/>
        <w:rPr>
          <w:sz w:val="20"/>
          <w:szCs w:val="20"/>
          <w:color w:val="auto"/>
        </w:rPr>
      </w:pPr>
      <w:r>
        <w:rPr>
          <w:rFonts w:ascii="Arial" w:cs="Arial" w:eastAsia="Arial" w:hAnsi="Arial"/>
          <w:sz w:val="15"/>
          <w:szCs w:val="15"/>
          <w:color w:val="auto"/>
        </w:rPr>
        <w:t>In fiscal years ended October 31, 2002, 2001, and 2000, the company granted 27,000, 57,000, and 584,000 options, respectively, that were to vest at the earlier of December 15, 2003 or when the company’s fiscal year net earnings divided by net sales exceeded five percent (a five percent return on sales). Since the company achieved this financial goal in fiscal 2003, these options vested in December 2003, and will expire on December 31, 2006. The company cancelled 32,000, 44,000, 46,000, and 10,000 of these options during fiscal years ended October 31, 2003, 2002, 2001, and 2000, respectively, due to employee terminations.</w:t>
      </w:r>
    </w:p>
    <w:p>
      <w:pPr>
        <w:spacing w:after="0" w:line="1" w:lineRule="exact"/>
        <w:rPr>
          <w:sz w:val="20"/>
          <w:szCs w:val="20"/>
          <w:color w:val="auto"/>
        </w:rPr>
      </w:pPr>
    </w:p>
    <w:p>
      <w:pPr>
        <w:ind w:right="300" w:firstLine="86"/>
        <w:spacing w:after="0" w:line="321" w:lineRule="auto"/>
        <w:rPr>
          <w:sz w:val="20"/>
          <w:szCs w:val="20"/>
          <w:color w:val="auto"/>
        </w:rPr>
      </w:pPr>
      <w:r>
        <w:rPr>
          <w:rFonts w:ascii="Arial" w:cs="Arial" w:eastAsia="Arial" w:hAnsi="Arial"/>
          <w:sz w:val="15"/>
          <w:szCs w:val="15"/>
          <w:color w:val="auto"/>
        </w:rPr>
        <w:t>In 1999, the company’s stockholders first approved a long-term incentive plan called The Toro Company Performance Share Plan. Under this plan, Performance Shares are granted to key employees of the company. A Performance Share is the right to receive shares of common stock or deferred common stock units, contingent on the achievement of performance goals of the company, generally over a three-year period. The number of shares of common stock authorized for</w:t>
      </w:r>
    </w:p>
    <w:p>
      <w:pPr>
        <w:sectPr>
          <w:pgSz w:w="11900" w:h="16838" w:orient="portrait"/>
          <w:cols w:equalWidth="0" w:num="1">
            <w:col w:w="11420"/>
          </w:cols>
          <w:pgMar w:left="240" w:top="413" w:right="239" w:bottom="0" w:gutter="0" w:footer="0" w:header="0"/>
        </w:sectPr>
      </w:pPr>
    </w:p>
    <w:bookmarkStart w:id="49" w:name="page50"/>
    <w:bookmarkEnd w:id="49"/>
    <w:p>
      <w:pPr>
        <w:spacing w:after="0" w:line="261" w:lineRule="auto"/>
        <w:rPr>
          <w:sz w:val="20"/>
          <w:szCs w:val="20"/>
          <w:color w:val="auto"/>
        </w:rPr>
      </w:pPr>
      <w:r>
        <w:rPr>
          <w:rFonts w:ascii="Arial" w:cs="Arial" w:eastAsia="Arial" w:hAnsi="Arial"/>
          <w:sz w:val="17"/>
          <w:szCs w:val="17"/>
          <w:color w:val="auto"/>
        </w:rPr>
        <w:t>issuance under this plan is 2,000,000. The number of shares of common stock a participant receives will be increased (up to 200 percent of target levels) or reduced (down to zero) based on the level of achievement of performance goals. In fiscal 2004, 2003, and 2002, the company granted 140,600, 229,800, and 265,200 Performance Shares, respectively, that vested over one- to three-year periods. The participants earned 178,766, 115,202, and 113,762 Performance Shares in fiscal 2004, 2003, and 2002, respectively. The company recognized compensation expense related to this plan of $16,027,000, $9,337,000, and $5,604,000 during the fiscal years ended October 31, 2004, 2003, and 2002, respectively.</w:t>
      </w:r>
    </w:p>
    <w:p>
      <w:pPr>
        <w:spacing w:after="0" w:line="1" w:lineRule="exact"/>
        <w:rPr>
          <w:sz w:val="20"/>
          <w:szCs w:val="20"/>
          <w:color w:val="auto"/>
        </w:rPr>
      </w:pPr>
    </w:p>
    <w:p>
      <w:pPr>
        <w:ind w:right="100" w:firstLine="83"/>
        <w:spacing w:after="0" w:line="321" w:lineRule="auto"/>
        <w:rPr>
          <w:sz w:val="20"/>
          <w:szCs w:val="20"/>
          <w:color w:val="auto"/>
        </w:rPr>
      </w:pPr>
      <w:r>
        <w:rPr>
          <w:rFonts w:ascii="Arial" w:cs="Arial" w:eastAsia="Arial" w:hAnsi="Arial"/>
          <w:sz w:val="15"/>
          <w:szCs w:val="15"/>
          <w:color w:val="auto"/>
        </w:rPr>
        <w:t>The company’s stockholders have approved The Toro Company Annual Management Incentive Plan II, which includes a common stock acquisition and retention feature (Stock Retention Award). If the Compensation Committee of the Board of Directors grants a Stock Retention Award, the recipient may elect to convert up to 50 percent of a cash bonus award into common stock, or defer up to 50 percent of the cash bonus through The Toro Company Deferred Compensation Plan for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Officers into units having a value based on shares of common stock. In either case, the participant would receive additional compensation in the form of one additional share or unit of common stock for every two shares or units acquired upon conversion. These matching shares or units vest in increments of 25 percent of the total number of matching shares or units as of the end of each of the second, third, fourth, and fifth years after the date the shares are issued or units are credited. Compensation expense related to this plan was $3,732,000, $2,326,000, and $2,273,000 for fiscal years ended October 31, 2004, 2003, and 2002, respectively. No matching awards were granted with respect to fiscal 2004, 2003, and 2002.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On July 31, 1995, the company issued 34,934 shares of restricted stock and 34,934 performance units to the Chief Executive Officer under the terms of The Toro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Company Chief Executive Officer Succession Incentive Award Agreement, which was approved by stockholders in 1994. The value of each performance unit is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equal to the fair market value of a share of common stock. The restricted stock and performance units vest based upon achievement of specified succession planning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goals. Dividends are paid with respect to the restricted stock and the shares may be voted. Portions of the restricted stock and performance unit awards may be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forfeited if specified goals are not achieved at various dates, ending on October 31, 2005 or termination of employment. For each of the fiscal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October 31, 2000 and 1999, 5,240 shares and performance units vested. Compensation expense related to this plan was $1,107,000, $1,293,000, and $730,000 for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fiscal years ended October 31, 2004, 2003, and 2002, respectively. 24,454 shares and 24,454 performance units remain unvested as of October 31, 2004.</w:t>
      </w:r>
    </w:p>
    <w:p>
      <w:pPr>
        <w:spacing w:after="0" w:line="236" w:lineRule="auto"/>
        <w:tabs>
          <w:tab w:leader="none" w:pos="920" w:val="left"/>
        </w:tabs>
        <w:rPr>
          <w:sz w:val="20"/>
          <w:szCs w:val="20"/>
          <w:color w:val="auto"/>
        </w:rPr>
      </w:pPr>
      <w:r>
        <w:rPr>
          <w:rFonts w:ascii="Arial" w:cs="Arial" w:eastAsia="Arial" w:hAnsi="Arial"/>
          <w:sz w:val="42"/>
          <w:szCs w:val="42"/>
          <w:b w:val="1"/>
          <w:bCs w:val="1"/>
          <w:color w:val="auto"/>
        </w:rPr>
        <w:t>11</w:t>
      </w:r>
      <w:r>
        <w:rPr>
          <w:sz w:val="20"/>
          <w:szCs w:val="20"/>
          <w:color w:val="auto"/>
        </w:rPr>
        <w:tab/>
      </w:r>
      <w:r>
        <w:rPr>
          <w:rFonts w:ascii="Arial" w:cs="Arial" w:eastAsia="Arial" w:hAnsi="Arial"/>
          <w:sz w:val="21"/>
          <w:szCs w:val="21"/>
          <w:b w:val="1"/>
          <w:bCs w:val="1"/>
          <w:color w:val="auto"/>
        </w:rPr>
        <w:t>EMPLOYEE BENEFIT PROGRAMS AND POSTRETIREMENT BENEFIT PLANS</w:t>
      </w:r>
    </w:p>
    <w:p>
      <w:pPr>
        <w:spacing w:after="0" w:line="200" w:lineRule="exact"/>
        <w:rPr>
          <w:sz w:val="20"/>
          <w:szCs w:val="20"/>
          <w:color w:val="auto"/>
        </w:rPr>
      </w:pPr>
    </w:p>
    <w:p>
      <w:pPr>
        <w:spacing w:after="0" w:line="260"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$14,200,000, $13,493,000, and $12,660,000 for the fiscal years ended October 31, 2004, 2003, and 2002, respectively.</w:t>
      </w:r>
    </w:p>
    <w:p>
      <w:pPr>
        <w:spacing w:after="0" w:line="146" w:lineRule="exact"/>
        <w:rPr>
          <w:sz w:val="20"/>
          <w:szCs w:val="20"/>
          <w:color w:val="auto"/>
        </w:rPr>
      </w:pPr>
    </w:p>
    <w:p>
      <w:pPr>
        <w:ind w:right="80" w:firstLine="83"/>
        <w:spacing w:after="0" w:line="262" w:lineRule="auto"/>
        <w:rPr>
          <w:sz w:val="20"/>
          <w:szCs w:val="20"/>
          <w:color w:val="auto"/>
        </w:rPr>
      </w:pPr>
      <w:r>
        <w:rPr>
          <w:rFonts w:ascii="Arial" w:cs="Arial" w:eastAsia="Arial" w:hAnsi="Arial"/>
          <w:sz w:val="17"/>
          <w:szCs w:val="17"/>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The company uses fiscal year end as the measurement date for this plan.</w:t>
      </w:r>
    </w:p>
    <w:p>
      <w:pPr>
        <w:ind w:left="100"/>
        <w:spacing w:after="0"/>
        <w:rPr>
          <w:sz w:val="20"/>
          <w:szCs w:val="20"/>
          <w:color w:val="auto"/>
        </w:rPr>
      </w:pPr>
      <w:r>
        <w:rPr>
          <w:rFonts w:ascii="Arial" w:cs="Arial" w:eastAsia="Arial" w:hAnsi="Arial"/>
          <w:sz w:val="17"/>
          <w:szCs w:val="17"/>
          <w:color w:val="auto"/>
        </w:rPr>
        <w:t>Reconciliation of the funded status of this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586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8609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4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160" w:type="dxa"/>
            <w:vAlign w:val="bottom"/>
          </w:tcPr>
          <w:p>
            <w:pPr>
              <w:spacing w:after="0"/>
              <w:rPr>
                <w:sz w:val="13"/>
                <w:szCs w:val="13"/>
                <w:color w:val="auto"/>
              </w:rPr>
            </w:pPr>
          </w:p>
        </w:tc>
        <w:tc>
          <w:tcPr>
            <w:tcW w:w="96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2004</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4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Projected Benefit Obligation</w:t>
            </w:r>
          </w:p>
        </w:tc>
        <w:tc>
          <w:tcPr>
            <w:tcW w:w="2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7"/>
                <w:szCs w:val="17"/>
                <w:b w:val="1"/>
                <w:bCs w:val="1"/>
                <w:color w:val="auto"/>
              </w:rPr>
              <w:t>Beginning obligations</w:t>
            </w:r>
          </w:p>
        </w:tc>
        <w:tc>
          <w:tcPr>
            <w:tcW w:w="21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36"/>
              <w:spacing w:after="0"/>
              <w:rPr>
                <w:sz w:val="20"/>
                <w:szCs w:val="20"/>
                <w:color w:val="auto"/>
              </w:rPr>
            </w:pPr>
            <w:r>
              <w:rPr>
                <w:rFonts w:ascii="Arial" w:cs="Arial" w:eastAsia="Arial" w:hAnsi="Arial"/>
                <w:sz w:val="17"/>
                <w:szCs w:val="17"/>
                <w:b w:val="1"/>
                <w:bCs w:val="1"/>
                <w:color w:val="auto"/>
              </w:rPr>
              <w:t>14,733</w:t>
            </w:r>
          </w:p>
        </w:tc>
        <w:tc>
          <w:tcPr>
            <w:tcW w:w="5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6,462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Service cost</w:t>
            </w:r>
          </w:p>
        </w:tc>
        <w:tc>
          <w:tcPr>
            <w:tcW w:w="216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950</w:t>
            </w:r>
          </w:p>
        </w:tc>
        <w:tc>
          <w:tcPr>
            <w:tcW w:w="5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7"/>
                <w:szCs w:val="17"/>
                <w:b w:val="1"/>
                <w:bCs w:val="1"/>
                <w:color w:val="auto"/>
              </w:rPr>
              <w:t>Interest cost</w:t>
            </w:r>
          </w:p>
        </w:tc>
        <w:tc>
          <w:tcPr>
            <w:tcW w:w="2160" w:type="dxa"/>
            <w:vAlign w:val="bottom"/>
          </w:tcPr>
          <w:p>
            <w:pPr>
              <w:spacing w:after="0"/>
              <w:rPr>
                <w:sz w:val="18"/>
                <w:szCs w:val="18"/>
                <w:color w:val="auto"/>
              </w:rPr>
            </w:pPr>
          </w:p>
        </w:tc>
        <w:tc>
          <w:tcPr>
            <w:tcW w:w="960" w:type="dxa"/>
            <w:vAlign w:val="bottom"/>
          </w:tcPr>
          <w:p>
            <w:pPr>
              <w:jc w:val="right"/>
              <w:ind w:right="236"/>
              <w:spacing w:after="0"/>
              <w:rPr>
                <w:sz w:val="20"/>
                <w:szCs w:val="20"/>
                <w:color w:val="auto"/>
              </w:rPr>
            </w:pPr>
            <w:r>
              <w:rPr>
                <w:rFonts w:ascii="Arial" w:cs="Arial" w:eastAsia="Arial" w:hAnsi="Arial"/>
                <w:sz w:val="17"/>
                <w:szCs w:val="17"/>
                <w:b w:val="1"/>
                <w:bCs w:val="1"/>
                <w:color w:val="auto"/>
              </w:rPr>
              <w:t>871</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Amendment</w:t>
            </w:r>
          </w:p>
        </w:tc>
        <w:tc>
          <w:tcPr>
            <w:tcW w:w="216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(1,981)</w:t>
            </w:r>
          </w:p>
        </w:tc>
        <w:tc>
          <w:tcPr>
            <w:tcW w:w="5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7"/>
                <w:szCs w:val="17"/>
                <w:b w:val="1"/>
                <w:bCs w:val="1"/>
                <w:color w:val="auto"/>
              </w:rPr>
              <w:t>Actuarial (gain) loss</w:t>
            </w:r>
          </w:p>
        </w:tc>
        <w:tc>
          <w:tcPr>
            <w:tcW w:w="2160" w:type="dxa"/>
            <w:vAlign w:val="bottom"/>
          </w:tcPr>
          <w:p>
            <w:pPr>
              <w:spacing w:after="0"/>
              <w:rPr>
                <w:sz w:val="18"/>
                <w:szCs w:val="18"/>
                <w:color w:val="auto"/>
              </w:rPr>
            </w:pPr>
          </w:p>
        </w:tc>
        <w:tc>
          <w:tcPr>
            <w:tcW w:w="960" w:type="dxa"/>
            <w:vAlign w:val="bottom"/>
          </w:tcPr>
          <w:p>
            <w:pPr>
              <w:jc w:val="right"/>
              <w:ind w:right="176"/>
              <w:spacing w:after="0"/>
              <w:rPr>
                <w:sz w:val="20"/>
                <w:szCs w:val="20"/>
                <w:color w:val="auto"/>
              </w:rPr>
            </w:pPr>
            <w:r>
              <w:rPr>
                <w:rFonts w:ascii="Arial" w:cs="Arial" w:eastAsia="Arial" w:hAnsi="Arial"/>
                <w:sz w:val="17"/>
                <w:szCs w:val="17"/>
                <w:b w:val="1"/>
                <w:bCs w:val="1"/>
                <w:color w:val="auto"/>
              </w:rPr>
              <w:t>(4,986)</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Benefits paid</w:t>
            </w:r>
          </w:p>
        </w:tc>
        <w:tc>
          <w:tcPr>
            <w:tcW w:w="216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(427)</w:t>
            </w:r>
          </w:p>
        </w:tc>
        <w:tc>
          <w:tcPr>
            <w:tcW w:w="5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460" w:type="dxa"/>
            <w:vAlign w:val="bottom"/>
            <w:gridSpan w:val="2"/>
          </w:tcPr>
          <w:p>
            <w:pPr>
              <w:spacing w:after="0"/>
              <w:rPr>
                <w:sz w:val="20"/>
                <w:szCs w:val="20"/>
                <w:color w:val="auto"/>
              </w:rPr>
            </w:pPr>
            <w:r>
              <w:rPr>
                <w:rFonts w:ascii="Arial" w:cs="Arial" w:eastAsia="Arial" w:hAnsi="Arial"/>
                <w:sz w:val="17"/>
                <w:szCs w:val="17"/>
                <w:b w:val="1"/>
                <w:bCs w:val="1"/>
                <w:color w:val="auto"/>
              </w:rPr>
              <w:t>Ending Obligations</w:t>
            </w:r>
          </w:p>
        </w:tc>
        <w:tc>
          <w:tcPr>
            <w:tcW w:w="21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36"/>
              <w:spacing w:after="0"/>
              <w:rPr>
                <w:sz w:val="20"/>
                <w:szCs w:val="20"/>
                <w:color w:val="auto"/>
              </w:rPr>
            </w:pPr>
            <w:r>
              <w:rPr>
                <w:rFonts w:ascii="Arial" w:cs="Arial" w:eastAsia="Arial" w:hAnsi="Arial"/>
                <w:sz w:val="17"/>
                <w:szCs w:val="17"/>
                <w:b w:val="1"/>
                <w:bCs w:val="1"/>
                <w:color w:val="auto"/>
              </w:rPr>
              <w:t>9,160</w:t>
            </w:r>
          </w:p>
        </w:tc>
        <w:tc>
          <w:tcPr>
            <w:tcW w:w="5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14,733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Funded Status of Plan</w:t>
            </w:r>
          </w:p>
        </w:tc>
        <w:tc>
          <w:tcPr>
            <w:tcW w:w="216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(9,160)</w:t>
            </w:r>
          </w:p>
        </w:tc>
        <w:tc>
          <w:tcPr>
            <w:tcW w:w="50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(14,733)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7"/>
                <w:szCs w:val="17"/>
                <w:b w:val="1"/>
                <w:bCs w:val="1"/>
                <w:color w:val="auto"/>
              </w:rPr>
              <w:t>Unrecognized prior service cost</w:t>
            </w:r>
          </w:p>
        </w:tc>
        <w:tc>
          <w:tcPr>
            <w:tcW w:w="2160" w:type="dxa"/>
            <w:vAlign w:val="bottom"/>
          </w:tcPr>
          <w:p>
            <w:pPr>
              <w:spacing w:after="0"/>
              <w:rPr>
                <w:sz w:val="18"/>
                <w:szCs w:val="18"/>
                <w:color w:val="auto"/>
              </w:rPr>
            </w:pPr>
          </w:p>
        </w:tc>
        <w:tc>
          <w:tcPr>
            <w:tcW w:w="960" w:type="dxa"/>
            <w:vAlign w:val="bottom"/>
          </w:tcPr>
          <w:p>
            <w:pPr>
              <w:jc w:val="right"/>
              <w:ind w:right="176"/>
              <w:spacing w:after="0"/>
              <w:rPr>
                <w:sz w:val="20"/>
                <w:szCs w:val="20"/>
                <w:color w:val="auto"/>
              </w:rPr>
            </w:pPr>
            <w:r>
              <w:rPr>
                <w:rFonts w:ascii="Arial" w:cs="Arial" w:eastAsia="Arial" w:hAnsi="Arial"/>
                <w:sz w:val="17"/>
                <w:szCs w:val="17"/>
                <w:b w:val="1"/>
                <w:bCs w:val="1"/>
                <w:color w:val="auto"/>
              </w:rPr>
              <w:t>(1,981)</w:t>
            </w:r>
          </w:p>
        </w:tc>
        <w:tc>
          <w:tcPr>
            <w:tcW w:w="5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Unrecognized actuarial loss</w:t>
            </w:r>
          </w:p>
        </w:tc>
        <w:tc>
          <w:tcPr>
            <w:tcW w:w="216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6,115</w:t>
            </w:r>
          </w:p>
        </w:tc>
        <w:tc>
          <w:tcPr>
            <w:tcW w:w="5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11,812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460" w:type="dxa"/>
            <w:vAlign w:val="bottom"/>
            <w:gridSpan w:val="2"/>
          </w:tcPr>
          <w:p>
            <w:pPr>
              <w:spacing w:after="0"/>
              <w:rPr>
                <w:sz w:val="20"/>
                <w:szCs w:val="20"/>
                <w:color w:val="auto"/>
              </w:rPr>
            </w:pPr>
            <w:r>
              <w:rPr>
                <w:rFonts w:ascii="Arial" w:cs="Arial" w:eastAsia="Arial" w:hAnsi="Arial"/>
                <w:sz w:val="17"/>
                <w:szCs w:val="17"/>
                <w:b w:val="1"/>
                <w:bCs w:val="1"/>
                <w:color w:val="auto"/>
              </w:rPr>
              <w:t>Net Amount Recognized</w:t>
            </w:r>
          </w:p>
        </w:tc>
        <w:tc>
          <w:tcPr>
            <w:tcW w:w="21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76"/>
              <w:spacing w:after="0"/>
              <w:rPr>
                <w:sz w:val="20"/>
                <w:szCs w:val="20"/>
                <w:color w:val="auto"/>
              </w:rPr>
            </w:pPr>
            <w:r>
              <w:rPr>
                <w:rFonts w:ascii="Arial" w:cs="Arial" w:eastAsia="Arial" w:hAnsi="Arial"/>
                <w:sz w:val="17"/>
                <w:szCs w:val="17"/>
                <w:b w:val="1"/>
                <w:bCs w:val="1"/>
                <w:color w:val="auto"/>
              </w:rPr>
              <w:t>(5,026)</w:t>
            </w:r>
          </w:p>
        </w:tc>
        <w:tc>
          <w:tcPr>
            <w:tcW w:w="5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69215</wp:posOffset>
            </wp:positionV>
            <wp:extent cx="5796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199" w:lineRule="exact"/>
        <w:rPr>
          <w:sz w:val="20"/>
          <w:szCs w:val="20"/>
          <w:color w:val="auto"/>
        </w:rPr>
      </w:pPr>
    </w:p>
    <w:p>
      <w:pPr>
        <w:ind w:right="80" w:firstLine="83"/>
        <w:spacing w:after="0" w:line="263" w:lineRule="auto"/>
        <w:rPr>
          <w:sz w:val="20"/>
          <w:szCs w:val="20"/>
          <w:color w:val="auto"/>
        </w:rPr>
      </w:pPr>
      <w:r>
        <w:rPr>
          <w:rFonts w:ascii="Arial" w:cs="Arial" w:eastAsia="Arial" w:hAnsi="Arial"/>
          <w:sz w:val="17"/>
          <w:szCs w:val="17"/>
          <w:color w:val="auto"/>
        </w:rPr>
        <w:t>The company amended its health-care benefit plan as of the end of fiscal 2004 to reduce benefits offered to certain eligible employees over a transition period. This modification did not result in any financial impact for the company during fiscal 2004.</w:t>
      </w:r>
    </w:p>
    <w:p>
      <w:pPr>
        <w:ind w:left="80"/>
        <w:spacing w:after="0"/>
        <w:rPr>
          <w:sz w:val="20"/>
          <w:szCs w:val="20"/>
          <w:color w:val="auto"/>
        </w:rPr>
      </w:pPr>
      <w:r>
        <w:rPr>
          <w:rFonts w:ascii="Arial" w:cs="Arial" w:eastAsia="Arial" w:hAnsi="Arial"/>
          <w:sz w:val="17"/>
          <w:szCs w:val="17"/>
          <w:color w:val="auto"/>
        </w:rPr>
        <w:t>Assumptions used in calculations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9225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225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502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040" w:type="dxa"/>
            <w:vAlign w:val="bottom"/>
          </w:tcPr>
          <w:p>
            <w:pPr>
              <w:jc w:val="right"/>
              <w:ind w:right="379"/>
              <w:spacing w:after="0"/>
              <w:rPr>
                <w:sz w:val="20"/>
                <w:szCs w:val="20"/>
                <w:color w:val="auto"/>
              </w:rPr>
            </w:pPr>
            <w:r>
              <w:rPr>
                <w:rFonts w:ascii="Arial" w:cs="Arial" w:eastAsia="Arial" w:hAnsi="Arial"/>
                <w:sz w:val="13"/>
                <w:szCs w:val="13"/>
                <w:b w:val="1"/>
                <w:bCs w:val="1"/>
                <w:color w:val="auto"/>
              </w:rPr>
              <w:t>2004</w:t>
            </w:r>
          </w:p>
        </w:tc>
        <w:tc>
          <w:tcPr>
            <w:tcW w:w="700" w:type="dxa"/>
            <w:vAlign w:val="bottom"/>
          </w:tcPr>
          <w:p>
            <w:pPr>
              <w:jc w:val="right"/>
              <w:spacing w:after="0"/>
              <w:rPr>
                <w:sz w:val="20"/>
                <w:szCs w:val="20"/>
                <w:color w:val="auto"/>
              </w:rPr>
            </w:pPr>
            <w:r>
              <w:rPr>
                <w:rFonts w:ascii="Arial" w:cs="Arial" w:eastAsia="Arial" w:hAnsi="Arial"/>
                <w:sz w:val="13"/>
                <w:szCs w:val="13"/>
                <w:color w:val="auto"/>
              </w:rPr>
              <w:t>2003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0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Discount rate used to determine year-end obligation</w:t>
            </w:r>
          </w:p>
        </w:tc>
        <w:tc>
          <w:tcPr>
            <w:tcW w:w="204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5.75%</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b w:val="1"/>
                <w:bCs w:val="1"/>
                <w:color w:val="auto"/>
              </w:rPr>
              <w:t>Discount rate used to determine fiscal year expense</w:t>
            </w:r>
          </w:p>
        </w:tc>
        <w:tc>
          <w:tcPr>
            <w:tcW w:w="2040" w:type="dxa"/>
            <w:vAlign w:val="bottom"/>
          </w:tcPr>
          <w:p>
            <w:pPr>
              <w:jc w:val="right"/>
              <w:ind w:right="199"/>
              <w:spacing w:after="0"/>
              <w:rPr>
                <w:sz w:val="20"/>
                <w:szCs w:val="20"/>
                <w:color w:val="auto"/>
              </w:rPr>
            </w:pPr>
            <w:r>
              <w:rPr>
                <w:rFonts w:ascii="Arial" w:cs="Arial" w:eastAsia="Arial" w:hAnsi="Arial"/>
                <w:sz w:val="17"/>
                <w:szCs w:val="17"/>
                <w:b w:val="1"/>
                <w:bCs w:val="1"/>
                <w:color w:val="auto"/>
              </w:rPr>
              <w:t>6.00%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Annual increase in cost of benefits</w:t>
            </w:r>
          </w:p>
        </w:tc>
        <w:tc>
          <w:tcPr>
            <w:tcW w:w="204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11.00%</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annual increase in cost of postretirement benefits is assumed to decrease gradually in future years, reaching an ultimate rate of 5 percent in fiscal 2011.</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Components of net benefit cost each fiscal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6870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70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8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380" w:type="dxa"/>
            <w:vAlign w:val="bottom"/>
          </w:tcPr>
          <w:p>
            <w:pPr>
              <w:spacing w:after="0"/>
              <w:rPr>
                <w:sz w:val="12"/>
                <w:szCs w:val="12"/>
                <w:color w:val="auto"/>
              </w:rPr>
            </w:pPr>
          </w:p>
        </w:tc>
        <w:tc>
          <w:tcPr>
            <w:tcW w:w="76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rPr>
              <w:t>2004</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3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178"/>
              <w:spacing w:after="0"/>
              <w:rPr>
                <w:sz w:val="20"/>
                <w:szCs w:val="20"/>
                <w:color w:val="auto"/>
              </w:rPr>
            </w:pPr>
            <w:r>
              <w:rPr>
                <w:rFonts w:ascii="Arial" w:cs="Arial" w:eastAsia="Arial" w:hAnsi="Arial"/>
                <w:sz w:val="13"/>
                <w:szCs w:val="13"/>
                <w:color w:val="auto"/>
              </w:rPr>
              <w:t>2003</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2002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Service cost</w:t>
            </w:r>
          </w:p>
        </w:tc>
        <w:tc>
          <w:tcPr>
            <w:tcW w:w="238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EEEEEE"/>
          </w:tcPr>
          <w:p>
            <w:pPr>
              <w:jc w:val="right"/>
              <w:ind w:right="158"/>
              <w:spacing w:after="0"/>
              <w:rPr>
                <w:sz w:val="20"/>
                <w:szCs w:val="20"/>
                <w:color w:val="auto"/>
              </w:rPr>
            </w:pPr>
            <w:r>
              <w:rPr>
                <w:rFonts w:ascii="Arial" w:cs="Arial" w:eastAsia="Arial" w:hAnsi="Arial"/>
                <w:sz w:val="17"/>
                <w:szCs w:val="17"/>
                <w:b w:val="1"/>
                <w:bCs w:val="1"/>
                <w:color w:val="auto"/>
              </w:rPr>
              <w:t>950</w:t>
            </w:r>
          </w:p>
        </w:tc>
        <w:tc>
          <w:tcPr>
            <w:tcW w:w="48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388</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Interest cost</w:t>
            </w:r>
          </w:p>
        </w:tc>
        <w:tc>
          <w:tcPr>
            <w:tcW w:w="2380" w:type="dxa"/>
            <w:vAlign w:val="bottom"/>
          </w:tcPr>
          <w:p>
            <w:pPr>
              <w:spacing w:after="0"/>
              <w:rPr>
                <w:sz w:val="18"/>
                <w:szCs w:val="18"/>
                <w:color w:val="auto"/>
              </w:rPr>
            </w:pPr>
          </w:p>
        </w:tc>
        <w:tc>
          <w:tcPr>
            <w:tcW w:w="760" w:type="dxa"/>
            <w:vAlign w:val="bottom"/>
          </w:tcPr>
          <w:p>
            <w:pPr>
              <w:jc w:val="right"/>
              <w:ind w:right="158"/>
              <w:spacing w:after="0"/>
              <w:rPr>
                <w:sz w:val="20"/>
                <w:szCs w:val="20"/>
                <w:color w:val="auto"/>
              </w:rPr>
            </w:pPr>
            <w:r>
              <w:rPr>
                <w:rFonts w:ascii="Arial" w:cs="Arial" w:eastAsia="Arial" w:hAnsi="Arial"/>
                <w:sz w:val="17"/>
                <w:szCs w:val="17"/>
                <w:b w:val="1"/>
                <w:bCs w:val="1"/>
                <w:color w:val="auto"/>
              </w:rPr>
              <w:t>871</w:t>
            </w:r>
          </w:p>
        </w:tc>
        <w:tc>
          <w:tcPr>
            <w:tcW w:w="480" w:type="dxa"/>
            <w:vAlign w:val="bottom"/>
          </w:tcPr>
          <w:p>
            <w:pPr>
              <w:spacing w:after="0"/>
              <w:rPr>
                <w:sz w:val="18"/>
                <w:szCs w:val="18"/>
                <w:color w:val="auto"/>
              </w:rPr>
            </w:pPr>
          </w:p>
        </w:tc>
        <w:tc>
          <w:tcPr>
            <w:tcW w:w="760" w:type="dxa"/>
            <w:vAlign w:val="bottom"/>
          </w:tcPr>
          <w:p>
            <w:pPr>
              <w:jc w:val="right"/>
              <w:ind w:right="178"/>
              <w:spacing w:after="0"/>
              <w:rPr>
                <w:sz w:val="20"/>
                <w:szCs w:val="20"/>
                <w:color w:val="auto"/>
              </w:rPr>
            </w:pPr>
            <w:r>
              <w:rPr>
                <w:rFonts w:ascii="Arial" w:cs="Arial" w:eastAsia="Arial" w:hAnsi="Arial"/>
                <w:sz w:val="17"/>
                <w:szCs w:val="17"/>
                <w:color w:val="auto"/>
              </w:rPr>
              <w:t>427</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Amortization of losses</w:t>
            </w:r>
          </w:p>
        </w:tc>
        <w:tc>
          <w:tcPr>
            <w:tcW w:w="23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8"/>
              <w:spacing w:after="0"/>
              <w:rPr>
                <w:sz w:val="20"/>
                <w:szCs w:val="20"/>
                <w:color w:val="auto"/>
              </w:rPr>
            </w:pPr>
            <w:r>
              <w:rPr>
                <w:rFonts w:ascii="Arial" w:cs="Arial" w:eastAsia="Arial" w:hAnsi="Arial"/>
                <w:sz w:val="17"/>
                <w:szCs w:val="17"/>
                <w:b w:val="1"/>
                <w:bCs w:val="1"/>
                <w:color w:val="auto"/>
              </w:rPr>
              <w:t>712</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262</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80</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Net expense</w:t>
            </w:r>
          </w:p>
        </w:tc>
        <w:tc>
          <w:tcPr>
            <w:tcW w:w="238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b w:val="1"/>
                <w:bCs w:val="1"/>
                <w:color w:val="auto"/>
              </w:rPr>
              <w:t>2,533</w:t>
            </w:r>
          </w:p>
        </w:tc>
        <w:tc>
          <w:tcPr>
            <w:tcW w:w="4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78"/>
              <w:spacing w:after="0"/>
              <w:rPr>
                <w:sz w:val="20"/>
                <w:szCs w:val="20"/>
                <w:color w:val="auto"/>
              </w:rPr>
            </w:pPr>
            <w:r>
              <w:rPr>
                <w:rFonts w:ascii="Arial" w:cs="Arial" w:eastAsia="Arial" w:hAnsi="Arial"/>
                <w:sz w:val="17"/>
                <w:szCs w:val="17"/>
                <w:color w:val="auto"/>
              </w:rPr>
              <w:t>1,077</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69215</wp:posOffset>
            </wp:positionV>
            <wp:extent cx="57962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199" w:lineRule="exact"/>
        <w:rPr>
          <w:sz w:val="20"/>
          <w:szCs w:val="20"/>
          <w:color w:val="auto"/>
        </w:rPr>
      </w:pPr>
    </w:p>
    <w:p>
      <w:pPr>
        <w:jc w:val="both"/>
        <w:ind w:right="560" w:firstLine="77"/>
        <w:spacing w:after="0" w:line="278" w:lineRule="auto"/>
        <w:rPr>
          <w:sz w:val="20"/>
          <w:szCs w:val="20"/>
          <w:color w:val="auto"/>
        </w:rPr>
      </w:pPr>
      <w:r>
        <w:rPr>
          <w:rFonts w:ascii="Arial" w:cs="Arial" w:eastAsia="Arial" w:hAnsi="Arial"/>
          <w:sz w:val="16"/>
          <w:szCs w:val="16"/>
          <w:color w:val="auto"/>
        </w:rPr>
        <w:t>Assumed trend rates for health-care costs have an important effect on the amounts reported for postretirement benefit plans. If the health-care cost trend rate increased by 1 percentage point, the postretirement benefit obligation as of October 31, 2004 would increase by $1,637,000. If the health-care cost trend rate decreased by 1 percentage point, the postretirement benefit obligation as of October 31, 2004 would decrease by $1,353,000.</w:t>
      </w:r>
    </w:p>
    <w:p>
      <w:pPr>
        <w:spacing w:after="0" w:line="1" w:lineRule="exact"/>
        <w:rPr>
          <w:sz w:val="20"/>
          <w:szCs w:val="20"/>
          <w:color w:val="auto"/>
        </w:rPr>
      </w:pPr>
    </w:p>
    <w:p>
      <w:pPr>
        <w:ind w:right="40" w:firstLine="83"/>
        <w:spacing w:after="0" w:line="269" w:lineRule="auto"/>
        <w:rPr>
          <w:sz w:val="20"/>
          <w:szCs w:val="20"/>
          <w:color w:val="auto"/>
        </w:rPr>
      </w:pPr>
      <w:r>
        <w:rPr>
          <w:rFonts w:ascii="Arial" w:cs="Arial" w:eastAsia="Arial" w:hAnsi="Arial"/>
          <w:sz w:val="17"/>
          <w:szCs w:val="17"/>
          <w:color w:val="auto"/>
        </w:rPr>
        <w:t>The benefits expected to be paid by the company in each fiscal year from fiscal years 2005-2009 are $555,000, $589,000, $544,000, $560,000, and $602,000, respectively. The aggregate benefits expected to be paid by the company in the five fiscal years from 2010-2014 are $4,214,000. The expected benefits to be paid are based on the same assumptions used to measure the company’s benefit obligation as of October 31, 2004.</w:t>
      </w:r>
    </w:p>
    <w:p>
      <w:pPr>
        <w:sectPr>
          <w:pgSz w:w="11900" w:h="16838" w:orient="portrait"/>
          <w:cols w:equalWidth="0" w:num="1">
            <w:col w:w="11400"/>
          </w:cols>
          <w:pgMar w:left="240" w:top="413" w:right="259" w:bottom="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86"/>
        <w:spacing w:after="0" w:line="286" w:lineRule="auto"/>
        <w:rPr>
          <w:sz w:val="20"/>
          <w:szCs w:val="20"/>
          <w:color w:val="auto"/>
        </w:rPr>
      </w:pPr>
      <w:r>
        <w:rPr>
          <w:rFonts w:ascii="Arial" w:cs="Arial" w:eastAsia="Arial" w:hAnsi="Arial"/>
          <w:sz w:val="17"/>
          <w:szCs w:val="17"/>
          <w:color w:val="auto"/>
        </w:rPr>
        <w:t>In addition, the company and its subsidiaries have defined benefit, supplemental, and other retirement plans covering certain employees. The plan assets, liabilities, and expenses related to these plans were not significant to the company’s consolidated operating results or financial position.</w:t>
      </w:r>
    </w:p>
    <w:p>
      <w:pPr>
        <w:spacing w:after="0" w:line="204" w:lineRule="auto"/>
        <w:tabs>
          <w:tab w:leader="none" w:pos="920" w:val="left"/>
        </w:tabs>
        <w:rPr>
          <w:sz w:val="20"/>
          <w:szCs w:val="20"/>
          <w:color w:val="auto"/>
        </w:rPr>
      </w:pPr>
      <w:r>
        <w:rPr>
          <w:rFonts w:ascii="Arial" w:cs="Arial" w:eastAsia="Arial" w:hAnsi="Arial"/>
          <w:sz w:val="42"/>
          <w:szCs w:val="42"/>
          <w:b w:val="1"/>
          <w:bCs w:val="1"/>
          <w:color w:val="auto"/>
        </w:rPr>
        <w:t>12</w:t>
      </w:r>
      <w:r>
        <w:rPr>
          <w:sz w:val="20"/>
          <w:szCs w:val="20"/>
          <w:color w:val="auto"/>
        </w:rPr>
        <w:tab/>
      </w:r>
      <w:r>
        <w:rPr>
          <w:rFonts w:ascii="Arial" w:cs="Arial" w:eastAsia="Arial" w:hAnsi="Arial"/>
          <w:sz w:val="21"/>
          <w:szCs w:val="21"/>
          <w:b w:val="1"/>
          <w:bCs w:val="1"/>
          <w:color w:val="auto"/>
        </w:rPr>
        <w:t>SEGMENT DATA</w:t>
      </w:r>
    </w:p>
    <w:p>
      <w:pPr>
        <w:spacing w:after="0" w:line="200" w:lineRule="exact"/>
        <w:rPr>
          <w:sz w:val="20"/>
          <w:szCs w:val="20"/>
          <w:color w:val="auto"/>
        </w:rPr>
      </w:pPr>
    </w:p>
    <w:p>
      <w:pPr>
        <w:spacing w:after="0" w:line="260"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Reportable Segments</w:t>
      </w: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agricultural drip tape and hose products. These products are sold mainly through a network of distributors and dealers to professional users engaged in maintaining golf courses, sports fields, municipal and industrial properties, agricultural grounds, and residential and commercial landscapes.</w:t>
      </w:r>
    </w:p>
    <w:p>
      <w:pPr>
        <w:spacing w:after="0" w:line="2" w:lineRule="exact"/>
        <w:rPr>
          <w:sz w:val="20"/>
          <w:szCs w:val="20"/>
          <w:color w:val="auto"/>
        </w:rPr>
      </w:pPr>
    </w:p>
    <w:p>
      <w:pPr>
        <w:ind w:firstLine="83"/>
        <w:spacing w:after="0" w:line="276" w:lineRule="auto"/>
        <w:rPr>
          <w:sz w:val="20"/>
          <w:szCs w:val="20"/>
          <w:color w:val="auto"/>
        </w:rPr>
      </w:pPr>
      <w:r>
        <w:rPr>
          <w:rFonts w:ascii="Arial" w:cs="Arial" w:eastAsia="Arial" w:hAnsi="Arial"/>
          <w:sz w:val="16"/>
          <w:szCs w:val="16"/>
          <w:color w:val="auto"/>
        </w:rPr>
        <w:t>The residential segment consists of walk power mowers, riding mowers and tractors, snow throwers, homeowner-installed irrigation systems, replacement parts, and electrical home solutions products, including trimmers, blowers, and blower vacuums. These products are sold to homeowners through a network of distributors and dealers, and through a broad array of hardware retailers, home centers, and mass retailers as well as over the Internet.</w:t>
      </w:r>
    </w:p>
    <w:p>
      <w:pPr>
        <w:ind w:right="560" w:firstLine="83"/>
        <w:spacing w:after="0" w:line="259" w:lineRule="auto"/>
        <w:rPr>
          <w:sz w:val="20"/>
          <w:szCs w:val="20"/>
          <w:color w:val="auto"/>
        </w:rPr>
      </w:pPr>
      <w:r>
        <w:rPr>
          <w:rFonts w:ascii="Arial" w:cs="Arial" w:eastAsia="Arial" w:hAnsi="Arial"/>
          <w:sz w:val="17"/>
          <w:szCs w:val="17"/>
          <w:color w:val="auto"/>
        </w:rPr>
        <w:t>The distribution segment consists of company-owned domestic distributor operations. These distribution companies sell Toro and non-Toro professional and residential products directly to dealers, retailers, and end-user customers.</w:t>
      </w:r>
    </w:p>
    <w:p>
      <w:pPr>
        <w:spacing w:after="0" w:line="1" w:lineRule="exact"/>
        <w:rPr>
          <w:sz w:val="20"/>
          <w:szCs w:val="20"/>
          <w:color w:val="auto"/>
        </w:rPr>
      </w:pPr>
    </w:p>
    <w:p>
      <w:pPr>
        <w:ind w:right="60" w:firstLine="83"/>
        <w:spacing w:after="0" w:line="276" w:lineRule="auto"/>
        <w:rPr>
          <w:sz w:val="20"/>
          <w:szCs w:val="20"/>
          <w:color w:val="auto"/>
        </w:rPr>
      </w:pPr>
      <w:r>
        <w:rPr>
          <w:rFonts w:ascii="Arial" w:cs="Arial" w:eastAsia="Arial" w:hAnsi="Arial"/>
          <w:sz w:val="16"/>
          <w:szCs w:val="16"/>
          <w:color w:val="auto"/>
        </w:rPr>
        <w:t>The other segment consists of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ind w:right="100" w:firstLine="83"/>
        <w:spacing w:after="0" w:line="28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Note 1. The company evaluates the performance of its professional, residential, and distribution business segment results based on earnings (loss) before interest expense, income taxes, and cumulative effect of change in accounting principle. The other segment operating loss includes corporate activities, other income, net,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3" w:name="page54"/>
    <w:bookmarkEnd w:id="53"/>
    <w:p>
      <w:pPr>
        <w:spacing w:after="0" w:line="10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309880</wp:posOffset>
            </wp:positionV>
            <wp:extent cx="71316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168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580" w:type="dxa"/>
            <w:vAlign w:val="bottom"/>
          </w:tcPr>
          <w:p>
            <w:pPr>
              <w:spacing w:after="0"/>
              <w:rPr>
                <w:sz w:val="13"/>
                <w:szCs w:val="13"/>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3"/>
                <w:szCs w:val="13"/>
                <w:color w:val="auto"/>
              </w:rPr>
              <w:t>Professional</w:t>
            </w:r>
            <w:r>
              <w:rPr>
                <w:rFonts w:ascii="Arial" w:cs="Arial" w:eastAsia="Arial" w:hAnsi="Arial"/>
                <w:sz w:val="22"/>
                <w:szCs w:val="22"/>
                <w:color w:val="auto"/>
                <w:vertAlign w:val="superscript"/>
              </w:rPr>
              <w:t>1</w:t>
            </w:r>
          </w:p>
        </w:tc>
        <w:tc>
          <w:tcPr>
            <w:tcW w:w="640" w:type="dxa"/>
            <w:vAlign w:val="bottom"/>
          </w:tcPr>
          <w:p>
            <w:pPr>
              <w:spacing w:after="0"/>
              <w:rPr>
                <w:sz w:val="13"/>
                <w:szCs w:val="13"/>
                <w:color w:val="auto"/>
              </w:rPr>
            </w:pPr>
          </w:p>
        </w:tc>
        <w:tc>
          <w:tcPr>
            <w:tcW w:w="1180" w:type="dxa"/>
            <w:vAlign w:val="bottom"/>
            <w:vMerge w:val="restart"/>
          </w:tcPr>
          <w:p>
            <w:pPr>
              <w:jc w:val="right"/>
              <w:ind w:right="274"/>
              <w:spacing w:after="0"/>
              <w:rPr>
                <w:sz w:val="20"/>
                <w:szCs w:val="20"/>
                <w:color w:val="auto"/>
              </w:rPr>
            </w:pPr>
            <w:r>
              <w:rPr>
                <w:rFonts w:ascii="Arial" w:cs="Arial" w:eastAsia="Arial" w:hAnsi="Arial"/>
                <w:sz w:val="13"/>
                <w:szCs w:val="13"/>
                <w:color w:val="auto"/>
              </w:rPr>
              <w:t>Residential</w:t>
            </w:r>
            <w:r>
              <w:rPr>
                <w:rFonts w:ascii="Arial" w:cs="Arial" w:eastAsia="Arial" w:hAnsi="Arial"/>
                <w:sz w:val="22"/>
                <w:szCs w:val="22"/>
                <w:color w:val="auto"/>
                <w:vertAlign w:val="superscript"/>
              </w:rPr>
              <w:t>2</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4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58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jc w:val="right"/>
              <w:ind w:right="274"/>
              <w:spacing w:after="0"/>
              <w:rPr>
                <w:sz w:val="20"/>
                <w:szCs w:val="20"/>
                <w:color w:val="auto"/>
              </w:rPr>
            </w:pPr>
            <w:r>
              <w:rPr>
                <w:rFonts w:ascii="Arial" w:cs="Arial" w:eastAsia="Arial" w:hAnsi="Arial"/>
                <w:sz w:val="13"/>
                <w:szCs w:val="13"/>
                <w:color w:val="auto"/>
              </w:rPr>
              <w:t>Distribution</w:t>
            </w:r>
          </w:p>
        </w:tc>
        <w:tc>
          <w:tcPr>
            <w:tcW w:w="440" w:type="dxa"/>
            <w:vAlign w:val="bottom"/>
          </w:tcPr>
          <w:p>
            <w:pPr>
              <w:spacing w:after="0"/>
              <w:rPr>
                <w:sz w:val="23"/>
                <w:szCs w:val="23"/>
                <w:color w:val="auto"/>
              </w:rPr>
            </w:pPr>
          </w:p>
        </w:tc>
        <w:tc>
          <w:tcPr>
            <w:tcW w:w="860" w:type="dxa"/>
            <w:vAlign w:val="bottom"/>
          </w:tcPr>
          <w:p>
            <w:pPr>
              <w:jc w:val="right"/>
              <w:ind w:right="214"/>
              <w:spacing w:after="0"/>
              <w:rPr>
                <w:sz w:val="20"/>
                <w:szCs w:val="20"/>
                <w:color w:val="auto"/>
              </w:rPr>
            </w:pPr>
            <w:r>
              <w:rPr>
                <w:rFonts w:ascii="Arial" w:cs="Arial" w:eastAsia="Arial" w:hAnsi="Arial"/>
                <w:sz w:val="13"/>
                <w:szCs w:val="13"/>
                <w:color w:val="auto"/>
              </w:rPr>
              <w:t>Other</w:t>
            </w:r>
          </w:p>
        </w:tc>
        <w:tc>
          <w:tcPr>
            <w:tcW w:w="42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1180" w:type="dxa"/>
            <w:vAlign w:val="bottom"/>
            <w:tcBorders>
              <w:top w:val="single" w:sz="8" w:color="808080"/>
            </w:tcBorders>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114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2004</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b w:val="1"/>
                <w:bCs w:val="1"/>
                <w:color w:val="auto"/>
              </w:rPr>
              <w:t>Net sales</w:t>
            </w: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w:t>
            </w: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1,028,941</w:t>
            </w:r>
          </w:p>
        </w:tc>
        <w:tc>
          <w:tcPr>
            <w:tcW w:w="640" w:type="dxa"/>
            <w:vAlign w:val="bottom"/>
          </w:tcPr>
          <w:p>
            <w:pPr>
              <w:jc w:val="right"/>
              <w:ind w:right="114"/>
              <w:spacing w:after="0" w:line="146" w:lineRule="exact"/>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554,334</w:t>
            </w:r>
          </w:p>
        </w:tc>
        <w:tc>
          <w:tcPr>
            <w:tcW w:w="560" w:type="dxa"/>
            <w:vAlign w:val="bottom"/>
          </w:tcPr>
          <w:p>
            <w:pPr>
              <w:jc w:val="right"/>
              <w:ind w:right="74"/>
              <w:spacing w:after="0" w:line="146"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152,234</w:t>
            </w:r>
          </w:p>
        </w:tc>
        <w:tc>
          <w:tcPr>
            <w:tcW w:w="440" w:type="dxa"/>
            <w:vAlign w:val="bottom"/>
          </w:tcPr>
          <w:p>
            <w:pPr>
              <w:jc w:val="right"/>
              <w:ind w:right="34"/>
              <w:spacing w:after="0" w:line="146"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(83,001)</w:t>
            </w:r>
          </w:p>
        </w:tc>
        <w:tc>
          <w:tcPr>
            <w:tcW w:w="420" w:type="dxa"/>
            <w:vAlign w:val="bottom"/>
          </w:tcPr>
          <w:p>
            <w:pPr>
              <w:jc w:val="right"/>
              <w:ind w:right="34"/>
              <w:spacing w:after="0" w:line="146"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1,652,508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Intersegment gross sales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89,893</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8,999</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(98,892)</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b w:val="1"/>
                <w:bCs w:val="1"/>
                <w:color w:val="auto"/>
              </w:rPr>
              <w:t>Earnings (loss) before income taxes</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173,111</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61,777</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2,203</w:t>
            </w:r>
          </w:p>
        </w:tc>
        <w:tc>
          <w:tcPr>
            <w:tcW w:w="440" w:type="dxa"/>
            <w:vAlign w:val="bottom"/>
          </w:tcPr>
          <w:p>
            <w:pPr>
              <w:spacing w:after="0"/>
              <w:rPr>
                <w:sz w:val="12"/>
                <w:szCs w:val="12"/>
                <w:color w:val="auto"/>
              </w:rPr>
            </w:pPr>
          </w:p>
        </w:tc>
        <w:tc>
          <w:tcPr>
            <w:tcW w:w="86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(83,858)</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153,233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Total assets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419,000</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187,860</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35,195</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b w:val="1"/>
                <w:bCs w:val="1"/>
                <w:color w:val="auto"/>
              </w:rPr>
              <w:t>286,692</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928,747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b w:val="1"/>
                <w:bCs w:val="1"/>
                <w:color w:val="auto"/>
              </w:rPr>
              <w:t>Capital expenditures</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25,772</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5,802</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455</w:t>
            </w:r>
          </w:p>
        </w:tc>
        <w:tc>
          <w:tcPr>
            <w:tcW w:w="440" w:type="dxa"/>
            <w:vAlign w:val="bottom"/>
          </w:tcPr>
          <w:p>
            <w:pPr>
              <w:spacing w:after="0"/>
              <w:rPr>
                <w:sz w:val="12"/>
                <w:szCs w:val="12"/>
                <w:color w:val="auto"/>
              </w:rPr>
            </w:pPr>
          </w:p>
        </w:tc>
        <w:tc>
          <w:tcPr>
            <w:tcW w:w="860" w:type="dxa"/>
            <w:vAlign w:val="bottom"/>
          </w:tcPr>
          <w:p>
            <w:pPr>
              <w:jc w:val="right"/>
              <w:ind w:right="214"/>
              <w:spacing w:after="0" w:line="146" w:lineRule="exact"/>
              <w:rPr>
                <w:sz w:val="20"/>
                <w:szCs w:val="20"/>
                <w:color w:val="auto"/>
              </w:rPr>
            </w:pPr>
            <w:r>
              <w:rPr>
                <w:rFonts w:ascii="Arial" w:cs="Arial" w:eastAsia="Arial" w:hAnsi="Arial"/>
                <w:sz w:val="13"/>
                <w:szCs w:val="13"/>
                <w:b w:val="1"/>
                <w:bCs w:val="1"/>
                <w:color w:val="auto"/>
              </w:rPr>
              <w:t>8,783</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40,812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Depreciation and amortization</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17,641</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8,027</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792</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b w:val="1"/>
                <w:bCs w:val="1"/>
                <w:color w:val="auto"/>
              </w:rPr>
              <w:t>9,633</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36,093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460" w:type="dxa"/>
            <w:vAlign w:val="bottom"/>
            <w:gridSpan w:val="2"/>
          </w:tcPr>
          <w:p>
            <w:pPr>
              <w:spacing w:after="0"/>
              <w:rPr>
                <w:sz w:val="20"/>
                <w:szCs w:val="20"/>
                <w:color w:val="auto"/>
              </w:rPr>
            </w:pPr>
            <w:r>
              <w:rPr>
                <w:rFonts w:ascii="Arial" w:cs="Arial" w:eastAsia="Arial" w:hAnsi="Arial"/>
                <w:sz w:val="13"/>
                <w:szCs w:val="13"/>
                <w:color w:val="auto"/>
              </w:rPr>
              <w:t>2003</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Net sales</w:t>
            </w: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929,434</w:t>
            </w:r>
          </w:p>
        </w:tc>
        <w:tc>
          <w:tcPr>
            <w:tcW w:w="6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506,466</w:t>
            </w:r>
          </w:p>
        </w:tc>
        <w:tc>
          <w:tcPr>
            <w:tcW w:w="560" w:type="dxa"/>
            <w:vAlign w:val="bottom"/>
            <w:shd w:val="clear" w:color="auto" w:fill="EEEEEE"/>
          </w:tcPr>
          <w:p>
            <w:pPr>
              <w:jc w:val="right"/>
              <w:ind w:right="74"/>
              <w:spacing w:after="0" w:line="146" w:lineRule="exact"/>
              <w:rPr>
                <w:sz w:val="20"/>
                <w:szCs w:val="20"/>
                <w:color w:val="auto"/>
              </w:rPr>
            </w:pPr>
            <w:r>
              <w:rPr>
                <w:rFonts w:ascii="Arial" w:cs="Arial" w:eastAsia="Arial" w:hAnsi="Arial"/>
                <w:sz w:val="13"/>
                <w:szCs w:val="13"/>
                <w:color w:val="auto"/>
              </w:rPr>
              <w:t>$</w:t>
            </w: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133,957</w:t>
            </w:r>
          </w:p>
        </w:tc>
        <w:tc>
          <w:tcPr>
            <w:tcW w:w="4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(73,269)</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1,496,588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color w:val="auto"/>
              </w:rPr>
              <w:t>Intersegment gross sales</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81,421</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7,985</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(89,406)</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Earnings (loss) before income taxes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146,756</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55,460</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(505)</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(80,793)</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120,918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color w:val="auto"/>
              </w:rPr>
              <w:t>Total assets</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412,361</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180,767</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46,232</w:t>
            </w:r>
          </w:p>
        </w:tc>
        <w:tc>
          <w:tcPr>
            <w:tcW w:w="440" w:type="dxa"/>
            <w:vAlign w:val="bottom"/>
          </w:tcPr>
          <w:p>
            <w:pPr>
              <w:spacing w:after="0"/>
              <w:rPr>
                <w:sz w:val="12"/>
                <w:szCs w:val="12"/>
                <w:color w:val="auto"/>
              </w:rPr>
            </w:pPr>
          </w:p>
        </w:tc>
        <w:tc>
          <w:tcPr>
            <w:tcW w:w="86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288,072</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927,432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Capital expenditures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22,440</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12,759</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413</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7,653</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43,265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580" w:type="dxa"/>
            <w:vAlign w:val="bottom"/>
          </w:tcPr>
          <w:p>
            <w:pPr>
              <w:spacing w:after="0"/>
              <w:rPr>
                <w:sz w:val="14"/>
                <w:szCs w:val="14"/>
                <w:color w:val="auto"/>
              </w:rPr>
            </w:pP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17,159</w:t>
            </w:r>
          </w:p>
        </w:tc>
        <w:tc>
          <w:tcPr>
            <w:tcW w:w="640" w:type="dxa"/>
            <w:vAlign w:val="bottom"/>
          </w:tcPr>
          <w:p>
            <w:pPr>
              <w:spacing w:after="0"/>
              <w:rPr>
                <w:sz w:val="14"/>
                <w:szCs w:val="14"/>
                <w:color w:val="auto"/>
              </w:rPr>
            </w:pPr>
          </w:p>
        </w:tc>
        <w:tc>
          <w:tcPr>
            <w:tcW w:w="1180" w:type="dxa"/>
            <w:vAlign w:val="bottom"/>
          </w:tcPr>
          <w:p>
            <w:pPr>
              <w:jc w:val="right"/>
              <w:ind w:right="274"/>
              <w:spacing w:after="0"/>
              <w:rPr>
                <w:sz w:val="20"/>
                <w:szCs w:val="20"/>
                <w:color w:val="auto"/>
              </w:rPr>
            </w:pPr>
            <w:r>
              <w:rPr>
                <w:rFonts w:ascii="Arial" w:cs="Arial" w:eastAsia="Arial" w:hAnsi="Arial"/>
                <w:sz w:val="13"/>
                <w:szCs w:val="13"/>
                <w:color w:val="auto"/>
              </w:rPr>
              <w:t>7,816</w:t>
            </w:r>
          </w:p>
        </w:tc>
        <w:tc>
          <w:tcPr>
            <w:tcW w:w="560" w:type="dxa"/>
            <w:vAlign w:val="bottom"/>
          </w:tcPr>
          <w:p>
            <w:pPr>
              <w:spacing w:after="0"/>
              <w:rPr>
                <w:sz w:val="14"/>
                <w:szCs w:val="14"/>
                <w:color w:val="auto"/>
              </w:rPr>
            </w:pPr>
          </w:p>
        </w:tc>
        <w:tc>
          <w:tcPr>
            <w:tcW w:w="1140" w:type="dxa"/>
            <w:vAlign w:val="bottom"/>
          </w:tcPr>
          <w:p>
            <w:pPr>
              <w:jc w:val="right"/>
              <w:ind w:right="274"/>
              <w:spacing w:after="0"/>
              <w:rPr>
                <w:sz w:val="20"/>
                <w:szCs w:val="20"/>
                <w:color w:val="auto"/>
              </w:rPr>
            </w:pPr>
            <w:r>
              <w:rPr>
                <w:rFonts w:ascii="Arial" w:cs="Arial" w:eastAsia="Arial" w:hAnsi="Arial"/>
                <w:sz w:val="13"/>
                <w:szCs w:val="13"/>
                <w:color w:val="auto"/>
              </w:rPr>
              <w:t>636</w:t>
            </w:r>
          </w:p>
        </w:tc>
        <w:tc>
          <w:tcPr>
            <w:tcW w:w="44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3"/>
                <w:szCs w:val="13"/>
                <w:color w:val="auto"/>
              </w:rPr>
              <w:t>8,525</w:t>
            </w:r>
          </w:p>
        </w:tc>
        <w:tc>
          <w:tcPr>
            <w:tcW w:w="4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34,136</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2002</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color w:val="auto"/>
              </w:rPr>
              <w:t>Net sales</w:t>
            </w: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862,294</w:t>
            </w:r>
          </w:p>
        </w:tc>
        <w:tc>
          <w:tcPr>
            <w:tcW w:w="6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474,333</w:t>
            </w:r>
          </w:p>
        </w:tc>
        <w:tc>
          <w:tcPr>
            <w:tcW w:w="560" w:type="dxa"/>
            <w:vAlign w:val="bottom"/>
          </w:tcPr>
          <w:p>
            <w:pPr>
              <w:jc w:val="right"/>
              <w:ind w:right="74"/>
              <w:spacing w:after="0" w:line="146"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158,935</w:t>
            </w:r>
          </w:p>
        </w:tc>
        <w:tc>
          <w:tcPr>
            <w:tcW w:w="4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(96,289)</w:t>
            </w:r>
          </w:p>
        </w:tc>
        <w:tc>
          <w:tcPr>
            <w:tcW w:w="4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1,399,273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Intersegment gross sales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99,553</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10,764</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(110,317)</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color w:val="auto"/>
                <w:w w:val="99"/>
              </w:rPr>
              <w:t>Earnings (loss) before income taxes and accounting change</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111,709</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51,916</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2,251</w:t>
            </w:r>
          </w:p>
        </w:tc>
        <w:tc>
          <w:tcPr>
            <w:tcW w:w="440" w:type="dxa"/>
            <w:vAlign w:val="bottom"/>
          </w:tcPr>
          <w:p>
            <w:pPr>
              <w:spacing w:after="0"/>
              <w:rPr>
                <w:sz w:val="12"/>
                <w:szCs w:val="12"/>
                <w:color w:val="auto"/>
              </w:rPr>
            </w:pPr>
          </w:p>
        </w:tc>
        <w:tc>
          <w:tcPr>
            <w:tcW w:w="8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(79,077)</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86,799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Total assets</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399,024</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162,442</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51,823</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232,851</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846,140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line="146" w:lineRule="exact"/>
              <w:rPr>
                <w:sz w:val="20"/>
                <w:szCs w:val="20"/>
                <w:color w:val="auto"/>
              </w:rPr>
            </w:pPr>
            <w:r>
              <w:rPr>
                <w:rFonts w:ascii="Arial" w:cs="Arial" w:eastAsia="Arial" w:hAnsi="Arial"/>
                <w:sz w:val="13"/>
                <w:szCs w:val="13"/>
                <w:color w:val="auto"/>
              </w:rPr>
              <w:t>Capital expenditures</w:t>
            </w:r>
          </w:p>
        </w:tc>
        <w:tc>
          <w:tcPr>
            <w:tcW w:w="58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20,818</w:t>
            </w:r>
          </w:p>
        </w:tc>
        <w:tc>
          <w:tcPr>
            <w:tcW w:w="640" w:type="dxa"/>
            <w:vAlign w:val="bottom"/>
          </w:tcPr>
          <w:p>
            <w:pPr>
              <w:spacing w:after="0"/>
              <w:rPr>
                <w:sz w:val="12"/>
                <w:szCs w:val="12"/>
                <w:color w:val="auto"/>
              </w:rPr>
            </w:pPr>
          </w:p>
        </w:tc>
        <w:tc>
          <w:tcPr>
            <w:tcW w:w="118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17,789</w:t>
            </w:r>
          </w:p>
        </w:tc>
        <w:tc>
          <w:tcPr>
            <w:tcW w:w="560" w:type="dxa"/>
            <w:vAlign w:val="bottom"/>
          </w:tcPr>
          <w:p>
            <w:pPr>
              <w:spacing w:after="0"/>
              <w:rPr>
                <w:sz w:val="12"/>
                <w:szCs w:val="12"/>
                <w:color w:val="auto"/>
              </w:rPr>
            </w:pPr>
          </w:p>
        </w:tc>
        <w:tc>
          <w:tcPr>
            <w:tcW w:w="11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685</w:t>
            </w:r>
          </w:p>
        </w:tc>
        <w:tc>
          <w:tcPr>
            <w:tcW w:w="440" w:type="dxa"/>
            <w:vAlign w:val="bottom"/>
          </w:tcPr>
          <w:p>
            <w:pPr>
              <w:spacing w:after="0"/>
              <w:rPr>
                <w:sz w:val="12"/>
                <w:szCs w:val="12"/>
                <w:color w:val="auto"/>
              </w:rPr>
            </w:pPr>
          </w:p>
        </w:tc>
        <w:tc>
          <w:tcPr>
            <w:tcW w:w="86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6,317</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45,609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Depreciation and amortization</w:t>
            </w: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16,806</w:t>
            </w:r>
          </w:p>
        </w:tc>
        <w:tc>
          <w:tcPr>
            <w:tcW w:w="640" w:type="dxa"/>
            <w:vAlign w:val="bottom"/>
            <w:shd w:val="clear" w:color="auto" w:fill="EEEEEE"/>
          </w:tcPr>
          <w:p>
            <w:pPr>
              <w:spacing w:after="0"/>
              <w:rPr>
                <w:sz w:val="12"/>
                <w:szCs w:val="12"/>
                <w:color w:val="auto"/>
              </w:rPr>
            </w:pPr>
          </w:p>
        </w:tc>
        <w:tc>
          <w:tcPr>
            <w:tcW w:w="118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6,559</w:t>
            </w:r>
          </w:p>
        </w:tc>
        <w:tc>
          <w:tcPr>
            <w:tcW w:w="560" w:type="dxa"/>
            <w:vAlign w:val="bottom"/>
            <w:shd w:val="clear" w:color="auto" w:fill="EEEEEE"/>
          </w:tcPr>
          <w:p>
            <w:pPr>
              <w:spacing w:after="0"/>
              <w:rPr>
                <w:sz w:val="12"/>
                <w:szCs w:val="12"/>
                <w:color w:val="auto"/>
              </w:rPr>
            </w:pPr>
          </w:p>
        </w:tc>
        <w:tc>
          <w:tcPr>
            <w:tcW w:w="114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537</w:t>
            </w:r>
          </w:p>
        </w:tc>
        <w:tc>
          <w:tcPr>
            <w:tcW w:w="44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6,976</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30,878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40" w:right="260" w:hanging="131"/>
        <w:spacing w:after="0" w:line="263" w:lineRule="auto"/>
        <w:rPr>
          <w:sz w:val="20"/>
          <w:szCs w:val="20"/>
          <w:color w:val="auto"/>
        </w:rPr>
      </w:pPr>
      <w:r>
        <w:rPr>
          <w:rFonts w:ascii="Arial" w:cs="Arial" w:eastAsia="Arial" w:hAnsi="Arial"/>
          <w:sz w:val="17"/>
          <w:szCs w:val="17"/>
          <w:color w:val="auto"/>
        </w:rPr>
        <w:t>1 Includes restructuring and other income of $0.6 million and $0.4 million in fiscal 2004 and fiscal 2003, respectively. Includes restructuring and other expense of $8.4 million in fiscal 2002.</w:t>
      </w:r>
    </w:p>
    <w:p>
      <w:pPr>
        <w:spacing w:after="0"/>
        <w:rPr>
          <w:sz w:val="20"/>
          <w:szCs w:val="20"/>
          <w:color w:val="auto"/>
        </w:rPr>
      </w:pPr>
      <w:r>
        <w:rPr>
          <w:rFonts w:ascii="Arial" w:cs="Arial" w:eastAsia="Arial" w:hAnsi="Arial"/>
          <w:sz w:val="17"/>
          <w:szCs w:val="17"/>
          <w:color w:val="auto"/>
        </w:rPr>
        <w:t>2 Includes restructuring and other income of $0.1 million in fiscal 2004 and restructuring and other expense of $2.2 million in fiscal 2003.</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presents the details of the other segment earnings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291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1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6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720" w:type="dxa"/>
            <w:vAlign w:val="bottom"/>
          </w:tcPr>
          <w:p>
            <w:pPr>
              <w:spacing w:after="0"/>
              <w:rPr>
                <w:sz w:val="12"/>
                <w:szCs w:val="12"/>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2004</w:t>
            </w: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7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2003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Corporate expenses</w:t>
            </w:r>
          </w:p>
        </w:tc>
        <w:tc>
          <w:tcPr>
            <w:tcW w:w="172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EEEEE"/>
          </w:tcPr>
          <w:p>
            <w:pPr>
              <w:jc w:val="right"/>
              <w:ind w:right="157"/>
              <w:spacing w:after="0"/>
              <w:rPr>
                <w:sz w:val="20"/>
                <w:szCs w:val="20"/>
                <w:color w:val="auto"/>
              </w:rPr>
            </w:pPr>
            <w:r>
              <w:rPr>
                <w:rFonts w:ascii="Arial" w:cs="Arial" w:eastAsia="Arial" w:hAnsi="Arial"/>
                <w:sz w:val="17"/>
                <w:szCs w:val="17"/>
                <w:b w:val="1"/>
                <w:bCs w:val="1"/>
                <w:color w:val="auto"/>
              </w:rPr>
              <w:t>(96,062)</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(91,063)</w:t>
            </w:r>
          </w:p>
        </w:tc>
        <w:tc>
          <w:tcPr>
            <w:tcW w:w="46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b w:val="1"/>
                <w:bCs w:val="1"/>
                <w:color w:val="auto"/>
              </w:rPr>
              <w:t>Interest expense, net</w:t>
            </w:r>
          </w:p>
        </w:tc>
        <w:tc>
          <w:tcPr>
            <w:tcW w:w="1720" w:type="dxa"/>
            <w:vAlign w:val="bottom"/>
          </w:tcPr>
          <w:p>
            <w:pPr>
              <w:spacing w:after="0"/>
              <w:rPr>
                <w:sz w:val="18"/>
                <w:szCs w:val="18"/>
                <w:color w:val="auto"/>
              </w:rPr>
            </w:pPr>
          </w:p>
        </w:tc>
        <w:tc>
          <w:tcPr>
            <w:tcW w:w="960" w:type="dxa"/>
            <w:vAlign w:val="bottom"/>
          </w:tcPr>
          <w:p>
            <w:pPr>
              <w:jc w:val="right"/>
              <w:ind w:right="157"/>
              <w:spacing w:after="0"/>
              <w:rPr>
                <w:sz w:val="20"/>
                <w:szCs w:val="20"/>
                <w:color w:val="auto"/>
              </w:rPr>
            </w:pPr>
            <w:r>
              <w:rPr>
                <w:rFonts w:ascii="Arial" w:cs="Arial" w:eastAsia="Arial" w:hAnsi="Arial"/>
                <w:sz w:val="17"/>
                <w:szCs w:val="17"/>
                <w:b w:val="1"/>
                <w:bCs w:val="1"/>
                <w:color w:val="auto"/>
              </w:rPr>
              <w:t>(15,523)</w:t>
            </w:r>
          </w:p>
        </w:tc>
        <w:tc>
          <w:tcPr>
            <w:tcW w:w="460" w:type="dxa"/>
            <w:vAlign w:val="bottom"/>
          </w:tcPr>
          <w:p>
            <w:pPr>
              <w:spacing w:after="0"/>
              <w:rPr>
                <w:sz w:val="18"/>
                <w:szCs w:val="18"/>
                <w:color w:val="auto"/>
              </w:rPr>
            </w:pPr>
          </w:p>
        </w:tc>
        <w:tc>
          <w:tcPr>
            <w:tcW w:w="980" w:type="dxa"/>
            <w:vAlign w:val="bottom"/>
          </w:tcPr>
          <w:p>
            <w:pPr>
              <w:jc w:val="right"/>
              <w:ind w:right="157"/>
              <w:spacing w:after="0"/>
              <w:rPr>
                <w:sz w:val="20"/>
                <w:szCs w:val="20"/>
                <w:color w:val="auto"/>
              </w:rPr>
            </w:pPr>
            <w:r>
              <w:rPr>
                <w:rFonts w:ascii="Arial" w:cs="Arial" w:eastAsia="Arial" w:hAnsi="Arial"/>
                <w:sz w:val="17"/>
                <w:szCs w:val="17"/>
                <w:color w:val="auto"/>
              </w:rPr>
              <w:t>(16,285)</w:t>
            </w:r>
          </w:p>
        </w:tc>
        <w:tc>
          <w:tcPr>
            <w:tcW w:w="4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(19,747)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Finance charge revenue</w:t>
            </w:r>
          </w:p>
        </w:tc>
        <w:tc>
          <w:tcPr>
            <w:tcW w:w="172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3,266</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2,665</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3,664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b w:val="1"/>
                <w:bCs w:val="1"/>
                <w:color w:val="auto"/>
              </w:rPr>
              <w:t>Elimination of corporate financing expense</w:t>
            </w:r>
          </w:p>
        </w:tc>
        <w:tc>
          <w:tcPr>
            <w:tcW w:w="1720" w:type="dxa"/>
            <w:vAlign w:val="bottom"/>
          </w:tcPr>
          <w:p>
            <w:pPr>
              <w:spacing w:after="0"/>
              <w:rPr>
                <w:sz w:val="18"/>
                <w:szCs w:val="18"/>
                <w:color w:val="auto"/>
              </w:rPr>
            </w:pPr>
          </w:p>
        </w:tc>
        <w:tc>
          <w:tcPr>
            <w:tcW w:w="960" w:type="dxa"/>
            <w:vAlign w:val="bottom"/>
          </w:tcPr>
          <w:p>
            <w:pPr>
              <w:jc w:val="right"/>
              <w:ind w:right="197"/>
              <w:spacing w:after="0"/>
              <w:rPr>
                <w:sz w:val="20"/>
                <w:szCs w:val="20"/>
                <w:color w:val="auto"/>
              </w:rPr>
            </w:pPr>
            <w:r>
              <w:rPr>
                <w:rFonts w:ascii="Arial" w:cs="Arial" w:eastAsia="Arial" w:hAnsi="Arial"/>
                <w:sz w:val="17"/>
                <w:szCs w:val="17"/>
                <w:b w:val="1"/>
                <w:bCs w:val="1"/>
                <w:color w:val="auto"/>
              </w:rPr>
              <w:t>16,005</w:t>
            </w:r>
          </w:p>
        </w:tc>
        <w:tc>
          <w:tcPr>
            <w:tcW w:w="460" w:type="dxa"/>
            <w:vAlign w:val="bottom"/>
          </w:tcPr>
          <w:p>
            <w:pPr>
              <w:spacing w:after="0"/>
              <w:rPr>
                <w:sz w:val="18"/>
                <w:szCs w:val="18"/>
                <w:color w:val="auto"/>
              </w:rPr>
            </w:pPr>
          </w:p>
        </w:tc>
        <w:tc>
          <w:tcPr>
            <w:tcW w:w="980" w:type="dxa"/>
            <w:vAlign w:val="bottom"/>
          </w:tcPr>
          <w:p>
            <w:pPr>
              <w:jc w:val="right"/>
              <w:ind w:right="217"/>
              <w:spacing w:after="0"/>
              <w:rPr>
                <w:sz w:val="20"/>
                <w:szCs w:val="20"/>
                <w:color w:val="auto"/>
              </w:rPr>
            </w:pPr>
            <w:r>
              <w:rPr>
                <w:rFonts w:ascii="Arial" w:cs="Arial" w:eastAsia="Arial" w:hAnsi="Arial"/>
                <w:sz w:val="17"/>
                <w:szCs w:val="17"/>
                <w:color w:val="auto"/>
              </w:rPr>
              <w:t>15,095</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14,712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income</w:t>
            </w:r>
          </w:p>
        </w:tc>
        <w:tc>
          <w:tcPr>
            <w:tcW w:w="172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8,456</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8,795</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1,319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66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7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7"/>
              <w:spacing w:after="0"/>
              <w:rPr>
                <w:sz w:val="20"/>
                <w:szCs w:val="20"/>
                <w:color w:val="auto"/>
              </w:rPr>
            </w:pPr>
            <w:r>
              <w:rPr>
                <w:rFonts w:ascii="Arial" w:cs="Arial" w:eastAsia="Arial" w:hAnsi="Arial"/>
                <w:sz w:val="17"/>
                <w:szCs w:val="17"/>
                <w:b w:val="1"/>
                <w:bCs w:val="1"/>
                <w:color w:val="auto"/>
              </w:rPr>
              <w:t>(83,858)</w:t>
            </w:r>
          </w:p>
        </w:tc>
        <w:tc>
          <w:tcPr>
            <w:tcW w:w="4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7"/>
              <w:spacing w:after="0"/>
              <w:rPr>
                <w:sz w:val="20"/>
                <w:szCs w:val="20"/>
                <w:color w:val="auto"/>
              </w:rPr>
            </w:pPr>
            <w:r>
              <w:rPr>
                <w:rFonts w:ascii="Arial" w:cs="Arial" w:eastAsia="Arial" w:hAnsi="Arial"/>
                <w:sz w:val="17"/>
                <w:szCs w:val="17"/>
                <w:color w:val="auto"/>
              </w:rPr>
              <w:t>(80,793)</w:t>
            </w:r>
          </w:p>
        </w:tc>
        <w:tc>
          <w:tcPr>
            <w:tcW w:w="4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(79,077)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69215</wp:posOffset>
            </wp:positionV>
            <wp:extent cx="65182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Sales to one customer accounted for 13 percent of consolidated net sales in fiscal 2004, 2003, and 2002.</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Geographic Data</w:t>
      </w:r>
    </w:p>
    <w:p>
      <w:pPr>
        <w:spacing w:after="0" w:line="22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following geographic area data includes net sales based on product shipment destination. Net property, plant, and equipment is based on physical location in addition to allocated capital tooling from United States plant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179705</wp:posOffset>
            </wp:positionV>
            <wp:extent cx="62579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5540" w:type="dxa"/>
            <w:vAlign w:val="bottom"/>
            <w:gridSpan w:val="2"/>
          </w:tcPr>
          <w:p>
            <w:pPr>
              <w:ind w:left="80"/>
              <w:spacing w:after="0"/>
              <w:rPr>
                <w:sz w:val="20"/>
                <w:szCs w:val="20"/>
                <w:color w:val="auto"/>
              </w:rPr>
            </w:pPr>
            <w:r>
              <w:rPr>
                <w:rFonts w:ascii="Arial" w:cs="Arial" w:eastAsia="Arial" w:hAnsi="Arial"/>
                <w:sz w:val="13"/>
                <w:szCs w:val="13"/>
                <w:color w:val="auto"/>
              </w:rPr>
              <w:t>(Dollars in thousands)</w:t>
            </w:r>
          </w:p>
        </w:tc>
        <w:tc>
          <w:tcPr>
            <w:tcW w:w="300" w:type="dxa"/>
            <w:vAlign w:val="bottom"/>
          </w:tcPr>
          <w:p>
            <w:pPr>
              <w:spacing w:after="0"/>
              <w:rPr>
                <w:sz w:val="12"/>
                <w:szCs w:val="12"/>
                <w:color w:val="auto"/>
              </w:rPr>
            </w:pPr>
          </w:p>
        </w:tc>
        <w:tc>
          <w:tcPr>
            <w:tcW w:w="1160" w:type="dxa"/>
            <w:vAlign w:val="bottom"/>
          </w:tcPr>
          <w:p>
            <w:pPr>
              <w:jc w:val="right"/>
              <w:ind w:right="219"/>
              <w:spacing w:after="0"/>
              <w:rPr>
                <w:sz w:val="20"/>
                <w:szCs w:val="20"/>
                <w:color w:val="auto"/>
              </w:rPr>
            </w:pPr>
            <w:r>
              <w:rPr>
                <w:rFonts w:ascii="Arial" w:cs="Arial" w:eastAsia="Arial" w:hAnsi="Arial"/>
                <w:sz w:val="13"/>
                <w:szCs w:val="13"/>
                <w:color w:val="auto"/>
              </w:rPr>
              <w:t>United</w:t>
            </w:r>
          </w:p>
        </w:tc>
        <w:tc>
          <w:tcPr>
            <w:tcW w:w="520" w:type="dxa"/>
            <w:vAlign w:val="bottom"/>
          </w:tcPr>
          <w:p>
            <w:pPr>
              <w:spacing w:after="0"/>
              <w:rPr>
                <w:sz w:val="12"/>
                <w:szCs w:val="12"/>
                <w:color w:val="auto"/>
              </w:rPr>
            </w:pPr>
          </w:p>
        </w:tc>
        <w:tc>
          <w:tcPr>
            <w:tcW w:w="1000" w:type="dxa"/>
            <w:vAlign w:val="bottom"/>
          </w:tcPr>
          <w:p>
            <w:pPr>
              <w:jc w:val="right"/>
              <w:ind w:right="219"/>
              <w:spacing w:after="0"/>
              <w:rPr>
                <w:sz w:val="20"/>
                <w:szCs w:val="20"/>
                <w:color w:val="auto"/>
              </w:rPr>
            </w:pPr>
            <w:r>
              <w:rPr>
                <w:rFonts w:ascii="Arial" w:cs="Arial" w:eastAsia="Arial" w:hAnsi="Arial"/>
                <w:sz w:val="13"/>
                <w:szCs w:val="13"/>
                <w:color w:val="auto"/>
              </w:rPr>
              <w:t>Foreign</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5540" w:type="dxa"/>
            <w:vAlign w:val="bottom"/>
            <w:gridSpan w:val="2"/>
          </w:tcPr>
          <w:p>
            <w:pPr>
              <w:ind w:left="80"/>
              <w:spacing w:after="0"/>
              <w:rPr>
                <w:sz w:val="20"/>
                <w:szCs w:val="20"/>
                <w:color w:val="auto"/>
              </w:rPr>
            </w:pPr>
            <w:r>
              <w:rPr>
                <w:rFonts w:ascii="Arial" w:cs="Arial" w:eastAsia="Arial" w:hAnsi="Arial"/>
                <w:sz w:val="13"/>
                <w:szCs w:val="13"/>
                <w:color w:val="auto"/>
              </w:rPr>
              <w:t>Fiscal years ended October 31</w:t>
            </w:r>
          </w:p>
        </w:tc>
        <w:tc>
          <w:tcPr>
            <w:tcW w:w="30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3"/>
                <w:szCs w:val="13"/>
                <w:color w:val="auto"/>
              </w:rPr>
              <w:t>States</w:t>
            </w:r>
          </w:p>
        </w:tc>
        <w:tc>
          <w:tcPr>
            <w:tcW w:w="520" w:type="dxa"/>
            <w:vAlign w:val="bottom"/>
          </w:tcPr>
          <w:p>
            <w:pPr>
              <w:spacing w:after="0"/>
              <w:rPr>
                <w:sz w:val="14"/>
                <w:szCs w:val="14"/>
                <w:color w:val="auto"/>
              </w:rPr>
            </w:pPr>
          </w:p>
        </w:tc>
        <w:tc>
          <w:tcPr>
            <w:tcW w:w="1000" w:type="dxa"/>
            <w:vAlign w:val="bottom"/>
          </w:tcPr>
          <w:p>
            <w:pPr>
              <w:jc w:val="right"/>
              <w:ind w:right="219"/>
              <w:spacing w:after="0"/>
              <w:rPr>
                <w:sz w:val="20"/>
                <w:szCs w:val="20"/>
                <w:color w:val="auto"/>
              </w:rPr>
            </w:pPr>
            <w:r>
              <w:rPr>
                <w:rFonts w:ascii="Arial" w:cs="Arial" w:eastAsia="Arial" w:hAnsi="Arial"/>
                <w:sz w:val="13"/>
                <w:szCs w:val="13"/>
                <w:color w:val="auto"/>
              </w:rPr>
              <w:t>Countries</w:t>
            </w:r>
          </w:p>
        </w:tc>
        <w:tc>
          <w:tcPr>
            <w:tcW w:w="560" w:type="dxa"/>
            <w:vAlign w:val="bottom"/>
          </w:tcPr>
          <w:p>
            <w:pPr>
              <w:spacing w:after="0"/>
              <w:rPr>
                <w:sz w:val="14"/>
                <w:szCs w:val="14"/>
                <w:color w:val="auto"/>
              </w:rPr>
            </w:pPr>
          </w:p>
        </w:tc>
        <w:tc>
          <w:tcPr>
            <w:tcW w:w="1280" w:type="dxa"/>
            <w:vAlign w:val="bottom"/>
            <w:gridSpan w:val="2"/>
          </w:tcPr>
          <w:p>
            <w:pPr>
              <w:ind w:left="5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2004</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30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219"/>
              <w:spacing w:after="0"/>
              <w:rPr>
                <w:sz w:val="20"/>
                <w:szCs w:val="20"/>
                <w:color w:val="auto"/>
              </w:rPr>
            </w:pPr>
            <w:r>
              <w:rPr>
                <w:rFonts w:ascii="Arial" w:cs="Arial" w:eastAsia="Arial" w:hAnsi="Arial"/>
                <w:sz w:val="17"/>
                <w:szCs w:val="17"/>
                <w:b w:val="1"/>
                <w:bCs w:val="1"/>
                <w:color w:val="auto"/>
              </w:rPr>
              <w:t>1,311,148</w:t>
            </w:r>
          </w:p>
        </w:tc>
        <w:tc>
          <w:tcPr>
            <w:tcW w:w="520" w:type="dxa"/>
            <w:vAlign w:val="bottom"/>
          </w:tcPr>
          <w:p>
            <w:pPr>
              <w:jc w:val="right"/>
              <w:ind w:right="3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9"/>
              <w:spacing w:after="0"/>
              <w:rPr>
                <w:sz w:val="20"/>
                <w:szCs w:val="20"/>
                <w:color w:val="auto"/>
              </w:rPr>
            </w:pPr>
            <w:r>
              <w:rPr>
                <w:rFonts w:ascii="Arial" w:cs="Arial" w:eastAsia="Arial" w:hAnsi="Arial"/>
                <w:sz w:val="17"/>
                <w:szCs w:val="17"/>
                <w:b w:val="1"/>
                <w:bCs w:val="1"/>
                <w:color w:val="auto"/>
              </w:rPr>
              <w:t>341,360</w:t>
            </w:r>
          </w:p>
        </w:tc>
        <w:tc>
          <w:tcPr>
            <w:tcW w:w="5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1,652,508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property, plant, and equipment</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139,831</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9"/>
              <w:spacing w:after="0"/>
              <w:rPr>
                <w:sz w:val="20"/>
                <w:szCs w:val="20"/>
                <w:color w:val="auto"/>
              </w:rPr>
            </w:pPr>
            <w:r>
              <w:rPr>
                <w:rFonts w:ascii="Arial" w:cs="Arial" w:eastAsia="Arial" w:hAnsi="Arial"/>
                <w:sz w:val="17"/>
                <w:szCs w:val="17"/>
                <w:b w:val="1"/>
                <w:bCs w:val="1"/>
                <w:color w:val="auto"/>
              </w:rPr>
              <w:t>24,834</w:t>
            </w: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164,665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2003</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1,207,590</w:t>
            </w:r>
          </w:p>
        </w:tc>
        <w:tc>
          <w:tcPr>
            <w:tcW w:w="5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288,998</w:t>
            </w:r>
          </w:p>
        </w:tc>
        <w:tc>
          <w:tcPr>
            <w:tcW w:w="5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1,496,588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30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7"/>
                <w:szCs w:val="17"/>
                <w:color w:val="auto"/>
              </w:rPr>
              <w:t>135,826</w:t>
            </w:r>
          </w:p>
        </w:tc>
        <w:tc>
          <w:tcPr>
            <w:tcW w:w="52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7"/>
                <w:szCs w:val="17"/>
                <w:color w:val="auto"/>
              </w:rPr>
              <w:t>23,290</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159,116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7"/>
                <w:szCs w:val="17"/>
                <w:color w:val="auto"/>
              </w:rPr>
              <w:t>2002</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Net sales</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9"/>
              <w:spacing w:after="0"/>
              <w:rPr>
                <w:sz w:val="20"/>
                <w:szCs w:val="20"/>
                <w:color w:val="auto"/>
              </w:rPr>
            </w:pPr>
            <w:r>
              <w:rPr>
                <w:rFonts w:ascii="Arial" w:cs="Arial" w:eastAsia="Arial" w:hAnsi="Arial"/>
                <w:sz w:val="17"/>
                <w:szCs w:val="17"/>
                <w:color w:val="auto"/>
              </w:rPr>
              <w:t>1,137,670</w:t>
            </w:r>
          </w:p>
        </w:tc>
        <w:tc>
          <w:tcPr>
            <w:tcW w:w="5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19"/>
              <w:spacing w:after="0"/>
              <w:rPr>
                <w:sz w:val="20"/>
                <w:szCs w:val="20"/>
                <w:color w:val="auto"/>
              </w:rPr>
            </w:pPr>
            <w:r>
              <w:rPr>
                <w:rFonts w:ascii="Arial" w:cs="Arial" w:eastAsia="Arial" w:hAnsi="Arial"/>
                <w:sz w:val="17"/>
                <w:szCs w:val="17"/>
                <w:color w:val="auto"/>
              </w:rPr>
              <w:t>261,603</w:t>
            </w:r>
          </w:p>
        </w:tc>
        <w:tc>
          <w:tcPr>
            <w:tcW w:w="5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1,399,273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shd w:val="clear" w:color="auto" w:fill="EEEEEE"/>
          </w:tcPr>
          <w:p>
            <w:pPr>
              <w:spacing w:after="0"/>
              <w:rPr>
                <w:sz w:val="20"/>
                <w:szCs w:val="20"/>
                <w:color w:val="auto"/>
              </w:rPr>
            </w:pPr>
            <w:r>
              <w:rPr>
                <w:rFonts w:ascii="Arial" w:cs="Arial" w:eastAsia="Arial" w:hAnsi="Arial"/>
                <w:sz w:val="17"/>
                <w:szCs w:val="17"/>
                <w:color w:val="auto"/>
              </w:rPr>
              <w:t>Net property, plant, and equipment</w:t>
            </w:r>
          </w:p>
        </w:tc>
        <w:tc>
          <w:tcPr>
            <w:tcW w:w="3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137,309</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9"/>
              <w:spacing w:after="0"/>
              <w:rPr>
                <w:sz w:val="20"/>
                <w:szCs w:val="20"/>
                <w:color w:val="auto"/>
              </w:rPr>
            </w:pPr>
            <w:r>
              <w:rPr>
                <w:rFonts w:ascii="Arial" w:cs="Arial" w:eastAsia="Arial" w:hAnsi="Arial"/>
                <w:sz w:val="17"/>
                <w:szCs w:val="17"/>
                <w:color w:val="auto"/>
              </w:rPr>
              <w:t>19,470</w:t>
            </w: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156,779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vMerge w:val="restart"/>
          </w:tcPr>
          <w:p>
            <w:pPr>
              <w:jc w:val="right"/>
              <w:spacing w:after="0"/>
              <w:rPr>
                <w:sz w:val="20"/>
                <w:szCs w:val="20"/>
                <w:color w:val="auto"/>
              </w:rPr>
            </w:pPr>
            <w:r>
              <w:rPr>
                <w:rFonts w:ascii="Arial" w:cs="Arial" w:eastAsia="Arial" w:hAnsi="Arial"/>
                <w:sz w:val="42"/>
                <w:szCs w:val="42"/>
                <w:b w:val="1"/>
                <w:bCs w:val="1"/>
                <w:color w:val="auto"/>
                <w:w w:val="85"/>
              </w:rPr>
              <w:t>13</w:t>
            </w:r>
          </w:p>
        </w:tc>
        <w:tc>
          <w:tcPr>
            <w:tcW w:w="8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20"/>
        </w:trPr>
        <w:tc>
          <w:tcPr>
            <w:tcW w:w="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60" w:type="dxa"/>
            <w:vAlign w:val="bottom"/>
          </w:tcPr>
          <w:p>
            <w:pPr>
              <w:ind w:left="360"/>
              <w:spacing w:after="0"/>
              <w:rPr>
                <w:sz w:val="20"/>
                <w:szCs w:val="20"/>
                <w:color w:val="auto"/>
              </w:rPr>
            </w:pPr>
            <w:r>
              <w:rPr>
                <w:rFonts w:ascii="Arial" w:cs="Arial" w:eastAsia="Arial" w:hAnsi="Arial"/>
                <w:sz w:val="21"/>
                <w:szCs w:val="21"/>
                <w:b w:val="1"/>
                <w:bCs w:val="1"/>
                <w:color w:val="auto"/>
              </w:rPr>
              <w:t>COMMITMENTS AND CONTINGENT LIABILITIES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Leases</w:t>
      </w:r>
    </w:p>
    <w:p>
      <w:pPr>
        <w:sectPr>
          <w:pgSz w:w="11900" w:h="16943" w:orient="portrait"/>
          <w:cols w:equalWidth="0" w:num="1">
            <w:col w:w="11420"/>
          </w:cols>
          <w:pgMar w:left="240" w:top="413" w:right="239" w:bottom="0" w:gutter="0" w:footer="0" w:header="0"/>
        </w:sectPr>
      </w:pPr>
    </w:p>
    <w:p>
      <w:pPr>
        <w:spacing w:after="0" w:line="227" w:lineRule="exact"/>
        <w:rPr>
          <w:sz w:val="20"/>
          <w:szCs w:val="20"/>
          <w:color w:val="auto"/>
        </w:rPr>
      </w:pPr>
    </w:p>
    <w:p>
      <w:pPr>
        <w:ind w:right="140"/>
        <w:spacing w:after="0" w:line="356" w:lineRule="auto"/>
        <w:rPr>
          <w:sz w:val="20"/>
          <w:szCs w:val="20"/>
          <w:color w:val="auto"/>
        </w:rPr>
      </w:pPr>
      <w:r>
        <w:rPr>
          <w:rFonts w:ascii="Arial" w:cs="Arial" w:eastAsia="Arial" w:hAnsi="Arial"/>
          <w:sz w:val="15"/>
          <w:szCs w:val="15"/>
          <w:color w:val="auto"/>
        </w:rPr>
        <w:t>Total rental expense for operating leases was $19,446,000, $17,899,000, and $16,732,000 for the fiscal years ended October 31, 2004, 2003, and 2002, respectively. As of October 31, 2004, future minimum lease payments under noncancelable operating leases amounted to $46,203,000 as follows: 2005, $13,980,000; 2006,</w:t>
      </w:r>
    </w:p>
    <w:p>
      <w:pPr>
        <w:sectPr>
          <w:pgSz w:w="11900" w:h="16943" w:orient="portrait"/>
          <w:cols w:equalWidth="0" w:num="1">
            <w:col w:w="11420"/>
          </w:cols>
          <w:pgMar w:left="240" w:top="413" w:right="239" w:bottom="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color w:val="auto"/>
        </w:rPr>
        <w:t>$12,232,000; 2007, $9,269,000; 2008, $6,963,000; 2009, $2,605,000; and after 2009, $1,154,000.</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 Financing</w:t>
      </w:r>
    </w:p>
    <w:p>
      <w:pPr>
        <w:spacing w:after="0" w:line="221"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 xml:space="preserve">Wholesale Financing – </w:t>
      </w:r>
      <w:r>
        <w:rPr>
          <w:rFonts w:ascii="Arial" w:cs="Arial" w:eastAsia="Arial" w:hAnsi="Arial"/>
          <w:sz w:val="15"/>
          <w:szCs w:val="15"/>
          <w:color w:val="auto"/>
        </w:rPr>
        <w:t>Independent Toro dealers that do not finance through Toro Credit Company finance their inventories with third party financing sources.</w:t>
      </w:r>
      <w:r>
        <w:rPr>
          <w:rFonts w:ascii="Arial" w:cs="Arial" w:eastAsia="Arial" w:hAnsi="Arial"/>
          <w:sz w:val="15"/>
          <w:szCs w:val="15"/>
          <w:b w:val="1"/>
          <w:bCs w:val="1"/>
          <w:color w:val="auto"/>
        </w:rPr>
        <w:t xml:space="preserve"> </w:t>
      </w:r>
      <w:r>
        <w:rPr>
          <w:rFonts w:ascii="Arial" w:cs="Arial" w:eastAsia="Arial" w:hAnsi="Arial"/>
          <w:sz w:val="15"/>
          <w:szCs w:val="15"/>
          <w:color w:val="auto"/>
        </w:rPr>
        <w:t>Exmark and international products sold to dealers are financed primarily with third party financing sources or by the distributor. Third party financing companies purchased $430,954,000 of receivables of the company’s financed products during fiscal 2004. The outstanding receivable balance owed from the company’s distributors and dealers to third party financing companies was $152,910,000 on October 31, 2004. The company’s maximum exposure for credit recourse with a third party financing company related to receivables under these financing arrangements was $550,000 as of October 31, 2004. Toro also enters into limited inventory repurchase agreements with third party financing companies. As of October 31, 2004, the company was contingently liable to</w:t>
      </w:r>
    </w:p>
    <w:p>
      <w:pPr>
        <w:spacing w:after="0" w:line="15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repurchase up to $3,745,000 of inventory related to receivables under these financing arrangements. Toro has repurchased only immaterial amounts of inventory from third party financing companies over the last three years.</w:t>
      </w:r>
    </w:p>
    <w:p>
      <w:pPr>
        <w:spacing w:after="0" w:line="16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b w:val="1"/>
          <w:bCs w:val="1"/>
          <w:color w:val="auto"/>
        </w:rPr>
        <w:t xml:space="preserve">End-User Financing – </w:t>
      </w:r>
      <w:r>
        <w:rPr>
          <w:rFonts w:ascii="Arial" w:cs="Arial" w:eastAsia="Arial" w:hAnsi="Arial"/>
          <w:sz w:val="15"/>
          <w:szCs w:val="15"/>
          <w:color w:val="auto"/>
        </w:rPr>
        <w:t>The company has an agreement with a third party financing company to provide lease-financing options to domestic golf course and sports</w:t>
      </w:r>
      <w:r>
        <w:rPr>
          <w:rFonts w:ascii="Arial" w:cs="Arial" w:eastAsia="Arial" w:hAnsi="Arial"/>
          <w:sz w:val="15"/>
          <w:szCs w:val="15"/>
          <w:b w:val="1"/>
          <w:bCs w:val="1"/>
          <w:color w:val="auto"/>
        </w:rPr>
        <w:t xml:space="preserve"> </w:t>
      </w:r>
      <w:r>
        <w:rPr>
          <w:rFonts w:ascii="Arial" w:cs="Arial" w:eastAsia="Arial" w:hAnsi="Arial"/>
          <w:sz w:val="15"/>
          <w:szCs w:val="15"/>
          <w:color w:val="auto"/>
        </w:rPr>
        <w:t>fields and grounds equipment customers. Under the terms of this agreement, the company could be contingently liable for a portion of the credit collection and residual realization risk on the underlying equipment for leasing transactions under this program. The company’s maximum exposure for credit collection and residual value as of October 31, 2004 was $7,155,000. The company has established a reserve for the estimated exposure related to this program.</w:t>
      </w:r>
    </w:p>
    <w:p>
      <w:pPr>
        <w:spacing w:after="0" w:line="150" w:lineRule="exact"/>
        <w:rPr>
          <w:sz w:val="20"/>
          <w:szCs w:val="20"/>
          <w:color w:val="auto"/>
        </w:rPr>
      </w:pPr>
    </w:p>
    <w:p>
      <w:pPr>
        <w:ind w:right="500" w:firstLine="86"/>
        <w:spacing w:after="0" w:line="325" w:lineRule="auto"/>
        <w:rPr>
          <w:sz w:val="20"/>
          <w:szCs w:val="20"/>
          <w:color w:val="auto"/>
        </w:rPr>
      </w:pPr>
      <w:r>
        <w:rPr>
          <w:rFonts w:ascii="Arial" w:cs="Arial" w:eastAsia="Arial" w:hAnsi="Arial"/>
          <w:sz w:val="15"/>
          <w:szCs w:val="15"/>
          <w:color w:val="auto"/>
        </w:rPr>
        <w:t>In the normal course of business, the company has arrangements with other financial institutions to provide various forms of financing options to end-user customers. From time to time, Toro’s wholly-owned subsidiaries also guarantee the residual value at the end of leases with third party financing companies for product sold to customers. The amount of this potential contingent liability as of October 31, 2004 and 2003 was $1,940,000 and $2,185,000,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Purchase Commitments</w:t>
      </w:r>
    </w:p>
    <w:p>
      <w:pPr>
        <w:spacing w:after="0" w:line="22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of October 31, 2004, the company had $1,782,000 of purchase commitments with some suppliers for materials and supplies as part of the normal course of business. There are a limited number of supply contracts that contain penalty provisions for failure to purchase contracted quantities. The company does not expect potential payments under these provisions to materially effect its results of operations or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Letters of Credit</w:t>
      </w:r>
    </w:p>
    <w:p>
      <w:pPr>
        <w:spacing w:after="0" w:line="22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Letters of credit are issued by the company during the normal course of business, as required by some vendor contracts. As of October 31, 2004 and 2003, the company had $10,941,000 and $16,211,000, respectively, in outstanding letters of credit.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227"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financial position of the company, except for the lawsuit discussed below.</w:t>
      </w:r>
    </w:p>
    <w:p>
      <w:pPr>
        <w:spacing w:after="0" w:line="1" w:lineRule="exact"/>
        <w:rPr>
          <w:sz w:val="20"/>
          <w:szCs w:val="20"/>
          <w:color w:val="auto"/>
        </w:rPr>
      </w:pPr>
    </w:p>
    <w:p>
      <w:pPr>
        <w:ind w:firstLine="83"/>
        <w:spacing w:after="0" w:line="259" w:lineRule="auto"/>
        <w:rPr>
          <w:sz w:val="20"/>
          <w:szCs w:val="20"/>
          <w:color w:val="auto"/>
        </w:rPr>
      </w:pPr>
      <w:r>
        <w:rPr>
          <w:rFonts w:ascii="Arial" w:cs="Arial" w:eastAsia="Arial" w:hAnsi="Arial"/>
          <w:sz w:val="17"/>
          <w:szCs w:val="17"/>
          <w:color w:val="auto"/>
        </w:rPr>
        <w:t>To prevent possible infringement of its patents by others, the company periodically reviews competitors’ products. To avoid potential liability with respect to others’ patents, the company regularly reviews patents issued by the U.S. Patent and Trademark Office and foreign patent offices as needed. This patent program, consisting of both types of activities, helps the company minimize risk of patent infringement litigation. The company is currently involved in commercial disputes and patent litigation cases, both where it is asserting patents and where it is defending against charges of infringement. While the ultimate results of the current cases are unknown at this time, management believes that the outcome of these cases is unlikely to have a materially adverse effect on the consolidated financial results of the company.</w:t>
      </w:r>
    </w:p>
    <w:p>
      <w:pPr>
        <w:spacing w:after="0" w:line="4" w:lineRule="exact"/>
        <w:rPr>
          <w:sz w:val="20"/>
          <w:szCs w:val="20"/>
          <w:color w:val="auto"/>
        </w:rPr>
      </w:pPr>
    </w:p>
    <w:p>
      <w:pPr>
        <w:ind w:right="80" w:firstLine="86"/>
        <w:spacing w:after="0" w:line="302" w:lineRule="auto"/>
        <w:rPr>
          <w:sz w:val="20"/>
          <w:szCs w:val="20"/>
          <w:color w:val="auto"/>
        </w:rPr>
      </w:pPr>
      <w:r>
        <w:rPr>
          <w:rFonts w:ascii="Arial" w:cs="Arial" w:eastAsia="Arial" w:hAnsi="Arial"/>
          <w:sz w:val="15"/>
          <w:szCs w:val="15"/>
          <w:color w:val="auto"/>
        </w:rPr>
        <w:t xml:space="preserve">On June 3, 2004, eight individuals who claim to have purchased lawnmowers in Illinois and Minnesota filed a lawsuit </w:t>
      </w:r>
      <w:r>
        <w:rPr>
          <w:rFonts w:ascii="Arial" w:cs="Arial" w:eastAsia="Arial" w:hAnsi="Arial"/>
          <w:sz w:val="15"/>
          <w:szCs w:val="15"/>
          <w:i w:val="1"/>
          <w:iCs w:val="1"/>
          <w:color w:val="auto"/>
        </w:rPr>
        <w:t>(Ronnie Phillips et al. v. Sears Roebuck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Corporation et. al., </w:t>
      </w:r>
      <w:r>
        <w:rPr>
          <w:rFonts w:ascii="Arial" w:cs="Arial" w:eastAsia="Arial" w:hAnsi="Arial"/>
          <w:sz w:val="15"/>
          <w:szCs w:val="15"/>
          <w:color w:val="auto"/>
        </w:rPr>
        <w:t>No. 04-L-334 (20th Judicial Circuit, St., Clair County, IL) against the company and other defendants alleging that the horsepower labels on the</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the plaintiffs purchased were inaccurate. The plaintiffs seek certification of a class of all persons in the United States who, beginning January 1, 1995 through the present, purchased a lawnmower containing a two stroke or four stroke gas combustible engine up to 20 horsepower that was manufactured by the defendants. The complaint seeks an injunction, unspecified compensatory and punitive damages, and attorneys’ fees. No answers have been entered in the case, and there has been no discovery. Management continues to evaluate this lawsuit. The company has not established a reserve for any potential loss in connection with this lawsuit since the company is unable to provide a reasonable estimate of the amount or range of loss that could result from this litigation. The company is also unable to assess at this time whether the lawsuit will have a material adverse effect on its consolidated operating results or financial condition.</w:t>
      </w:r>
    </w:p>
    <w:p>
      <w:pPr>
        <w:spacing w:after="0" w:line="201" w:lineRule="auto"/>
        <w:tabs>
          <w:tab w:leader="none" w:pos="920" w:val="left"/>
        </w:tabs>
        <w:rPr>
          <w:sz w:val="20"/>
          <w:szCs w:val="20"/>
          <w:color w:val="auto"/>
        </w:rPr>
      </w:pPr>
      <w:r>
        <w:rPr>
          <w:rFonts w:ascii="Arial" w:cs="Arial" w:eastAsia="Arial" w:hAnsi="Arial"/>
          <w:sz w:val="42"/>
          <w:szCs w:val="42"/>
          <w:b w:val="1"/>
          <w:bCs w:val="1"/>
          <w:color w:val="auto"/>
        </w:rPr>
        <w:t>14</w:t>
      </w:r>
      <w:r>
        <w:rPr>
          <w:sz w:val="20"/>
          <w:szCs w:val="20"/>
          <w:color w:val="auto"/>
        </w:rPr>
        <w:tab/>
      </w:r>
      <w:r>
        <w:rPr>
          <w:rFonts w:ascii="Arial" w:cs="Arial" w:eastAsia="Arial" w:hAnsi="Arial"/>
          <w:sz w:val="21"/>
          <w:szCs w:val="21"/>
          <w:b w:val="1"/>
          <w:bCs w:val="1"/>
          <w:color w:val="auto"/>
        </w:rPr>
        <w:t>FINANCIAL INSTRUMENTS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Concentrations of Credit Risk</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accounts receivable that are concentrated in three business segments: professional, residential, and distribution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 Instruments and Hedging Activities</w:t>
      </w:r>
    </w:p>
    <w:p>
      <w:pPr>
        <w:spacing w:after="0" w:line="22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The company uses derivative instruments to manage exposure to foreign currency exchange rates. Toro uses derivative instruments only in an attempt to limit underlying exposure from currency rate fluctuations, and not for trading purposes.</w:t>
      </w:r>
    </w:p>
    <w:p>
      <w:pPr>
        <w:sectPr>
          <w:pgSz w:w="11900" w:h="16838" w:orient="portrait"/>
          <w:cols w:equalWidth="0" w:num="1">
            <w:col w:w="11420"/>
          </w:cols>
          <w:pgMar w:left="240" w:top="413"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0"/>
        <w:spacing w:after="0" w:line="262" w:lineRule="auto"/>
        <w:rPr>
          <w:sz w:val="20"/>
          <w:szCs w:val="20"/>
          <w:color w:val="auto"/>
        </w:rPr>
      </w:pPr>
      <w:r>
        <w:rPr>
          <w:rFonts w:ascii="Arial" w:cs="Arial" w:eastAsia="Arial" w:hAnsi="Arial"/>
          <w:sz w:val="17"/>
          <w:szCs w:val="17"/>
          <w:color w:val="auto"/>
        </w:rPr>
        <w:t>The company documents all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highly effective in offsetting changes in cash flows of the hedged item.</w:t>
      </w:r>
    </w:p>
    <w:p>
      <w:pPr>
        <w:ind w:right="180" w:firstLine="83"/>
        <w:spacing w:after="0" w:line="276"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earnings. During fiscal 2004, 2003, and 2002, the amount of losses reclassified to earnings for such cash flow hedges was $7,149,000, $4,574,000, and $513,000, respectively. As of October 31, 2004, the amount of such contracts outstanding was $98,613,000. The unrecognized after-tax loss portion of the fair value of the contracts recorded in accumulated other comprehensive loss as of October 31, 2004 was $1,437,000.</w:t>
      </w:r>
    </w:p>
    <w:p>
      <w:pPr>
        <w:spacing w:after="0" w:line="1" w:lineRule="exact"/>
        <w:rPr>
          <w:sz w:val="20"/>
          <w:szCs w:val="20"/>
          <w:color w:val="auto"/>
        </w:rPr>
      </w:pPr>
    </w:p>
    <w:p>
      <w:pPr>
        <w:ind w:right="20" w:firstLine="83"/>
        <w:spacing w:after="0" w:line="259" w:lineRule="auto"/>
        <w:rPr>
          <w:sz w:val="20"/>
          <w:szCs w:val="20"/>
          <w:color w:val="auto"/>
        </w:rPr>
      </w:pPr>
      <w:r>
        <w:rPr>
          <w:rFonts w:ascii="Arial" w:cs="Arial" w:eastAsia="Arial" w:hAnsi="Arial"/>
          <w:sz w:val="17"/>
          <w:szCs w:val="17"/>
          <w:color w:val="auto"/>
        </w:rPr>
        <w:t>The company also enters into other foreign currency exchange contracts to hedge intercompany financing transactions and other activities, which do not meet the hedge accounting criteria of SFAS No. 133, “Accounting for Derivative Instruments and Hedging Activities,” therefore, changes in fair value of these instruments are recorded in other income, net.</w:t>
      </w:r>
    </w:p>
    <w:p>
      <w:pPr>
        <w:spacing w:after="0" w:line="2" w:lineRule="exact"/>
        <w:rPr>
          <w:sz w:val="20"/>
          <w:szCs w:val="20"/>
          <w:color w:val="auto"/>
        </w:rPr>
      </w:pPr>
    </w:p>
    <w:p>
      <w:pPr>
        <w:ind w:right="680" w:firstLine="83"/>
        <w:spacing w:after="0" w:line="279" w:lineRule="auto"/>
        <w:rPr>
          <w:sz w:val="20"/>
          <w:szCs w:val="20"/>
          <w:color w:val="auto"/>
        </w:rPr>
      </w:pPr>
      <w:r>
        <w:rPr>
          <w:rFonts w:ascii="Arial" w:cs="Arial" w:eastAsia="Arial" w:hAnsi="Arial"/>
          <w:sz w:val="17"/>
          <w:szCs w:val="17"/>
          <w:color w:val="auto"/>
        </w:rPr>
        <w:t>The company also enters into foreign currency exchange contracts on behalf of certain distributors in order to cover a portion of the payments owed by the distributor to the company. Any currency gains or losses incurred by the company are reimbursed to or by the distributor.</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w:t>
      </w:r>
    </w:p>
    <w:p>
      <w:pPr>
        <w:spacing w:after="0" w:line="22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 The estimate of fair value for the company’s foreign currency contracts as of October 31, 2004 and 2003 was a net liability of $4,108,000 and $3,963,000, respectively.</w:t>
      </w:r>
    </w:p>
    <w:p>
      <w:pPr>
        <w:spacing w:after="0" w:line="1" w:lineRule="exact"/>
        <w:rPr>
          <w:sz w:val="20"/>
          <w:szCs w:val="20"/>
          <w:color w:val="auto"/>
        </w:rPr>
      </w:pPr>
    </w:p>
    <w:p>
      <w:pPr>
        <w:ind w:right="60" w:firstLine="77"/>
        <w:spacing w:after="0" w:line="294" w:lineRule="auto"/>
        <w:rPr>
          <w:sz w:val="20"/>
          <w:szCs w:val="20"/>
          <w:color w:val="auto"/>
        </w:rPr>
      </w:pPr>
      <w:r>
        <w:rPr>
          <w:rFonts w:ascii="Arial" w:cs="Arial" w:eastAsia="Arial" w:hAnsi="Arial"/>
          <w:sz w:val="16"/>
          <w:szCs w:val="16"/>
          <w:color w:val="auto"/>
        </w:rPr>
        <w:t>As of October 31, 2004, the estimated fair value of long-term debt with fixed interest rates was $189,694,000 compared to its carrying value of $175,091,000. As of October 31, 2003, the estimated fair value of long-term debt with fixed interest rates was $196,686,000 compared to its carrying value of $178,921,000. The fair value is estimated by discounting the projected cash flows using the rate at which similar amounts of debt could currently be borrowed.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551"/>
        </w:trPr>
        <w:tc>
          <w:tcPr>
            <w:tcW w:w="940" w:type="dxa"/>
            <w:vAlign w:val="bottom"/>
            <w:gridSpan w:val="2"/>
          </w:tcPr>
          <w:p>
            <w:pPr>
              <w:spacing w:after="0"/>
              <w:rPr>
                <w:sz w:val="20"/>
                <w:szCs w:val="20"/>
                <w:color w:val="auto"/>
              </w:rPr>
            </w:pPr>
            <w:r>
              <w:rPr>
                <w:rFonts w:ascii="Arial" w:cs="Arial" w:eastAsia="Arial" w:hAnsi="Arial"/>
                <w:sz w:val="42"/>
                <w:szCs w:val="42"/>
                <w:b w:val="1"/>
                <w:bCs w:val="1"/>
                <w:color w:val="auto"/>
              </w:rPr>
              <w:t>15</w:t>
            </w:r>
          </w:p>
        </w:tc>
        <w:tc>
          <w:tcPr>
            <w:tcW w:w="4900" w:type="dxa"/>
            <w:vAlign w:val="bottom"/>
          </w:tcPr>
          <w:p>
            <w:pPr>
              <w:spacing w:after="0"/>
              <w:rPr>
                <w:sz w:val="20"/>
                <w:szCs w:val="20"/>
                <w:color w:val="auto"/>
              </w:rPr>
            </w:pPr>
            <w:r>
              <w:rPr>
                <w:rFonts w:ascii="Arial" w:cs="Arial" w:eastAsia="Arial" w:hAnsi="Arial"/>
                <w:sz w:val="21"/>
                <w:szCs w:val="21"/>
                <w:b w:val="1"/>
                <w:bCs w:val="1"/>
                <w:color w:val="auto"/>
              </w:rPr>
              <w:t xml:space="preserve">QUARTERLY FINANCIAL DATA </w:t>
            </w:r>
            <w:r>
              <w:rPr>
                <w:rFonts w:ascii="Arial" w:cs="Arial" w:eastAsia="Arial" w:hAnsi="Arial"/>
                <w:sz w:val="17"/>
                <w:szCs w:val="17"/>
                <w:color w:val="auto"/>
              </w:rPr>
              <w:t>(unaudited)</w:t>
            </w: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840" w:type="dxa"/>
            <w:vAlign w:val="bottom"/>
            <w:gridSpan w:val="3"/>
          </w:tcPr>
          <w:p>
            <w:pPr>
              <w:spacing w:after="0"/>
              <w:rPr>
                <w:sz w:val="20"/>
                <w:szCs w:val="20"/>
                <w:color w:val="auto"/>
              </w:rPr>
            </w:pPr>
            <w:r>
              <w:rPr>
                <w:rFonts w:ascii="Arial" w:cs="Arial" w:eastAsia="Arial" w:hAnsi="Arial"/>
                <w:sz w:val="17"/>
                <w:szCs w:val="17"/>
                <w:color w:val="auto"/>
                <w:w w:val="94"/>
              </w:rPr>
              <w:t>Summarized quarterly financial data for fiscal 2004 and fiscal 2003 are as follows:</w:t>
            </w: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940" w:type="dxa"/>
            <w:vAlign w:val="bottom"/>
            <w:tcBorders>
              <w:bottom w:val="single" w:sz="8" w:color="808080"/>
            </w:tcBorders>
            <w:gridSpan w:val="2"/>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40" w:type="dxa"/>
            <w:vAlign w:val="bottom"/>
            <w:gridSpan w:val="2"/>
          </w:tcPr>
          <w:p>
            <w:pPr>
              <w:spacing w:after="0"/>
              <w:rPr>
                <w:sz w:val="20"/>
                <w:szCs w:val="20"/>
                <w:color w:val="auto"/>
              </w:rPr>
            </w:pPr>
            <w:r>
              <w:rPr>
                <w:rFonts w:ascii="Arial" w:cs="Arial" w:eastAsia="Arial" w:hAnsi="Arial"/>
                <w:sz w:val="13"/>
                <w:szCs w:val="13"/>
                <w:color w:val="0000C7"/>
                <w:w w:val="89"/>
              </w:rPr>
              <w:t>Fiscal year ended</w:t>
            </w:r>
          </w:p>
        </w:tc>
        <w:tc>
          <w:tcPr>
            <w:tcW w:w="4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940" w:type="dxa"/>
            <w:vAlign w:val="bottom"/>
            <w:gridSpan w:val="2"/>
          </w:tcPr>
          <w:p>
            <w:pPr>
              <w:spacing w:after="0" w:line="146" w:lineRule="exact"/>
              <w:rPr>
                <w:sz w:val="20"/>
                <w:szCs w:val="20"/>
                <w:color w:val="auto"/>
              </w:rPr>
            </w:pPr>
            <w:r>
              <w:rPr>
                <w:rFonts w:ascii="Arial" w:cs="Arial" w:eastAsia="Arial" w:hAnsi="Arial"/>
                <w:sz w:val="13"/>
                <w:szCs w:val="13"/>
                <w:color w:val="0000C7"/>
                <w:w w:val="91"/>
              </w:rPr>
              <w:t>October 31, 2004</w:t>
            </w:r>
          </w:p>
        </w:tc>
        <w:tc>
          <w:tcPr>
            <w:tcW w:w="4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40" w:type="dxa"/>
            <w:vAlign w:val="bottom"/>
            <w:gridSpan w:val="3"/>
          </w:tcPr>
          <w:p>
            <w:pPr>
              <w:spacing w:after="0" w:line="146" w:lineRule="exact"/>
              <w:rPr>
                <w:sz w:val="20"/>
                <w:szCs w:val="20"/>
                <w:color w:val="auto"/>
              </w:rPr>
            </w:pPr>
            <w:r>
              <w:rPr>
                <w:rFonts w:ascii="Arial" w:cs="Arial" w:eastAsia="Arial" w:hAnsi="Arial"/>
                <w:sz w:val="13"/>
                <w:szCs w:val="13"/>
                <w:color w:val="0000C7"/>
              </w:rPr>
              <w:t>(Dollars in thousands,</w:t>
            </w:r>
          </w:p>
        </w:tc>
        <w:tc>
          <w:tcPr>
            <w:tcW w:w="1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40" w:type="dxa"/>
            <w:vAlign w:val="bottom"/>
            <w:gridSpan w:val="3"/>
          </w:tcPr>
          <w:p>
            <w:pPr>
              <w:spacing w:after="0" w:line="146" w:lineRule="exact"/>
              <w:rPr>
                <w:sz w:val="20"/>
                <w:szCs w:val="20"/>
                <w:color w:val="auto"/>
              </w:rPr>
            </w:pPr>
            <w:r>
              <w:rPr>
                <w:rFonts w:ascii="Arial" w:cs="Arial" w:eastAsia="Arial" w:hAnsi="Arial"/>
                <w:sz w:val="13"/>
                <w:szCs w:val="13"/>
                <w:color w:val="0000C7"/>
              </w:rPr>
              <w:t>except per share data)</w:t>
            </w:r>
          </w:p>
        </w:tc>
        <w:tc>
          <w:tcPr>
            <w:tcW w:w="1260" w:type="dxa"/>
            <w:vAlign w:val="bottom"/>
            <w:vMerge w:val="restart"/>
          </w:tcPr>
          <w:p>
            <w:pPr>
              <w:jc w:val="right"/>
              <w:ind w:right="777"/>
              <w:spacing w:after="0"/>
              <w:rPr>
                <w:sz w:val="20"/>
                <w:szCs w:val="20"/>
                <w:color w:val="auto"/>
              </w:rPr>
            </w:pPr>
            <w:r>
              <w:rPr>
                <w:rFonts w:ascii="Arial" w:cs="Arial" w:eastAsia="Arial" w:hAnsi="Arial"/>
                <w:sz w:val="13"/>
                <w:szCs w:val="13"/>
                <w:b w:val="1"/>
                <w:bCs w:val="1"/>
                <w:color w:val="0000C7"/>
              </w:rPr>
              <w:t>First</w:t>
            </w:r>
          </w:p>
        </w:tc>
        <w:tc>
          <w:tcPr>
            <w:tcW w:w="1440" w:type="dxa"/>
            <w:vAlign w:val="bottom"/>
            <w:vMerge w:val="restart"/>
          </w:tcPr>
          <w:p>
            <w:pPr>
              <w:jc w:val="right"/>
              <w:ind w:right="657"/>
              <w:spacing w:after="0"/>
              <w:rPr>
                <w:sz w:val="20"/>
                <w:szCs w:val="20"/>
                <w:color w:val="auto"/>
              </w:rPr>
            </w:pPr>
            <w:r>
              <w:rPr>
                <w:rFonts w:ascii="Arial" w:cs="Arial" w:eastAsia="Arial" w:hAnsi="Arial"/>
                <w:sz w:val="13"/>
                <w:szCs w:val="13"/>
                <w:b w:val="1"/>
                <w:bCs w:val="1"/>
                <w:color w:val="0000C7"/>
              </w:rPr>
              <w:t>Second</w:t>
            </w:r>
          </w:p>
        </w:tc>
        <w:tc>
          <w:tcPr>
            <w:tcW w:w="144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0000C7"/>
              </w:rPr>
              <w:t>Third</w:t>
            </w:r>
          </w:p>
        </w:tc>
        <w:tc>
          <w:tcPr>
            <w:tcW w:w="144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0000C7"/>
              </w:rPr>
              <w:t>Fourth</w:t>
            </w:r>
          </w:p>
        </w:tc>
        <w:tc>
          <w:tcPr>
            <w:tcW w:w="0" w:type="dxa"/>
            <w:vAlign w:val="bottom"/>
          </w:tcPr>
          <w:p>
            <w:pPr>
              <w:spacing w:after="0"/>
              <w:rPr>
                <w:sz w:val="1"/>
                <w:szCs w:val="1"/>
                <w:color w:val="auto"/>
              </w:rPr>
            </w:pPr>
          </w:p>
        </w:tc>
      </w:tr>
      <w:tr>
        <w:trPr>
          <w:trHeight w:val="166"/>
        </w:trPr>
        <w:tc>
          <w:tcPr>
            <w:tcW w:w="940" w:type="dxa"/>
            <w:vAlign w:val="bottom"/>
            <w:gridSpan w:val="2"/>
          </w:tcPr>
          <w:p>
            <w:pPr>
              <w:spacing w:after="0"/>
              <w:rPr>
                <w:sz w:val="20"/>
                <w:szCs w:val="20"/>
                <w:color w:val="auto"/>
              </w:rPr>
            </w:pPr>
            <w:r>
              <w:rPr>
                <w:rFonts w:ascii="Arial" w:cs="Arial" w:eastAsia="Arial" w:hAnsi="Arial"/>
                <w:sz w:val="13"/>
                <w:szCs w:val="13"/>
                <w:color w:val="0000C7"/>
              </w:rPr>
              <w:t>Quarter</w:t>
            </w:r>
          </w:p>
        </w:tc>
        <w:tc>
          <w:tcPr>
            <w:tcW w:w="49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9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4900" w:type="dxa"/>
            <w:vAlign w:val="bottom"/>
            <w:shd w:val="clear" w:color="auto" w:fill="EEEEEE"/>
          </w:tcPr>
          <w:p>
            <w:pPr>
              <w:spacing w:after="0"/>
              <w:rPr>
                <w:sz w:val="18"/>
                <w:szCs w:val="18"/>
                <w:color w:val="auto"/>
              </w:rPr>
            </w:pPr>
          </w:p>
        </w:tc>
        <w:tc>
          <w:tcPr>
            <w:tcW w:w="1260" w:type="dxa"/>
            <w:vAlign w:val="bottom"/>
            <w:shd w:val="clear" w:color="auto" w:fill="EEEEEE"/>
          </w:tcPr>
          <w:p>
            <w:pPr>
              <w:jc w:val="right"/>
              <w:ind w:right="177"/>
              <w:spacing w:after="0"/>
              <w:rPr>
                <w:sz w:val="20"/>
                <w:szCs w:val="20"/>
                <w:color w:val="auto"/>
              </w:rPr>
            </w:pPr>
            <w:r>
              <w:rPr>
                <w:rFonts w:ascii="Arial" w:cs="Arial" w:eastAsia="Arial" w:hAnsi="Arial"/>
                <w:sz w:val="17"/>
                <w:szCs w:val="17"/>
                <w:b w:val="1"/>
                <w:bCs w:val="1"/>
                <w:color w:val="auto"/>
              </w:rPr>
              <w:t>$   313,573</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   548,027</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   454,044</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   336,864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7"/>
                <w:szCs w:val="17"/>
                <w:b w:val="1"/>
                <w:bCs w:val="1"/>
                <w:color w:val="auto"/>
                <w:w w:val="92"/>
              </w:rPr>
              <w:t>Gross profit</w:t>
            </w:r>
          </w:p>
        </w:tc>
        <w:tc>
          <w:tcPr>
            <w:tcW w:w="4900" w:type="dxa"/>
            <w:vAlign w:val="bottom"/>
          </w:tcPr>
          <w:p>
            <w:pPr>
              <w:spacing w:after="0"/>
              <w:rPr>
                <w:sz w:val="18"/>
                <w:szCs w:val="18"/>
                <w:color w:val="auto"/>
              </w:rPr>
            </w:pPr>
          </w:p>
        </w:tc>
        <w:tc>
          <w:tcPr>
            <w:tcW w:w="1260" w:type="dxa"/>
            <w:vAlign w:val="bottom"/>
          </w:tcPr>
          <w:p>
            <w:pPr>
              <w:jc w:val="right"/>
              <w:ind w:right="177"/>
              <w:spacing w:after="0"/>
              <w:rPr>
                <w:sz w:val="20"/>
                <w:szCs w:val="20"/>
                <w:color w:val="auto"/>
              </w:rPr>
            </w:pPr>
            <w:r>
              <w:rPr>
                <w:rFonts w:ascii="Arial" w:cs="Arial" w:eastAsia="Arial" w:hAnsi="Arial"/>
                <w:sz w:val="17"/>
                <w:szCs w:val="17"/>
                <w:b w:val="1"/>
                <w:bCs w:val="1"/>
                <w:color w:val="auto"/>
              </w:rPr>
              <w:t>112,610</w:t>
            </w:r>
          </w:p>
        </w:tc>
        <w:tc>
          <w:tcPr>
            <w:tcW w:w="1440" w:type="dxa"/>
            <w:vAlign w:val="bottom"/>
          </w:tcPr>
          <w:p>
            <w:pPr>
              <w:jc w:val="right"/>
              <w:ind w:right="217"/>
              <w:spacing w:after="0"/>
              <w:rPr>
                <w:sz w:val="20"/>
                <w:szCs w:val="20"/>
                <w:color w:val="auto"/>
              </w:rPr>
            </w:pPr>
            <w:r>
              <w:rPr>
                <w:rFonts w:ascii="Arial" w:cs="Arial" w:eastAsia="Arial" w:hAnsi="Arial"/>
                <w:sz w:val="17"/>
                <w:szCs w:val="17"/>
                <w:b w:val="1"/>
                <w:bCs w:val="1"/>
                <w:color w:val="auto"/>
              </w:rPr>
              <w:t>198,879</w:t>
            </w:r>
          </w:p>
        </w:tc>
        <w:tc>
          <w:tcPr>
            <w:tcW w:w="1440" w:type="dxa"/>
            <w:vAlign w:val="bottom"/>
          </w:tcPr>
          <w:p>
            <w:pPr>
              <w:jc w:val="right"/>
              <w:ind w:right="217"/>
              <w:spacing w:after="0"/>
              <w:rPr>
                <w:sz w:val="20"/>
                <w:szCs w:val="20"/>
                <w:color w:val="auto"/>
              </w:rPr>
            </w:pPr>
            <w:r>
              <w:rPr>
                <w:rFonts w:ascii="Arial" w:cs="Arial" w:eastAsia="Arial" w:hAnsi="Arial"/>
                <w:sz w:val="17"/>
                <w:szCs w:val="17"/>
                <w:b w:val="1"/>
                <w:bCs w:val="1"/>
                <w:color w:val="auto"/>
              </w:rPr>
              <w:t>164,202</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117,379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2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Net earnings</w:t>
            </w:r>
          </w:p>
        </w:tc>
        <w:tc>
          <w:tcPr>
            <w:tcW w:w="1260" w:type="dxa"/>
            <w:vAlign w:val="bottom"/>
            <w:shd w:val="clear" w:color="auto" w:fill="EEEEEE"/>
          </w:tcPr>
          <w:p>
            <w:pPr>
              <w:jc w:val="right"/>
              <w:ind w:right="177"/>
              <w:spacing w:after="0"/>
              <w:rPr>
                <w:sz w:val="20"/>
                <w:szCs w:val="20"/>
                <w:color w:val="auto"/>
              </w:rPr>
            </w:pPr>
            <w:r>
              <w:rPr>
                <w:rFonts w:ascii="Arial" w:cs="Arial" w:eastAsia="Arial" w:hAnsi="Arial"/>
                <w:sz w:val="17"/>
                <w:szCs w:val="17"/>
                <w:b w:val="1"/>
                <w:bCs w:val="1"/>
                <w:color w:val="auto"/>
              </w:rPr>
              <w:t>9,325</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52,199</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34,213</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6,929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20" w:type="dxa"/>
            <w:vAlign w:val="bottom"/>
            <w:gridSpan w:val="2"/>
          </w:tcPr>
          <w:p>
            <w:pPr>
              <w:spacing w:after="0" w:line="251" w:lineRule="exact"/>
              <w:rPr>
                <w:sz w:val="20"/>
                <w:szCs w:val="20"/>
                <w:color w:val="auto"/>
              </w:rPr>
            </w:pPr>
            <w:r>
              <w:rPr>
                <w:rFonts w:ascii="Arial" w:cs="Arial" w:eastAsia="Arial" w:hAnsi="Arial"/>
                <w:sz w:val="17"/>
                <w:szCs w:val="17"/>
                <w:b w:val="1"/>
                <w:bCs w:val="1"/>
                <w:color w:val="auto"/>
              </w:rPr>
              <w:t>Basic net earnings per share</w:t>
            </w:r>
            <w:r>
              <w:rPr>
                <w:rFonts w:ascii="Arial" w:cs="Arial" w:eastAsia="Arial" w:hAnsi="Arial"/>
                <w:sz w:val="28"/>
                <w:szCs w:val="28"/>
                <w:b w:val="1"/>
                <w:bCs w:val="1"/>
                <w:color w:val="auto"/>
                <w:vertAlign w:val="superscript"/>
              </w:rPr>
              <w:t>1</w:t>
            </w:r>
          </w:p>
        </w:tc>
        <w:tc>
          <w:tcPr>
            <w:tcW w:w="1260" w:type="dxa"/>
            <w:vAlign w:val="bottom"/>
          </w:tcPr>
          <w:p>
            <w:pPr>
              <w:jc w:val="right"/>
              <w:ind w:right="177"/>
              <w:spacing w:after="0"/>
              <w:rPr>
                <w:sz w:val="20"/>
                <w:szCs w:val="20"/>
                <w:color w:val="auto"/>
              </w:rPr>
            </w:pPr>
            <w:r>
              <w:rPr>
                <w:rFonts w:ascii="Arial" w:cs="Arial" w:eastAsia="Arial" w:hAnsi="Arial"/>
                <w:sz w:val="17"/>
                <w:szCs w:val="17"/>
                <w:b w:val="1"/>
                <w:bCs w:val="1"/>
                <w:color w:val="auto"/>
              </w:rPr>
              <w:t>0.37</w:t>
            </w:r>
          </w:p>
        </w:tc>
        <w:tc>
          <w:tcPr>
            <w:tcW w:w="1440" w:type="dxa"/>
            <w:vAlign w:val="bottom"/>
          </w:tcPr>
          <w:p>
            <w:pPr>
              <w:jc w:val="right"/>
              <w:ind w:right="217"/>
              <w:spacing w:after="0"/>
              <w:rPr>
                <w:sz w:val="20"/>
                <w:szCs w:val="20"/>
                <w:color w:val="auto"/>
              </w:rPr>
            </w:pPr>
            <w:r>
              <w:rPr>
                <w:rFonts w:ascii="Arial" w:cs="Arial" w:eastAsia="Arial" w:hAnsi="Arial"/>
                <w:sz w:val="17"/>
                <w:szCs w:val="17"/>
                <w:b w:val="1"/>
                <w:bCs w:val="1"/>
                <w:color w:val="auto"/>
              </w:rPr>
              <w:t>2.10</w:t>
            </w:r>
          </w:p>
        </w:tc>
        <w:tc>
          <w:tcPr>
            <w:tcW w:w="1440" w:type="dxa"/>
            <w:vAlign w:val="bottom"/>
          </w:tcPr>
          <w:p>
            <w:pPr>
              <w:jc w:val="right"/>
              <w:ind w:right="217"/>
              <w:spacing w:after="0"/>
              <w:rPr>
                <w:sz w:val="20"/>
                <w:szCs w:val="20"/>
                <w:color w:val="auto"/>
              </w:rPr>
            </w:pPr>
            <w:r>
              <w:rPr>
                <w:rFonts w:ascii="Arial" w:cs="Arial" w:eastAsia="Arial" w:hAnsi="Arial"/>
                <w:sz w:val="17"/>
                <w:szCs w:val="17"/>
                <w:b w:val="1"/>
                <w:bCs w:val="1"/>
                <w:color w:val="auto"/>
              </w:rPr>
              <w:t>1.40</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0.30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820" w:type="dxa"/>
            <w:vAlign w:val="bottom"/>
            <w:gridSpan w:val="2"/>
            <w:shd w:val="clear" w:color="auto" w:fill="EEEEEE"/>
          </w:tcPr>
          <w:p>
            <w:pPr>
              <w:spacing w:after="0" w:line="251" w:lineRule="exact"/>
              <w:rPr>
                <w:sz w:val="20"/>
                <w:szCs w:val="20"/>
                <w:color w:val="auto"/>
              </w:rPr>
            </w:pPr>
            <w:r>
              <w:rPr>
                <w:rFonts w:ascii="Arial" w:cs="Arial" w:eastAsia="Arial" w:hAnsi="Arial"/>
                <w:sz w:val="17"/>
                <w:szCs w:val="17"/>
                <w:b w:val="1"/>
                <w:bCs w:val="1"/>
                <w:color w:val="auto"/>
              </w:rPr>
              <w:t>Diluted net earnings per share</w:t>
            </w:r>
            <w:r>
              <w:rPr>
                <w:rFonts w:ascii="Arial" w:cs="Arial" w:eastAsia="Arial" w:hAnsi="Arial"/>
                <w:sz w:val="28"/>
                <w:szCs w:val="28"/>
                <w:b w:val="1"/>
                <w:bCs w:val="1"/>
                <w:color w:val="auto"/>
                <w:vertAlign w:val="superscript"/>
              </w:rPr>
              <w:t>1</w:t>
            </w:r>
          </w:p>
        </w:tc>
        <w:tc>
          <w:tcPr>
            <w:tcW w:w="1260" w:type="dxa"/>
            <w:vAlign w:val="bottom"/>
            <w:shd w:val="clear" w:color="auto" w:fill="EEEEEE"/>
          </w:tcPr>
          <w:p>
            <w:pPr>
              <w:jc w:val="right"/>
              <w:ind w:right="177"/>
              <w:spacing w:after="0"/>
              <w:rPr>
                <w:sz w:val="20"/>
                <w:szCs w:val="20"/>
                <w:color w:val="auto"/>
              </w:rPr>
            </w:pPr>
            <w:r>
              <w:rPr>
                <w:rFonts w:ascii="Arial" w:cs="Arial" w:eastAsia="Arial" w:hAnsi="Arial"/>
                <w:sz w:val="17"/>
                <w:szCs w:val="17"/>
                <w:b w:val="1"/>
                <w:bCs w:val="1"/>
                <w:color w:val="auto"/>
              </w:rPr>
              <w:t>0.36</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2.00</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1.33</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0.28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1 Net earnings per share amounts do not sum to equal full year total due to changes in the number of shares outstanding during the periods and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7064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3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gridSpan w:val="2"/>
          </w:tcPr>
          <w:p>
            <w:pPr>
              <w:spacing w:after="0" w:line="146" w:lineRule="exact"/>
              <w:rPr>
                <w:sz w:val="20"/>
                <w:szCs w:val="20"/>
                <w:color w:val="auto"/>
              </w:rPr>
            </w:pPr>
            <w:r>
              <w:rPr>
                <w:rFonts w:ascii="Arial" w:cs="Arial" w:eastAsia="Arial" w:hAnsi="Arial"/>
                <w:sz w:val="13"/>
                <w:szCs w:val="13"/>
                <w:color w:val="auto"/>
              </w:rPr>
              <w:t>October 31, 2003</w:t>
            </w:r>
          </w:p>
        </w:tc>
        <w:tc>
          <w:tcPr>
            <w:tcW w:w="3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gridSpan w:val="2"/>
          </w:tcPr>
          <w:p>
            <w:pPr>
              <w:spacing w:after="0" w:line="146" w:lineRule="exact"/>
              <w:rPr>
                <w:sz w:val="20"/>
                <w:szCs w:val="20"/>
                <w:color w:val="auto"/>
              </w:rPr>
            </w:pPr>
            <w:r>
              <w:rPr>
                <w:rFonts w:ascii="Arial" w:cs="Arial" w:eastAsia="Arial" w:hAnsi="Arial"/>
                <w:sz w:val="13"/>
                <w:szCs w:val="13"/>
                <w:color w:val="auto"/>
              </w:rPr>
              <w:t>(Dollars in thousands,</w:t>
            </w:r>
          </w:p>
        </w:tc>
        <w:tc>
          <w:tcPr>
            <w:tcW w:w="3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gridSpan w:val="2"/>
          </w:tcPr>
          <w:p>
            <w:pPr>
              <w:spacing w:after="0" w:line="146" w:lineRule="exact"/>
              <w:rPr>
                <w:sz w:val="20"/>
                <w:szCs w:val="20"/>
                <w:color w:val="auto"/>
              </w:rPr>
            </w:pPr>
            <w:r>
              <w:rPr>
                <w:rFonts w:ascii="Arial" w:cs="Arial" w:eastAsia="Arial" w:hAnsi="Arial"/>
                <w:sz w:val="13"/>
                <w:szCs w:val="13"/>
                <w:color w:val="auto"/>
              </w:rPr>
              <w:t>except per share data)</w:t>
            </w:r>
          </w:p>
        </w:tc>
        <w:tc>
          <w:tcPr>
            <w:tcW w:w="3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20" w:type="dxa"/>
            <w:vAlign w:val="bottom"/>
            <w:gridSpan w:val="2"/>
          </w:tcPr>
          <w:p>
            <w:pPr>
              <w:spacing w:after="0"/>
              <w:rPr>
                <w:sz w:val="20"/>
                <w:szCs w:val="20"/>
                <w:color w:val="auto"/>
              </w:rPr>
            </w:pPr>
            <w:r>
              <w:rPr>
                <w:rFonts w:ascii="Arial" w:cs="Arial" w:eastAsia="Arial" w:hAnsi="Arial"/>
                <w:sz w:val="13"/>
                <w:szCs w:val="13"/>
                <w:color w:val="auto"/>
              </w:rPr>
              <w:t>Quarter</w:t>
            </w:r>
          </w:p>
        </w:tc>
        <w:tc>
          <w:tcPr>
            <w:tcW w:w="3080" w:type="dxa"/>
            <w:vAlign w:val="bottom"/>
          </w:tcPr>
          <w:p>
            <w:pPr>
              <w:jc w:val="right"/>
              <w:ind w:right="197"/>
              <w:spacing w:after="0"/>
              <w:rPr>
                <w:sz w:val="20"/>
                <w:szCs w:val="20"/>
                <w:color w:val="auto"/>
              </w:rPr>
            </w:pPr>
            <w:r>
              <w:rPr>
                <w:rFonts w:ascii="Arial" w:cs="Arial" w:eastAsia="Arial" w:hAnsi="Arial"/>
                <w:sz w:val="13"/>
                <w:szCs w:val="13"/>
                <w:color w:val="auto"/>
              </w:rPr>
              <w:t>First</w:t>
            </w:r>
          </w:p>
        </w:tc>
        <w:tc>
          <w:tcPr>
            <w:tcW w:w="1440" w:type="dxa"/>
            <w:vAlign w:val="bottom"/>
          </w:tcPr>
          <w:p>
            <w:pPr>
              <w:jc w:val="right"/>
              <w:ind w:right="217"/>
              <w:spacing w:after="0"/>
              <w:rPr>
                <w:sz w:val="20"/>
                <w:szCs w:val="20"/>
                <w:color w:val="auto"/>
              </w:rPr>
            </w:pPr>
            <w:r>
              <w:rPr>
                <w:rFonts w:ascii="Arial" w:cs="Arial" w:eastAsia="Arial" w:hAnsi="Arial"/>
                <w:sz w:val="13"/>
                <w:szCs w:val="13"/>
                <w:color w:val="auto"/>
              </w:rPr>
              <w:t>Second</w:t>
            </w:r>
          </w:p>
        </w:tc>
        <w:tc>
          <w:tcPr>
            <w:tcW w:w="1440" w:type="dxa"/>
            <w:vAlign w:val="bottom"/>
          </w:tcPr>
          <w:p>
            <w:pPr>
              <w:jc w:val="right"/>
              <w:ind w:right="217"/>
              <w:spacing w:after="0"/>
              <w:rPr>
                <w:sz w:val="20"/>
                <w:szCs w:val="20"/>
                <w:color w:val="auto"/>
              </w:rPr>
            </w:pPr>
            <w:r>
              <w:rPr>
                <w:rFonts w:ascii="Arial" w:cs="Arial" w:eastAsia="Arial" w:hAnsi="Arial"/>
                <w:sz w:val="13"/>
                <w:szCs w:val="13"/>
                <w:color w:val="auto"/>
              </w:rPr>
              <w:t>Third</w:t>
            </w:r>
          </w:p>
        </w:tc>
        <w:tc>
          <w:tcPr>
            <w:tcW w:w="1440" w:type="dxa"/>
            <w:vAlign w:val="bottom"/>
            <w:gridSpan w:val="2"/>
          </w:tcPr>
          <w:p>
            <w:pPr>
              <w:ind w:left="800"/>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308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   295,962</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   495,840</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   394,524</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   310,262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Gross profit</w:t>
            </w:r>
          </w:p>
        </w:tc>
        <w:tc>
          <w:tcPr>
            <w:tcW w:w="3080" w:type="dxa"/>
            <w:vAlign w:val="bottom"/>
          </w:tcPr>
          <w:p>
            <w:pPr>
              <w:jc w:val="right"/>
              <w:ind w:right="197"/>
              <w:spacing w:after="0"/>
              <w:rPr>
                <w:sz w:val="20"/>
                <w:szCs w:val="20"/>
                <w:color w:val="auto"/>
              </w:rPr>
            </w:pPr>
            <w:r>
              <w:rPr>
                <w:rFonts w:ascii="Arial" w:cs="Arial" w:eastAsia="Arial" w:hAnsi="Arial"/>
                <w:sz w:val="17"/>
                <w:szCs w:val="17"/>
                <w:color w:val="auto"/>
              </w:rPr>
              <w:t>105,581</w:t>
            </w:r>
          </w:p>
        </w:tc>
        <w:tc>
          <w:tcPr>
            <w:tcW w:w="1440" w:type="dxa"/>
            <w:vAlign w:val="bottom"/>
          </w:tcPr>
          <w:p>
            <w:pPr>
              <w:jc w:val="right"/>
              <w:ind w:right="217"/>
              <w:spacing w:after="0"/>
              <w:rPr>
                <w:sz w:val="20"/>
                <w:szCs w:val="20"/>
                <w:color w:val="auto"/>
              </w:rPr>
            </w:pPr>
            <w:r>
              <w:rPr>
                <w:rFonts w:ascii="Arial" w:cs="Arial" w:eastAsia="Arial" w:hAnsi="Arial"/>
                <w:sz w:val="17"/>
                <w:szCs w:val="17"/>
                <w:color w:val="auto"/>
              </w:rPr>
              <w:t>175,632</w:t>
            </w:r>
          </w:p>
        </w:tc>
        <w:tc>
          <w:tcPr>
            <w:tcW w:w="1440" w:type="dxa"/>
            <w:vAlign w:val="bottom"/>
          </w:tcPr>
          <w:p>
            <w:pPr>
              <w:jc w:val="right"/>
              <w:ind w:right="217"/>
              <w:spacing w:after="0"/>
              <w:rPr>
                <w:sz w:val="20"/>
                <w:szCs w:val="20"/>
                <w:color w:val="auto"/>
              </w:rPr>
            </w:pPr>
            <w:r>
              <w:rPr>
                <w:rFonts w:ascii="Arial" w:cs="Arial" w:eastAsia="Arial" w:hAnsi="Arial"/>
                <w:sz w:val="17"/>
                <w:szCs w:val="17"/>
                <w:color w:val="auto"/>
              </w:rPr>
              <w:t>146,950</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107,296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Net earnings</w:t>
            </w:r>
          </w:p>
        </w:tc>
        <w:tc>
          <w:tcPr>
            <w:tcW w:w="308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6,981</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41,971</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27,044</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5,624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Basic net earnings per share</w:t>
            </w:r>
          </w:p>
        </w:tc>
        <w:tc>
          <w:tcPr>
            <w:tcW w:w="3080" w:type="dxa"/>
            <w:vAlign w:val="bottom"/>
          </w:tcPr>
          <w:p>
            <w:pPr>
              <w:jc w:val="right"/>
              <w:ind w:right="197"/>
              <w:spacing w:after="0"/>
              <w:rPr>
                <w:sz w:val="20"/>
                <w:szCs w:val="20"/>
                <w:color w:val="auto"/>
              </w:rPr>
            </w:pPr>
            <w:r>
              <w:rPr>
                <w:rFonts w:ascii="Arial" w:cs="Arial" w:eastAsia="Arial" w:hAnsi="Arial"/>
                <w:sz w:val="17"/>
                <w:szCs w:val="17"/>
                <w:color w:val="auto"/>
              </w:rPr>
              <w:t>0.28</w:t>
            </w:r>
          </w:p>
        </w:tc>
        <w:tc>
          <w:tcPr>
            <w:tcW w:w="1440" w:type="dxa"/>
            <w:vAlign w:val="bottom"/>
          </w:tcPr>
          <w:p>
            <w:pPr>
              <w:jc w:val="right"/>
              <w:ind w:right="217"/>
              <w:spacing w:after="0"/>
              <w:rPr>
                <w:sz w:val="20"/>
                <w:szCs w:val="20"/>
                <w:color w:val="auto"/>
              </w:rPr>
            </w:pPr>
            <w:r>
              <w:rPr>
                <w:rFonts w:ascii="Arial" w:cs="Arial" w:eastAsia="Arial" w:hAnsi="Arial"/>
                <w:sz w:val="17"/>
                <w:szCs w:val="17"/>
                <w:color w:val="auto"/>
              </w:rPr>
              <w:t>1.68</w:t>
            </w:r>
          </w:p>
        </w:tc>
        <w:tc>
          <w:tcPr>
            <w:tcW w:w="1440" w:type="dxa"/>
            <w:vAlign w:val="bottom"/>
          </w:tcPr>
          <w:p>
            <w:pPr>
              <w:jc w:val="right"/>
              <w:ind w:right="217"/>
              <w:spacing w:after="0"/>
              <w:rPr>
                <w:sz w:val="20"/>
                <w:szCs w:val="20"/>
                <w:color w:val="auto"/>
              </w:rPr>
            </w:pPr>
            <w:r>
              <w:rPr>
                <w:rFonts w:ascii="Arial" w:cs="Arial" w:eastAsia="Arial" w:hAnsi="Arial"/>
                <w:sz w:val="17"/>
                <w:szCs w:val="17"/>
                <w:color w:val="auto"/>
              </w:rPr>
              <w:t>1.08</w:t>
            </w: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Diluted net earnings per share</w:t>
            </w:r>
          </w:p>
        </w:tc>
        <w:tc>
          <w:tcPr>
            <w:tcW w:w="308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0.27</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1.61</w:t>
            </w:r>
          </w:p>
        </w:tc>
        <w:tc>
          <w:tcPr>
            <w:tcW w:w="144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1.03</w:t>
            </w:r>
          </w:p>
        </w:tc>
        <w:tc>
          <w:tcPr>
            <w:tcW w:w="14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3"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920" w:type="dxa"/>
            <w:vAlign w:val="bottom"/>
            <w:gridSpan w:val="2"/>
          </w:tcPr>
          <w:p>
            <w:pPr>
              <w:spacing w:after="0"/>
              <w:rPr>
                <w:sz w:val="20"/>
                <w:szCs w:val="20"/>
                <w:color w:val="auto"/>
              </w:rPr>
            </w:pPr>
            <w:r>
              <w:rPr>
                <w:rFonts w:ascii="Arial" w:cs="Arial" w:eastAsia="Arial" w:hAnsi="Arial"/>
                <w:sz w:val="42"/>
                <w:szCs w:val="42"/>
                <w:b w:val="1"/>
                <w:bCs w:val="1"/>
                <w:color w:val="auto"/>
              </w:rPr>
              <w:t>16</w:t>
            </w:r>
          </w:p>
        </w:tc>
        <w:tc>
          <w:tcPr>
            <w:tcW w:w="4760" w:type="dxa"/>
            <w:vAlign w:val="bottom"/>
            <w:gridSpan w:val="10"/>
          </w:tcPr>
          <w:p>
            <w:pPr>
              <w:jc w:val="right"/>
              <w:ind w:right="434"/>
              <w:spacing w:after="0"/>
              <w:rPr>
                <w:sz w:val="20"/>
                <w:szCs w:val="20"/>
                <w:color w:val="auto"/>
              </w:rPr>
            </w:pPr>
            <w:r>
              <w:rPr>
                <w:rFonts w:ascii="Arial" w:cs="Arial" w:eastAsia="Arial" w:hAnsi="Arial"/>
                <w:sz w:val="21"/>
                <w:szCs w:val="21"/>
                <w:b w:val="1"/>
                <w:bCs w:val="1"/>
                <w:color w:val="auto"/>
                <w:w w:val="99"/>
              </w:rPr>
              <w:t xml:space="preserve">ELEVEN-YEAR FINANCIAL DATA </w:t>
            </w:r>
            <w:r>
              <w:rPr>
                <w:rFonts w:ascii="Arial" w:cs="Arial" w:eastAsia="Arial" w:hAnsi="Arial"/>
                <w:sz w:val="17"/>
                <w:szCs w:val="17"/>
                <w:color w:val="auto"/>
                <w:w w:val="99"/>
              </w:rPr>
              <w:t>(unaudited)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320" w:type="dxa"/>
            <w:vAlign w:val="bottom"/>
            <w:tcBorders>
              <w:bottom w:val="single" w:sz="8" w:color="808080"/>
            </w:tcBorders>
            <w:gridSpan w:val="3"/>
          </w:tcPr>
          <w:p>
            <w:pPr>
              <w:spacing w:after="0"/>
              <w:rPr>
                <w:sz w:val="24"/>
                <w:szCs w:val="24"/>
                <w:color w:val="auto"/>
              </w:rPr>
            </w:pPr>
          </w:p>
        </w:tc>
        <w:tc>
          <w:tcPr>
            <w:tcW w:w="2000" w:type="dxa"/>
            <w:vAlign w:val="bottom"/>
            <w:tcBorders>
              <w:bottom w:val="single" w:sz="8" w:color="808080"/>
            </w:tcBorders>
            <w:gridSpan w:val="3"/>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320" w:type="dxa"/>
            <w:vAlign w:val="bottom"/>
            <w:gridSpan w:val="6"/>
          </w:tcPr>
          <w:p>
            <w:pPr>
              <w:spacing w:after="0"/>
              <w:rPr>
                <w:sz w:val="20"/>
                <w:szCs w:val="20"/>
                <w:color w:val="auto"/>
              </w:rPr>
            </w:pPr>
            <w:r>
              <w:rPr>
                <w:rFonts w:ascii="Arial" w:cs="Arial" w:eastAsia="Arial" w:hAnsi="Arial"/>
                <w:sz w:val="13"/>
                <w:szCs w:val="13"/>
                <w:color w:val="auto"/>
              </w:rPr>
              <w:t>(Dollars and shares in millions, except per share data)</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520" w:type="dxa"/>
            <w:vAlign w:val="bottom"/>
            <w:gridSpan w:val="4"/>
          </w:tcPr>
          <w:p>
            <w:pPr>
              <w:spacing w:after="0"/>
              <w:rPr>
                <w:sz w:val="20"/>
                <w:szCs w:val="20"/>
                <w:color w:val="auto"/>
              </w:rPr>
            </w:pPr>
            <w:r>
              <w:rPr>
                <w:rFonts w:ascii="Arial" w:cs="Arial" w:eastAsia="Arial" w:hAnsi="Arial"/>
                <w:sz w:val="13"/>
                <w:szCs w:val="13"/>
                <w:color w:val="auto"/>
              </w:rPr>
              <w:t>Fiscal years ended October 31</w:t>
            </w:r>
            <w:r>
              <w:rPr>
                <w:rFonts w:ascii="Arial" w:cs="Arial" w:eastAsia="Arial" w:hAnsi="Arial"/>
                <w:sz w:val="22"/>
                <w:szCs w:val="22"/>
                <w:color w:val="auto"/>
                <w:vertAlign w:val="superscript"/>
              </w:rPr>
              <w:t>1,8</w:t>
            </w:r>
          </w:p>
        </w:tc>
        <w:tc>
          <w:tcPr>
            <w:tcW w:w="18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auto"/>
              </w:rPr>
              <w:t>2004</w:t>
            </w:r>
          </w:p>
        </w:tc>
        <w:tc>
          <w:tcPr>
            <w:tcW w:w="160" w:type="dxa"/>
            <w:vAlign w:val="bottom"/>
          </w:tcPr>
          <w:p>
            <w:pPr>
              <w:spacing w:after="0"/>
              <w:rPr>
                <w:sz w:val="24"/>
                <w:szCs w:val="2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2003</w:t>
            </w:r>
          </w:p>
        </w:tc>
        <w:tc>
          <w:tcPr>
            <w:tcW w:w="18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2002</w:t>
            </w:r>
          </w:p>
        </w:tc>
        <w:tc>
          <w:tcPr>
            <w:tcW w:w="180" w:type="dxa"/>
            <w:vAlign w:val="bottom"/>
          </w:tcPr>
          <w:p>
            <w:pPr>
              <w:spacing w:after="0"/>
              <w:rPr>
                <w:sz w:val="24"/>
                <w:szCs w:val="2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2001</w:t>
            </w:r>
          </w:p>
        </w:tc>
        <w:tc>
          <w:tcPr>
            <w:tcW w:w="180" w:type="dxa"/>
            <w:vAlign w:val="bottom"/>
          </w:tcPr>
          <w:p>
            <w:pPr>
              <w:spacing w:after="0"/>
              <w:rPr>
                <w:sz w:val="24"/>
                <w:szCs w:val="2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2000</w:t>
            </w:r>
          </w:p>
        </w:tc>
        <w:tc>
          <w:tcPr>
            <w:tcW w:w="180" w:type="dxa"/>
            <w:vAlign w:val="bottom"/>
          </w:tcPr>
          <w:p>
            <w:pPr>
              <w:spacing w:after="0"/>
              <w:rPr>
                <w:sz w:val="24"/>
                <w:szCs w:val="24"/>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1999</w:t>
            </w:r>
          </w:p>
        </w:tc>
        <w:tc>
          <w:tcPr>
            <w:tcW w:w="200" w:type="dxa"/>
            <w:vAlign w:val="bottom"/>
          </w:tcPr>
          <w:p>
            <w:pPr>
              <w:spacing w:after="0"/>
              <w:rPr>
                <w:sz w:val="24"/>
                <w:szCs w:val="24"/>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1998</w:t>
            </w:r>
            <w:r>
              <w:rPr>
                <w:rFonts w:ascii="Arial" w:cs="Arial" w:eastAsia="Arial" w:hAnsi="Arial"/>
                <w:sz w:val="22"/>
                <w:szCs w:val="22"/>
                <w:color w:val="auto"/>
                <w:vertAlign w:val="superscript"/>
              </w:rPr>
              <w:t>4</w:t>
            </w:r>
          </w:p>
        </w:tc>
        <w:tc>
          <w:tcPr>
            <w:tcW w:w="240" w:type="dxa"/>
            <w:vAlign w:val="bottom"/>
          </w:tcPr>
          <w:p>
            <w:pPr>
              <w:spacing w:after="0"/>
              <w:rPr>
                <w:sz w:val="24"/>
                <w:szCs w:val="24"/>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1997</w:t>
            </w:r>
            <w:r>
              <w:rPr>
                <w:rFonts w:ascii="Arial" w:cs="Arial" w:eastAsia="Arial" w:hAnsi="Arial"/>
                <w:sz w:val="22"/>
                <w:szCs w:val="22"/>
                <w:color w:val="auto"/>
                <w:vertAlign w:val="superscript"/>
              </w:rPr>
              <w:t>7</w:t>
            </w:r>
          </w:p>
        </w:tc>
        <w:tc>
          <w:tcPr>
            <w:tcW w:w="22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1996</w:t>
            </w:r>
          </w:p>
        </w:tc>
        <w:tc>
          <w:tcPr>
            <w:tcW w:w="180" w:type="dxa"/>
            <w:vAlign w:val="bottom"/>
          </w:tcPr>
          <w:p>
            <w:pPr>
              <w:spacing w:after="0"/>
              <w:rPr>
                <w:sz w:val="24"/>
                <w:szCs w:val="2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1995</w:t>
            </w:r>
          </w:p>
        </w:tc>
        <w:tc>
          <w:tcPr>
            <w:tcW w:w="2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1994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2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OPERATING RESULTS:</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2"/>
                <w:szCs w:val="12"/>
                <w:b w:val="1"/>
                <w:bCs w:val="1"/>
                <w:color w:val="auto"/>
              </w:rPr>
              <w:t>Net sales</w:t>
            </w:r>
            <w:r>
              <w:rPr>
                <w:rFonts w:ascii="Arial" w:cs="Arial" w:eastAsia="Arial" w:hAnsi="Arial"/>
                <w:sz w:val="19"/>
                <w:szCs w:val="19"/>
                <w:b w:val="1"/>
                <w:bCs w:val="1"/>
                <w:color w:val="auto"/>
                <w:vertAlign w:val="superscript"/>
              </w:rPr>
              <w:t>2</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auto"/>
                <w:w w:val="87"/>
              </w:rPr>
              <w:t>1,652.5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w w:val="92"/>
              </w:rPr>
              <w:t>1,496.6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w w:val="87"/>
              </w:rPr>
              <w:t>1,399.3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w w:val="87"/>
              </w:rPr>
              <w:t>1,353.1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w w:val="92"/>
              </w:rPr>
              <w:t>1,339.0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w w:val="96"/>
              </w:rPr>
              <w:t>1,279.7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1,111.3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w w:val="96"/>
              </w:rPr>
              <w:t>1,052.8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930.9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919.4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864.3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sales growth from prior year</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b w:val="1"/>
                <w:bCs w:val="1"/>
                <w:color w:val="auto"/>
              </w:rPr>
              <w:t>10.4%</w:t>
            </w: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7.0%</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1.1%</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4.6%</w:t>
            </w: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15.1%</w:t>
            </w: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5.6%</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13.1%</w:t>
            </w: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1.3%</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6.4%</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3"/>
          </w:tcPr>
          <w:p>
            <w:pPr>
              <w:spacing w:after="0" w:line="172" w:lineRule="exact"/>
              <w:rPr>
                <w:sz w:val="20"/>
                <w:szCs w:val="20"/>
                <w:color w:val="auto"/>
              </w:rPr>
            </w:pPr>
            <w:r>
              <w:rPr>
                <w:rFonts w:ascii="Arial" w:cs="Arial" w:eastAsia="Arial" w:hAnsi="Arial"/>
                <w:sz w:val="12"/>
                <w:szCs w:val="12"/>
                <w:b w:val="1"/>
                <w:bCs w:val="1"/>
                <w:color w:val="auto"/>
              </w:rPr>
              <w:t xml:space="preserve">Earnings, before accounting change </w:t>
            </w:r>
            <w:r>
              <w:rPr>
                <w:rFonts w:ascii="Arial" w:cs="Arial" w:eastAsia="Arial" w:hAnsi="Arial"/>
                <w:sz w:val="19"/>
                <w:szCs w:val="19"/>
                <w:b w:val="1"/>
                <w:bCs w:val="1"/>
                <w:color w:val="auto"/>
                <w:vertAlign w:val="superscript"/>
              </w:rPr>
              <w:t>3,5,6</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auto"/>
              </w:rPr>
              <w:t>102.7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81.6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59.9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45.3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35.1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34.8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36.4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Percentage of net sales</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b w:val="1"/>
                <w:bCs w:val="1"/>
                <w:color w:val="auto"/>
              </w:rPr>
              <w:t>6.2%</w:t>
            </w: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5.5%</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4.3%</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3.7%</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w:t>
            </w: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2.7%</w:t>
            </w: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0.4%</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3.3%</w:t>
            </w: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3.9%</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3.5%</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2"/>
                <w:szCs w:val="12"/>
                <w:b w:val="1"/>
                <w:bCs w:val="1"/>
                <w:color w:val="auto"/>
              </w:rPr>
              <w:t>Net earnings</w:t>
            </w:r>
            <w:r>
              <w:rPr>
                <w:rFonts w:ascii="Arial" w:cs="Arial" w:eastAsia="Arial" w:hAnsi="Arial"/>
                <w:sz w:val="19"/>
                <w:szCs w:val="19"/>
                <w:b w:val="1"/>
                <w:bCs w:val="1"/>
                <w:color w:val="auto"/>
                <w:vertAlign w:val="superscript"/>
              </w:rPr>
              <w:t>3</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auto"/>
              </w:rPr>
              <w:t>102.7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81.6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35.3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45.3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35.1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34.8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36.4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shd w:val="clear" w:color="auto" w:fill="EEEEEE"/>
          </w:tcPr>
          <w:p>
            <w:pPr>
              <w:spacing w:after="0" w:line="128" w:lineRule="exact"/>
              <w:rPr>
                <w:sz w:val="20"/>
                <w:szCs w:val="20"/>
                <w:color w:val="auto"/>
              </w:rPr>
            </w:pPr>
            <w:r>
              <w:rPr>
                <w:rFonts w:ascii="Arial" w:cs="Arial" w:eastAsia="Arial" w:hAnsi="Arial"/>
                <w:sz w:val="13"/>
                <w:szCs w:val="13"/>
                <w:b w:val="1"/>
                <w:bCs w:val="1"/>
                <w:color w:val="auto"/>
              </w:rPr>
              <w:t>Diluted net earnings per share, before</w:t>
            </w:r>
          </w:p>
        </w:tc>
        <w:tc>
          <w:tcPr>
            <w:tcW w:w="1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gridSpan w:val="3"/>
            <w:shd w:val="clear" w:color="auto" w:fill="EEEEEE"/>
          </w:tcPr>
          <w:p>
            <w:pPr>
              <w:ind w:left="120"/>
              <w:spacing w:after="0" w:line="190" w:lineRule="exact"/>
              <w:rPr>
                <w:sz w:val="20"/>
                <w:szCs w:val="20"/>
                <w:color w:val="auto"/>
              </w:rPr>
            </w:pPr>
            <w:r>
              <w:rPr>
                <w:rFonts w:ascii="Arial" w:cs="Arial" w:eastAsia="Arial" w:hAnsi="Arial"/>
                <w:sz w:val="13"/>
                <w:szCs w:val="13"/>
                <w:b w:val="1"/>
                <w:bCs w:val="1"/>
                <w:color w:val="auto"/>
              </w:rPr>
              <w:t>accounting change</w:t>
            </w:r>
            <w:r>
              <w:rPr>
                <w:rFonts w:ascii="Arial" w:cs="Arial" w:eastAsia="Arial" w:hAnsi="Arial"/>
                <w:sz w:val="21"/>
                <w:szCs w:val="21"/>
                <w:b w:val="1"/>
                <w:bCs w:val="1"/>
                <w:color w:val="auto"/>
                <w:vertAlign w:val="superscript"/>
              </w:rPr>
              <w:t>3,5,6</w:t>
            </w:r>
          </w:p>
        </w:tc>
        <w:tc>
          <w:tcPr>
            <w:tcW w:w="1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54"/>
              <w:spacing w:after="0"/>
              <w:rPr>
                <w:sz w:val="20"/>
                <w:szCs w:val="20"/>
                <w:color w:val="auto"/>
              </w:rPr>
            </w:pPr>
            <w:r>
              <w:rPr>
                <w:rFonts w:ascii="Arial" w:cs="Arial" w:eastAsia="Arial" w:hAnsi="Arial"/>
                <w:sz w:val="13"/>
                <w:szCs w:val="13"/>
                <w:b w:val="1"/>
                <w:bCs w:val="1"/>
                <w:color w:val="auto"/>
              </w:rPr>
              <w:t>4.04</w:t>
            </w:r>
          </w:p>
        </w:tc>
        <w:tc>
          <w:tcPr>
            <w:tcW w:w="16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3.12</w:t>
            </w:r>
          </w:p>
        </w:tc>
        <w:tc>
          <w:tcPr>
            <w:tcW w:w="1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2.32</w:t>
            </w:r>
          </w:p>
        </w:tc>
        <w:tc>
          <w:tcPr>
            <w:tcW w:w="180" w:type="dxa"/>
            <w:vAlign w:val="bottom"/>
            <w:shd w:val="clear" w:color="auto" w:fill="EEEEEE"/>
          </w:tcPr>
          <w:p>
            <w:pPr>
              <w:spacing w:after="0"/>
              <w:rPr>
                <w:sz w:val="16"/>
                <w:szCs w:val="16"/>
                <w:color w:val="auto"/>
              </w:rPr>
            </w:pP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1.93</w:t>
            </w:r>
          </w:p>
        </w:tc>
        <w:tc>
          <w:tcPr>
            <w:tcW w:w="1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1.74</w:t>
            </w:r>
          </w:p>
        </w:tc>
        <w:tc>
          <w:tcPr>
            <w:tcW w:w="180" w:type="dxa"/>
            <w:vAlign w:val="bottom"/>
            <w:shd w:val="clear" w:color="auto" w:fill="EEEEEE"/>
          </w:tcPr>
          <w:p>
            <w:pPr>
              <w:spacing w:after="0"/>
              <w:rPr>
                <w:sz w:val="16"/>
                <w:szCs w:val="16"/>
                <w:color w:val="auto"/>
              </w:rPr>
            </w:pPr>
          </w:p>
        </w:tc>
        <w:tc>
          <w:tcPr>
            <w:tcW w:w="66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1.32</w:t>
            </w:r>
          </w:p>
        </w:tc>
        <w:tc>
          <w:tcPr>
            <w:tcW w:w="200" w:type="dxa"/>
            <w:vAlign w:val="bottom"/>
            <w:shd w:val="clear" w:color="auto" w:fill="EEEEEE"/>
          </w:tcPr>
          <w:p>
            <w:pPr>
              <w:spacing w:after="0"/>
              <w:rPr>
                <w:sz w:val="16"/>
                <w:szCs w:val="16"/>
                <w:color w:val="auto"/>
              </w:rPr>
            </w:pPr>
          </w:p>
        </w:tc>
        <w:tc>
          <w:tcPr>
            <w:tcW w:w="7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0.16</w:t>
            </w:r>
          </w:p>
        </w:tc>
        <w:tc>
          <w:tcPr>
            <w:tcW w:w="240" w:type="dxa"/>
            <w:vAlign w:val="bottom"/>
            <w:shd w:val="clear" w:color="auto" w:fill="EEEEEE"/>
          </w:tcPr>
          <w:p>
            <w:pPr>
              <w:spacing w:after="0"/>
              <w:rPr>
                <w:sz w:val="16"/>
                <w:szCs w:val="16"/>
                <w:color w:val="auto"/>
              </w:rPr>
            </w:pPr>
          </w:p>
        </w:tc>
        <w:tc>
          <w:tcPr>
            <w:tcW w:w="66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1.40</w:t>
            </w:r>
          </w:p>
        </w:tc>
        <w:tc>
          <w:tcPr>
            <w:tcW w:w="220" w:type="dxa"/>
            <w:vAlign w:val="bottom"/>
            <w:shd w:val="clear" w:color="auto" w:fill="EEEEEE"/>
          </w:tcPr>
          <w:p>
            <w:pPr>
              <w:spacing w:after="0"/>
              <w:rPr>
                <w:sz w:val="16"/>
                <w:szCs w:val="16"/>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1.45</w:t>
            </w:r>
          </w:p>
        </w:tc>
        <w:tc>
          <w:tcPr>
            <w:tcW w:w="180" w:type="dxa"/>
            <w:vAlign w:val="bottom"/>
            <w:shd w:val="clear" w:color="auto" w:fill="EEEEEE"/>
          </w:tcPr>
          <w:p>
            <w:pPr>
              <w:spacing w:after="0"/>
              <w:rPr>
                <w:sz w:val="16"/>
                <w:szCs w:val="16"/>
                <w:color w:val="auto"/>
              </w:rPr>
            </w:pPr>
          </w:p>
        </w:tc>
        <w:tc>
          <w:tcPr>
            <w:tcW w:w="6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1.25</w:t>
            </w:r>
          </w:p>
        </w:tc>
        <w:tc>
          <w:tcPr>
            <w:tcW w:w="20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Return on average stockholders’ equity</w:t>
            </w:r>
          </w:p>
        </w:tc>
        <w:tc>
          <w:tcPr>
            <w:tcW w:w="18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rPr>
              <w:t>24.7%</w:t>
            </w:r>
          </w:p>
        </w:tc>
        <w:tc>
          <w:tcPr>
            <w:tcW w:w="16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20.3%</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15.3%</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15.2%</w:t>
            </w:r>
          </w:p>
        </w:tc>
        <w:tc>
          <w:tcPr>
            <w:tcW w:w="180" w:type="dxa"/>
            <w:vAlign w:val="bottom"/>
          </w:tcPr>
          <w:p>
            <w:pPr>
              <w:spacing w:after="0"/>
              <w:rPr>
                <w:sz w:val="14"/>
                <w:szCs w:val="14"/>
                <w:color w:val="auto"/>
              </w:rPr>
            </w:pPr>
          </w:p>
        </w:tc>
        <w:tc>
          <w:tcPr>
            <w:tcW w:w="660" w:type="dxa"/>
            <w:vAlign w:val="bottom"/>
          </w:tcPr>
          <w:p>
            <w:pPr>
              <w:jc w:val="right"/>
              <w:ind w:right="34"/>
              <w:spacing w:after="0"/>
              <w:rPr>
                <w:sz w:val="20"/>
                <w:szCs w:val="20"/>
                <w:color w:val="auto"/>
              </w:rPr>
            </w:pPr>
            <w:r>
              <w:rPr>
                <w:rFonts w:ascii="Arial" w:cs="Arial" w:eastAsia="Arial" w:hAnsi="Arial"/>
                <w:sz w:val="13"/>
                <w:szCs w:val="13"/>
                <w:color w:val="auto"/>
              </w:rPr>
              <w:t>12.9%</w:t>
            </w:r>
          </w:p>
        </w:tc>
        <w:tc>
          <w:tcPr>
            <w:tcW w:w="20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15.3%</w:t>
            </w:r>
          </w:p>
        </w:tc>
        <w:tc>
          <w:tcPr>
            <w:tcW w:w="22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3"/>
                <w:szCs w:val="13"/>
                <w:color w:val="auto"/>
              </w:rPr>
              <w:t>18.0%</w:t>
            </w:r>
          </w:p>
        </w:tc>
        <w:tc>
          <w:tcPr>
            <w:tcW w:w="18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17.5%</w:t>
            </w:r>
          </w:p>
        </w:tc>
        <w:tc>
          <w:tcPr>
            <w:tcW w:w="2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SUMMARY OF FINANCIAL POSITION:</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line="146" w:lineRule="exact"/>
              <w:rPr>
                <w:sz w:val="20"/>
                <w:szCs w:val="20"/>
                <w:color w:val="auto"/>
              </w:rPr>
            </w:pPr>
            <w:r>
              <w:rPr>
                <w:rFonts w:ascii="Arial" w:cs="Arial" w:eastAsia="Arial" w:hAnsi="Arial"/>
                <w:sz w:val="13"/>
                <w:szCs w:val="13"/>
                <w:b w:val="1"/>
                <w:bCs w:val="1"/>
                <w:color w:val="auto"/>
                <w:w w:val="90"/>
              </w:rPr>
              <w:t>Working capital</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324.4</w:t>
            </w:r>
          </w:p>
        </w:tc>
        <w:tc>
          <w:tcPr>
            <w:tcW w:w="1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370.8</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298.4</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271.6</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249.3</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225.9</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221.2</w:t>
            </w: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234.2</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197.1</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165.1</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176.2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Long-term debt, less current portion</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175.0</w:t>
            </w: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175.1</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178.8</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194.6</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194.5</w:t>
            </w: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195.6</w:t>
            </w: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196.8</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177.7</w:t>
            </w: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53.0</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53.4</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395.6</w:t>
            </w:r>
          </w:p>
        </w:tc>
        <w:tc>
          <w:tcPr>
            <w:tcW w:w="16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437.2</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365.3</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341.4</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317.2</w:t>
            </w:r>
          </w:p>
        </w:tc>
        <w:tc>
          <w:tcPr>
            <w:tcW w:w="18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279.7</w:t>
            </w:r>
          </w:p>
        </w:tc>
        <w:tc>
          <w:tcPr>
            <w:tcW w:w="200" w:type="dxa"/>
            <w:vAlign w:val="bottom"/>
          </w:tcPr>
          <w:p>
            <w:pPr>
              <w:spacing w:after="0"/>
              <w:rPr>
                <w:sz w:val="12"/>
                <w:szCs w:val="12"/>
                <w:color w:val="auto"/>
              </w:rPr>
            </w:pPr>
          </w:p>
        </w:tc>
        <w:tc>
          <w:tcPr>
            <w:tcW w:w="7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263.4</w:t>
            </w:r>
          </w:p>
        </w:tc>
        <w:tc>
          <w:tcPr>
            <w:tcW w:w="24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241.2</w:t>
            </w:r>
          </w:p>
        </w:tc>
        <w:tc>
          <w:tcPr>
            <w:tcW w:w="2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213.6</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190.9</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178.7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3"/>
                <w:szCs w:val="13"/>
                <w:b w:val="1"/>
                <w:bCs w:val="1"/>
                <w:color w:val="auto"/>
              </w:rPr>
              <w:t>Debt to capitalization ratio</w:t>
            </w:r>
          </w:p>
        </w:tc>
        <w:tc>
          <w:tcPr>
            <w:tcW w:w="18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14"/>
              <w:spacing w:after="0"/>
              <w:rPr>
                <w:sz w:val="20"/>
                <w:szCs w:val="20"/>
                <w:color w:val="auto"/>
              </w:rPr>
            </w:pPr>
            <w:r>
              <w:rPr>
                <w:rFonts w:ascii="Arial" w:cs="Arial" w:eastAsia="Arial" w:hAnsi="Arial"/>
                <w:sz w:val="13"/>
                <w:szCs w:val="13"/>
                <w:b w:val="1"/>
                <w:bCs w:val="1"/>
                <w:color w:val="auto"/>
              </w:rPr>
              <w:t>30.8%</w:t>
            </w:r>
          </w:p>
        </w:tc>
        <w:tc>
          <w:tcPr>
            <w:tcW w:w="16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29.3%</w:t>
            </w:r>
          </w:p>
        </w:tc>
        <w:tc>
          <w:tcPr>
            <w:tcW w:w="18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34.9%</w:t>
            </w:r>
          </w:p>
        </w:tc>
        <w:tc>
          <w:tcPr>
            <w:tcW w:w="180" w:type="dxa"/>
            <w:vAlign w:val="bottom"/>
            <w:shd w:val="clear" w:color="auto" w:fill="EEEEEE"/>
          </w:tcPr>
          <w:p>
            <w:pPr>
              <w:spacing w:after="0"/>
              <w:rPr>
                <w:sz w:val="14"/>
                <w:szCs w:val="14"/>
                <w:color w:val="auto"/>
              </w:rPr>
            </w:pPr>
          </w:p>
        </w:tc>
        <w:tc>
          <w:tcPr>
            <w:tcW w:w="60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40.2%</w:t>
            </w:r>
          </w:p>
        </w:tc>
        <w:tc>
          <w:tcPr>
            <w:tcW w:w="18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39.4%</w:t>
            </w:r>
          </w:p>
        </w:tc>
        <w:tc>
          <w:tcPr>
            <w:tcW w:w="180" w:type="dxa"/>
            <w:vAlign w:val="bottom"/>
            <w:shd w:val="clear" w:color="auto" w:fill="EEEEEE"/>
          </w:tcPr>
          <w:p>
            <w:pPr>
              <w:spacing w:after="0"/>
              <w:rPr>
                <w:sz w:val="14"/>
                <w:szCs w:val="14"/>
                <w:color w:val="auto"/>
              </w:rPr>
            </w:pPr>
          </w:p>
        </w:tc>
        <w:tc>
          <w:tcPr>
            <w:tcW w:w="66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47.5%</w:t>
            </w:r>
          </w:p>
        </w:tc>
        <w:tc>
          <w:tcPr>
            <w:tcW w:w="200" w:type="dxa"/>
            <w:vAlign w:val="bottom"/>
            <w:shd w:val="clear" w:color="auto" w:fill="EEEEEE"/>
          </w:tcPr>
          <w:p>
            <w:pPr>
              <w:spacing w:after="0"/>
              <w:rPr>
                <w:sz w:val="14"/>
                <w:szCs w:val="14"/>
                <w:color w:val="auto"/>
              </w:rPr>
            </w:pPr>
          </w:p>
        </w:tc>
        <w:tc>
          <w:tcPr>
            <w:tcW w:w="70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46.4%</w:t>
            </w:r>
          </w:p>
        </w:tc>
        <w:tc>
          <w:tcPr>
            <w:tcW w:w="240" w:type="dxa"/>
            <w:vAlign w:val="bottom"/>
            <w:shd w:val="clear" w:color="auto" w:fill="EEEEEE"/>
          </w:tcPr>
          <w:p>
            <w:pPr>
              <w:spacing w:after="0"/>
              <w:rPr>
                <w:sz w:val="14"/>
                <w:szCs w:val="14"/>
                <w:color w:val="auto"/>
              </w:rPr>
            </w:pPr>
          </w:p>
        </w:tc>
        <w:tc>
          <w:tcPr>
            <w:tcW w:w="66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47.6%</w:t>
            </w:r>
          </w:p>
        </w:tc>
        <w:tc>
          <w:tcPr>
            <w:tcW w:w="220" w:type="dxa"/>
            <w:vAlign w:val="bottom"/>
            <w:shd w:val="clear" w:color="auto" w:fill="EEEEEE"/>
          </w:tcPr>
          <w:p>
            <w:pPr>
              <w:spacing w:after="0"/>
              <w:rPr>
                <w:sz w:val="14"/>
                <w:szCs w:val="14"/>
                <w:color w:val="auto"/>
              </w:rPr>
            </w:pPr>
          </w:p>
        </w:tc>
        <w:tc>
          <w:tcPr>
            <w:tcW w:w="58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30.7%</w:t>
            </w:r>
          </w:p>
        </w:tc>
        <w:tc>
          <w:tcPr>
            <w:tcW w:w="180" w:type="dxa"/>
            <w:vAlign w:val="bottom"/>
            <w:shd w:val="clear" w:color="auto" w:fill="EEEEEE"/>
          </w:tcPr>
          <w:p>
            <w:pPr>
              <w:spacing w:after="0"/>
              <w:rPr>
                <w:sz w:val="14"/>
                <w:szCs w:val="14"/>
                <w:color w:val="auto"/>
              </w:rPr>
            </w:pPr>
          </w:p>
        </w:tc>
        <w:tc>
          <w:tcPr>
            <w:tcW w:w="60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36.6%</w:t>
            </w:r>
          </w:p>
        </w:tc>
        <w:tc>
          <w:tcPr>
            <w:tcW w:w="20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gridSpan w:val="2"/>
            <w:shd w:val="clear" w:color="auto" w:fill="EEEEEE"/>
          </w:tcPr>
          <w:p>
            <w:pPr>
              <w:spacing w:after="0"/>
              <w:rPr>
                <w:sz w:val="10"/>
                <w:szCs w:val="10"/>
                <w:color w:val="auto"/>
              </w:rPr>
            </w:pPr>
          </w:p>
        </w:tc>
        <w:tc>
          <w:tcPr>
            <w:tcW w:w="1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7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OTHER STATISTICAL DATA:</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Book value per share of common stock</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17.12</w:t>
            </w: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17.93</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15.01</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13.92</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12.62</w:t>
            </w: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11.13</w:t>
            </w: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10.32</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9.90</w:t>
            </w: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8.88</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7.85</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92"/>
              </w:rPr>
              <w:t>Cash dividends per share of common stock</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0.24</w:t>
            </w:r>
          </w:p>
        </w:tc>
        <w:tc>
          <w:tcPr>
            <w:tcW w:w="16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200" w:type="dxa"/>
            <w:vAlign w:val="bottom"/>
          </w:tcPr>
          <w:p>
            <w:pPr>
              <w:spacing w:after="0"/>
              <w:rPr>
                <w:sz w:val="12"/>
                <w:szCs w:val="12"/>
                <w:color w:val="auto"/>
              </w:rPr>
            </w:pPr>
          </w:p>
        </w:tc>
        <w:tc>
          <w:tcPr>
            <w:tcW w:w="7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24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2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Market price range –</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ind w:left="220"/>
              <w:spacing w:after="0" w:line="146" w:lineRule="exact"/>
              <w:rPr>
                <w:sz w:val="20"/>
                <w:szCs w:val="20"/>
                <w:color w:val="auto"/>
              </w:rPr>
            </w:pPr>
            <w:r>
              <w:rPr>
                <w:rFonts w:ascii="Arial" w:cs="Arial" w:eastAsia="Arial" w:hAnsi="Arial"/>
                <w:sz w:val="13"/>
                <w:szCs w:val="13"/>
                <w:b w:val="1"/>
                <w:bCs w:val="1"/>
                <w:color w:val="auto"/>
              </w:rPr>
              <w:t>High price</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71.65</w:t>
            </w:r>
          </w:p>
        </w:tc>
        <w:tc>
          <w:tcPr>
            <w:tcW w:w="16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50.41</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32.11</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25.00</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19.000</w:t>
            </w:r>
          </w:p>
        </w:tc>
        <w:tc>
          <w:tcPr>
            <w:tcW w:w="18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89"/>
              </w:rPr>
              <w:t>19.7500</w:t>
            </w:r>
          </w:p>
        </w:tc>
        <w:tc>
          <w:tcPr>
            <w:tcW w:w="200" w:type="dxa"/>
            <w:vAlign w:val="bottom"/>
          </w:tcPr>
          <w:p>
            <w:pPr>
              <w:spacing w:after="0"/>
              <w:rPr>
                <w:sz w:val="12"/>
                <w:szCs w:val="12"/>
                <w:color w:val="auto"/>
              </w:rPr>
            </w:pPr>
          </w:p>
        </w:tc>
        <w:tc>
          <w:tcPr>
            <w:tcW w:w="70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7"/>
              </w:rPr>
              <w:t>23.1563</w:t>
            </w:r>
          </w:p>
        </w:tc>
        <w:tc>
          <w:tcPr>
            <w:tcW w:w="240" w:type="dxa"/>
            <w:vAlign w:val="bottom"/>
          </w:tcPr>
          <w:p>
            <w:pPr>
              <w:spacing w:after="0"/>
              <w:rPr>
                <w:sz w:val="12"/>
                <w:szCs w:val="12"/>
                <w:color w:val="auto"/>
              </w:rPr>
            </w:pPr>
          </w:p>
        </w:tc>
        <w:tc>
          <w:tcPr>
            <w:tcW w:w="6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21.88</w:t>
            </w:r>
          </w:p>
        </w:tc>
        <w:tc>
          <w:tcPr>
            <w:tcW w:w="2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90"/>
              </w:rPr>
              <w:t>18.125</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0"/>
              </w:rPr>
              <w:t>16.125</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15.250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b w:val="1"/>
                <w:bCs w:val="1"/>
                <w:color w:val="auto"/>
              </w:rPr>
              <w:t>Low price</w:t>
            </w:r>
          </w:p>
        </w:tc>
        <w:tc>
          <w:tcPr>
            <w:tcW w:w="400" w:type="dxa"/>
            <w:vAlign w:val="bottom"/>
            <w:shd w:val="clear" w:color="auto" w:fill="EEEEEE"/>
          </w:tcPr>
          <w:p>
            <w:pPr>
              <w:spacing w:after="0"/>
              <w:rPr>
                <w:sz w:val="12"/>
                <w:szCs w:val="12"/>
                <w:color w:val="auto"/>
              </w:rPr>
            </w:pPr>
          </w:p>
        </w:tc>
        <w:tc>
          <w:tcPr>
            <w:tcW w:w="1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44.45</w:t>
            </w:r>
          </w:p>
        </w:tc>
        <w:tc>
          <w:tcPr>
            <w:tcW w:w="1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30.15</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20.96</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16.38</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14.063</w:t>
            </w:r>
          </w:p>
        </w:tc>
        <w:tc>
          <w:tcPr>
            <w:tcW w:w="18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89"/>
              </w:rPr>
              <w:t>11.0938</w:t>
            </w:r>
          </w:p>
        </w:tc>
        <w:tc>
          <w:tcPr>
            <w:tcW w:w="20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8.2500</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15.75</w:t>
            </w:r>
          </w:p>
        </w:tc>
        <w:tc>
          <w:tcPr>
            <w:tcW w:w="2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90"/>
              </w:rPr>
              <w:t>14.188</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0"/>
              </w:rPr>
              <w:t>12.813</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w w:val="95"/>
              </w:rPr>
              <w:t>10.438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Average number of employees</w:t>
            </w:r>
          </w:p>
        </w:tc>
        <w:tc>
          <w:tcPr>
            <w:tcW w:w="18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b w:val="1"/>
                <w:bCs w:val="1"/>
                <w:color w:val="auto"/>
              </w:rPr>
              <w:t>5,164</w:t>
            </w:r>
          </w:p>
        </w:tc>
        <w:tc>
          <w:tcPr>
            <w:tcW w:w="16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5,367</w:t>
            </w:r>
          </w:p>
        </w:tc>
        <w:tc>
          <w:tcPr>
            <w:tcW w:w="18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5,395</w:t>
            </w:r>
          </w:p>
        </w:tc>
        <w:tc>
          <w:tcPr>
            <w:tcW w:w="1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5,380</w:t>
            </w:r>
          </w:p>
        </w:tc>
        <w:tc>
          <w:tcPr>
            <w:tcW w:w="1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5,040</w:t>
            </w:r>
          </w:p>
        </w:tc>
        <w:tc>
          <w:tcPr>
            <w:tcW w:w="18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4,923</w:t>
            </w:r>
          </w:p>
        </w:tc>
        <w:tc>
          <w:tcPr>
            <w:tcW w:w="2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4,695</w:t>
            </w:r>
          </w:p>
        </w:tc>
        <w:tc>
          <w:tcPr>
            <w:tcW w:w="24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4,309</w:t>
            </w:r>
          </w:p>
        </w:tc>
        <w:tc>
          <w:tcPr>
            <w:tcW w:w="22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3,610</w:t>
            </w:r>
          </w:p>
        </w:tc>
        <w:tc>
          <w:tcPr>
            <w:tcW w:w="18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3,638</w:t>
            </w:r>
          </w:p>
        </w:tc>
        <w:tc>
          <w:tcPr>
            <w:tcW w:w="2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249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2" w:lineRule="exact"/>
        <w:rPr>
          <w:sz w:val="20"/>
          <w:szCs w:val="20"/>
          <w:color w:val="auto"/>
        </w:rPr>
      </w:pPr>
    </w:p>
    <w:p>
      <w:pPr>
        <w:ind w:left="140" w:right="580" w:hanging="131"/>
        <w:spacing w:after="0" w:line="263" w:lineRule="auto"/>
        <w:rPr>
          <w:sz w:val="20"/>
          <w:szCs w:val="20"/>
          <w:color w:val="auto"/>
        </w:rPr>
      </w:pPr>
      <w:r>
        <w:rPr>
          <w:rFonts w:ascii="Arial" w:cs="Arial" w:eastAsia="Arial" w:hAnsi="Arial"/>
          <w:sz w:val="17"/>
          <w:szCs w:val="17"/>
          <w:color w:val="auto"/>
        </w:rPr>
        <w:t>1 In 1995, the company changed its fiscal year end from July 31 to October 31. Therefore, the year-end’s prior to 1996 were derived from unaudited amounts reflecting twelve months of data through the Friday closest to October 31 for comparative purposes.</w:t>
      </w:r>
    </w:p>
    <w:p>
      <w:pPr>
        <w:spacing w:after="0"/>
        <w:rPr>
          <w:sz w:val="20"/>
          <w:szCs w:val="20"/>
          <w:color w:val="auto"/>
        </w:rPr>
      </w:pPr>
      <w:r>
        <w:rPr>
          <w:rFonts w:ascii="Arial" w:cs="Arial" w:eastAsia="Arial" w:hAnsi="Arial"/>
          <w:sz w:val="15"/>
          <w:szCs w:val="15"/>
          <w:color w:val="auto"/>
        </w:rPr>
        <w:t>2 The adoption of Emerging Issues Task Force issues 00-10, 00-14, and 00-25 resulted in a (decrease) increase of net sales for fiscal 2001, 2000, 1999, 1998, and</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1997 by $(5.2) million, $2.1 million, $4.7 million, $0.9 million, and $1.6 million, respectively. 1996 and prior years have not been restated.</w:t>
      </w:r>
    </w:p>
    <w:p>
      <w:pPr>
        <w:spacing w:after="0" w:line="16" w:lineRule="exact"/>
        <w:rPr>
          <w:sz w:val="20"/>
          <w:szCs w:val="20"/>
          <w:color w:val="auto"/>
        </w:rPr>
      </w:pPr>
    </w:p>
    <w:p>
      <w:pPr>
        <w:ind w:left="140" w:right="300" w:hanging="131"/>
        <w:spacing w:after="0" w:line="259" w:lineRule="auto"/>
        <w:rPr>
          <w:sz w:val="20"/>
          <w:szCs w:val="20"/>
          <w:color w:val="auto"/>
        </w:rPr>
      </w:pPr>
      <w:r>
        <w:rPr>
          <w:rFonts w:ascii="Arial" w:cs="Arial" w:eastAsia="Arial" w:hAnsi="Arial"/>
          <w:sz w:val="17"/>
          <w:szCs w:val="17"/>
          <w:color w:val="auto"/>
        </w:rPr>
        <w:t>3 Fiscal 2004, 2003, 2002, 2001, 1999, 1998, and 1997, includes net restructuring and other (income) expense of $(0.7) million, $1.8 million, $8.4 million, $(0.7) million, $1.7 million, $15.0 million, and $2.6 million, respectively.</w:t>
      </w:r>
    </w:p>
    <w:p>
      <w:pPr>
        <w:spacing w:after="0" w:line="1" w:lineRule="exact"/>
        <w:rPr>
          <w:sz w:val="20"/>
          <w:szCs w:val="20"/>
          <w:color w:val="auto"/>
        </w:rPr>
      </w:pPr>
    </w:p>
    <w:p>
      <w:pPr>
        <w:ind w:left="140" w:right="560" w:hanging="131"/>
        <w:spacing w:after="0" w:line="259" w:lineRule="auto"/>
        <w:rPr>
          <w:sz w:val="20"/>
          <w:szCs w:val="20"/>
          <w:color w:val="auto"/>
        </w:rPr>
      </w:pPr>
      <w:r>
        <w:rPr>
          <w:rFonts w:ascii="Arial" w:cs="Arial" w:eastAsia="Arial" w:hAnsi="Arial"/>
          <w:sz w:val="17"/>
          <w:szCs w:val="17"/>
          <w:color w:val="auto"/>
        </w:rPr>
        <w:t>4 The company’s consolidated financial statements include results of operations of Exmark from November 1, 1997 and Drip In from February 1, 1998, dates of acquisition.</w:t>
      </w:r>
    </w:p>
    <w:p>
      <w:pPr>
        <w:spacing w:after="0" w:line="1" w:lineRule="exact"/>
        <w:rPr>
          <w:sz w:val="20"/>
          <w:szCs w:val="20"/>
          <w:color w:val="auto"/>
        </w:rPr>
      </w:pPr>
    </w:p>
    <w:p>
      <w:pPr>
        <w:ind w:left="140" w:right="260" w:hanging="131"/>
        <w:spacing w:after="0" w:line="259" w:lineRule="auto"/>
        <w:rPr>
          <w:sz w:val="20"/>
          <w:szCs w:val="20"/>
          <w:color w:val="auto"/>
        </w:rPr>
      </w:pPr>
      <w:r>
        <w:rPr>
          <w:rFonts w:ascii="Arial" w:cs="Arial" w:eastAsia="Arial" w:hAnsi="Arial"/>
          <w:sz w:val="17"/>
          <w:szCs w:val="17"/>
          <w:color w:val="auto"/>
        </w:rPr>
        <w:t>5 Fiscal 2002 net earnings and diluted net earnings per share after cumulative effect of change in accounting principle of $24.6 million, or $0.95 per diluted share, were $35.3 million and $1.37,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 Fiscal 1997 net earnings and diluted net earnings per share includes a loss on the early retirement of debt of $1.7 million, or $0.07 per diluted share.</w:t>
      </w:r>
    </w:p>
    <w:p>
      <w:pPr>
        <w:spacing w:after="0" w:line="90" w:lineRule="exact"/>
        <w:rPr>
          <w:sz w:val="20"/>
          <w:szCs w:val="20"/>
          <w:color w:val="auto"/>
        </w:rPr>
      </w:pPr>
    </w:p>
    <w:p>
      <w:pPr>
        <w:ind w:left="140" w:right="1020" w:hanging="131"/>
        <w:spacing w:after="0" w:line="263" w:lineRule="auto"/>
        <w:rPr>
          <w:sz w:val="20"/>
          <w:szCs w:val="20"/>
          <w:color w:val="auto"/>
        </w:rPr>
      </w:pPr>
      <w:r>
        <w:rPr>
          <w:rFonts w:ascii="Arial" w:cs="Arial" w:eastAsia="Arial" w:hAnsi="Arial"/>
          <w:sz w:val="17"/>
          <w:szCs w:val="17"/>
          <w:color w:val="auto"/>
        </w:rPr>
        <w:t>7 The company’s consolidated financial statements include results of operations of the James Hardie Irrigation Group from December 1, 1996, the date of acquisition.</w:t>
      </w:r>
    </w:p>
    <w:p>
      <w:pPr>
        <w:spacing w:after="0"/>
        <w:rPr>
          <w:sz w:val="20"/>
          <w:szCs w:val="20"/>
          <w:color w:val="auto"/>
        </w:rPr>
      </w:pPr>
      <w:r>
        <w:rPr>
          <w:rFonts w:ascii="Arial" w:cs="Arial" w:eastAsia="Arial" w:hAnsi="Arial"/>
          <w:sz w:val="17"/>
          <w:szCs w:val="17"/>
          <w:color w:val="auto"/>
        </w:rPr>
        <w:t>8 Per share data has been adjusted for all fiscal years presented to reflect a two-for-one stock split effective April 1, 2003.</w:t>
      </w:r>
    </w:p>
    <w:p>
      <w:pPr>
        <w:spacing w:after="0" w:line="283" w:lineRule="exact"/>
        <w:rPr>
          <w:sz w:val="20"/>
          <w:szCs w:val="20"/>
          <w:color w:val="auto"/>
        </w:rPr>
      </w:pPr>
    </w:p>
    <w:p>
      <w:pPr>
        <w:ind w:left="940" w:right="2000" w:hanging="925"/>
        <w:spacing w:after="0" w:line="269" w:lineRule="auto"/>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2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w:t>
      </w:r>
    </w:p>
    <w:p>
      <w:pPr>
        <w:spacing w:after="0" w:line="187" w:lineRule="exact"/>
        <w:rPr>
          <w:sz w:val="20"/>
          <w:szCs w:val="20"/>
          <w:color w:val="auto"/>
        </w:rPr>
      </w:pPr>
    </w:p>
    <w:p>
      <w:pPr>
        <w:ind w:right="20" w:firstLine="83"/>
        <w:spacing w:after="0" w:line="310" w:lineRule="auto"/>
        <w:rPr>
          <w:sz w:val="20"/>
          <w:szCs w:val="20"/>
          <w:color w:val="auto"/>
        </w:rPr>
      </w:pPr>
      <w:r>
        <w:rPr>
          <w:rFonts w:ascii="Arial" w:cs="Arial" w:eastAsia="Arial" w:hAnsi="Arial"/>
          <w:sz w:val="15"/>
          <w:szCs w:val="15"/>
          <w:color w:val="auto"/>
        </w:rPr>
        <w:t>The company’s management evaluated, with the participation of the company’s Chief Executive Officer and Chief Financial Officer, the effectiveness of the design and operation of the company’s disclosure controls and procedures as of the end of the period covered in this Annual Report on Form 10-K.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fourth fiscal quarter ended October 31, 2004 that has materially affected, or is reasonably likely to materially affect, the company’s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III</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AND EXECUTIVE OFFICERS OF THE REGISTRANT</w:t>
      </w: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See “Executive Officers of the Registrant” in Part I of this report for information regarding the executive officers of the company, which is incorporated by reference in this section.</w:t>
      </w:r>
    </w:p>
    <w:p>
      <w:pPr>
        <w:spacing w:after="0" w:line="169" w:lineRule="exact"/>
        <w:rPr>
          <w:sz w:val="20"/>
          <w:szCs w:val="20"/>
          <w:color w:val="auto"/>
        </w:rPr>
      </w:pPr>
    </w:p>
    <w:p>
      <w:pPr>
        <w:ind w:right="60" w:firstLine="86"/>
        <w:spacing w:after="0" w:line="263" w:lineRule="auto"/>
        <w:rPr>
          <w:sz w:val="20"/>
          <w:szCs w:val="20"/>
          <w:color w:val="auto"/>
        </w:rPr>
      </w:pPr>
      <w:r>
        <w:rPr>
          <w:rFonts w:ascii="Arial" w:cs="Arial" w:eastAsia="Arial" w:hAnsi="Arial"/>
          <w:sz w:val="17"/>
          <w:szCs w:val="17"/>
          <w:color w:val="auto"/>
        </w:rPr>
        <w:t>Information regarding the directors of the company, additional information regarding certain executive officers, information regarding the company’s Code of Ethics and Code of Conduct, and other information required by Item 10 of Part III of this report is incorporated by reference to information to be contained under the captions “Proposal One – Election of Directors – Nominees for Election to Board of Directors”, “Proposal One – Election of Directors – Members of Board of Directors Continuing in Office”, “Section 16(a) Beneficial Ownership Reporting Compliance”, and “Corporate Governance – Code of Conduct and Code of Ethics for the CEO and Senior Financial Officers”,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 The company intends to satisfy disclosure requirements regarding amendments to or waivers from its code of ethics by posting such information on the company’s web site at www.thetorocompany.com.</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Information concerning executive compensation and other information required by Item 11 of Part III of this report is incorporated herein by reference to information to be contained under the caption “Executive Compensation” and “Proposal One – Election of Directors – Board Compensation”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w:t>
      </w:r>
    </w:p>
    <w:p>
      <w:pPr>
        <w:spacing w:after="0" w:line="22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Information regarding the security ownership of certain beneficial owners and management of the company, equity compensation plan information, and other information required by Item 12 of Part III of this report is incorporated herein by reference to information to be contained under the captions “Stock Ownership” and “Executive Compensation – Equity Compensation Plan Information”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w:t>
      </w:r>
    </w:p>
    <w:p>
      <w:pPr>
        <w:spacing w:after="0" w:line="227"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Information concerning certain relationships and related transactions required by Item 13 of Part III of this report is incorporated herein by reference to information to be contained under the caption “Certain Relationships and Related Transactions”,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ACCOUNTANT FEES AND SERVICES</w:t>
      </w: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Information regarding the company’s independent auditor fees and services and other information required by Item 14 of Part III of this report is incorporated herein by reference to information to be contained under the captions “Proposal Two – Ratify Selection of Independent Auditor – Audit, Audit-Related, Tax and Other Fees” and “Proposal Two – Ratify Selection of Independent Auditor – Auditor Fees Pre-approval Policy”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120-day period.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IV</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EXHIBITS AND FINANCIAL STATEMENT SCHEDULES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The Toro Company and its subsidiaries are included in Item 8 of Part II:</w:t>
      </w:r>
    </w:p>
    <w:p>
      <w:pPr>
        <w:spacing w:after="0" w:line="22" w:lineRule="exact"/>
        <w:rPr>
          <w:sz w:val="20"/>
          <w:szCs w:val="20"/>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Earnings for the fiscal years ended October 31, 2004, 2003, and 2002</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Balance Sheets as of October 31, 2004 and 2003</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Cash Flows for the fiscal years ended October 31, 2004, 2003, and 2002</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fiscal years ended October 31, 2004, 2003, and 2002</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 schedule of The Toro Company and its subsidiaries are included herein: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Schedule II — Valuation and Qualifying Accounts</w:t>
      </w:r>
    </w:p>
    <w:p>
      <w:pPr>
        <w:spacing w:after="0" w:line="222" w:lineRule="exact"/>
        <w:rPr>
          <w:sz w:val="20"/>
          <w:szCs w:val="20"/>
          <w:color w:val="auto"/>
        </w:rPr>
      </w:pPr>
    </w:p>
    <w:p>
      <w:pPr>
        <w:ind w:right="220" w:firstLine="77"/>
        <w:spacing w:after="0" w:line="286" w:lineRule="auto"/>
        <w:rPr>
          <w:sz w:val="20"/>
          <w:szCs w:val="20"/>
          <w:color w:val="auto"/>
        </w:rPr>
      </w:pPr>
      <w:r>
        <w:rPr>
          <w:rFonts w:ascii="Arial" w:cs="Arial" w:eastAsia="Arial" w:hAnsi="Arial"/>
          <w:sz w:val="17"/>
          <w:szCs w:val="17"/>
          <w:color w:val="auto"/>
        </w:rPr>
        <w:t>All other schedules are omitted because the required information is inapplicable or the information is presented in the consolidated financial statements or related notes.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incorporated herein by reference or are filed with this report as indicated below:</w:t>
      </w:r>
    </w:p>
    <w:p>
      <w:pPr>
        <w:spacing w:after="0" w:line="222"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both"/>
        <w:ind w:right="540"/>
        <w:spacing w:after="0" w:line="293" w:lineRule="auto"/>
        <w:rPr>
          <w:sz w:val="20"/>
          <w:szCs w:val="20"/>
          <w:color w:val="auto"/>
        </w:rPr>
      </w:pPr>
      <w:r>
        <w:rPr>
          <w:rFonts w:ascii="Arial" w:cs="Arial" w:eastAsia="Arial" w:hAnsi="Arial"/>
          <w:sz w:val="17"/>
          <w:szCs w:val="17"/>
          <w:b w:val="1"/>
          <w:bCs w:val="1"/>
          <w:color w:val="auto"/>
        </w:rPr>
        <w:t xml:space="preserve">3(i) and 4(a) </w:t>
      </w:r>
      <w:r>
        <w:rPr>
          <w:rFonts w:ascii="Arial" w:cs="Arial" w:eastAsia="Arial" w:hAnsi="Arial"/>
          <w:sz w:val="17"/>
          <w:szCs w:val="17"/>
          <w:color w:val="auto"/>
        </w:rPr>
        <w:t>Amended and Restated Certificate of Incorporation of Registrant (incorporated by reference to Exhibit 4(b) to Registrant’s Current Report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8-K dated May 28, 2003, Commission File No. 1-8649).</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b w:val="1"/>
          <w:bCs w:val="1"/>
          <w:color w:val="auto"/>
        </w:rPr>
        <w:t xml:space="preserve">3(ii) and 4(b) </w:t>
      </w:r>
      <w:r>
        <w:rPr>
          <w:rFonts w:ascii="Arial" w:cs="Arial" w:eastAsia="Arial" w:hAnsi="Arial"/>
          <w:sz w:val="17"/>
          <w:szCs w:val="17"/>
          <w:color w:val="auto"/>
        </w:rPr>
        <w:t>Bylaws of Registrant (incorporated by reference to Exhibit 4(c) to Registrant’s Current Report on Form 8-K dated May 28, 2003, Commission File</w:t>
      </w:r>
      <w:r>
        <w:rPr>
          <w:rFonts w:ascii="Arial" w:cs="Arial" w:eastAsia="Arial" w:hAnsi="Arial"/>
          <w:sz w:val="17"/>
          <w:szCs w:val="17"/>
          <w:b w:val="1"/>
          <w:bCs w:val="1"/>
          <w:color w:val="auto"/>
        </w:rPr>
        <w:t xml:space="preserve"> </w:t>
      </w:r>
      <w:r>
        <w:rPr>
          <w:rFonts w:ascii="Arial" w:cs="Arial" w:eastAsia="Arial" w:hAnsi="Arial"/>
          <w:sz w:val="17"/>
          <w:szCs w:val="17"/>
          <w:color w:val="auto"/>
        </w:rPr>
        <w:t>No. 1-8649).</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4(c)</w:t>
      </w:r>
      <w:r>
        <w:rPr>
          <w:sz w:val="20"/>
          <w:szCs w:val="20"/>
          <w:color w:val="auto"/>
        </w:rPr>
        <w:tab/>
      </w:r>
      <w:r>
        <w:rPr>
          <w:rFonts w:ascii="Arial" w:cs="Arial" w:eastAsia="Arial" w:hAnsi="Arial"/>
          <w:sz w:val="17"/>
          <w:szCs w:val="17"/>
          <w:color w:val="auto"/>
        </w:rPr>
        <w:t>Specimen form of The Toro Company Common Stock certificate.</w:t>
      </w:r>
    </w:p>
    <w:p>
      <w:pPr>
        <w:spacing w:after="0" w:line="228" w:lineRule="exact"/>
        <w:rPr>
          <w:sz w:val="20"/>
          <w:szCs w:val="20"/>
          <w:color w:val="auto"/>
        </w:rPr>
      </w:pPr>
    </w:p>
    <w:p>
      <w:pPr>
        <w:jc w:val="both"/>
        <w:ind w:right="540"/>
        <w:spacing w:after="0" w:line="276" w:lineRule="auto"/>
        <w:rPr>
          <w:sz w:val="20"/>
          <w:szCs w:val="20"/>
          <w:color w:val="auto"/>
        </w:rPr>
      </w:pPr>
      <w:r>
        <w:rPr>
          <w:rFonts w:ascii="Arial" w:cs="Arial" w:eastAsia="Arial" w:hAnsi="Arial"/>
          <w:sz w:val="17"/>
          <w:szCs w:val="17"/>
          <w:b w:val="1"/>
          <w:bCs w:val="1"/>
          <w:color w:val="auto"/>
        </w:rPr>
        <w:t xml:space="preserve">4(d) </w:t>
      </w:r>
      <w:r>
        <w:rPr>
          <w:rFonts w:ascii="Arial" w:cs="Arial" w:eastAsia="Arial" w:hAnsi="Arial"/>
          <w:sz w:val="17"/>
          <w:szCs w:val="17"/>
          <w:color w:val="auto"/>
        </w:rPr>
        <w:t>Rights Agreement dated as of May 20, 1998, between Registrant and Wells Fargo Bank Minnesota, National Association relating to rights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B Junior Participating Voting Preferred Stock, as amended (incorporated by reference to Registrant’s Current Report on Form 8-K dated May 27, 1998, Commission File No. 1-8649).</w:t>
      </w:r>
    </w:p>
    <w:p>
      <w:pPr>
        <w:spacing w:after="0" w:line="172" w:lineRule="exact"/>
        <w:rPr>
          <w:sz w:val="20"/>
          <w:szCs w:val="20"/>
          <w:color w:val="auto"/>
        </w:rPr>
      </w:pPr>
    </w:p>
    <w:p>
      <w:pPr>
        <w:jc w:val="both"/>
        <w:ind w:right="400"/>
        <w:spacing w:after="0" w:line="276" w:lineRule="auto"/>
        <w:rPr>
          <w:sz w:val="20"/>
          <w:szCs w:val="20"/>
          <w:color w:val="auto"/>
        </w:rPr>
      </w:pPr>
      <w:r>
        <w:rPr>
          <w:rFonts w:ascii="Arial" w:cs="Arial" w:eastAsia="Arial" w:hAnsi="Arial"/>
          <w:sz w:val="17"/>
          <w:szCs w:val="17"/>
          <w:b w:val="1"/>
          <w:bCs w:val="1"/>
          <w:color w:val="auto"/>
        </w:rPr>
        <w:t xml:space="preserve">4(e) </w:t>
      </w:r>
      <w:r>
        <w:rPr>
          <w:rFonts w:ascii="Arial" w:cs="Arial" w:eastAsia="Arial" w:hAnsi="Arial"/>
          <w:sz w:val="17"/>
          <w:szCs w:val="17"/>
          <w:color w:val="auto"/>
        </w:rPr>
        <w:t>Certificate of Adjusted Purchase Price or Number of Shares dated April 14, 2003 filed by Registrant with Wells Fargo Bank Minnesota, N.A., as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Agent, in connection with Rights Agreement dated as of May 20, 1998 (incorporated by reference to Exhibit 2 to Registrant’s Amendment No. 1 to Registration Statement on Form 8-A/ A dated April 14, 2003, Commission File No. 1-8649).</w:t>
      </w:r>
    </w:p>
    <w:p>
      <w:pPr>
        <w:spacing w:after="0" w:line="17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 xml:space="preserve">4(f) </w:t>
      </w:r>
      <w:r>
        <w:rPr>
          <w:rFonts w:ascii="Arial" w:cs="Arial" w:eastAsia="Arial" w:hAnsi="Arial"/>
          <w:sz w:val="17"/>
          <w:szCs w:val="17"/>
          <w:color w:val="auto"/>
        </w:rPr>
        <w:t>Indenture dated as of January 31, 1997, between Registrant and First National Trust Association, as Trustee, relating to the Registrant’s 7.125% Notes due</w:t>
      </w:r>
      <w:r>
        <w:rPr>
          <w:rFonts w:ascii="Arial" w:cs="Arial" w:eastAsia="Arial" w:hAnsi="Arial"/>
          <w:sz w:val="17"/>
          <w:szCs w:val="17"/>
          <w:b w:val="1"/>
          <w:bCs w:val="1"/>
          <w:color w:val="auto"/>
        </w:rPr>
        <w:t xml:space="preserve"> </w:t>
      </w:r>
      <w:r>
        <w:rPr>
          <w:rFonts w:ascii="Arial" w:cs="Arial" w:eastAsia="Arial" w:hAnsi="Arial"/>
          <w:sz w:val="17"/>
          <w:szCs w:val="17"/>
          <w:color w:val="auto"/>
        </w:rPr>
        <w:t>June 15, 2007 and its 7.80% Debentures due June 15, 2027 (incorporated by reference to Exhibit 4(a) to Registrant’s Current Report on Form 8-K for June 24, 1997, Commission File No. 1-8649).</w:t>
      </w:r>
    </w:p>
    <w:p>
      <w:pPr>
        <w:spacing w:after="0" w:line="172"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b w:val="1"/>
          <w:bCs w:val="1"/>
          <w:color w:val="auto"/>
        </w:rPr>
        <w:t xml:space="preserve">10(a) </w:t>
      </w:r>
      <w:r>
        <w:rPr>
          <w:rFonts w:ascii="Arial" w:cs="Arial" w:eastAsia="Arial" w:hAnsi="Arial"/>
          <w:sz w:val="17"/>
          <w:szCs w:val="17"/>
          <w:color w:val="auto"/>
        </w:rPr>
        <w:t>Form of Employment Agreement in effect for executive officers of Registrant (incorporated by reference to Exhibit 10(a) to Registrant’s Quarterly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10-Q for the quarter ended July 30, 1999).*</w:t>
      </w:r>
    </w:p>
    <w:p>
      <w:pPr>
        <w:sectPr>
          <w:pgSz w:w="11900" w:h="16838" w:orient="portrait"/>
          <w:cols w:equalWidth="0" w:num="1">
            <w:col w:w="11420"/>
          </w:cols>
          <w:pgMar w:left="240" w:top="413" w:right="239" w:bottom="507"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507"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10(b) </w:t>
      </w:r>
      <w:r>
        <w:rPr>
          <w:rFonts w:ascii="Arial" w:cs="Arial" w:eastAsia="Arial" w:hAnsi="Arial"/>
          <w:sz w:val="17"/>
          <w:szCs w:val="17"/>
          <w:color w:val="auto"/>
        </w:rPr>
        <w:t>Offer letter dated October 14, 2004 between The Toro Company and Michael J. Hoffman (incorporated by reference to Exhibit 10.39 to Registrant’s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8-K dated October 14, 2004, Commission File No. 1-8649).*</w:t>
      </w:r>
    </w:p>
    <w:p>
      <w:pPr>
        <w:spacing w:after="0" w:line="158"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b w:val="1"/>
          <w:bCs w:val="1"/>
          <w:color w:val="auto"/>
        </w:rPr>
        <w:t xml:space="preserve">10(c) </w:t>
      </w:r>
      <w:r>
        <w:rPr>
          <w:rFonts w:ascii="Arial" w:cs="Arial" w:eastAsia="Arial" w:hAnsi="Arial"/>
          <w:sz w:val="17"/>
          <w:szCs w:val="17"/>
          <w:color w:val="auto"/>
        </w:rPr>
        <w:t>The Toro Company Directors Stock Plan (incorporated by reference to Exhibit 10(b) to Registrant’s Quarterly Report on Form 10-Q for the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April 28, 2000).*</w:t>
      </w:r>
    </w:p>
    <w:p>
      <w:pPr>
        <w:spacing w:after="0" w:line="158" w:lineRule="exact"/>
        <w:rPr>
          <w:sz w:val="20"/>
          <w:szCs w:val="20"/>
          <w:color w:val="auto"/>
        </w:rPr>
      </w:pPr>
    </w:p>
    <w:p>
      <w:pPr>
        <w:ind w:right="540"/>
        <w:spacing w:after="0" w:line="293" w:lineRule="auto"/>
        <w:rPr>
          <w:sz w:val="20"/>
          <w:szCs w:val="20"/>
          <w:color w:val="auto"/>
        </w:rPr>
      </w:pPr>
      <w:r>
        <w:rPr>
          <w:rFonts w:ascii="Arial" w:cs="Arial" w:eastAsia="Arial" w:hAnsi="Arial"/>
          <w:sz w:val="17"/>
          <w:szCs w:val="17"/>
          <w:b w:val="1"/>
          <w:bCs w:val="1"/>
          <w:color w:val="auto"/>
        </w:rPr>
        <w:t xml:space="preserve">10(d) </w:t>
      </w:r>
      <w:r>
        <w:rPr>
          <w:rFonts w:ascii="Arial" w:cs="Arial" w:eastAsia="Arial" w:hAnsi="Arial"/>
          <w:sz w:val="17"/>
          <w:szCs w:val="17"/>
          <w:color w:val="auto"/>
        </w:rPr>
        <w:t>The Toro Company Annual Management Incentive Plan II for officers of Registrant (incorporated by reference to the appendix to Registrant’s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on Form DEF 14A filed with the Commission on January 31, 2002).*</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color w:val="auto"/>
        </w:rPr>
        <w:t xml:space="preserve">10(e) </w:t>
      </w:r>
      <w:r>
        <w:rPr>
          <w:rFonts w:ascii="Arial" w:cs="Arial" w:eastAsia="Arial" w:hAnsi="Arial"/>
          <w:sz w:val="17"/>
          <w:szCs w:val="17"/>
          <w:color w:val="auto"/>
        </w:rPr>
        <w:t>The Toro Company 1993 Stock Option Plan (incorporated by reference to Exhibit 10(f) to Registrant’s Quarterly Report on Form 10-Q for the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July 30, 1999).*</w:t>
      </w:r>
    </w:p>
    <w:p>
      <w:pPr>
        <w:spacing w:after="0" w:line="158"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color w:val="auto"/>
        </w:rPr>
        <w:t xml:space="preserve">10(f) </w:t>
      </w:r>
      <w:r>
        <w:rPr>
          <w:rFonts w:ascii="Arial" w:cs="Arial" w:eastAsia="Arial" w:hAnsi="Arial"/>
          <w:sz w:val="17"/>
          <w:szCs w:val="17"/>
          <w:color w:val="auto"/>
        </w:rPr>
        <w:t>The Toro Company Performance Share Plan (incorporated by reference to the appendix to Registrant’s Proxy Statement on Form DEF 14A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on January 31, 2002).*</w:t>
      </w:r>
    </w:p>
    <w:p>
      <w:pPr>
        <w:spacing w:after="0" w:line="158"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color w:val="auto"/>
        </w:rPr>
        <w:t xml:space="preserve">10(g) </w:t>
      </w:r>
      <w:r>
        <w:rPr>
          <w:rFonts w:ascii="Arial" w:cs="Arial" w:eastAsia="Arial" w:hAnsi="Arial"/>
          <w:sz w:val="17"/>
          <w:szCs w:val="17"/>
          <w:color w:val="auto"/>
        </w:rPr>
        <w:t>The Toro Company 2000 Stock Option Plan (incorporated by reference to the appendix to Registrant’s Proxy Statement on Form DEF 14A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on January 31, 2002).*</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 xml:space="preserve">10(h) </w:t>
      </w:r>
      <w:r>
        <w:rPr>
          <w:rFonts w:ascii="Arial" w:cs="Arial" w:eastAsia="Arial" w:hAnsi="Arial"/>
          <w:sz w:val="17"/>
          <w:szCs w:val="17"/>
          <w:color w:val="auto"/>
        </w:rPr>
        <w:t>The Toro Company Supplemental Management Retirement Plan (incorporated by reference to Exhibit 10(h) to Registrant’s Quarterly Report on Form 10-Q</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quarter ended April 28, 2000).*</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b w:val="1"/>
          <w:bCs w:val="1"/>
          <w:color w:val="auto"/>
        </w:rPr>
        <w:t xml:space="preserve">10(i) </w:t>
      </w:r>
      <w:r>
        <w:rPr>
          <w:rFonts w:ascii="Arial" w:cs="Arial" w:eastAsia="Arial" w:hAnsi="Arial"/>
          <w:sz w:val="17"/>
          <w:szCs w:val="17"/>
          <w:color w:val="auto"/>
        </w:rPr>
        <w:t>Amendment to The Toro Company Supplemental Management Retirement Plan (incorporated by reference to Exhibit 10(c) to Registrant’s Quarterly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10-Q for the quarter ended July 30, 2004).*</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 xml:space="preserve">10(j) </w:t>
      </w:r>
      <w:r>
        <w:rPr>
          <w:rFonts w:ascii="Arial" w:cs="Arial" w:eastAsia="Arial" w:hAnsi="Arial"/>
          <w:sz w:val="17"/>
          <w:szCs w:val="17"/>
          <w:color w:val="auto"/>
        </w:rPr>
        <w:t>The Toro Company Supplemental Retirement Plan (incorporated by reference to Exhibit 10(i) to Registrant’s Quarterly Report on Form 10-Q for the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July 30, 1999).*</w:t>
      </w:r>
    </w:p>
    <w:p>
      <w:pPr>
        <w:spacing w:after="0" w:line="158"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b w:val="1"/>
          <w:bCs w:val="1"/>
          <w:color w:val="auto"/>
        </w:rPr>
        <w:t xml:space="preserve">10(k) </w:t>
      </w:r>
      <w:r>
        <w:rPr>
          <w:rFonts w:ascii="Arial" w:cs="Arial" w:eastAsia="Arial" w:hAnsi="Arial"/>
          <w:sz w:val="17"/>
          <w:szCs w:val="17"/>
          <w:color w:val="auto"/>
        </w:rPr>
        <w:t>The Toro Company Chief Executive Officer Succession Incentive Award Agreement (incorporated by reference to Exhibit 10(j) to Registrant’s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ended August 2, 2002).*</w:t>
      </w:r>
    </w:p>
    <w:p>
      <w:pPr>
        <w:spacing w:after="0" w:line="158"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b w:val="1"/>
          <w:bCs w:val="1"/>
          <w:color w:val="auto"/>
        </w:rPr>
        <w:t xml:space="preserve">10(l) </w:t>
      </w:r>
      <w:r>
        <w:rPr>
          <w:rFonts w:ascii="Arial" w:cs="Arial" w:eastAsia="Arial" w:hAnsi="Arial"/>
          <w:sz w:val="17"/>
          <w:szCs w:val="17"/>
          <w:color w:val="auto"/>
        </w:rPr>
        <w:t>The Toro Company Deferred Compensation Plan for Officers (incorporated by reference to Exhibit 10(k) to Registrant’s Annual Report on Form 10-K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fiscal year ended October 31, 2002).*</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b w:val="1"/>
          <w:bCs w:val="1"/>
          <w:color w:val="auto"/>
        </w:rPr>
        <w:t xml:space="preserve">10(m) </w:t>
      </w:r>
      <w:r>
        <w:rPr>
          <w:rFonts w:ascii="Arial" w:cs="Arial" w:eastAsia="Arial" w:hAnsi="Arial"/>
          <w:sz w:val="17"/>
          <w:szCs w:val="17"/>
          <w:color w:val="auto"/>
        </w:rPr>
        <w:t>The Toro Company Deferred Compensation Plan for Non-Employee Directors (incorporated by reference to Exhibit 10(l) to Registrant’s Quarterly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10-Q for the quarter ended July 28, 2000).*</w:t>
      </w:r>
    </w:p>
    <w:p>
      <w:pPr>
        <w:spacing w:after="0" w:line="15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10(n)</w:t>
      </w:r>
      <w:r>
        <w:rPr>
          <w:sz w:val="20"/>
          <w:szCs w:val="20"/>
          <w:color w:val="auto"/>
        </w:rPr>
        <w:tab/>
      </w:r>
      <w:r>
        <w:rPr>
          <w:rFonts w:ascii="Arial" w:cs="Arial" w:eastAsia="Arial" w:hAnsi="Arial"/>
          <w:sz w:val="17"/>
          <w:szCs w:val="17"/>
          <w:color w:val="auto"/>
        </w:rPr>
        <w:t>The Toro Company 2000 Directors Stock Plan, as amended.*</w:t>
      </w:r>
    </w:p>
    <w:p>
      <w:pPr>
        <w:spacing w:after="0" w:line="228" w:lineRule="exact"/>
        <w:rPr>
          <w:sz w:val="20"/>
          <w:szCs w:val="20"/>
          <w:color w:val="auto"/>
        </w:rPr>
      </w:pPr>
    </w:p>
    <w:p>
      <w:pPr>
        <w:ind w:right="520"/>
        <w:spacing w:after="0" w:line="293" w:lineRule="auto"/>
        <w:rPr>
          <w:sz w:val="20"/>
          <w:szCs w:val="20"/>
          <w:color w:val="auto"/>
        </w:rPr>
      </w:pPr>
      <w:r>
        <w:rPr>
          <w:rFonts w:ascii="Arial" w:cs="Arial" w:eastAsia="Arial" w:hAnsi="Arial"/>
          <w:sz w:val="17"/>
          <w:szCs w:val="17"/>
          <w:b w:val="1"/>
          <w:bCs w:val="1"/>
          <w:color w:val="auto"/>
        </w:rPr>
        <w:t xml:space="preserve">10(o) </w:t>
      </w:r>
      <w:r>
        <w:rPr>
          <w:rFonts w:ascii="Arial" w:cs="Arial" w:eastAsia="Arial" w:hAnsi="Arial"/>
          <w:sz w:val="17"/>
          <w:szCs w:val="17"/>
          <w:color w:val="auto"/>
        </w:rPr>
        <w:t>Form of Stock Option Agreement between The Toro Company and its non-employee directors (incorporated by reference to Exhibit 1 to Registrant’s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Report on Form 8-K dated November 1, 2004, Commission File No. 1-8649).*</w:t>
      </w:r>
    </w:p>
    <w:p>
      <w:pPr>
        <w:spacing w:after="0" w:line="158" w:lineRule="exact"/>
        <w:rPr>
          <w:sz w:val="20"/>
          <w:szCs w:val="20"/>
          <w:color w:val="auto"/>
        </w:rPr>
      </w:pPr>
    </w:p>
    <w:p>
      <w:pPr>
        <w:ind w:right="340"/>
        <w:spacing w:after="0" w:line="293" w:lineRule="auto"/>
        <w:rPr>
          <w:sz w:val="20"/>
          <w:szCs w:val="20"/>
          <w:color w:val="auto"/>
        </w:rPr>
      </w:pPr>
      <w:r>
        <w:rPr>
          <w:rFonts w:ascii="Arial" w:cs="Arial" w:eastAsia="Arial" w:hAnsi="Arial"/>
          <w:sz w:val="17"/>
          <w:szCs w:val="17"/>
          <w:b w:val="1"/>
          <w:bCs w:val="1"/>
          <w:color w:val="auto"/>
        </w:rPr>
        <w:t xml:space="preserve">10(p) </w:t>
      </w:r>
      <w:r>
        <w:rPr>
          <w:rFonts w:ascii="Arial" w:cs="Arial" w:eastAsia="Arial" w:hAnsi="Arial"/>
          <w:sz w:val="17"/>
          <w:szCs w:val="17"/>
          <w:color w:val="auto"/>
        </w:rPr>
        <w:t>Form of Stock Option Agreement between The Toro Company and its officers (incorporated by reference to Exhibit 2 to Registrant’s Current Report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8-K dated December 2, 2004, Commission File No. 1-8649).*</w:t>
      </w:r>
    </w:p>
    <w:p>
      <w:pPr>
        <w:spacing w:after="0" w:line="158"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color w:val="auto"/>
        </w:rPr>
        <w:t xml:space="preserve">10(q) </w:t>
      </w:r>
      <w:r>
        <w:rPr>
          <w:rFonts w:ascii="Arial" w:cs="Arial" w:eastAsia="Arial" w:hAnsi="Arial"/>
          <w:sz w:val="17"/>
          <w:szCs w:val="17"/>
          <w:color w:val="auto"/>
        </w:rPr>
        <w:t>Form of Performance Share Award Agreement between The Toro Company and its officers (incorporated by reference to Exhibit 3 to Registrant’s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8-K dated December 2, 2004, Commission File No. 1-8649).*</w:t>
      </w:r>
    </w:p>
    <w:p>
      <w:pPr>
        <w:spacing w:after="0" w:line="158" w:lineRule="exact"/>
        <w:rPr>
          <w:sz w:val="20"/>
          <w:szCs w:val="20"/>
          <w:color w:val="auto"/>
        </w:rPr>
      </w:pPr>
    </w:p>
    <w:p>
      <w:pPr>
        <w:ind w:right="280"/>
        <w:spacing w:after="0" w:line="329" w:lineRule="auto"/>
        <w:rPr>
          <w:sz w:val="20"/>
          <w:szCs w:val="20"/>
          <w:color w:val="auto"/>
        </w:rPr>
      </w:pPr>
      <w:r>
        <w:rPr>
          <w:rFonts w:ascii="Arial" w:cs="Arial" w:eastAsia="Arial" w:hAnsi="Arial"/>
          <w:sz w:val="15"/>
          <w:szCs w:val="15"/>
          <w:b w:val="1"/>
          <w:bCs w:val="1"/>
          <w:color w:val="auto"/>
        </w:rPr>
        <w:t xml:space="preserve">10(r) </w:t>
      </w:r>
      <w:r>
        <w:rPr>
          <w:rFonts w:ascii="Arial" w:cs="Arial" w:eastAsia="Arial" w:hAnsi="Arial"/>
          <w:sz w:val="15"/>
          <w:szCs w:val="15"/>
          <w:color w:val="auto"/>
        </w:rPr>
        <w:t>Credit Agreement dated as of September 8, 2004, among The Toro Company, Toro Credit Company, Toro Manufacturing Company, Incorporated, and</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subsidiaries, as Borrowers, the lenders from time to time party thereto, Bank of America, N.A., as Administrative Agent, Swing Line Lender and Letter of Credit Issuer (incorporated by reference to Exhibit 10(a) to Registrant’s Current Report on Form 8-K dated September 8, 2004, Commission File No. 1-8649).</w:t>
      </w:r>
    </w:p>
    <w:p>
      <w:pPr>
        <w:spacing w:after="0" w:line="1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 xml:space="preserve">10(s) </w:t>
      </w:r>
      <w:r>
        <w:rPr>
          <w:rFonts w:ascii="Arial" w:cs="Arial" w:eastAsia="Arial" w:hAnsi="Arial"/>
          <w:sz w:val="17"/>
          <w:szCs w:val="17"/>
          <w:color w:val="auto"/>
        </w:rPr>
        <w:t>Loan Agreement dated as of July 9, 2003 among Toro Receivables Company, as borrower, and The Toro Company, as servicer, and Three Pillars Funding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lender, and Suntrust Capital Markets, Inc., as administrator (incorporated by reference to Exhibit 10(p) to Registrant’s Quarterly Report on Form 10-Q for the quarter ended August 1, 2003).</w:t>
      </w:r>
    </w:p>
    <w:p>
      <w:pPr>
        <w:spacing w:after="0" w:line="178" w:lineRule="exact"/>
        <w:rPr>
          <w:sz w:val="20"/>
          <w:szCs w:val="20"/>
          <w:color w:val="auto"/>
        </w:rPr>
      </w:pPr>
    </w:p>
    <w:p>
      <w:pPr>
        <w:ind w:left="440" w:hanging="434"/>
        <w:spacing w:after="0"/>
        <w:tabs>
          <w:tab w:leader="none" w:pos="440"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Computation of Ratio of Earnings to Fixed Charges</w:t>
      </w:r>
    </w:p>
    <w:p>
      <w:pPr>
        <w:spacing w:after="0" w:line="228" w:lineRule="exact"/>
        <w:rPr>
          <w:sz w:val="20"/>
          <w:szCs w:val="20"/>
          <w:color w:val="auto"/>
        </w:rPr>
      </w:pPr>
    </w:p>
    <w:p>
      <w:pPr>
        <w:ind w:left="440" w:hanging="434"/>
        <w:spacing w:after="0"/>
        <w:tabs>
          <w:tab w:leader="none" w:pos="44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Subsidiaries of Registrant</w:t>
      </w:r>
    </w:p>
    <w:p>
      <w:pPr>
        <w:spacing w:after="0" w:line="228" w:lineRule="exact"/>
        <w:rPr>
          <w:sz w:val="20"/>
          <w:szCs w:val="20"/>
          <w:color w:val="auto"/>
        </w:rPr>
      </w:pPr>
    </w:p>
    <w:p>
      <w:pPr>
        <w:ind w:left="440" w:hanging="434"/>
        <w:spacing w:after="0"/>
        <w:tabs>
          <w:tab w:leader="none" w:pos="44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Consent of Independent Registered Public Accounting Firm</w:t>
      </w:r>
    </w:p>
    <w:p>
      <w:pPr>
        <w:sectPr>
          <w:pgSz w:w="11900" w:h="16838" w:orient="portrait"/>
          <w:cols w:equalWidth="0" w:num="1">
            <w:col w:w="11420"/>
          </w:cols>
          <w:pgMar w:left="240" w:top="413"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31(a)</w:t>
      </w:r>
      <w:r>
        <w:rPr>
          <w:sz w:val="20"/>
          <w:szCs w:val="20"/>
          <w:color w:val="auto"/>
        </w:rPr>
        <w:tab/>
      </w:r>
      <w:r>
        <w:rPr>
          <w:rFonts w:ascii="Arial" w:cs="Arial" w:eastAsia="Arial" w:hAnsi="Arial"/>
          <w:sz w:val="17"/>
          <w:szCs w:val="17"/>
          <w:color w:val="auto"/>
        </w:rPr>
        <w:t>Certification Pursuant to Rule 13a-14(a) (Section 302 of the Sarbanes-Oxley Act of 2002).</w:t>
      </w:r>
    </w:p>
    <w:p>
      <w:pPr>
        <w:spacing w:after="0" w:line="22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31(b)</w:t>
      </w:r>
      <w:r>
        <w:rPr>
          <w:sz w:val="20"/>
          <w:szCs w:val="20"/>
          <w:color w:val="auto"/>
        </w:rPr>
        <w:tab/>
      </w:r>
      <w:r>
        <w:rPr>
          <w:rFonts w:ascii="Arial" w:cs="Arial" w:eastAsia="Arial" w:hAnsi="Arial"/>
          <w:sz w:val="17"/>
          <w:szCs w:val="17"/>
          <w:color w:val="auto"/>
        </w:rPr>
        <w:t>Certification Pursuant to Rule 13a-14(a) (Section 302 of the Sarbanes-Oxley Act of 2002).</w:t>
      </w:r>
    </w:p>
    <w:p>
      <w:pPr>
        <w:spacing w:after="0" w:line="234" w:lineRule="exact"/>
        <w:rPr>
          <w:sz w:val="20"/>
          <w:szCs w:val="20"/>
          <w:color w:val="auto"/>
        </w:rPr>
      </w:pPr>
    </w:p>
    <w:p>
      <w:pPr>
        <w:ind w:left="440" w:hanging="434"/>
        <w:spacing w:after="0"/>
        <w:tabs>
          <w:tab w:leader="none" w:pos="4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Certification Pursuant to 18 U.S.C. Section 1350, as Adopted Pursuant to Section 906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 or compensatory plan or arrangement required to be filed as an exhibit to this Annual Report on Form 10-K pursuant to Item 15(c).</w:t>
      </w:r>
    </w:p>
    <w:p>
      <w:pPr>
        <w:spacing w:after="0" w:line="233"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Item 15(a)(3) above.</w:t>
      </w:r>
    </w:p>
    <w:p>
      <w:pPr>
        <w:spacing w:after="0" w:line="222" w:lineRule="exact"/>
        <w:rPr>
          <w:sz w:val="20"/>
          <w:szCs w:val="20"/>
          <w:color w:val="auto"/>
        </w:rPr>
      </w:pPr>
    </w:p>
    <w:p>
      <w:pPr>
        <w:ind w:left="460" w:hanging="454"/>
        <w:spacing w:after="0"/>
        <w:tabs>
          <w:tab w:leader="none" w:pos="4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Item 15(a)(2)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SCHEDULE II</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THE TORO COMPANY AND SUBSIDIARIES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70307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07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Balance as of</w:t>
            </w:r>
          </w:p>
        </w:tc>
        <w:tc>
          <w:tcPr>
            <w:tcW w:w="680" w:type="dxa"/>
            <w:vAlign w:val="bottom"/>
          </w:tcPr>
          <w:p>
            <w:pPr>
              <w:spacing w:after="0"/>
              <w:rPr>
                <w:sz w:val="13"/>
                <w:szCs w:val="13"/>
                <w:color w:val="auto"/>
              </w:rPr>
            </w:pP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Charged to</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Balance as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ind w:right="354"/>
              <w:spacing w:after="0" w:line="141" w:lineRule="exact"/>
              <w:rPr>
                <w:sz w:val="20"/>
                <w:szCs w:val="20"/>
                <w:color w:val="auto"/>
              </w:rPr>
            </w:pPr>
            <w:r>
              <w:rPr>
                <w:rFonts w:ascii="Arial" w:cs="Arial" w:eastAsia="Arial" w:hAnsi="Arial"/>
                <w:sz w:val="13"/>
                <w:szCs w:val="13"/>
                <w:color w:val="auto"/>
              </w:rPr>
              <w:t>the beginning</w:t>
            </w:r>
          </w:p>
        </w:tc>
        <w:tc>
          <w:tcPr>
            <w:tcW w:w="680" w:type="dxa"/>
            <w:vAlign w:val="bottom"/>
          </w:tcPr>
          <w:p>
            <w:pPr>
              <w:spacing w:after="0"/>
              <w:rPr>
                <w:sz w:val="12"/>
                <w:szCs w:val="12"/>
                <w:color w:val="auto"/>
              </w:rPr>
            </w:pPr>
          </w:p>
        </w:tc>
        <w:tc>
          <w:tcPr>
            <w:tcW w:w="1140" w:type="dxa"/>
            <w:vAlign w:val="bottom"/>
          </w:tcPr>
          <w:p>
            <w:pPr>
              <w:jc w:val="right"/>
              <w:ind w:right="294"/>
              <w:spacing w:after="0" w:line="141" w:lineRule="exact"/>
              <w:rPr>
                <w:sz w:val="20"/>
                <w:szCs w:val="20"/>
                <w:color w:val="auto"/>
              </w:rPr>
            </w:pPr>
            <w:r>
              <w:rPr>
                <w:rFonts w:ascii="Arial" w:cs="Arial" w:eastAsia="Arial" w:hAnsi="Arial"/>
                <w:sz w:val="13"/>
                <w:szCs w:val="13"/>
                <w:color w:val="auto"/>
              </w:rPr>
              <w:t>costs and</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auto"/>
              </w:rPr>
              <w:t>the end of</w:t>
            </w:r>
          </w:p>
        </w:tc>
        <w:tc>
          <w:tcPr>
            <w:tcW w:w="0" w:type="dxa"/>
            <w:vAlign w:val="bottom"/>
          </w:tcPr>
          <w:p>
            <w:pPr>
              <w:spacing w:after="0"/>
              <w:rPr>
                <w:sz w:val="1"/>
                <w:szCs w:val="1"/>
                <w:color w:val="auto"/>
              </w:rPr>
            </w:pPr>
          </w:p>
        </w:tc>
      </w:tr>
      <w:tr>
        <w:trPr>
          <w:trHeight w:val="288"/>
        </w:trPr>
        <w:tc>
          <w:tcPr>
            <w:tcW w:w="2120" w:type="dxa"/>
            <w:vAlign w:val="bottom"/>
            <w:gridSpan w:val="2"/>
          </w:tcPr>
          <w:p>
            <w:pPr>
              <w:spacing w:after="0"/>
              <w:rPr>
                <w:sz w:val="20"/>
                <w:szCs w:val="20"/>
                <w:color w:val="auto"/>
              </w:rPr>
            </w:pPr>
            <w:r>
              <w:rPr>
                <w:rFonts w:ascii="Arial" w:cs="Arial" w:eastAsia="Arial" w:hAnsi="Arial"/>
                <w:sz w:val="13"/>
                <w:szCs w:val="13"/>
                <w:color w:val="auto"/>
              </w:rPr>
              <w:t>Description</w:t>
            </w:r>
          </w:p>
        </w:tc>
        <w:tc>
          <w:tcPr>
            <w:tcW w:w="440" w:type="dxa"/>
            <w:vAlign w:val="bottom"/>
          </w:tcPr>
          <w:p>
            <w:pPr>
              <w:spacing w:after="0"/>
              <w:rPr>
                <w:sz w:val="24"/>
                <w:szCs w:val="24"/>
                <w:color w:val="auto"/>
              </w:rPr>
            </w:pP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of the fiscal year</w:t>
            </w:r>
          </w:p>
        </w:tc>
        <w:tc>
          <w:tcPr>
            <w:tcW w:w="680" w:type="dxa"/>
            <w:vAlign w:val="bottom"/>
          </w:tcPr>
          <w:p>
            <w:pPr>
              <w:spacing w:after="0"/>
              <w:rPr>
                <w:sz w:val="24"/>
                <w:szCs w:val="24"/>
                <w:color w:val="auto"/>
              </w:rPr>
            </w:pP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expenses</w:t>
            </w:r>
            <w:r>
              <w:rPr>
                <w:rFonts w:ascii="Arial" w:cs="Arial" w:eastAsia="Arial" w:hAnsi="Arial"/>
                <w:sz w:val="22"/>
                <w:szCs w:val="22"/>
                <w:color w:val="auto"/>
                <w:vertAlign w:val="superscript"/>
              </w:rPr>
              <w:t>a</w:t>
            </w:r>
          </w:p>
        </w:tc>
        <w:tc>
          <w:tcPr>
            <w:tcW w:w="600" w:type="dxa"/>
            <w:vAlign w:val="bottom"/>
          </w:tcPr>
          <w:p>
            <w:pPr>
              <w:spacing w:after="0"/>
              <w:rPr>
                <w:sz w:val="24"/>
                <w:szCs w:val="24"/>
                <w:color w:val="auto"/>
              </w:rPr>
            </w:pPr>
          </w:p>
        </w:tc>
        <w:tc>
          <w:tcPr>
            <w:tcW w:w="1020" w:type="dxa"/>
            <w:vAlign w:val="bottom"/>
          </w:tcPr>
          <w:p>
            <w:pPr>
              <w:jc w:val="right"/>
              <w:ind w:right="294"/>
              <w:spacing w:after="0"/>
              <w:rPr>
                <w:sz w:val="20"/>
                <w:szCs w:val="20"/>
                <w:color w:val="auto"/>
              </w:rPr>
            </w:pPr>
            <w:r>
              <w:rPr>
                <w:rFonts w:ascii="Arial" w:cs="Arial" w:eastAsia="Arial" w:hAnsi="Arial"/>
                <w:sz w:val="13"/>
                <w:szCs w:val="13"/>
                <w:color w:val="auto"/>
              </w:rPr>
              <w:t>Other</w:t>
            </w:r>
            <w:r>
              <w:rPr>
                <w:rFonts w:ascii="Arial" w:cs="Arial" w:eastAsia="Arial" w:hAnsi="Arial"/>
                <w:sz w:val="22"/>
                <w:szCs w:val="22"/>
                <w:color w:val="auto"/>
                <w:vertAlign w:val="superscript"/>
              </w:rPr>
              <w:t>b</w:t>
            </w:r>
          </w:p>
        </w:tc>
        <w:tc>
          <w:tcPr>
            <w:tcW w:w="680" w:type="dxa"/>
            <w:vAlign w:val="bottom"/>
          </w:tcPr>
          <w:p>
            <w:pPr>
              <w:spacing w:after="0"/>
              <w:rPr>
                <w:sz w:val="24"/>
                <w:szCs w:val="24"/>
                <w:color w:val="auto"/>
              </w:rPr>
            </w:pP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Deductions</w:t>
            </w:r>
            <w:r>
              <w:rPr>
                <w:rFonts w:ascii="Arial" w:cs="Arial" w:eastAsia="Arial" w:hAnsi="Arial"/>
                <w:sz w:val="22"/>
                <w:szCs w:val="22"/>
                <w:color w:val="auto"/>
                <w:vertAlign w:val="superscript"/>
              </w:rPr>
              <w:t>c</w:t>
            </w:r>
          </w:p>
        </w:tc>
        <w:tc>
          <w:tcPr>
            <w:tcW w:w="62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the fiscal year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154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14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w w:val="95"/>
              </w:rPr>
              <w:t>Fiscal year ended October 31, 2004</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tcPr>
          <w:p>
            <w:pPr>
              <w:spacing w:after="0" w:line="133" w:lineRule="exact"/>
              <w:rPr>
                <w:sz w:val="20"/>
                <w:szCs w:val="20"/>
                <w:color w:val="auto"/>
              </w:rPr>
            </w:pPr>
            <w:r>
              <w:rPr>
                <w:rFonts w:ascii="Arial" w:cs="Arial" w:eastAsia="Arial" w:hAnsi="Arial"/>
                <w:sz w:val="13"/>
                <w:szCs w:val="13"/>
                <w:b w:val="1"/>
                <w:bCs w:val="1"/>
                <w:color w:val="auto"/>
              </w:rPr>
              <w:t>Allowance for doubtful accounts</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b w:val="1"/>
                <w:bCs w:val="1"/>
                <w:color w:val="auto"/>
              </w:rPr>
              <w:t>and 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b w:val="1"/>
                <w:bCs w:val="1"/>
                <w:color w:val="auto"/>
              </w:rPr>
              <w:t>2,421,000</w:t>
            </w:r>
          </w:p>
        </w:tc>
        <w:tc>
          <w:tcPr>
            <w:tcW w:w="68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b w:val="1"/>
                <w:bCs w:val="1"/>
                <w:color w:val="auto"/>
              </w:rPr>
              <w:t>698,000</w:t>
            </w:r>
          </w:p>
        </w:tc>
        <w:tc>
          <w:tcPr>
            <w:tcW w:w="60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214"/>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b w:val="1"/>
                <w:bCs w:val="1"/>
                <w:color w:val="auto"/>
              </w:rPr>
              <w:t>924,000</w:t>
            </w:r>
          </w:p>
        </w:tc>
        <w:tc>
          <w:tcPr>
            <w:tcW w:w="62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2,195,000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2003</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00" w:type="dxa"/>
            <w:vAlign w:val="bottom"/>
          </w:tcPr>
          <w:p>
            <w:pPr>
              <w:spacing w:after="0" w:line="137" w:lineRule="exact"/>
              <w:rPr>
                <w:sz w:val="20"/>
                <w:szCs w:val="20"/>
                <w:color w:val="auto"/>
              </w:rPr>
            </w:pPr>
            <w:r>
              <w:rPr>
                <w:rFonts w:ascii="Arial" w:cs="Arial" w:eastAsia="Arial" w:hAnsi="Arial"/>
                <w:sz w:val="13"/>
                <w:szCs w:val="13"/>
                <w:color w:val="auto"/>
                <w:w w:val="99"/>
              </w:rPr>
              <w:t>Allowance for doubtful accounts and</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color w:val="auto"/>
              </w:rPr>
              <w:t>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7,209,000</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1,347,000</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54"/>
              <w:spacing w:after="0"/>
              <w:rPr>
                <w:sz w:val="20"/>
                <w:szCs w:val="20"/>
                <w:color w:val="auto"/>
              </w:rPr>
            </w:pPr>
            <w:r>
              <w:rPr>
                <w:rFonts w:ascii="Arial" w:cs="Arial" w:eastAsia="Arial" w:hAnsi="Arial"/>
                <w:sz w:val="13"/>
                <w:szCs w:val="13"/>
                <w:color w:val="auto"/>
              </w:rPr>
              <w:t>(249,000)</w:t>
            </w:r>
          </w:p>
        </w:tc>
        <w:tc>
          <w:tcPr>
            <w:tcW w:w="6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5,886,000</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2,421,000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2002</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00" w:type="dxa"/>
            <w:vAlign w:val="bottom"/>
          </w:tcPr>
          <w:p>
            <w:pPr>
              <w:spacing w:after="0" w:line="137" w:lineRule="exact"/>
              <w:rPr>
                <w:sz w:val="20"/>
                <w:szCs w:val="20"/>
                <w:color w:val="auto"/>
              </w:rPr>
            </w:pPr>
            <w:r>
              <w:rPr>
                <w:rFonts w:ascii="Arial" w:cs="Arial" w:eastAsia="Arial" w:hAnsi="Arial"/>
                <w:sz w:val="13"/>
                <w:szCs w:val="13"/>
                <w:color w:val="auto"/>
                <w:w w:val="99"/>
              </w:rPr>
              <w:t>Allowance for doubtful accounts and</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color w:val="auto"/>
              </w:rPr>
              <w:t>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5,105,000</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4,702,000</w:t>
            </w:r>
          </w:p>
        </w:tc>
        <w:tc>
          <w:tcPr>
            <w:tcW w:w="60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2,598,000</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7,209,000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Provision.</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b Addition (reduction) to allowance for doubtful accounts due to acquisitions and divestitures.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c Uncollectible accounts charged off.</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3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8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74295</wp:posOffset>
            </wp:positionV>
            <wp:extent cx="28308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(Registrant)</w:t>
      </w:r>
    </w:p>
    <w:p>
      <w:pPr>
        <w:spacing w:after="0" w:line="22" w:lineRule="exact"/>
        <w:rPr>
          <w:sz w:val="20"/>
          <w:szCs w:val="20"/>
          <w:color w:val="auto"/>
        </w:rPr>
      </w:pPr>
    </w:p>
    <w:p>
      <w:pPr>
        <w:spacing w:after="0"/>
        <w:tabs>
          <w:tab w:leader="none" w:pos="1140" w:val="left"/>
          <w:tab w:leader="none" w:pos="9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Stephen P. Wolfe</w:t>
      </w:r>
      <w:r>
        <w:rPr>
          <w:sz w:val="20"/>
          <w:szCs w:val="20"/>
          <w:color w:val="auto"/>
        </w:rPr>
        <w:tab/>
      </w:r>
      <w:r>
        <w:rPr>
          <w:rFonts w:ascii="Arial" w:cs="Arial" w:eastAsia="Arial" w:hAnsi="Arial"/>
          <w:sz w:val="15"/>
          <w:szCs w:val="15"/>
          <w:color w:val="auto"/>
        </w:rPr>
        <w:t>Dated: December 20,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79375</wp:posOffset>
            </wp:positionV>
            <wp:extent cx="28308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2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Stephen P. Wolfe</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Vice President – Finance Treasurer</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and Chief Financial Officer</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7249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tabs>
          <w:tab w:leader="none" w:pos="5600" w:val="left"/>
          <w:tab w:leader="none" w:pos="970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Kendrick B. Melrose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Randy B.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Randy B. James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Ronald O. Baukol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Ronald O. Baukol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3343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Robert C. Buhrmaster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Winslow H. Buxton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Janet K. Cooper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Katherine J. Harless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Robert H. Nassau</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Dale R. Olseth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Dale R. Olseth</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Gregg W. Steinhafel</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3343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Christopher A. Twomey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Edwin H. Wingate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33432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Edwin H. Wingate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tabs>
          <w:tab w:leader="none" w:pos="4080" w:val="left"/>
        </w:tabs>
        <w:rPr>
          <w:sz w:val="20"/>
          <w:szCs w:val="20"/>
          <w:color w:val="auto"/>
        </w:rPr>
      </w:pPr>
      <w:r>
        <w:rPr>
          <w:rFonts w:ascii="Arial" w:cs="Arial" w:eastAsia="Arial" w:hAnsi="Arial"/>
          <w:sz w:val="17"/>
          <w:szCs w:val="17"/>
          <w:color w:val="auto"/>
        </w:rPr>
        <w:t>Chairman, Chief Executive</w:t>
      </w:r>
      <w:r>
        <w:rPr>
          <w:sz w:val="20"/>
          <w:szCs w:val="20"/>
          <w:color w:val="auto"/>
        </w:rPr>
        <w:tab/>
      </w:r>
      <w:r>
        <w:rPr>
          <w:rFonts w:ascii="Arial" w:cs="Arial" w:eastAsia="Arial" w:hAnsi="Arial"/>
          <w:sz w:val="15"/>
          <w:szCs w:val="15"/>
          <w:color w:val="auto"/>
        </w:rPr>
        <w:t>December 20, 2004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spacing w:after="0"/>
        <w:tabs>
          <w:tab w:leader="none" w:pos="4080" w:val="left"/>
        </w:tabs>
        <w:rPr>
          <w:sz w:val="20"/>
          <w:szCs w:val="20"/>
          <w:color w:val="auto"/>
        </w:rPr>
      </w:pPr>
      <w:r>
        <w:rPr>
          <w:rFonts w:ascii="Arial" w:cs="Arial" w:eastAsia="Arial" w:hAnsi="Arial"/>
          <w:sz w:val="17"/>
          <w:szCs w:val="17"/>
          <w:color w:val="auto"/>
        </w:rPr>
        <w:t>Vice President – Finance, Treasurer</w:t>
      </w:r>
      <w:r>
        <w:rPr>
          <w:sz w:val="20"/>
          <w:szCs w:val="20"/>
          <w:color w:val="auto"/>
        </w:rPr>
        <w:tab/>
      </w:r>
      <w:r>
        <w:rPr>
          <w:rFonts w:ascii="Arial" w:cs="Arial" w:eastAsia="Arial" w:hAnsi="Arial"/>
          <w:sz w:val="15"/>
          <w:szCs w:val="15"/>
          <w:color w:val="auto"/>
        </w:rPr>
        <w:t>December 20, 2004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22" w:lineRule="exact"/>
        <w:rPr>
          <w:sz w:val="20"/>
          <w:szCs w:val="20"/>
          <w:color w:val="auto"/>
        </w:rPr>
      </w:pPr>
    </w:p>
    <w:p>
      <w:pPr>
        <w:spacing w:after="0"/>
        <w:tabs>
          <w:tab w:leader="none" w:pos="4080" w:val="left"/>
        </w:tabs>
        <w:rPr>
          <w:sz w:val="20"/>
          <w:szCs w:val="20"/>
          <w:color w:val="auto"/>
        </w:rPr>
      </w:pPr>
      <w:r>
        <w:rPr>
          <w:rFonts w:ascii="Arial" w:cs="Arial" w:eastAsia="Arial" w:hAnsi="Arial"/>
          <w:sz w:val="17"/>
          <w:szCs w:val="17"/>
          <w:color w:val="auto"/>
        </w:rPr>
        <w:t>Vice President, Controller</w:t>
      </w:r>
      <w:r>
        <w:rPr>
          <w:sz w:val="20"/>
          <w:szCs w:val="20"/>
          <w:color w:val="auto"/>
        </w:rPr>
        <w:tab/>
      </w:r>
      <w:r>
        <w:rPr>
          <w:rFonts w:ascii="Arial" w:cs="Arial" w:eastAsia="Arial" w:hAnsi="Arial"/>
          <w:sz w:val="15"/>
          <w:szCs w:val="15"/>
          <w:color w:val="auto"/>
        </w:rPr>
        <w:t>December 20, 2004</w:t>
      </w:r>
    </w:p>
    <w:p>
      <w:pPr>
        <w:spacing w:after="0" w:line="22" w:lineRule="exact"/>
        <w:rPr>
          <w:sz w:val="20"/>
          <w:szCs w:val="20"/>
          <w:color w:val="auto"/>
        </w:rPr>
      </w:pPr>
    </w:p>
    <w:p>
      <w:pPr>
        <w:jc w:val="center"/>
        <w:ind w:right="37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19"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December 20, 2004</w:t>
      </w:r>
    </w:p>
    <w:p>
      <w:pPr>
        <w:sectPr>
          <w:pgSz w:w="11900" w:h="16838" w:orient="portrait"/>
          <w:cols w:equalWidth="0" w:num="2">
            <w:col w:w="4900" w:space="720"/>
            <w:col w:w="5800"/>
          </w:cols>
          <w:pgMar w:left="240" w:top="413" w:right="239" w:bottom="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9019"/>
          </w:cols>
          <w:pgMar w:left="1440" w:top="131"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NUMBER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120015</wp:posOffset>
            </wp:positionV>
            <wp:extent cx="1007745" cy="655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07745" cy="655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EXHIBIT 4(c)</w:t>
            </w:r>
          </w:p>
        </w:tc>
        <w:tc>
          <w:tcPr>
            <w:tcW w:w="0" w:type="dxa"/>
            <w:vAlign w:val="bottom"/>
          </w:tcPr>
          <w:p>
            <w:pPr>
              <w:spacing w:after="0"/>
              <w:rPr>
                <w:sz w:val="1"/>
                <w:szCs w:val="1"/>
                <w:color w:val="auto"/>
              </w:rPr>
            </w:pPr>
          </w:p>
        </w:tc>
      </w:tr>
      <w:tr>
        <w:trPr>
          <w:trHeight w:val="624"/>
        </w:trPr>
        <w:tc>
          <w:tcPr>
            <w:tcW w:w="2180" w:type="dxa"/>
            <w:vAlign w:val="bottom"/>
          </w:tcPr>
          <w:p>
            <w:pPr>
              <w:ind w:left="280"/>
              <w:spacing w:after="0"/>
              <w:rPr>
                <w:sz w:val="20"/>
                <w:szCs w:val="20"/>
                <w:color w:val="auto"/>
              </w:rPr>
            </w:pPr>
            <w:r>
              <w:rPr>
                <w:rFonts w:ascii="Arial" w:cs="Arial" w:eastAsia="Arial" w:hAnsi="Arial"/>
                <w:sz w:val="18"/>
                <w:szCs w:val="18"/>
                <w:color w:val="auto"/>
              </w:rPr>
              <w:t>[FAMILY GRAPHIC]</w:t>
            </w:r>
          </w:p>
        </w:tc>
        <w:tc>
          <w:tcPr>
            <w:tcW w:w="3400" w:type="dxa"/>
            <w:vAlign w:val="bottom"/>
          </w:tcPr>
          <w:p>
            <w:pPr>
              <w:jc w:val="center"/>
              <w:ind w:left="52"/>
              <w:spacing w:after="0"/>
              <w:rPr>
                <w:sz w:val="20"/>
                <w:szCs w:val="20"/>
                <w:color w:val="auto"/>
              </w:rPr>
            </w:pPr>
            <w:r>
              <w:rPr>
                <w:rFonts w:ascii="Arial" w:cs="Arial" w:eastAsia="Arial" w:hAnsi="Arial"/>
                <w:sz w:val="18"/>
                <w:szCs w:val="18"/>
                <w:color w:val="auto"/>
                <w:w w:val="94"/>
              </w:rPr>
              <w:t>COMMON STOCK</w:t>
            </w:r>
          </w:p>
        </w:tc>
        <w:tc>
          <w:tcPr>
            <w:tcW w:w="3320" w:type="dxa"/>
            <w:vAlign w:val="bottom"/>
          </w:tcPr>
          <w:p>
            <w:pPr>
              <w:jc w:val="right"/>
              <w:spacing w:after="0"/>
              <w:rPr>
                <w:sz w:val="20"/>
                <w:szCs w:val="20"/>
                <w:color w:val="auto"/>
              </w:rPr>
            </w:pPr>
            <w:r>
              <w:rPr>
                <w:rFonts w:ascii="Arial" w:cs="Arial" w:eastAsia="Arial" w:hAnsi="Arial"/>
                <w:sz w:val="18"/>
                <w:szCs w:val="18"/>
                <w:color w:val="auto"/>
                <w:w w:val="98"/>
              </w:rPr>
              <w:t>THIS CERTIFICATE IS TRANSFERABLE</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320" w:type="dxa"/>
            <w:vAlign w:val="bottom"/>
          </w:tcPr>
          <w:p>
            <w:pPr>
              <w:jc w:val="center"/>
              <w:ind w:left="92"/>
              <w:spacing w:after="0"/>
              <w:rPr>
                <w:sz w:val="20"/>
                <w:szCs w:val="20"/>
                <w:color w:val="auto"/>
              </w:rPr>
            </w:pPr>
            <w:r>
              <w:rPr>
                <w:rFonts w:ascii="Arial" w:cs="Arial" w:eastAsia="Arial" w:hAnsi="Arial"/>
                <w:sz w:val="18"/>
                <w:szCs w:val="18"/>
                <w:color w:val="auto"/>
                <w:w w:val="94"/>
              </w:rPr>
              <w:t>IN THE CITIES OF MINNEAPOLIS</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320" w:type="dxa"/>
            <w:vAlign w:val="bottom"/>
          </w:tcPr>
          <w:p>
            <w:pPr>
              <w:jc w:val="center"/>
              <w:ind w:left="92"/>
              <w:spacing w:after="0"/>
              <w:rPr>
                <w:sz w:val="20"/>
                <w:szCs w:val="20"/>
                <w:color w:val="auto"/>
              </w:rPr>
            </w:pPr>
            <w:r>
              <w:rPr>
                <w:rFonts w:ascii="Arial" w:cs="Arial" w:eastAsia="Arial" w:hAnsi="Arial"/>
                <w:sz w:val="18"/>
                <w:szCs w:val="18"/>
                <w:color w:val="auto"/>
                <w:w w:val="93"/>
              </w:rPr>
              <w:t>OR NEW YORK</w:t>
            </w:r>
          </w:p>
        </w:tc>
        <w:tc>
          <w:tcPr>
            <w:tcW w:w="0" w:type="dxa"/>
            <w:vAlign w:val="bottom"/>
          </w:tcPr>
          <w:p>
            <w:pPr>
              <w:spacing w:after="0"/>
              <w:rPr>
                <w:sz w:val="1"/>
                <w:szCs w:val="1"/>
                <w:color w:val="auto"/>
              </w:rPr>
            </w:pPr>
          </w:p>
        </w:tc>
      </w:tr>
      <w:tr>
        <w:trPr>
          <w:trHeight w:val="412"/>
        </w:trPr>
        <w:tc>
          <w:tcPr>
            <w:tcW w:w="2180" w:type="dxa"/>
            <w:vAlign w:val="bottom"/>
          </w:tcPr>
          <w:p>
            <w:pPr>
              <w:spacing w:after="0"/>
              <w:rPr>
                <w:sz w:val="24"/>
                <w:szCs w:val="24"/>
                <w:color w:val="auto"/>
              </w:rPr>
            </w:pPr>
          </w:p>
        </w:tc>
        <w:tc>
          <w:tcPr>
            <w:tcW w:w="3400" w:type="dxa"/>
            <w:vAlign w:val="bottom"/>
          </w:tcPr>
          <w:p>
            <w:pPr>
              <w:jc w:val="center"/>
              <w:ind w:left="52"/>
              <w:spacing w:after="0"/>
              <w:rPr>
                <w:sz w:val="20"/>
                <w:szCs w:val="20"/>
                <w:color w:val="auto"/>
              </w:rPr>
            </w:pPr>
            <w:r>
              <w:rPr>
                <w:rFonts w:ascii="Arial" w:cs="Arial" w:eastAsia="Arial" w:hAnsi="Arial"/>
                <w:sz w:val="18"/>
                <w:szCs w:val="18"/>
                <w:color w:val="auto"/>
                <w:w w:val="93"/>
              </w:rPr>
              <w:t>INCORPORATED UNDER THE LAWS</w:t>
            </w:r>
          </w:p>
        </w:tc>
        <w:tc>
          <w:tcPr>
            <w:tcW w:w="3320" w:type="dxa"/>
            <w:vAlign w:val="bottom"/>
          </w:tcPr>
          <w:p>
            <w:pPr>
              <w:jc w:val="center"/>
              <w:ind w:left="72"/>
              <w:spacing w:after="0"/>
              <w:rPr>
                <w:sz w:val="20"/>
                <w:szCs w:val="20"/>
                <w:color w:val="auto"/>
              </w:rPr>
            </w:pPr>
            <w:r>
              <w:rPr>
                <w:rFonts w:ascii="Arial" w:cs="Arial" w:eastAsia="Arial" w:hAnsi="Arial"/>
                <w:sz w:val="18"/>
                <w:szCs w:val="18"/>
                <w:color w:val="auto"/>
                <w:w w:val="91"/>
              </w:rPr>
              <w:t>SHARES</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3400" w:type="dxa"/>
            <w:vAlign w:val="bottom"/>
          </w:tcPr>
          <w:p>
            <w:pPr>
              <w:jc w:val="center"/>
              <w:ind w:left="72"/>
              <w:spacing w:after="0"/>
              <w:rPr>
                <w:sz w:val="20"/>
                <w:szCs w:val="20"/>
                <w:color w:val="auto"/>
              </w:rPr>
            </w:pPr>
            <w:r>
              <w:rPr>
                <w:rFonts w:ascii="Arial" w:cs="Arial" w:eastAsia="Arial" w:hAnsi="Arial"/>
                <w:sz w:val="18"/>
                <w:szCs w:val="18"/>
                <w:color w:val="auto"/>
                <w:w w:val="92"/>
              </w:rPr>
              <w:t>OF THE STATE OF DELAWARE</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The Toro Company</w:t>
            </w:r>
          </w:p>
        </w:tc>
        <w:tc>
          <w:tcPr>
            <w:tcW w:w="6720" w:type="dxa"/>
            <w:vAlign w:val="bottom"/>
            <w:gridSpan w:val="2"/>
          </w:tcPr>
          <w:p>
            <w:pPr>
              <w:jc w:val="right"/>
              <w:ind w:right="2252"/>
              <w:spacing w:after="0"/>
              <w:rPr>
                <w:sz w:val="20"/>
                <w:szCs w:val="20"/>
                <w:color w:val="auto"/>
              </w:rPr>
            </w:pPr>
            <w:r>
              <w:rPr>
                <w:rFonts w:ascii="Arial" w:cs="Arial" w:eastAsia="Arial" w:hAnsi="Arial"/>
                <w:sz w:val="18"/>
                <w:szCs w:val="18"/>
                <w:color w:val="auto"/>
              </w:rPr>
              <w:t>[SEASONS GRAPHIC]</w:t>
            </w: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340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CUSIP 891092 10 8</w:t>
            </w:r>
          </w:p>
        </w:tc>
        <w:tc>
          <w:tcPr>
            <w:tcW w:w="0" w:type="dxa"/>
            <w:vAlign w:val="bottom"/>
          </w:tcPr>
          <w:p>
            <w:pPr>
              <w:spacing w:after="0"/>
              <w:rPr>
                <w:sz w:val="1"/>
                <w:szCs w:val="1"/>
                <w:color w:val="auto"/>
              </w:rPr>
            </w:pPr>
          </w:p>
        </w:tc>
      </w:tr>
      <w:tr>
        <w:trPr>
          <w:trHeight w:val="412"/>
        </w:trPr>
        <w:tc>
          <w:tcPr>
            <w:tcW w:w="2180" w:type="dxa"/>
            <w:vAlign w:val="bottom"/>
          </w:tcPr>
          <w:p>
            <w:pPr>
              <w:spacing w:after="0"/>
              <w:rPr>
                <w:sz w:val="20"/>
                <w:szCs w:val="20"/>
                <w:color w:val="auto"/>
              </w:rPr>
            </w:pPr>
            <w:r>
              <w:rPr>
                <w:rFonts w:ascii="Arial" w:cs="Arial" w:eastAsia="Arial" w:hAnsi="Arial"/>
                <w:sz w:val="18"/>
                <w:szCs w:val="18"/>
                <w:color w:val="auto"/>
              </w:rPr>
              <w:t>THIS CERTIFIES THAT</w:t>
            </w:r>
          </w:p>
        </w:tc>
        <w:tc>
          <w:tcPr>
            <w:tcW w:w="3400" w:type="dxa"/>
            <w:vAlign w:val="bottom"/>
          </w:tcPr>
          <w:p>
            <w:pPr>
              <w:spacing w:after="0"/>
              <w:rPr>
                <w:sz w:val="24"/>
                <w:szCs w:val="24"/>
                <w:color w:val="auto"/>
              </w:rPr>
            </w:pPr>
          </w:p>
        </w:tc>
        <w:tc>
          <w:tcPr>
            <w:tcW w:w="3320" w:type="dxa"/>
            <w:vAlign w:val="bottom"/>
          </w:tcPr>
          <w:p>
            <w:pPr>
              <w:jc w:val="right"/>
              <w:ind w:right="92"/>
              <w:spacing w:after="0"/>
              <w:rPr>
                <w:sz w:val="20"/>
                <w:szCs w:val="20"/>
                <w:color w:val="auto"/>
              </w:rPr>
            </w:pPr>
            <w:r>
              <w:rPr>
                <w:rFonts w:ascii="Arial" w:cs="Arial" w:eastAsia="Arial" w:hAnsi="Arial"/>
                <w:sz w:val="18"/>
                <w:szCs w:val="18"/>
                <w:color w:val="auto"/>
              </w:rPr>
              <w:t>SEE REVERSE FOR</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CERTAIN DEFINITIONS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7820"/>
        <w:spacing w:after="0"/>
        <w:rPr>
          <w:sz w:val="20"/>
          <w:szCs w:val="20"/>
          <w:color w:val="auto"/>
        </w:rPr>
      </w:pPr>
      <w:r>
        <w:rPr>
          <w:rFonts w:ascii="Arial" w:cs="Arial" w:eastAsia="Arial" w:hAnsi="Arial"/>
          <w:sz w:val="18"/>
          <w:szCs w:val="18"/>
          <w:color w:val="auto"/>
        </w:rPr>
        <w:t>IS THE</w:t>
      </w:r>
    </w:p>
    <w:p>
      <w:pPr>
        <w:spacing w:after="0" w:line="16" w:lineRule="exact"/>
        <w:rPr>
          <w:sz w:val="20"/>
          <w:szCs w:val="20"/>
          <w:color w:val="auto"/>
        </w:rPr>
      </w:pPr>
    </w:p>
    <w:p>
      <w:pPr>
        <w:jc w:val="center"/>
        <w:ind w:right="7820"/>
        <w:spacing w:after="0"/>
        <w:rPr>
          <w:sz w:val="20"/>
          <w:szCs w:val="20"/>
          <w:color w:val="auto"/>
        </w:rPr>
      </w:pPr>
      <w:r>
        <w:rPr>
          <w:rFonts w:ascii="Arial" w:cs="Arial" w:eastAsia="Arial" w:hAnsi="Arial"/>
          <w:sz w:val="15"/>
          <w:szCs w:val="15"/>
          <w:color w:val="auto"/>
        </w:rPr>
        <w:t>REGISTERED</w:t>
      </w:r>
    </w:p>
    <w:p>
      <w:pPr>
        <w:spacing w:after="0" w:line="39" w:lineRule="exact"/>
        <w:rPr>
          <w:sz w:val="20"/>
          <w:szCs w:val="20"/>
          <w:color w:val="auto"/>
        </w:rPr>
      </w:pPr>
    </w:p>
    <w:p>
      <w:pPr>
        <w:jc w:val="center"/>
        <w:ind w:right="7820"/>
        <w:spacing w:after="0"/>
        <w:rPr>
          <w:sz w:val="20"/>
          <w:szCs w:val="20"/>
          <w:color w:val="auto"/>
        </w:rPr>
      </w:pPr>
      <w:r>
        <w:rPr>
          <w:rFonts w:ascii="Arial" w:cs="Arial" w:eastAsia="Arial" w:hAnsi="Arial"/>
          <w:sz w:val="18"/>
          <w:szCs w:val="18"/>
          <w:color w:val="auto"/>
        </w:rPr>
        <w:t>HOLDER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FULLY PAID AND NON-ASSESSABLE SHARES OF COMMON STOCK PAR VALUE $1.00 EACH,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Stock</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The Toro Company transferable on the books of the Corporation by the holder hereof, in person or by duly authorized attorney, upon surrender of this Certificate properly endorsed. This Certificate and the shares represented hereby, are issued and shall be held subject to all of the provisions of the Certificate of Incorporation and By-Laws of the Corporation, and all amendments thereto, to all of which the holder, by accepting this Certificate, assents. This Certificate is not valid unless countersigned and registered by the Transfer Agent and Registrar.</w:t>
      </w:r>
    </w:p>
    <w:p>
      <w:pPr>
        <w:spacing w:after="0" w:line="152" w:lineRule="exact"/>
        <w:rPr>
          <w:sz w:val="20"/>
          <w:szCs w:val="20"/>
          <w:color w:val="auto"/>
        </w:rPr>
      </w:pPr>
    </w:p>
    <w:p>
      <w:pPr>
        <w:ind w:right="220" w:firstLine="220"/>
        <w:spacing w:after="0" w:line="264" w:lineRule="auto"/>
        <w:rPr>
          <w:sz w:val="20"/>
          <w:szCs w:val="20"/>
          <w:color w:val="auto"/>
        </w:rPr>
      </w:pPr>
      <w:r>
        <w:rPr>
          <w:rFonts w:ascii="Arial" w:cs="Arial" w:eastAsia="Arial" w:hAnsi="Arial"/>
          <w:sz w:val="18"/>
          <w:szCs w:val="18"/>
          <w:i w:val="1"/>
          <w:iCs w:val="1"/>
          <w:color w:val="auto"/>
        </w:rPr>
        <w:t>In Witness Whereof, the Corporation has caused this Certificate to be signed in facsimile by its duly authorized officers, and a facsimile of its corporate seal to be hereunto affixed.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16"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COUNTERSIGNED AND REGISTERED:</w:t>
      </w:r>
      <w:r>
        <w:rPr>
          <w:sz w:val="20"/>
          <w:szCs w:val="20"/>
          <w:color w:val="auto"/>
        </w:rPr>
        <w:tab/>
      </w:r>
      <w:r>
        <w:rPr>
          <w:rFonts w:ascii="Arial" w:cs="Arial" w:eastAsia="Arial" w:hAnsi="Arial"/>
          <w:sz w:val="15"/>
          <w:szCs w:val="15"/>
          <w:color w:val="auto"/>
        </w:rPr>
        <w:t>/s/ Kendrick B. Melrose</w:t>
      </w:r>
    </w:p>
    <w:p>
      <w:pPr>
        <w:spacing w:after="0" w:line="16" w:lineRule="exact"/>
        <w:rPr>
          <w:sz w:val="20"/>
          <w:szCs w:val="20"/>
          <w:color w:val="auto"/>
        </w:rPr>
      </w:pPr>
    </w:p>
    <w:p>
      <w:pPr>
        <w:ind w:left="220"/>
        <w:spacing w:after="0"/>
        <w:tabs>
          <w:tab w:leader="none" w:pos="4620" w:val="left"/>
          <w:tab w:leader="none" w:pos="6560" w:val="left"/>
        </w:tabs>
        <w:rPr>
          <w:sz w:val="20"/>
          <w:szCs w:val="20"/>
          <w:color w:val="auto"/>
        </w:rPr>
      </w:pPr>
      <w:r>
        <w:rPr>
          <w:rFonts w:ascii="Arial" w:cs="Arial" w:eastAsia="Arial" w:hAnsi="Arial"/>
          <w:sz w:val="18"/>
          <w:szCs w:val="18"/>
          <w:b w:val="1"/>
          <w:bCs w:val="1"/>
          <w:color w:val="auto"/>
        </w:rPr>
        <w:t>WELLS FARGO BANK MINNESOTA, N.A.</w:t>
      </w:r>
      <w:r>
        <w:rPr>
          <w:sz w:val="20"/>
          <w:szCs w:val="20"/>
          <w:color w:val="auto"/>
        </w:rPr>
        <w:tab/>
      </w:r>
      <w:r>
        <w:rPr>
          <w:rFonts w:ascii="Arial" w:cs="Arial" w:eastAsia="Arial" w:hAnsi="Arial"/>
          <w:sz w:val="18"/>
          <w:szCs w:val="18"/>
          <w:color w:val="auto"/>
        </w:rPr>
        <w:t>SEAL</w:t>
      </w:r>
      <w:r>
        <w:rPr>
          <w:sz w:val="20"/>
          <w:szCs w:val="20"/>
          <w:color w:val="auto"/>
        </w:rPr>
        <w:tab/>
      </w:r>
      <w:r>
        <w:rPr>
          <w:rFonts w:ascii="Arial" w:cs="Arial" w:eastAsia="Arial" w:hAnsi="Arial"/>
          <w:sz w:val="17"/>
          <w:szCs w:val="17"/>
          <w:color w:val="auto"/>
        </w:rPr>
        <w:t>CHAIRMAN OF THE BOARD</w:t>
      </w:r>
    </w:p>
    <w:p>
      <w:pPr>
        <w:spacing w:after="0" w:line="5" w:lineRule="exact"/>
        <w:rPr>
          <w:sz w:val="20"/>
          <w:szCs w:val="20"/>
          <w:color w:val="auto"/>
        </w:rPr>
      </w:pPr>
    </w:p>
    <w:p>
      <w:pPr>
        <w:ind w:left="2360"/>
        <w:spacing w:after="0"/>
        <w:tabs>
          <w:tab w:leader="none" w:pos="6100" w:val="left"/>
        </w:tabs>
        <w:rPr>
          <w:sz w:val="20"/>
          <w:szCs w:val="20"/>
          <w:color w:val="auto"/>
        </w:rPr>
      </w:pPr>
      <w:r>
        <w:rPr>
          <w:rFonts w:ascii="Arial" w:cs="Arial" w:eastAsia="Arial" w:hAnsi="Arial"/>
          <w:sz w:val="18"/>
          <w:szCs w:val="18"/>
          <w:color w:val="auto"/>
        </w:rPr>
        <w:t>TRANSFER AGENT</w:t>
      </w:r>
      <w:r>
        <w:rPr>
          <w:sz w:val="20"/>
          <w:szCs w:val="20"/>
          <w:color w:val="auto"/>
        </w:rPr>
        <w:tab/>
      </w:r>
      <w:r>
        <w:rPr>
          <w:rFonts w:ascii="Arial" w:cs="Arial" w:eastAsia="Arial" w:hAnsi="Arial"/>
          <w:sz w:val="15"/>
          <w:szCs w:val="15"/>
          <w:color w:val="auto"/>
        </w:rPr>
        <w:t>AND CHIEF EXECUTIVE OFFICER</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AND REGISTRAR</w:t>
      </w:r>
    </w:p>
    <w:p>
      <w:pPr>
        <w:spacing w:after="0" w:line="5"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BY /s/ L.M. Kaufman</w:t>
      </w:r>
      <w:r>
        <w:rPr>
          <w:sz w:val="20"/>
          <w:szCs w:val="20"/>
          <w:color w:val="auto"/>
        </w:rPr>
        <w:tab/>
      </w:r>
      <w:r>
        <w:rPr>
          <w:rFonts w:ascii="Arial" w:cs="Arial" w:eastAsia="Arial" w:hAnsi="Arial"/>
          <w:sz w:val="15"/>
          <w:szCs w:val="15"/>
          <w:color w:val="auto"/>
        </w:rPr>
        <w:t>/s/ J. Lawrence McIntyre</w:t>
      </w:r>
    </w:p>
    <w:p>
      <w:pPr>
        <w:spacing w:after="0" w:line="5" w:lineRule="exact"/>
        <w:rPr>
          <w:sz w:val="20"/>
          <w:szCs w:val="20"/>
          <w:color w:val="auto"/>
        </w:rPr>
      </w:pPr>
    </w:p>
    <w:p>
      <w:pPr>
        <w:ind w:left="2080"/>
        <w:spacing w:after="0"/>
        <w:tabs>
          <w:tab w:leader="none" w:pos="700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VICE PRESIDENT AND</w:t>
      </w:r>
    </w:p>
    <w:p>
      <w:pPr>
        <w:spacing w:after="0" w:line="5" w:lineRule="exact"/>
        <w:rPr>
          <w:sz w:val="20"/>
          <w:szCs w:val="20"/>
          <w:color w:val="auto"/>
        </w:rPr>
      </w:pPr>
    </w:p>
    <w:p>
      <w:pPr>
        <w:ind w:left="784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294005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1580" w:space="720"/>
            <w:col w:w="8900"/>
          </w:cols>
          <w:pgMar w:left="460" w:top="91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THE TORO COMPANY</w:t>
      </w:r>
    </w:p>
    <w:p>
      <w:pPr>
        <w:spacing w:after="0" w:line="130" w:lineRule="exact"/>
        <w:rPr>
          <w:sz w:val="20"/>
          <w:szCs w:val="20"/>
          <w:color w:val="auto"/>
        </w:rPr>
      </w:pPr>
    </w:p>
    <w:p>
      <w:pPr>
        <w:ind w:right="80" w:firstLine="176"/>
        <w:spacing w:after="0" w:line="228" w:lineRule="auto"/>
        <w:rPr>
          <w:sz w:val="20"/>
          <w:szCs w:val="20"/>
          <w:color w:val="auto"/>
        </w:rPr>
      </w:pPr>
      <w:r>
        <w:rPr>
          <w:rFonts w:ascii="Arial" w:cs="Arial" w:eastAsia="Arial" w:hAnsi="Arial"/>
          <w:sz w:val="14"/>
          <w:szCs w:val="14"/>
          <w:b w:val="1"/>
          <w:bCs w:val="1"/>
          <w:color w:val="auto"/>
        </w:rPr>
        <w:t>THE SHARES ARE SUBJECT TO RIGHTS, PREFERENCES AND RESTRICTIONS. A FULL STATEMENT OF THE RIGHTS, PREFERENCES AND RESTRICTIONS GRANTED TO OR IMPOSED UPON THE SHARES OF ALL CLASSES OF SERIES, AND A STATEMENT OF THE AUTHORITY VESTED BY THE CERTIFICATE OF INCORPORATION IN THE BOARD OF DIRECTORS UNDER SUBCHAPTER V, SECTION 151, OF THE DELAWARE GENERAL CORPORATION LAW, TO FIX THE RIGHTS OF SERIES OF SHARES THEN UNALLOTTED WILL BE FURNISHED TO ANY SHAREHOLDER WITHOUT CHARGE AND UPON REQUEST MADE TO THE OFFICE OF THE SECRETARY OF THE COMPANY.</w:t>
      </w:r>
    </w:p>
    <w:p>
      <w:pPr>
        <w:spacing w:after="0" w:line="112" w:lineRule="exact"/>
        <w:rPr>
          <w:sz w:val="20"/>
          <w:szCs w:val="20"/>
          <w:color w:val="auto"/>
        </w:rPr>
      </w:pPr>
    </w:p>
    <w:p>
      <w:pPr>
        <w:ind w:right="260" w:firstLine="174"/>
        <w:spacing w:after="0" w:line="244" w:lineRule="auto"/>
        <w:rPr>
          <w:sz w:val="20"/>
          <w:szCs w:val="20"/>
          <w:color w:val="auto"/>
        </w:rPr>
      </w:pPr>
      <w:r>
        <w:rPr>
          <w:rFonts w:ascii="Arial" w:cs="Arial" w:eastAsia="Arial" w:hAnsi="Arial"/>
          <w:sz w:val="14"/>
          <w:szCs w:val="14"/>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440"/>
          </w:cols>
          <w:pgMar w:left="240" w:top="911" w:right="219" w:bottom="1440" w:gutter="0" w:footer="0" w:header="0"/>
        </w:sectPr>
      </w:pPr>
    </w:p>
    <w:p>
      <w:pPr>
        <w:spacing w:after="0" w:line="30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TEN COM</w:t>
            </w:r>
          </w:p>
        </w:tc>
        <w:tc>
          <w:tcPr>
            <w:tcW w:w="4040" w:type="dxa"/>
            <w:vAlign w:val="bottom"/>
            <w:gridSpan w:val="2"/>
          </w:tcPr>
          <w:p>
            <w:pPr>
              <w:ind w:left="280"/>
              <w:spacing w:after="0"/>
              <w:rPr>
                <w:sz w:val="20"/>
                <w:szCs w:val="20"/>
                <w:color w:val="auto"/>
              </w:rPr>
            </w:pPr>
            <w:r>
              <w:rPr>
                <w:rFonts w:ascii="Arial" w:cs="Arial" w:eastAsia="Arial" w:hAnsi="Arial"/>
                <w:sz w:val="14"/>
                <w:szCs w:val="14"/>
                <w:color w:val="auto"/>
              </w:rPr>
              <w:t>—    as tenants in common</w:t>
            </w:r>
          </w:p>
        </w:tc>
      </w:tr>
      <w:tr>
        <w:trPr>
          <w:trHeight w:val="146"/>
        </w:trPr>
        <w:tc>
          <w:tcPr>
            <w:tcW w:w="920" w:type="dxa"/>
            <w:vAlign w:val="bottom"/>
          </w:tcPr>
          <w:p>
            <w:pPr>
              <w:spacing w:after="0" w:line="145" w:lineRule="exact"/>
              <w:rPr>
                <w:sz w:val="20"/>
                <w:szCs w:val="20"/>
                <w:color w:val="auto"/>
              </w:rPr>
            </w:pPr>
            <w:r>
              <w:rPr>
                <w:rFonts w:ascii="Arial" w:cs="Arial" w:eastAsia="Arial" w:hAnsi="Arial"/>
                <w:sz w:val="14"/>
                <w:szCs w:val="14"/>
                <w:color w:val="auto"/>
              </w:rPr>
              <w:t>TEN ENT</w:t>
            </w:r>
          </w:p>
        </w:tc>
        <w:tc>
          <w:tcPr>
            <w:tcW w:w="540" w:type="dxa"/>
            <w:vAlign w:val="bottom"/>
          </w:tcPr>
          <w:p>
            <w:pPr>
              <w:ind w:left="280"/>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140"/>
              <w:spacing w:after="0" w:line="145" w:lineRule="exact"/>
              <w:rPr>
                <w:sz w:val="20"/>
                <w:szCs w:val="20"/>
                <w:color w:val="auto"/>
              </w:rPr>
            </w:pPr>
            <w:r>
              <w:rPr>
                <w:rFonts w:ascii="Arial" w:cs="Arial" w:eastAsia="Arial" w:hAnsi="Arial"/>
                <w:sz w:val="14"/>
                <w:szCs w:val="14"/>
                <w:color w:val="auto"/>
              </w:rPr>
              <w:t>as tenants by the entireties</w:t>
            </w:r>
          </w:p>
        </w:tc>
      </w:tr>
      <w:tr>
        <w:trPr>
          <w:trHeight w:val="146"/>
        </w:trPr>
        <w:tc>
          <w:tcPr>
            <w:tcW w:w="920" w:type="dxa"/>
            <w:vAlign w:val="bottom"/>
          </w:tcPr>
          <w:p>
            <w:pPr>
              <w:spacing w:after="0" w:line="145" w:lineRule="exact"/>
              <w:rPr>
                <w:sz w:val="20"/>
                <w:szCs w:val="20"/>
                <w:color w:val="auto"/>
              </w:rPr>
            </w:pPr>
            <w:r>
              <w:rPr>
                <w:rFonts w:ascii="Arial" w:cs="Arial" w:eastAsia="Arial" w:hAnsi="Arial"/>
                <w:sz w:val="14"/>
                <w:szCs w:val="14"/>
                <w:color w:val="auto"/>
              </w:rPr>
              <w:t>JT TEN</w:t>
            </w:r>
          </w:p>
        </w:tc>
        <w:tc>
          <w:tcPr>
            <w:tcW w:w="540" w:type="dxa"/>
            <w:vAlign w:val="bottom"/>
          </w:tcPr>
          <w:p>
            <w:pPr>
              <w:ind w:left="280"/>
              <w:spacing w:after="0" w:line="145" w:lineRule="exact"/>
              <w:rPr>
                <w:sz w:val="20"/>
                <w:szCs w:val="20"/>
                <w:color w:val="auto"/>
              </w:rPr>
            </w:pPr>
            <w:r>
              <w:rPr>
                <w:rFonts w:ascii="Arial" w:cs="Arial" w:eastAsia="Arial" w:hAnsi="Arial"/>
                <w:sz w:val="14"/>
                <w:szCs w:val="14"/>
                <w:color w:val="auto"/>
              </w:rPr>
              <w:t>—</w:t>
            </w:r>
          </w:p>
        </w:tc>
        <w:tc>
          <w:tcPr>
            <w:tcW w:w="3500" w:type="dxa"/>
            <w:vAlign w:val="bottom"/>
          </w:tcPr>
          <w:p>
            <w:pPr>
              <w:ind w:left="140"/>
              <w:spacing w:after="0" w:line="145" w:lineRule="exact"/>
              <w:rPr>
                <w:sz w:val="20"/>
                <w:szCs w:val="20"/>
                <w:color w:val="auto"/>
              </w:rPr>
            </w:pPr>
            <w:r>
              <w:rPr>
                <w:rFonts w:ascii="Arial" w:cs="Arial" w:eastAsia="Arial" w:hAnsi="Arial"/>
                <w:sz w:val="14"/>
                <w:szCs w:val="14"/>
                <w:color w:val="auto"/>
                <w:w w:val="90"/>
              </w:rPr>
              <w:t>as joint tenants with right of survivorship and not as tenants</w:t>
            </w:r>
          </w:p>
        </w:tc>
      </w:tr>
      <w:tr>
        <w:trPr>
          <w:trHeight w:val="180"/>
        </w:trPr>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00" w:type="dxa"/>
            <w:vAlign w:val="bottom"/>
          </w:tcPr>
          <w:p>
            <w:pPr>
              <w:ind w:left="140"/>
              <w:spacing w:after="0"/>
              <w:rPr>
                <w:sz w:val="20"/>
                <w:szCs w:val="20"/>
                <w:color w:val="auto"/>
              </w:rPr>
            </w:pPr>
            <w:r>
              <w:rPr>
                <w:rFonts w:ascii="Arial" w:cs="Arial" w:eastAsia="Arial" w:hAnsi="Arial"/>
                <w:sz w:val="14"/>
                <w:szCs w:val="14"/>
                <w:color w:val="auto"/>
              </w:rPr>
              <w:t>in common</w:t>
            </w:r>
          </w:p>
        </w:tc>
      </w:tr>
    </w:tbl>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840" w:type="dxa"/>
            <w:vAlign w:val="bottom"/>
            <w:gridSpan w:val="2"/>
          </w:tcPr>
          <w:p>
            <w:pPr>
              <w:spacing w:after="0"/>
              <w:rPr>
                <w:sz w:val="20"/>
                <w:szCs w:val="20"/>
                <w:color w:val="auto"/>
              </w:rPr>
            </w:pPr>
            <w:r>
              <w:rPr>
                <w:rFonts w:ascii="Arial" w:cs="Arial" w:eastAsia="Arial" w:hAnsi="Arial"/>
                <w:sz w:val="14"/>
                <w:szCs w:val="14"/>
                <w:color w:val="auto"/>
              </w:rPr>
              <w:t>UNIF GIFT MIN ACT —</w:t>
            </w:r>
          </w:p>
        </w:tc>
        <w:tc>
          <w:tcPr>
            <w:tcW w:w="2760" w:type="dxa"/>
            <w:vAlign w:val="bottom"/>
            <w:gridSpan w:val="2"/>
          </w:tcPr>
          <w:p>
            <w:pPr>
              <w:ind w:left="440"/>
              <w:spacing w:after="0"/>
              <w:rPr>
                <w:sz w:val="20"/>
                <w:szCs w:val="20"/>
                <w:color w:val="auto"/>
              </w:rPr>
            </w:pPr>
            <w:r>
              <w:rPr>
                <w:rFonts w:ascii="Arial" w:cs="Arial" w:eastAsia="Arial" w:hAnsi="Arial"/>
                <w:sz w:val="14"/>
                <w:szCs w:val="14"/>
                <w:color w:val="auto"/>
              </w:rPr>
              <w:t>Custodian</w:t>
            </w:r>
          </w:p>
        </w:tc>
      </w:tr>
      <w:tr>
        <w:trPr>
          <w:trHeight w:val="51"/>
        </w:trPr>
        <w:tc>
          <w:tcPr>
            <w:tcW w:w="15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2"/>
        </w:trPr>
        <w:tc>
          <w:tcPr>
            <w:tcW w:w="1580" w:type="dxa"/>
            <w:vAlign w:val="bottom"/>
          </w:tcPr>
          <w:p>
            <w:pPr>
              <w:spacing w:after="0"/>
              <w:rPr>
                <w:sz w:val="18"/>
                <w:szCs w:val="18"/>
                <w:color w:val="auto"/>
              </w:rPr>
            </w:pPr>
          </w:p>
        </w:tc>
        <w:tc>
          <w:tcPr>
            <w:tcW w:w="1260" w:type="dxa"/>
            <w:vAlign w:val="bottom"/>
          </w:tcPr>
          <w:p>
            <w:pPr>
              <w:ind w:left="440"/>
              <w:spacing w:after="0"/>
              <w:rPr>
                <w:sz w:val="20"/>
                <w:szCs w:val="20"/>
                <w:color w:val="auto"/>
              </w:rPr>
            </w:pPr>
            <w:r>
              <w:rPr>
                <w:rFonts w:ascii="Arial" w:cs="Arial" w:eastAsia="Arial" w:hAnsi="Arial"/>
                <w:sz w:val="14"/>
                <w:szCs w:val="14"/>
                <w:color w:val="auto"/>
              </w:rPr>
              <w:t>(Cust)</w:t>
            </w:r>
          </w:p>
        </w:tc>
        <w:tc>
          <w:tcPr>
            <w:tcW w:w="1480" w:type="dxa"/>
            <w:vAlign w:val="bottom"/>
          </w:tcPr>
          <w:p>
            <w:pPr>
              <w:spacing w:after="0"/>
              <w:rPr>
                <w:sz w:val="18"/>
                <w:szCs w:val="18"/>
                <w:color w:val="auto"/>
              </w:rPr>
            </w:pPr>
          </w:p>
        </w:tc>
        <w:tc>
          <w:tcPr>
            <w:tcW w:w="1280" w:type="dxa"/>
            <w:vAlign w:val="bottom"/>
          </w:tcPr>
          <w:p>
            <w:pPr>
              <w:ind w:left="400"/>
              <w:spacing w:after="0"/>
              <w:rPr>
                <w:sz w:val="20"/>
                <w:szCs w:val="20"/>
                <w:color w:val="auto"/>
              </w:rPr>
            </w:pPr>
            <w:r>
              <w:rPr>
                <w:rFonts w:ascii="Arial" w:cs="Arial" w:eastAsia="Arial" w:hAnsi="Arial"/>
                <w:sz w:val="14"/>
                <w:szCs w:val="14"/>
                <w:color w:val="auto"/>
              </w:rPr>
              <w:t>(Minor)</w:t>
            </w:r>
          </w:p>
        </w:tc>
      </w:tr>
    </w:tbl>
    <w:p>
      <w:pPr>
        <w:jc w:val="center"/>
        <w:ind w:right="480"/>
        <w:spacing w:after="0"/>
        <w:rPr>
          <w:sz w:val="20"/>
          <w:szCs w:val="20"/>
          <w:color w:val="auto"/>
        </w:rPr>
      </w:pPr>
      <w:r>
        <w:rPr>
          <w:rFonts w:ascii="Arial" w:cs="Arial" w:eastAsia="Arial" w:hAnsi="Arial"/>
          <w:sz w:val="14"/>
          <w:szCs w:val="14"/>
          <w:color w:val="auto"/>
        </w:rPr>
        <w:t>under Uniform Gifts 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1856105</wp:posOffset>
            </wp:positionH>
            <wp:positionV relativeFrom="paragraph">
              <wp:posOffset>36195</wp:posOffset>
            </wp:positionV>
            <wp:extent cx="17049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1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(State)</w:t>
      </w:r>
    </w:p>
    <w:p>
      <w:pPr>
        <w:spacing w:after="0" w:line="200" w:lineRule="exact"/>
        <w:rPr>
          <w:sz w:val="20"/>
          <w:szCs w:val="20"/>
          <w:color w:val="auto"/>
        </w:rPr>
      </w:pPr>
    </w:p>
    <w:p>
      <w:pPr>
        <w:sectPr>
          <w:pgSz w:w="11900" w:h="16838" w:orient="portrait"/>
          <w:cols w:equalWidth="0" w:num="2">
            <w:col w:w="5220" w:space="620"/>
            <w:col w:w="5600"/>
          </w:cols>
          <w:pgMar w:left="240" w:top="911" w:right="219" w:bottom="1440" w:gutter="0" w:footer="0" w:header="0"/>
          <w:type w:val="continuous"/>
        </w:sectPr>
      </w:pPr>
    </w:p>
    <w:p>
      <w:pPr>
        <w:spacing w:after="0" w:line="155"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Additional abbreviations may also be used though not in the above list.</w:t>
      </w:r>
    </w:p>
    <w:p>
      <w:pPr>
        <w:spacing w:after="0" w:line="176" w:lineRule="exact"/>
        <w:rPr>
          <w:sz w:val="20"/>
          <w:szCs w:val="20"/>
          <w:color w:val="auto"/>
        </w:rPr>
      </w:pPr>
    </w:p>
    <w:p>
      <w:pPr>
        <w:ind w:left="220"/>
        <w:spacing w:after="0"/>
        <w:tabs>
          <w:tab w:leader="none" w:pos="384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-13970</wp:posOffset>
            </wp:positionV>
            <wp:extent cx="10636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340"/>
        <w:spacing w:after="0"/>
        <w:rPr>
          <w:sz w:val="20"/>
          <w:szCs w:val="20"/>
          <w:color w:val="auto"/>
        </w:rPr>
      </w:pPr>
      <w:r>
        <w:rPr>
          <w:rFonts w:ascii="Arial" w:cs="Arial" w:eastAsia="Arial" w:hAnsi="Arial"/>
          <w:sz w:val="13"/>
          <w:szCs w:val="13"/>
          <w:color w:val="auto"/>
        </w:rPr>
        <w:t>(PLEASE INSERT SOCIAL SECURITY OR OTHER</w:t>
      </w:r>
    </w:p>
    <w:p>
      <w:pPr>
        <w:spacing w:after="0" w:line="8" w:lineRule="exact"/>
        <w:rPr>
          <w:sz w:val="20"/>
          <w:szCs w:val="20"/>
          <w:color w:val="auto"/>
        </w:rPr>
      </w:pPr>
    </w:p>
    <w:p>
      <w:pPr>
        <w:jc w:val="center"/>
        <w:ind w:right="8340"/>
        <w:spacing w:after="0"/>
        <w:rPr>
          <w:sz w:val="20"/>
          <w:szCs w:val="20"/>
          <w:color w:val="auto"/>
        </w:rPr>
      </w:pPr>
      <w:r>
        <w:rPr>
          <w:rFonts w:ascii="Arial" w:cs="Arial" w:eastAsia="Arial" w:hAnsi="Arial"/>
          <w:sz w:val="14"/>
          <w:szCs w:val="14"/>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1969770"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9770" cy="2057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72663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663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194945</wp:posOffset>
            </wp:positionV>
            <wp:extent cx="72663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287655</wp:posOffset>
            </wp:positionV>
            <wp:extent cx="7266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Common Shares 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220345</wp:posOffset>
            </wp:positionV>
            <wp:extent cx="7266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Attorney to transfer the said shares on the books of the within-named Corporation.</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480695</wp:posOffset>
            </wp:positionV>
            <wp:extent cx="37128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12845" cy="8255"/>
                    </a:xfrm>
                    <a:prstGeom prst="rect">
                      <a:avLst/>
                    </a:prstGeom>
                    <a:noFill/>
                  </pic:spPr>
                </pic:pic>
              </a:graphicData>
            </a:graphic>
          </wp:anchor>
        </w:drawing>
        <w:drawing>
          <wp:anchor simplePos="0" relativeHeight="251657728" behindDoc="1" locked="0" layoutInCell="0" allowOverlap="1">
            <wp:simplePos x="0" y="0"/>
            <wp:positionH relativeFrom="column">
              <wp:posOffset>3557270</wp:posOffset>
            </wp:positionH>
            <wp:positionV relativeFrom="paragraph">
              <wp:posOffset>766445</wp:posOffset>
            </wp:positionV>
            <wp:extent cx="37128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12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20"/>
        <w:spacing w:after="0"/>
        <w:tabs>
          <w:tab w:leader="none" w:pos="5580" w:val="left"/>
        </w:tabs>
        <w:rPr>
          <w:sz w:val="20"/>
          <w:szCs w:val="20"/>
          <w:color w:val="auto"/>
        </w:rPr>
      </w:pPr>
      <w:r>
        <w:rPr>
          <w:rFonts w:ascii="Arial" w:cs="Arial" w:eastAsia="Arial" w:hAnsi="Arial"/>
          <w:sz w:val="14"/>
          <w:szCs w:val="14"/>
          <w:color w:val="auto"/>
        </w:rPr>
        <w:t>NOTICE:</w:t>
        <w:tab/>
        <w:t>THE SIGNATURE TO THIS ASSIGNMENT MUST CORRESPOND WITH THE NAME AS</w:t>
      </w:r>
    </w:p>
    <w:p>
      <w:pPr>
        <w:ind w:left="5600"/>
        <w:spacing w:after="0" w:line="216" w:lineRule="auto"/>
        <w:rPr>
          <w:sz w:val="20"/>
          <w:szCs w:val="20"/>
          <w:color w:val="auto"/>
        </w:rPr>
      </w:pPr>
      <w:r>
        <w:rPr>
          <w:rFonts w:ascii="Arial" w:cs="Arial" w:eastAsia="Arial" w:hAnsi="Arial"/>
          <w:sz w:val="14"/>
          <w:szCs w:val="14"/>
          <w:color w:val="auto"/>
        </w:rPr>
        <w:t>WRITTEN UPON THE FACE OF THE CERTIFICATE IN EVERY PARTICULAR WITHOUT</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ALTERATION OR ENLARGEMENT OR ANY CHANGE WHATEVER.</w:t>
      </w:r>
    </w:p>
    <w:p>
      <w:pPr>
        <w:spacing w:after="0" w:line="118" w:lineRule="exact"/>
        <w:rPr>
          <w:sz w:val="20"/>
          <w:szCs w:val="20"/>
          <w:color w:val="auto"/>
        </w:rPr>
      </w:pPr>
    </w:p>
    <w:p>
      <w:pPr>
        <w:ind w:right="80"/>
        <w:spacing w:after="0" w:line="227" w:lineRule="auto"/>
        <w:rPr>
          <w:sz w:val="20"/>
          <w:szCs w:val="20"/>
          <w:color w:val="auto"/>
        </w:rPr>
      </w:pPr>
      <w:r>
        <w:rPr>
          <w:rFonts w:ascii="Arial" w:cs="Arial" w:eastAsia="Arial" w:hAnsi="Arial"/>
          <w:sz w:val="14"/>
          <w:szCs w:val="14"/>
          <w:color w:val="auto"/>
        </w:rPr>
        <w:t>This certificate also evidences and entitles the holder hereof to certain rights as set forth in a Rights Agreement between The Toro Company and Norwest Bank of Minnesota, N.A., as Rights Agent, dated as of May 20, 1998 (as amended from time to time, the “Rights Agreement”), the terms of which are hereby incorporated herein by reference and a copy of which is on file at the principle executive offices of The Toro Company. Under certain circumstances, as set forth in the Rights Agreement, such Rights will be evidenced by separate certificates and will no longer be evidenced by this certificate. The Toro Company will mail to the holder of this certificate a copy of the Rights Agreement without charge after receipt of a written request therefor. Rights issued to, or beneficially owned by, any Person who becomes an Acquiring Person (as defined in the Rights Agreement) may become null and void.</w:t>
      </w:r>
    </w:p>
    <w:p>
      <w:pPr>
        <w:spacing w:after="0" w:line="108"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Effective July 10, 2000, Norwest Bank Minnesota, N.A.,</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changed its name to Wells Fargo Bank Minnesota, N.A.</w:t>
      </w:r>
    </w:p>
    <w:p>
      <w:pPr>
        <w:sectPr>
          <w:pgSz w:w="11900" w:h="16838" w:orient="portrait"/>
          <w:cols w:equalWidth="0" w:num="1">
            <w:col w:w="11440"/>
          </w:cols>
          <w:pgMar w:left="240" w:top="911" w:right="21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10(n)</w:t>
      </w:r>
    </w:p>
    <w:p>
      <w:pPr>
        <w:spacing w:after="0" w:line="19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THE TORO COMPANY</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2000 DIRECTORS STOCK PLAN</w:t>
      </w:r>
    </w:p>
    <w:p>
      <w:pPr>
        <w:spacing w:after="0" w:line="159" w:lineRule="exact"/>
        <w:rPr>
          <w:sz w:val="20"/>
          <w:szCs w:val="20"/>
          <w:color w:val="auto"/>
        </w:rPr>
      </w:pPr>
    </w:p>
    <w:p>
      <w:pPr>
        <w:ind w:right="20" w:firstLine="226"/>
        <w:spacing w:after="0" w:line="251" w:lineRule="auto"/>
        <w:tabs>
          <w:tab w:leader="none" w:pos="39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 of The Toro Company 2000 Directors Stock Plan (“Plan”) is to enable The Toro Company (the “Company”) to attract</w:t>
      </w:r>
      <w:r>
        <w:rPr>
          <w:rFonts w:ascii="Arial" w:cs="Arial" w:eastAsia="Arial" w:hAnsi="Arial"/>
          <w:sz w:val="18"/>
          <w:szCs w:val="18"/>
          <w:b w:val="1"/>
          <w:bCs w:val="1"/>
          <w:color w:val="auto"/>
        </w:rPr>
        <w:t xml:space="preserve"> </w:t>
      </w:r>
      <w:r>
        <w:rPr>
          <w:rFonts w:ascii="Arial" w:cs="Arial" w:eastAsia="Arial" w:hAnsi="Arial"/>
          <w:sz w:val="18"/>
          <w:szCs w:val="18"/>
          <w:color w:val="auto"/>
        </w:rPr>
        <w:t>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147" w:lineRule="exact"/>
        <w:rPr>
          <w:rFonts w:ascii="Arial" w:cs="Arial" w:eastAsia="Arial" w:hAnsi="Arial"/>
          <w:sz w:val="18"/>
          <w:szCs w:val="18"/>
          <w:color w:val="auto"/>
        </w:rPr>
      </w:pPr>
    </w:p>
    <w:p>
      <w:pPr>
        <w:ind w:right="280" w:firstLine="226"/>
        <w:spacing w:after="0" w:line="271" w:lineRule="auto"/>
        <w:tabs>
          <w:tab w:leader="none" w:pos="397"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All members of the Company’s Board of Directors who are not current employees of the Company or any of its subsidiaries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are eligible to participate in the Plan.</w:t>
      </w:r>
    </w:p>
    <w:p>
      <w:pPr>
        <w:spacing w:after="0" w:line="141" w:lineRule="exact"/>
        <w:rPr>
          <w:rFonts w:ascii="Arial" w:cs="Arial" w:eastAsia="Arial" w:hAnsi="Arial"/>
          <w:sz w:val="18"/>
          <w:szCs w:val="18"/>
          <w:color w:val="auto"/>
        </w:rPr>
      </w:pPr>
    </w:p>
    <w:p>
      <w:pPr>
        <w:ind w:left="400" w:hanging="174"/>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Plan Awards.</w:t>
      </w:r>
    </w:p>
    <w:p>
      <w:pPr>
        <w:spacing w:after="0" w:line="216" w:lineRule="exact"/>
        <w:rPr>
          <w:rFonts w:ascii="Arial" w:cs="Arial" w:eastAsia="Arial" w:hAnsi="Arial"/>
          <w:sz w:val="18"/>
          <w:szCs w:val="18"/>
          <w:color w:val="auto"/>
        </w:rPr>
      </w:pPr>
    </w:p>
    <w:p>
      <w:pPr>
        <w:ind w:left="780" w:right="80" w:hanging="443"/>
        <w:spacing w:after="0" w:line="310" w:lineRule="auto"/>
        <w:tabs>
          <w:tab w:leader="none" w:pos="780" w:val="left"/>
        </w:tabs>
        <w:numPr>
          <w:ilvl w:val="1"/>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Directors Shares. </w:t>
      </w:r>
      <w:r>
        <w:rPr>
          <w:rFonts w:ascii="Arial" w:cs="Arial" w:eastAsia="Arial" w:hAnsi="Arial"/>
          <w:sz w:val="15"/>
          <w:szCs w:val="15"/>
          <w:color w:val="auto"/>
        </w:rPr>
        <w:t>To carry out the purposes of the Plan, the Company shall, on the first business day of each fiscal year, issue to each person who is</w:t>
      </w:r>
      <w:r>
        <w:rPr>
          <w:rFonts w:ascii="Arial" w:cs="Arial" w:eastAsia="Arial" w:hAnsi="Arial"/>
          <w:sz w:val="15"/>
          <w:szCs w:val="15"/>
          <w:b w:val="1"/>
          <w:bCs w:val="1"/>
          <w:color w:val="auto"/>
        </w:rPr>
        <w:t xml:space="preserve"> </w:t>
      </w:r>
      <w:r>
        <w:rPr>
          <w:rFonts w:ascii="Arial" w:cs="Arial" w:eastAsia="Arial" w:hAnsi="Arial"/>
          <w:sz w:val="15"/>
          <w:szCs w:val="15"/>
          <w:color w:val="auto"/>
        </w:rPr>
        <w:t>then a Nonemployee Director shares of the Company’s Common Stock, $1.00 par value and related preferred share purchase rights (the “Common Stock”), in an amount equal to $10,000 divided by the fair market value of one share of Common Stock rounded down to the greatest number of whole shares (“Directors Shares”) subject to adjustment as provided in Section 5 hereof.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144" w:lineRule="exact"/>
        <w:rPr>
          <w:rFonts w:ascii="Arial" w:cs="Arial" w:eastAsia="Arial" w:hAnsi="Arial"/>
          <w:sz w:val="15"/>
          <w:szCs w:val="15"/>
          <w:color w:val="auto"/>
        </w:rPr>
      </w:pPr>
    </w:p>
    <w:p>
      <w:pPr>
        <w:ind w:left="780" w:hanging="443"/>
        <w:spacing w:after="0"/>
        <w:tabs>
          <w:tab w:leader="none" w:pos="78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Directors Options.</w:t>
      </w:r>
    </w:p>
    <w:p>
      <w:pPr>
        <w:spacing w:after="0" w:line="222" w:lineRule="exact"/>
        <w:rPr>
          <w:rFonts w:ascii="Arial" w:cs="Arial" w:eastAsia="Arial" w:hAnsi="Arial"/>
          <w:sz w:val="18"/>
          <w:szCs w:val="18"/>
          <w:color w:val="auto"/>
        </w:rPr>
      </w:pPr>
    </w:p>
    <w:p>
      <w:pPr>
        <w:ind w:left="780" w:right="180" w:hanging="7"/>
        <w:spacing w:after="0" w:line="268" w:lineRule="auto"/>
        <w:tabs>
          <w:tab w:leader="none" w:pos="917" w:val="left"/>
        </w:tabs>
        <w:numPr>
          <w:ilvl w:val="2"/>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Annual Grant. </w:t>
      </w:r>
      <w:r>
        <w:rPr>
          <w:rFonts w:ascii="Arial" w:cs="Arial" w:eastAsia="Arial" w:hAnsi="Arial"/>
          <w:sz w:val="17"/>
          <w:szCs w:val="17"/>
          <w:color w:val="auto"/>
        </w:rPr>
        <w:t>Subject to the terms and conditions of this Section 3.b., on the first business day of each fiscal year, the Company shall grant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nonqualified option (“Directors Option”) to purchase 2,000 shares of Common Stock to each person who is then a Nonemployee Director. Directors Options shall be granted at an exercise price per share equal to the fair market value of one share of Common Stock on the date of grant, but not less than par value. Fair market value for this purpose shall be the 4 p.m. Eastern Time closing price of the Common Stock as reported by the New York Stock Exchange for the date of grant. No option may be repriced, once granted.</w:t>
      </w:r>
    </w:p>
    <w:p>
      <w:pPr>
        <w:spacing w:after="0" w:line="178" w:lineRule="exact"/>
        <w:rPr>
          <w:rFonts w:ascii="Arial" w:cs="Arial" w:eastAsia="Arial" w:hAnsi="Arial"/>
          <w:sz w:val="17"/>
          <w:szCs w:val="17"/>
          <w:color w:val="auto"/>
        </w:rPr>
      </w:pPr>
    </w:p>
    <w:p>
      <w:pPr>
        <w:ind w:left="960" w:hanging="187"/>
        <w:spacing w:after="0"/>
        <w:tabs>
          <w:tab w:leader="none" w:pos="960" w:val="left"/>
        </w:tabs>
        <w:numPr>
          <w:ilvl w:val="2"/>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Vesting, Transferability and Exercisability.</w:t>
      </w:r>
    </w:p>
    <w:p>
      <w:pPr>
        <w:spacing w:after="0" w:line="216" w:lineRule="exact"/>
        <w:rPr>
          <w:rFonts w:ascii="Arial" w:cs="Arial" w:eastAsia="Arial" w:hAnsi="Arial"/>
          <w:sz w:val="18"/>
          <w:szCs w:val="18"/>
          <w:color w:val="auto"/>
        </w:rPr>
      </w:pPr>
    </w:p>
    <w:p>
      <w:pPr>
        <w:jc w:val="both"/>
        <w:ind w:left="780" w:right="100" w:firstLine="213"/>
        <w:spacing w:after="0" w:line="364" w:lineRule="auto"/>
        <w:tabs>
          <w:tab w:leader="none" w:pos="1240" w:val="left"/>
        </w:tabs>
        <w:numPr>
          <w:ilvl w:val="3"/>
          <w:numId w:val="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Vesting. </w:t>
      </w:r>
      <w:r>
        <w:rPr>
          <w:rFonts w:ascii="Arial" w:cs="Arial" w:eastAsia="Arial" w:hAnsi="Arial"/>
          <w:sz w:val="15"/>
          <w:szCs w:val="15"/>
          <w:color w:val="auto"/>
        </w:rPr>
        <w:t>Except as provided in Sections 3.b.ii.(c)(1) and (2), Directors Options shall vest and become exercisable in three equal installments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of the first, second and third anniversaries following the date of grant, and shall remain exercisable for a term of ten years after the date of grant.</w:t>
      </w:r>
    </w:p>
    <w:p>
      <w:pPr>
        <w:spacing w:after="0" w:line="111" w:lineRule="exact"/>
        <w:rPr>
          <w:rFonts w:ascii="Arial" w:cs="Arial" w:eastAsia="Arial" w:hAnsi="Arial"/>
          <w:sz w:val="15"/>
          <w:szCs w:val="15"/>
          <w:color w:val="auto"/>
        </w:rPr>
      </w:pPr>
    </w:p>
    <w:p>
      <w:pPr>
        <w:ind w:left="780" w:right="700" w:firstLine="213"/>
        <w:spacing w:after="0" w:line="264" w:lineRule="auto"/>
        <w:tabs>
          <w:tab w:leader="none" w:pos="1250" w:val="left"/>
        </w:tabs>
        <w:numPr>
          <w:ilvl w:val="3"/>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Transfer. </w:t>
      </w:r>
      <w:r>
        <w:rPr>
          <w:rFonts w:ascii="Arial" w:cs="Arial" w:eastAsia="Arial" w:hAnsi="Arial"/>
          <w:sz w:val="18"/>
          <w:szCs w:val="18"/>
          <w:color w:val="auto"/>
        </w:rPr>
        <w:t>No Directors Option shall be assigned or transferred, except by will or the laws of descent and distribution. An option 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may be exercised after the death of the individual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388620</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7" w:name="page68"/>
    <w:bookmarkEnd w:id="67"/>
    <w:p>
      <w:pPr>
        <w:ind w:left="443" w:right="80"/>
        <w:spacing w:after="0" w:line="264" w:lineRule="auto"/>
        <w:rPr>
          <w:sz w:val="20"/>
          <w:szCs w:val="20"/>
          <w:color w:val="auto"/>
        </w:rPr>
      </w:pPr>
      <w:r>
        <w:rPr>
          <w:rFonts w:ascii="Arial" w:cs="Arial" w:eastAsia="Arial" w:hAnsi="Arial"/>
          <w:sz w:val="18"/>
          <w:szCs w:val="18"/>
          <w:color w:val="auto"/>
        </w:rPr>
        <w:t>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80" w:lineRule="exact"/>
        <w:rPr>
          <w:sz w:val="20"/>
          <w:szCs w:val="20"/>
          <w:color w:val="auto"/>
        </w:rPr>
      </w:pPr>
    </w:p>
    <w:p>
      <w:pPr>
        <w:ind w:left="443" w:right="60" w:firstLine="213"/>
        <w:spacing w:after="0" w:line="254" w:lineRule="auto"/>
        <w:tabs>
          <w:tab w:leader="none" w:pos="904"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w:t>
      </w:r>
      <w:r>
        <w:rPr>
          <w:rFonts w:ascii="Arial" w:cs="Arial" w:eastAsia="Arial" w:hAnsi="Arial"/>
          <w:sz w:val="18"/>
          <w:szCs w:val="18"/>
          <w:color w:val="auto"/>
        </w:rPr>
        <w:t>During the lifetime of a Nonemployee Director, Directors Options held by such individual may be exercised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Nonemployee Director and only while serving as a member of the Board of Directors of the Company and only if the Nonemployee Director has been continuously so serving since the date such options were granted, except as follows:</w:t>
      </w:r>
    </w:p>
    <w:p>
      <w:pPr>
        <w:spacing w:after="0" w:line="189" w:lineRule="exact"/>
        <w:rPr>
          <w:rFonts w:ascii="Arial" w:cs="Arial" w:eastAsia="Arial" w:hAnsi="Arial"/>
          <w:sz w:val="18"/>
          <w:szCs w:val="18"/>
          <w:color w:val="auto"/>
        </w:rPr>
      </w:pPr>
    </w:p>
    <w:p>
      <w:pPr>
        <w:ind w:left="443" w:right="60" w:firstLine="434"/>
        <w:spacing w:after="0" w:line="251" w:lineRule="auto"/>
        <w:tabs>
          <w:tab w:leader="none" w:pos="1134"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Disability or Death. </w:t>
      </w:r>
      <w:r>
        <w:rPr>
          <w:rFonts w:ascii="Arial" w:cs="Arial" w:eastAsia="Arial" w:hAnsi="Arial"/>
          <w:sz w:val="18"/>
          <w:szCs w:val="18"/>
          <w:color w:val="auto"/>
        </w:rPr>
        <w:t>In the event of disability or death of a Nonemployee Director, all outstanding unvested options shall vest effective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death or termination of service by reason of disability, and all such vested options may be exercised by such individual or his or her legal representatives not later than the earlier of the date the option expires or one year after the date such service as a Nonemployee Director ceases by reason of disability or death.</w:t>
      </w:r>
    </w:p>
    <w:p>
      <w:pPr>
        <w:spacing w:after="0" w:line="192" w:lineRule="exact"/>
        <w:rPr>
          <w:rFonts w:ascii="Arial" w:cs="Arial" w:eastAsia="Arial" w:hAnsi="Arial"/>
          <w:sz w:val="18"/>
          <w:szCs w:val="18"/>
          <w:color w:val="auto"/>
        </w:rPr>
      </w:pPr>
    </w:p>
    <w:p>
      <w:pPr>
        <w:ind w:left="443" w:right="40" w:firstLine="434"/>
        <w:spacing w:after="0" w:line="266" w:lineRule="auto"/>
        <w:tabs>
          <w:tab w:leader="none" w:pos="1134" w:val="left"/>
        </w:tabs>
        <w:numPr>
          <w:ilvl w:val="1"/>
          <w:numId w:val="3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Termination. </w:t>
      </w:r>
      <w:r>
        <w:rPr>
          <w:rFonts w:ascii="Arial" w:cs="Arial" w:eastAsia="Arial" w:hAnsi="Arial"/>
          <w:sz w:val="17"/>
          <w:szCs w:val="17"/>
          <w:color w:val="auto"/>
        </w:rPr>
        <w:t>If a Nonemployee Director has served as a member of the Board of Directors for ten full fiscal years or longer and terminates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on the Board, (A) outstanding unvested options shall remain outstanding and continue to vest in accordance with their terms, and (B) the Nonemployee Director may exercise all such vested outstanding options for up to four years after the date of termination, but not later than the date an option expires. If a Nonemployee Director has served as a member of the Board of Directors for less than ten years and terminates service on the Board, (C) all unvested options shall expire and be canceled and (D) the Nonemployee Director may exercise any vested outstanding options for up to three months after the date of termination, but not later than the date an option expires.</w:t>
      </w:r>
    </w:p>
    <w:p>
      <w:pPr>
        <w:spacing w:after="0" w:line="181" w:lineRule="exact"/>
        <w:rPr>
          <w:rFonts w:ascii="Arial" w:cs="Arial" w:eastAsia="Arial" w:hAnsi="Arial"/>
          <w:sz w:val="17"/>
          <w:szCs w:val="17"/>
          <w:color w:val="auto"/>
        </w:rPr>
      </w:pPr>
    </w:p>
    <w:p>
      <w:pPr>
        <w:ind w:left="443" w:firstLine="213"/>
        <w:spacing w:after="0" w:line="303" w:lineRule="auto"/>
        <w:tabs>
          <w:tab w:leader="none" w:pos="914"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Methods of Exercise and Payment of Exercise Price. </w:t>
      </w:r>
      <w:r>
        <w:rPr>
          <w:rFonts w:ascii="Arial" w:cs="Arial" w:eastAsia="Arial" w:hAnsi="Arial"/>
          <w:sz w:val="15"/>
          <w:szCs w:val="15"/>
          <w:color w:val="auto"/>
        </w:rPr>
        <w:t>Subject to the terms and conditions of the Plan and the terms and conditions of the option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a vested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(1) in cash, (2)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(3) in a combination of cash and Common Stock or (4)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368" w:lineRule="exact"/>
        <w:rPr>
          <w:sz w:val="20"/>
          <w:szCs w:val="20"/>
          <w:color w:val="auto"/>
        </w:rPr>
      </w:pPr>
    </w:p>
    <w:p>
      <w:pPr>
        <w:ind w:left="663"/>
        <w:spacing w:after="0"/>
        <w:rPr>
          <w:sz w:val="20"/>
          <w:szCs w:val="20"/>
          <w:color w:val="auto"/>
        </w:rPr>
      </w:pPr>
      <w:r>
        <w:rPr>
          <w:rFonts w:ascii="Arial" w:cs="Arial" w:eastAsia="Arial" w:hAnsi="Arial"/>
          <w:sz w:val="18"/>
          <w:szCs w:val="18"/>
          <w:color w:val="auto"/>
        </w:rPr>
        <w:t>No shares of Common Stock shall be issued until full payment has been made.</w:t>
      </w:r>
    </w:p>
    <w:p>
      <w:pPr>
        <w:spacing w:after="0" w:line="210" w:lineRule="exact"/>
        <w:rPr>
          <w:sz w:val="20"/>
          <w:szCs w:val="20"/>
          <w:color w:val="auto"/>
        </w:rPr>
      </w:pPr>
    </w:p>
    <w:p>
      <w:pPr>
        <w:ind w:left="443" w:right="20" w:hanging="443"/>
        <w:spacing w:after="0" w:line="271" w:lineRule="auto"/>
        <w:tabs>
          <w:tab w:leader="none" w:pos="44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Share Proration. </w:t>
      </w:r>
      <w:r>
        <w:rPr>
          <w:rFonts w:ascii="Arial" w:cs="Arial" w:eastAsia="Arial" w:hAnsi="Arial"/>
          <w:sz w:val="18"/>
          <w:szCs w:val="18"/>
          <w:color w:val="auto"/>
        </w:rPr>
        <w:t>If, on any date on which Directors Shares are to be issued pursuant to Section 3.a. or Directors Options are to be granted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3.b., the number of shares of</w:t>
      </w:r>
    </w:p>
    <w:p>
      <w:pPr>
        <w:spacing w:after="0" w:line="174" w:lineRule="exact"/>
        <w:rPr>
          <w:sz w:val="20"/>
          <w:szCs w:val="20"/>
          <w:color w:val="auto"/>
        </w:rPr>
      </w:pPr>
    </w:p>
    <w:p>
      <w:pPr>
        <w:jc w:val="center"/>
        <w:ind w:right="317"/>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142875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83"/>
          </w:cols>
          <w:pgMar w:left="577" w:top="921" w:right="239" w:bottom="1440" w:gutter="0" w:footer="0" w:header="0"/>
        </w:sectPr>
      </w:pPr>
    </w:p>
    <w:bookmarkStart w:id="68" w:name="page69"/>
    <w:bookmarkEnd w:id="68"/>
    <w:p>
      <w:pPr>
        <w:ind w:left="740"/>
        <w:spacing w:after="0" w:line="266" w:lineRule="auto"/>
        <w:rPr>
          <w:sz w:val="20"/>
          <w:szCs w:val="20"/>
          <w:color w:val="auto"/>
        </w:rPr>
      </w:pPr>
      <w:r>
        <w:rPr>
          <w:rFonts w:ascii="Arial" w:cs="Arial" w:eastAsia="Arial" w:hAnsi="Arial"/>
          <w:sz w:val="17"/>
          <w:szCs w:val="17"/>
          <w:color w:val="auto"/>
        </w:rPr>
        <w:t>Common Stock is insufficient for the issuance of the entire number of shares to be issued or for the grant of the entire number of options, as calculated in accordance with Section 3.a. or Section 3.b., respectively, then the number of shares to be issued and options to be granted to each Nonemployee Director entitled to receive Directors Shares or Directors Options on such date shall be such Nonemployee Director’s proportionate share of the available number of shares and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6" w:lineRule="exact"/>
        <w:rPr>
          <w:sz w:val="20"/>
          <w:szCs w:val="20"/>
          <w:color w:val="auto"/>
        </w:rPr>
      </w:pPr>
    </w:p>
    <w:p>
      <w:pPr>
        <w:ind w:left="-40" w:right="60" w:firstLine="226"/>
        <w:spacing w:after="0" w:line="250" w:lineRule="auto"/>
        <w:tabs>
          <w:tab w:leader="none" w:pos="357"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Shares in Lieu of Fees. </w:t>
      </w:r>
      <w:r>
        <w:rPr>
          <w:rFonts w:ascii="Arial" w:cs="Arial" w:eastAsia="Arial" w:hAnsi="Arial"/>
          <w:sz w:val="18"/>
          <w:szCs w:val="18"/>
          <w:color w:val="auto"/>
        </w:rPr>
        <w:t>A Nonemployee Director shall have the right to elect to receive shares of Common Stock in lieu of annual retainer and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fees otherwise payable in cash. The election to receive Common Stock shall be made prior to the date fees are otherwise scheduled to be paid but not later than May 31 of the calendar year for which the fees are to be paid. Fees that are earned after the date a director makes an election shall be reserved through the rest of the calendar year and shares shall be issued in December of that year. The number of shares to be issued shall be determined by dividing the dollar amount of reserved fees by the 4 p.m. Eastern Time closing price of one share of Common Stock as reported by the New York Stock Exchange for the date that the shares are issued.</w:t>
      </w:r>
    </w:p>
    <w:p>
      <w:pPr>
        <w:spacing w:after="0" w:line="161" w:lineRule="exact"/>
        <w:rPr>
          <w:rFonts w:ascii="Arial" w:cs="Arial" w:eastAsia="Arial" w:hAnsi="Arial"/>
          <w:sz w:val="18"/>
          <w:szCs w:val="18"/>
          <w:color w:val="auto"/>
        </w:rPr>
      </w:pPr>
    </w:p>
    <w:p>
      <w:pPr>
        <w:ind w:left="-40" w:right="20" w:firstLine="226"/>
        <w:spacing w:after="0" w:line="300" w:lineRule="auto"/>
        <w:tabs>
          <w:tab w:leader="none" w:pos="357"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 xml:space="preserve">Stock Subject to Plan. </w:t>
      </w:r>
      <w:r>
        <w:rPr>
          <w:rFonts w:ascii="Arial" w:cs="Arial" w:eastAsia="Arial" w:hAnsi="Arial"/>
          <w:sz w:val="15"/>
          <w:szCs w:val="15"/>
          <w:color w:val="auto"/>
        </w:rPr>
        <w:t>Subject to adjustment as provided in this paragraph and subject to increase by amendment of the Plan, the total number of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reserved and available for issuance in connection with the Plan shall be 240,000 shares. If any Directors Option granted hereunder expires unexercised, terminates, is exchanged for other options without the issuance of shares of Common Stock or is exercised by delivery or constructive delivery of shares of Common Stock already owned by the option holder, the shares of Common Stock reserved for issuance pursuant to such option shall, to the extent of any such termination or to the extent the shares covered by an option are not issued or used, again be available for option grants under the Plan, unless prohibited by applicable law or regulation.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 (d) any other adjustments that the Committee determines to be equitable.</w:t>
      </w:r>
    </w:p>
    <w:p>
      <w:pPr>
        <w:spacing w:after="0" w:line="332" w:lineRule="exact"/>
        <w:rPr>
          <w:rFonts w:ascii="Arial" w:cs="Arial" w:eastAsia="Arial" w:hAnsi="Arial"/>
          <w:sz w:val="15"/>
          <w:szCs w:val="15"/>
          <w:color w:val="auto"/>
        </w:rPr>
      </w:pPr>
    </w:p>
    <w:p>
      <w:pPr>
        <w:jc w:val="both"/>
        <w:ind w:left="-40" w:firstLine="226"/>
        <w:spacing w:after="0" w:line="258" w:lineRule="auto"/>
        <w:tabs>
          <w:tab w:leader="none" w:pos="357"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In the event of a Change of Control of the Company as hereinafter defined, all Directors Options shall fully vest, and be exercisable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entirety immediately, and notwithstanding any other provisions of the Plan, shall continue to be exercisable for three years following the Change of Control, but not later than ten years after the date of grant.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80" w:top="921"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Change of Control means:</w:t>
      </w:r>
    </w:p>
    <w:p>
      <w:pPr>
        <w:spacing w:after="0" w:line="216" w:lineRule="exact"/>
        <w:rPr>
          <w:sz w:val="20"/>
          <w:szCs w:val="20"/>
          <w:color w:val="auto"/>
        </w:rPr>
      </w:pPr>
    </w:p>
    <w:p>
      <w:pPr>
        <w:ind w:left="560" w:right="20" w:hanging="443"/>
        <w:spacing w:after="0" w:line="264" w:lineRule="auto"/>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184" w:lineRule="exact"/>
        <w:rPr>
          <w:rFonts w:ascii="Arial" w:cs="Arial" w:eastAsia="Arial" w:hAnsi="Arial"/>
          <w:sz w:val="17"/>
          <w:szCs w:val="17"/>
          <w:color w:val="auto"/>
        </w:rPr>
      </w:pPr>
    </w:p>
    <w:p>
      <w:pPr>
        <w:ind w:left="560" w:hanging="443"/>
        <w:spacing w:after="0" w:line="308" w:lineRule="auto"/>
        <w:tabs>
          <w:tab w:leader="none" w:pos="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3" w:lineRule="exact"/>
        <w:rPr>
          <w:rFonts w:ascii="Arial" w:cs="Arial" w:eastAsia="Arial" w:hAnsi="Arial"/>
          <w:sz w:val="15"/>
          <w:szCs w:val="15"/>
          <w:color w:val="auto"/>
        </w:rPr>
      </w:pPr>
    </w:p>
    <w:p>
      <w:pPr>
        <w:ind w:left="560" w:right="60" w:hanging="443"/>
        <w:spacing w:after="0" w:line="300" w:lineRule="auto"/>
        <w:tabs>
          <w:tab w:leader="none" w:pos="5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w:t>
      </w:r>
    </w:p>
    <w:p>
      <w:pPr>
        <w:spacing w:after="0" w:line="37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142875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460" w:top="921" w:right="279" w:bottom="1440" w:gutter="0" w:footer="0" w:header="0"/>
        </w:sectPr>
      </w:pPr>
    </w:p>
    <w:bookmarkStart w:id="70" w:name="page71"/>
    <w:bookmarkEnd w:id="70"/>
    <w:p>
      <w:pPr>
        <w:ind w:left="740"/>
        <w:spacing w:after="0" w:line="264" w:lineRule="auto"/>
        <w:rPr>
          <w:sz w:val="20"/>
          <w:szCs w:val="20"/>
          <w:color w:val="auto"/>
        </w:rPr>
      </w:pPr>
      <w:r>
        <w:rPr>
          <w:rFonts w:ascii="Arial" w:cs="Arial" w:eastAsia="Arial" w:hAnsi="Arial"/>
          <w:sz w:val="18"/>
          <w:szCs w:val="18"/>
          <w:color w:val="auto"/>
        </w:rPr>
        <w:t>resulting from such Business Combination were members of the Incumbent Board at the time of the execution of the initial agreement, or of the action of the Board, providing for such Business Combination; or</w:t>
      </w:r>
    </w:p>
    <w:p>
      <w:pPr>
        <w:spacing w:after="0" w:line="180" w:lineRule="exact"/>
        <w:rPr>
          <w:sz w:val="20"/>
          <w:szCs w:val="20"/>
          <w:color w:val="auto"/>
        </w:rPr>
      </w:pPr>
    </w:p>
    <w:p>
      <w:pPr>
        <w:ind w:left="740" w:hanging="443"/>
        <w:spacing w:after="0"/>
        <w:tabs>
          <w:tab w:leader="none" w:pos="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10" w:lineRule="exact"/>
        <w:rPr>
          <w:rFonts w:ascii="Arial" w:cs="Arial" w:eastAsia="Arial" w:hAnsi="Arial"/>
          <w:sz w:val="18"/>
          <w:szCs w:val="18"/>
          <w:color w:val="auto"/>
        </w:rPr>
      </w:pPr>
    </w:p>
    <w:p>
      <w:pPr>
        <w:ind w:left="-40" w:right="60" w:firstLine="226"/>
        <w:spacing w:after="0" w:line="320" w:lineRule="auto"/>
        <w:tabs>
          <w:tab w:leader="none" w:pos="357"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 xml:space="preserve">Administration of the Plan. </w:t>
      </w:r>
      <w:r>
        <w:rPr>
          <w:rFonts w:ascii="Arial" w:cs="Arial" w:eastAsia="Arial" w:hAnsi="Arial"/>
          <w:sz w:val="15"/>
          <w:szCs w:val="15"/>
          <w:color w:val="auto"/>
        </w:rPr>
        <w:t>The Plan shall be administered by a committee composed of those members of the Board of Directors of the Company who</w:t>
      </w:r>
      <w:r>
        <w:rPr>
          <w:rFonts w:ascii="Arial" w:cs="Arial" w:eastAsia="Arial" w:hAnsi="Arial"/>
          <w:sz w:val="15"/>
          <w:szCs w:val="15"/>
          <w:b w:val="1"/>
          <w:bCs w:val="1"/>
          <w:color w:val="auto"/>
        </w:rPr>
        <w:t xml:space="preserve"> </w:t>
      </w:r>
      <w:r>
        <w:rPr>
          <w:rFonts w:ascii="Arial" w:cs="Arial" w:eastAsia="Arial" w:hAnsi="Arial"/>
          <w:sz w:val="15"/>
          <w:szCs w:val="15"/>
          <w:color w:val="auto"/>
        </w:rPr>
        <w:t>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Section 3.b. Section 4 or Section 5.</w:t>
      </w:r>
    </w:p>
    <w:p>
      <w:pPr>
        <w:spacing w:after="0" w:line="111" w:lineRule="exact"/>
        <w:rPr>
          <w:rFonts w:ascii="Arial" w:cs="Arial" w:eastAsia="Arial" w:hAnsi="Arial"/>
          <w:sz w:val="15"/>
          <w:szCs w:val="15"/>
          <w:color w:val="auto"/>
        </w:rPr>
      </w:pPr>
    </w:p>
    <w:p>
      <w:pPr>
        <w:ind w:left="-40" w:right="120" w:firstLine="226"/>
        <w:spacing w:after="0" w:line="250" w:lineRule="auto"/>
        <w:tabs>
          <w:tab w:leader="none" w:pos="35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shall have the right to deduct from any settlement made under the Plan, including the exercise of an option 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48" w:lineRule="exact"/>
        <w:rPr>
          <w:rFonts w:ascii="Arial" w:cs="Arial" w:eastAsia="Arial" w:hAnsi="Arial"/>
          <w:sz w:val="18"/>
          <w:szCs w:val="18"/>
          <w:color w:val="auto"/>
        </w:rPr>
      </w:pPr>
    </w:p>
    <w:p>
      <w:pPr>
        <w:ind w:left="-40" w:right="320" w:firstLine="226"/>
        <w:spacing w:after="0" w:line="271" w:lineRule="auto"/>
        <w:tabs>
          <w:tab w:leader="none" w:pos="35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and Term of Plan. </w:t>
      </w:r>
      <w:r>
        <w:rPr>
          <w:rFonts w:ascii="Arial" w:cs="Arial" w:eastAsia="Arial" w:hAnsi="Arial"/>
          <w:sz w:val="18"/>
          <w:szCs w:val="18"/>
          <w:color w:val="auto"/>
        </w:rPr>
        <w:t>The Plan first became effective March 14, 2001 and shall terminate on March 12, 2011, unless terminated earlier by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of the Board of Directors.</w:t>
      </w:r>
    </w:p>
    <w:p>
      <w:pPr>
        <w:spacing w:after="0" w:line="127" w:lineRule="exact"/>
        <w:rPr>
          <w:rFonts w:ascii="Arial" w:cs="Arial" w:eastAsia="Arial" w:hAnsi="Arial"/>
          <w:sz w:val="18"/>
          <w:szCs w:val="18"/>
          <w:color w:val="auto"/>
        </w:rPr>
      </w:pPr>
    </w:p>
    <w:p>
      <w:pPr>
        <w:ind w:left="-40" w:right="60" w:firstLine="226"/>
        <w:spacing w:after="0" w:line="253" w:lineRule="auto"/>
        <w:tabs>
          <w:tab w:leader="none" w:pos="445"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Board may amend, suspend or terminate the Plan at any time, with or without advance notice to Plan participants. The effective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to the Plan shall be the date of its adoption by the Board of Directors, subject to stockholder approval, if required. No amendment of the Plan shall adversely affect in a material manner any right of any option holder with respect to any option theretofore granted without such option holder’s written consent.</w:t>
      </w:r>
    </w:p>
    <w:p>
      <w:pPr>
        <w:spacing w:after="0" w:line="159" w:lineRule="exact"/>
        <w:rPr>
          <w:rFonts w:ascii="Arial" w:cs="Arial" w:eastAsia="Arial" w:hAnsi="Arial"/>
          <w:sz w:val="18"/>
          <w:szCs w:val="18"/>
          <w:color w:val="auto"/>
        </w:rPr>
      </w:pPr>
    </w:p>
    <w:p>
      <w:pPr>
        <w:ind w:left="-40" w:right="20" w:firstLine="226"/>
        <w:spacing w:after="0" w:line="280" w:lineRule="auto"/>
        <w:tabs>
          <w:tab w:leader="none" w:pos="438"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Plan, Directors Shares, Directors Options and agreements entered into under the Plan shall be construed, administered and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921"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4"/>
              <w:spacing w:after="0"/>
              <w:rPr>
                <w:sz w:val="20"/>
                <w:szCs w:val="20"/>
                <w:color w:val="auto"/>
              </w:rPr>
            </w:pPr>
            <w:r>
              <w:rPr>
                <w:rFonts w:ascii="Arial" w:cs="Arial" w:eastAsia="Arial" w:hAnsi="Arial"/>
                <w:sz w:val="14"/>
                <w:szCs w:val="14"/>
                <w:b w:val="1"/>
                <w:bCs w:val="1"/>
                <w:color w:val="auto"/>
              </w:rPr>
              <w:t>10/31/2004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10/31/2003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10/31/2002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rPr>
              <w:t>10/31/2001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10/31/2000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0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5080" w:type="dxa"/>
            <w:vAlign w:val="bottom"/>
            <w:shd w:val="clear" w:color="auto" w:fill="EEEEEE"/>
          </w:tcPr>
          <w:p>
            <w:pPr>
              <w:spacing w:after="0" w:line="194" w:lineRule="exact"/>
              <w:rPr>
                <w:sz w:val="20"/>
                <w:szCs w:val="20"/>
                <w:color w:val="auto"/>
              </w:rPr>
            </w:pPr>
            <w:r>
              <w:rPr>
                <w:rFonts w:ascii="Arial" w:cs="Arial" w:eastAsia="Arial" w:hAnsi="Arial"/>
                <w:sz w:val="18"/>
                <w:szCs w:val="18"/>
                <w:b w:val="1"/>
                <w:bCs w:val="1"/>
                <w:color w:val="auto"/>
                <w:w w:val="94"/>
              </w:rPr>
              <w:t>Earnings before income taxes and cumulative effect of change</w:t>
            </w:r>
          </w:p>
        </w:tc>
        <w:tc>
          <w:tcPr>
            <w:tcW w:w="10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in accounting principle</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153,233,000</w:t>
            </w:r>
          </w:p>
        </w:tc>
        <w:tc>
          <w:tcPr>
            <w:tcW w:w="1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5"/>
              </w:rPr>
              <w:t>120,918,000</w:t>
            </w:r>
          </w:p>
        </w:tc>
        <w:tc>
          <w:tcPr>
            <w:tcW w:w="10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86,799,000</w:t>
            </w:r>
          </w:p>
        </w:tc>
        <w:tc>
          <w:tcPr>
            <w:tcW w:w="100" w:type="dxa"/>
            <w:vAlign w:val="bottom"/>
            <w:shd w:val="clear" w:color="auto" w:fill="EEEEEE"/>
          </w:tcPr>
          <w:p>
            <w:pPr>
              <w:spacing w:after="0"/>
              <w:rPr>
                <w:sz w:val="20"/>
                <w:szCs w:val="20"/>
                <w:color w:val="auto"/>
              </w:rPr>
            </w:pP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80,077,000</w:t>
            </w:r>
          </w:p>
        </w:tc>
        <w:tc>
          <w:tcPr>
            <w:tcW w:w="100" w:type="dxa"/>
            <w:vAlign w:val="bottom"/>
            <w:shd w:val="clear" w:color="auto" w:fill="EEEEEE"/>
          </w:tcPr>
          <w:p>
            <w:pPr>
              <w:spacing w:after="0"/>
              <w:rPr>
                <w:sz w:val="20"/>
                <w:szCs w:val="20"/>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5"/>
              </w:rPr>
              <w:t>71,882,000</w:t>
            </w:r>
          </w:p>
        </w:tc>
        <w:tc>
          <w:tcPr>
            <w:tcW w:w="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Plus: Fixed charges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22,004,000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22,251,000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25,324,000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27,313,000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31,103,000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available to cover fixed charges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175,237,000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5"/>
              </w:rPr>
              <w:t>143,169,000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112,123,000</w:t>
            </w:r>
          </w:p>
        </w:tc>
        <w:tc>
          <w:tcPr>
            <w:tcW w:w="10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107,390,000</w:t>
            </w:r>
          </w:p>
        </w:tc>
        <w:tc>
          <w:tcPr>
            <w:tcW w:w="1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102,985,000</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5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15,523,000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5"/>
              </w:rPr>
              <w:t>16,285,000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19,747,000</w:t>
            </w:r>
          </w:p>
        </w:tc>
        <w:tc>
          <w:tcPr>
            <w:tcW w:w="10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22,003,000</w:t>
            </w:r>
          </w:p>
        </w:tc>
        <w:tc>
          <w:tcPr>
            <w:tcW w:w="1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5"/>
              </w:rPr>
              <w:t>26,414,000</w:t>
            </w: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Rentals (interest expense)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6,481,000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5,966,000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5,577,000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5,310,000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4,689,000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5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22,004,000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5"/>
              </w:rPr>
              <w:t>22,251,000</w:t>
            </w:r>
          </w:p>
        </w:tc>
        <w:tc>
          <w:tcPr>
            <w:tcW w:w="10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25,324,000</w:t>
            </w:r>
          </w:p>
        </w:tc>
        <w:tc>
          <w:tcPr>
            <w:tcW w:w="100" w:type="dxa"/>
            <w:vAlign w:val="bottom"/>
            <w:shd w:val="clear" w:color="auto" w:fill="EEEEEE"/>
          </w:tcPr>
          <w:p>
            <w:pPr>
              <w:spacing w:after="0"/>
              <w:rPr>
                <w:sz w:val="18"/>
                <w:szCs w:val="18"/>
                <w:color w:val="auto"/>
              </w:rPr>
            </w:pPr>
          </w:p>
        </w:tc>
        <w:tc>
          <w:tcPr>
            <w:tcW w:w="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27,313,000</w:t>
            </w:r>
          </w:p>
        </w:tc>
        <w:tc>
          <w:tcPr>
            <w:tcW w:w="1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5"/>
              </w:rPr>
              <w:t>31,103,000</w:t>
            </w:r>
          </w:p>
        </w:tc>
        <w:tc>
          <w:tcPr>
            <w:tcW w:w="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-717550</wp:posOffset>
            </wp:positionV>
            <wp:extent cx="127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-717550</wp:posOffset>
            </wp:positionV>
            <wp:extent cx="127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-717550</wp:posOffset>
            </wp:positionV>
            <wp:extent cx="1270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-717550</wp:posOffset>
            </wp:positionV>
            <wp:extent cx="127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-717550</wp:posOffset>
            </wp:positionV>
            <wp:extent cx="127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-717550</wp:posOffset>
            </wp:positionV>
            <wp:extent cx="127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-717550</wp:posOffset>
            </wp:positionV>
            <wp:extent cx="127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-717550</wp:posOffset>
            </wp:positionV>
            <wp:extent cx="127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-717550</wp:posOffset>
            </wp:positionV>
            <wp:extent cx="127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6654800</wp:posOffset>
            </wp:positionH>
            <wp:positionV relativeFrom="paragraph">
              <wp:posOffset>-717550</wp:posOffset>
            </wp:positionV>
            <wp:extent cx="127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-37465</wp:posOffset>
            </wp:positionV>
            <wp:extent cx="127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-37465</wp:posOffset>
            </wp:positionV>
            <wp:extent cx="127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4730750</wp:posOffset>
            </wp:positionH>
            <wp:positionV relativeFrom="paragraph">
              <wp:posOffset>-37465</wp:posOffset>
            </wp:positionV>
            <wp:extent cx="127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-37465</wp:posOffset>
            </wp:positionV>
            <wp:extent cx="127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-37465</wp:posOffset>
            </wp:positionV>
            <wp:extent cx="127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-37465</wp:posOffset>
            </wp:positionV>
            <wp:extent cx="127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-37465</wp:posOffset>
            </wp:positionV>
            <wp:extent cx="127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-37465</wp:posOffset>
            </wp:positionV>
            <wp:extent cx="127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7209155</wp:posOffset>
            </wp:positionH>
            <wp:positionV relativeFrom="paragraph">
              <wp:posOffset>-37465</wp:posOffset>
            </wp:positionV>
            <wp:extent cx="127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6654800</wp:posOffset>
            </wp:positionH>
            <wp:positionV relativeFrom="paragraph">
              <wp:posOffset>-37465</wp:posOffset>
            </wp:positionV>
            <wp:extent cx="127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subsidiaries of The Toro Company as of December 17, 2004.</w:t>
      </w:r>
    </w:p>
    <w:p>
      <w:pPr>
        <w:spacing w:after="0" w:line="363"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3"/>
          </w:tcPr>
          <w:p>
            <w:pPr>
              <w:jc w:val="center"/>
              <w:ind w:left="9"/>
              <w:spacing w:after="0"/>
              <w:rPr>
                <w:sz w:val="20"/>
                <w:szCs w:val="20"/>
                <w:color w:val="auto"/>
              </w:rPr>
            </w:pPr>
            <w:r>
              <w:rPr>
                <w:rFonts w:ascii="Arial" w:cs="Arial" w:eastAsia="Arial" w:hAnsi="Arial"/>
                <w:sz w:val="14"/>
                <w:szCs w:val="14"/>
                <w:b w:val="1"/>
                <w:bCs w:val="1"/>
                <w:color w:val="auto"/>
                <w:w w:val="92"/>
              </w:rPr>
              <w:t>State or Other Jurisdiction</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Voting</w:t>
            </w:r>
          </w:p>
        </w:tc>
        <w:tc>
          <w:tcPr>
            <w:tcW w:w="0" w:type="dxa"/>
            <w:vAlign w:val="bottom"/>
          </w:tcPr>
          <w:p>
            <w:pPr>
              <w:spacing w:after="0"/>
              <w:rPr>
                <w:sz w:val="1"/>
                <w:szCs w:val="1"/>
                <w:color w:val="auto"/>
              </w:rPr>
            </w:pPr>
          </w:p>
        </w:tc>
      </w:tr>
      <w:tr>
        <w:trPr>
          <w:trHeight w:val="184"/>
        </w:trPr>
        <w:tc>
          <w:tcPr>
            <w:tcW w:w="4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of Incorporation</w:t>
            </w:r>
          </w:p>
        </w:tc>
        <w:tc>
          <w:tcPr>
            <w:tcW w:w="100" w:type="dxa"/>
            <w:vAlign w:val="bottom"/>
          </w:tcPr>
          <w:p>
            <w:pPr>
              <w:spacing w:after="0"/>
              <w:rPr>
                <w:sz w:val="15"/>
                <w:szCs w:val="15"/>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Securities Owned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8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4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Electronic Industrial Controls, Inc.</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Colorado</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Exmark Manufacturing Company Incorporated</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Nebraska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Irritrol Systems Europe, S.r.L.</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Italy</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MTI Distributing, Inc.</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Red Iron Insurance, Limited</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Bermuda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Simpson Norton Corporation</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Australia Pty. Limited</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Australia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Australia Group Sales Pty. Ltd</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Australia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Briggs &amp; Stratton LLC</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Wisconsin</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Credit Company</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Europe BVBA</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Belgium</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Factoring Company Limited</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Guernsey</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Finance Company</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California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Foreign Sales Corporation</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Barbados</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LLC</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Delaware</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Mexico Holdings, LLC</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International Company</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Manufacturing LLC</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Delaware</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Purchasing Company</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R&amp;D Company</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Receivables Company</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Toro Sales Company</w:t>
            </w:r>
          </w:p>
        </w:tc>
        <w:tc>
          <w:tcPr>
            <w:tcW w:w="18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Toro Warranty Company</w:t>
            </w:r>
          </w:p>
        </w:tc>
        <w:tc>
          <w:tcPr>
            <w:tcW w:w="18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shd w:val="clear" w:color="auto" w:fill="EEEEEE"/>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Turf Professionals Equipment Company</w:t>
            </w: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Minnesota</w:t>
            </w:r>
          </w:p>
        </w:tc>
        <w:tc>
          <w:tcPr>
            <w:tcW w:w="1320" w:type="dxa"/>
            <w:vAlign w:val="bottom"/>
            <w:gridSpan w:val="2"/>
          </w:tcPr>
          <w:p>
            <w:pPr>
              <w:jc w:val="right"/>
              <w:ind w:right="189"/>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6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consent to incorporation by reference in the Registration Statements (Nos. 333-03505, 33-03509, 333-44879, 333-36166, 333-47260, 333-57198, 333-89262, 333-89260, 333-119504, and 333-119506) on Form S-8 of The Toro Company of our report dated December 6, 2004, relating to the consolidated balance sheets of The Toro Company and subsidiaries as of October 31, 2004 and 2003, and the related consolidated statements of earnings, cash flows, and changes in stockholders’ equity and related financial statement schedule for each of the years in the three year period ended October 31, 2004, which report is included in the annual report on Form 10-K of The Toro Company.</w:t>
      </w:r>
    </w:p>
    <w:p>
      <w:pPr>
        <w:spacing w:after="0" w:line="165" w:lineRule="exact"/>
        <w:rPr>
          <w:sz w:val="20"/>
          <w:szCs w:val="20"/>
          <w:color w:val="auto"/>
        </w:rPr>
      </w:pPr>
    </w:p>
    <w:p>
      <w:pPr>
        <w:ind w:right="40" w:firstLine="211"/>
        <w:spacing w:after="0" w:line="264" w:lineRule="auto"/>
        <w:rPr>
          <w:sz w:val="20"/>
          <w:szCs w:val="20"/>
          <w:color w:val="auto"/>
        </w:rPr>
      </w:pPr>
      <w:r>
        <w:rPr>
          <w:rFonts w:ascii="Arial" w:cs="Arial" w:eastAsia="Arial" w:hAnsi="Arial"/>
          <w:sz w:val="18"/>
          <w:szCs w:val="18"/>
          <w:color w:val="auto"/>
        </w:rPr>
        <w:t>As discussed in Note 1 to the consolidated financial statements, the company adopted the provisions of Statement of Financial Accounting Standards No. 142, “Goodwill and Other Intangible Assets,” on November 1, 2001.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2004</w:t>
      </w:r>
    </w:p>
    <w:p>
      <w:pPr>
        <w:sectPr>
          <w:pgSz w:w="11900" w:h="16838" w:orient="portrait"/>
          <w:cols w:equalWidth="0" w:num="1">
            <w:col w:w="11420"/>
          </w:cols>
          <w:pgMar w:left="240" w:top="91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Kendrick B. Melrose, certify that:</w:t>
      </w:r>
    </w:p>
    <w:p>
      <w:pPr>
        <w:spacing w:after="0" w:line="177" w:lineRule="exact"/>
        <w:rPr>
          <w:sz w:val="20"/>
          <w:szCs w:val="20"/>
          <w:color w:val="auto"/>
        </w:rPr>
      </w:pPr>
    </w:p>
    <w:p>
      <w:pPr>
        <w:ind w:left="180" w:hanging="174"/>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89" w:lineRule="exact"/>
        <w:rPr>
          <w:rFonts w:ascii="Arial" w:cs="Arial" w:eastAsia="Arial" w:hAnsi="Arial"/>
          <w:sz w:val="18"/>
          <w:szCs w:val="18"/>
          <w:color w:val="auto"/>
        </w:rPr>
      </w:pPr>
    </w:p>
    <w:p>
      <w:pPr>
        <w:ind w:right="200" w:firstLine="6"/>
        <w:spacing w:after="0" w:line="364" w:lineRule="auto"/>
        <w:tabs>
          <w:tab w:leader="none" w:pos="176"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5"/>
          <w:szCs w:val="15"/>
          <w:color w:val="auto"/>
        </w:rPr>
      </w:pPr>
    </w:p>
    <w:p>
      <w:pPr>
        <w:ind w:right="280" w:firstLine="6"/>
        <w:spacing w:after="0" w:line="264"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8"/>
          <w:szCs w:val="18"/>
          <w:color w:val="auto"/>
        </w:rPr>
      </w:pPr>
    </w:p>
    <w:p>
      <w:pPr>
        <w:ind w:right="240" w:firstLine="6"/>
        <w:spacing w:after="0" w:line="264"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780" w:right="140" w:hanging="443"/>
        <w:spacing w:after="0" w:line="254"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780" w:right="180" w:hanging="443"/>
        <w:spacing w:after="0" w:line="293" w:lineRule="auto"/>
        <w:tabs>
          <w:tab w:leader="none" w:pos="7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780" w:right="220" w:hanging="443"/>
        <w:spacing w:after="0" w:line="254"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680" w:firstLine="6"/>
        <w:spacing w:after="0" w:line="364" w:lineRule="auto"/>
        <w:tabs>
          <w:tab w:leader="none" w:pos="17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780" w:right="60" w:hanging="443"/>
        <w:spacing w:after="0" w:line="264"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 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780" w:right="140" w:hanging="443"/>
        <w:spacing w:after="0" w:line="264" w:lineRule="auto"/>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2004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Kendrick B. Melrose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Kendrick B. Melrose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1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31(b)</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177" w:lineRule="exact"/>
        <w:rPr>
          <w:sz w:val="20"/>
          <w:szCs w:val="20"/>
          <w:color w:val="auto"/>
        </w:rPr>
      </w:pPr>
    </w:p>
    <w:p>
      <w:pPr>
        <w:ind w:left="180" w:hanging="174"/>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Toro Company;</w:t>
      </w:r>
    </w:p>
    <w:p>
      <w:pPr>
        <w:spacing w:after="0" w:line="189" w:lineRule="exact"/>
        <w:rPr>
          <w:rFonts w:ascii="Arial" w:cs="Arial" w:eastAsia="Arial" w:hAnsi="Arial"/>
          <w:sz w:val="18"/>
          <w:szCs w:val="18"/>
          <w:color w:val="auto"/>
        </w:rPr>
      </w:pPr>
    </w:p>
    <w:p>
      <w:pPr>
        <w:ind w:right="200" w:firstLine="6"/>
        <w:spacing w:after="0" w:line="364" w:lineRule="auto"/>
        <w:tabs>
          <w:tab w:leader="none" w:pos="176"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5"/>
          <w:szCs w:val="15"/>
          <w:color w:val="auto"/>
        </w:rPr>
      </w:pPr>
    </w:p>
    <w:p>
      <w:pPr>
        <w:ind w:right="280" w:firstLine="6"/>
        <w:spacing w:after="0" w:line="264"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39" w:lineRule="exact"/>
        <w:rPr>
          <w:rFonts w:ascii="Arial" w:cs="Arial" w:eastAsia="Arial" w:hAnsi="Arial"/>
          <w:sz w:val="18"/>
          <w:szCs w:val="18"/>
          <w:color w:val="auto"/>
        </w:rPr>
      </w:pPr>
    </w:p>
    <w:p>
      <w:pPr>
        <w:ind w:right="240" w:firstLine="6"/>
        <w:spacing w:after="0" w:line="264"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9" w:lineRule="exact"/>
        <w:rPr>
          <w:rFonts w:ascii="Arial" w:cs="Arial" w:eastAsia="Arial" w:hAnsi="Arial"/>
          <w:sz w:val="18"/>
          <w:szCs w:val="18"/>
          <w:color w:val="auto"/>
        </w:rPr>
      </w:pPr>
    </w:p>
    <w:p>
      <w:pPr>
        <w:ind w:left="780" w:right="140" w:hanging="443"/>
        <w:spacing w:after="0" w:line="254"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780" w:right="180" w:hanging="443"/>
        <w:spacing w:after="0" w:line="293" w:lineRule="auto"/>
        <w:tabs>
          <w:tab w:leader="none" w:pos="7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jc w:val="both"/>
        <w:ind w:left="780" w:right="220" w:hanging="443"/>
        <w:spacing w:after="0" w:line="254"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680" w:firstLine="6"/>
        <w:spacing w:after="0" w:line="364" w:lineRule="auto"/>
        <w:tabs>
          <w:tab w:leader="none" w:pos="17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780" w:right="100" w:hanging="443"/>
        <w:spacing w:after="0" w:line="264"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780" w:right="140" w:hanging="443"/>
        <w:spacing w:after="0" w:line="264" w:lineRule="auto"/>
        <w:tabs>
          <w:tab w:leader="none" w:pos="7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2004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Stephen P. Wolfe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1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In connection with the Annual Report of The Toro Company (the “Company”) on Form 10-K for the fiscal year ending October 31, 2004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92" w:lineRule="exact"/>
        <w:rPr>
          <w:sz w:val="20"/>
          <w:szCs w:val="20"/>
          <w:color w:val="auto"/>
        </w:rPr>
      </w:pPr>
    </w:p>
    <w:p>
      <w:pPr>
        <w:ind w:left="780" w:hanging="443"/>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780" w:hanging="443"/>
        <w:spacing w:after="0"/>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35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Kendrick B. Melrose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1791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Stephen P. Wolfe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2004</w:t>
      </w:r>
    </w:p>
    <w:p>
      <w:pPr>
        <w:spacing w:after="0" w:line="178" w:lineRule="exact"/>
        <w:rPr>
          <w:sz w:val="20"/>
          <w:szCs w:val="20"/>
          <w:color w:val="auto"/>
        </w:rPr>
      </w:pPr>
    </w:p>
    <w:p>
      <w:pPr>
        <w:ind w:right="720"/>
        <w:spacing w:after="0" w:line="364"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bullet"/>
      <w:start w:val="1"/>
    </w:lvl>
  </w:abstractNum>
  <w:abstractNum w:abstractNumId="19">
    <w:nsid w:val="737B8DDC"/>
    <w:multiLevelType w:val="hybridMultilevel"/>
    <w:lvl w:ilvl="0">
      <w:lvlJc w:val="left"/>
      <w:lvlText w:val="2"/>
      <w:numFmt w:val="bullet"/>
      <w:start w:val="1"/>
    </w:lvl>
  </w:abstractNum>
  <w:abstractNum w:abstractNumId="20">
    <w:nsid w:val="6CEAF087"/>
    <w:multiLevelType w:val="hybridMultilevel"/>
    <w:lvl w:ilvl="0">
      <w:lvlJc w:val="left"/>
      <w:lvlText w:val="3"/>
      <w:numFmt w:val="bullet"/>
      <w:start w:val="1"/>
    </w:lvl>
  </w:abstractNum>
  <w:abstractNum w:abstractNumId="21">
    <w:nsid w:val="22221A70"/>
    <w:multiLevelType w:val="hybridMultilevel"/>
    <w:lvl w:ilvl="0">
      <w:lvlJc w:val="left"/>
      <w:lvlText w:val="4"/>
      <w:numFmt w:val="bullet"/>
      <w:start w:val="1"/>
    </w:lvl>
  </w:abstractNum>
  <w:abstractNum w:abstractNumId="22">
    <w:nsid w:val="4516DDE9"/>
    <w:multiLevelType w:val="hybridMultilevel"/>
    <w:lvl w:ilvl="0">
      <w:lvlJc w:val="left"/>
      <w:lvlText w:val="6"/>
      <w:numFmt w:val="bullet"/>
      <w:start w:val="1"/>
    </w:lvl>
  </w:abstractNum>
  <w:abstractNum w:abstractNumId="23">
    <w:nsid w:val="3006C83E"/>
    <w:multiLevelType w:val="hybridMultilevel"/>
    <w:lvl w:ilvl="0">
      <w:lvlJc w:val="left"/>
      <w:lvlText w:val="7"/>
      <w:numFmt w:val="bullet"/>
      <w:start w:val="1"/>
    </w:lvl>
  </w:abstractNum>
  <w:abstractNum w:abstractNumId="24">
    <w:nsid w:val="614FD4A1"/>
    <w:multiLevelType w:val="hybridMultilevel"/>
    <w:lvl w:ilvl="0">
      <w:lvlJc w:val="left"/>
      <w:lvlText w:val="8"/>
      <w:numFmt w:val="bullet"/>
      <w:start w:val="1"/>
    </w:lvl>
  </w:abstractNum>
  <w:abstractNum w:abstractNumId="25">
    <w:nsid w:val="419AC241"/>
    <w:multiLevelType w:val="hybridMultilevel"/>
    <w:lvl w:ilvl="0">
      <w:lvlJc w:val="left"/>
      <w:lvlText w:val="9"/>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2"/>
    </w:lvl>
  </w:abstractNum>
  <w:abstractNum w:abstractNumId="28">
    <w:nsid w:val="5072367"/>
    <w:multiLevelType w:val="hybridMultilevel"/>
    <w:lvl w:ilvl="0">
      <w:lvlJc w:val="left"/>
      <w:lvlText w:val="%1"/>
      <w:numFmt w:val="decimal"/>
      <w:start w:val="21"/>
    </w:lvl>
  </w:abstractNum>
  <w:abstractNum w:abstractNumId="29">
    <w:nsid w:val="3804823E"/>
    <w:multiLevelType w:val="hybridMultilevel"/>
    <w:lvl w:ilvl="0">
      <w:lvlJc w:val="left"/>
      <w:lvlText w:val="%1"/>
      <w:numFmt w:val="decimal"/>
      <w:start w:val="23"/>
    </w:lvl>
  </w:abstractNum>
  <w:abstractNum w:abstractNumId="30">
    <w:nsid w:val="77465F01"/>
    <w:multiLevelType w:val="hybridMultilevel"/>
    <w:lvl w:ilvl="0">
      <w:lvlJc w:val="left"/>
      <w:lvlText w:val="%1"/>
      <w:numFmt w:val="decimal"/>
      <w:start w:val="32"/>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34">
    <w:nsid w:val="5E884ADC"/>
    <w:multiLevelType w:val="hybridMultilevel"/>
    <w:lvl w:ilvl="0">
      <w:lvlJc w:val="left"/>
      <w:lvlText w:val="(%1)"/>
      <w:numFmt w:val="lowerLetter"/>
      <w:start w:val="3"/>
    </w:lvl>
    <w:lvl w:ilvl="1">
      <w:lvlJc w:val="left"/>
      <w:lvlText w:val="(%2)"/>
      <w:numFmt w:val="decimal"/>
      <w:start w:val="1"/>
    </w:lvl>
  </w:abstractNum>
  <w:abstractNum w:abstractNumId="35">
    <w:nsid w:val="51EAD36B"/>
    <w:multiLevelType w:val="hybridMultilevel"/>
    <w:lvl w:ilvl="0">
      <w:lvlJc w:val="left"/>
      <w:lvlText w:val="%1."/>
      <w:numFmt w:val="lowerLetter"/>
      <w:start w:val="3"/>
    </w:lvl>
  </w:abstractNum>
  <w:abstractNum w:abstractNumId="36">
    <w:nsid w:val="2D517796"/>
    <w:multiLevelType w:val="hybridMultilevel"/>
    <w:lvl w:ilvl="0">
      <w:lvlJc w:val="left"/>
      <w:lvlText w:val="%1."/>
      <w:numFmt w:val="decimal"/>
      <w:start w:val="4"/>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4"/>
    </w:lvl>
  </w:abstractNum>
  <w:abstractNum w:abstractNumId="39">
    <w:nsid w:val="3855585C"/>
    <w:multiLevelType w:val="hybridMultilevel"/>
    <w:lvl w:ilvl="0">
      <w:lvlJc w:val="left"/>
      <w:lvlText w:val="%1."/>
      <w:numFmt w:val="decimal"/>
      <w:start w:val="7"/>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2019-12-11T20:08:36Z</dcterms:created>
  <dcterms:modified xsi:type="dcterms:W3CDTF">2019-12-11T20:08:36Z</dcterms:modified>
</cp:coreProperties>
</file>