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360680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-220345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ind w:left="1960" w:hanging="304"/>
        <w:spacing w:after="0"/>
        <w:tabs>
          <w:tab w:leader="none" w:pos="19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5, 2017</w:t>
      </w:r>
    </w:p>
    <w:p>
      <w:pPr>
        <w:spacing w:after="0" w:line="23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21"/>
          <w:szCs w:val="21"/>
          <w:b w:val="1"/>
          <w:bCs w:val="1"/>
          <w:color w:val="auto"/>
        </w:rPr>
        <w:t>o  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28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360" w:space="500"/>
            <w:col w:w="4560"/>
          </w:cols>
          <w:pgMar w:left="240" w:top="229" w:right="23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14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1-8649</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67" w:lineRule="exact"/>
        <w:rPr>
          <w:sz w:val="24"/>
          <w:szCs w:val="24"/>
          <w:color w:val="auto"/>
        </w:rPr>
      </w:pPr>
    </w:p>
    <w:p>
      <w:pPr>
        <w:sectPr>
          <w:pgSz w:w="11900" w:h="16838" w:orient="portrait"/>
          <w:cols w:equalWidth="0" w:num="3">
            <w:col w:w="4680" w:space="720"/>
            <w:col w:w="2960" w:space="720"/>
            <w:col w:w="2340"/>
          </w:cols>
          <w:pgMar w:left="240" w:top="229" w:right="2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60" w:space="720"/>
            <w:col w:w="3380"/>
          </w:cols>
          <w:pgMar w:left="240" w:top="229" w:right="239" w:bottom="1440" w:gutter="0" w:footer="0" w:header="0"/>
          <w:type w:val="continuous"/>
        </w:sectPr>
      </w:pPr>
    </w:p>
    <w:p>
      <w:pPr>
        <w:spacing w:after="0" w:line="6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482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Large accelerated filer x</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Accelerated filer o</w:t>
            </w:r>
          </w:p>
        </w:tc>
      </w:tr>
      <w:tr>
        <w:trPr>
          <w:trHeight w:val="594"/>
        </w:trPr>
        <w:tc>
          <w:tcPr>
            <w:tcW w:w="48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rPr>
              <w:t>Non-accelerated filer o</w:t>
            </w: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r>
        <w:trPr>
          <w:trHeight w:val="270"/>
        </w:trPr>
        <w:tc>
          <w:tcPr>
            <w:tcW w:w="48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3600" w:type="dxa"/>
            <w:vAlign w:val="bottom"/>
          </w:tcPr>
          <w:p>
            <w:pPr>
              <w:spacing w:after="0"/>
              <w:rPr>
                <w:sz w:val="23"/>
                <w:szCs w:val="23"/>
                <w:color w:val="auto"/>
              </w:rPr>
            </w:pPr>
          </w:p>
        </w:tc>
      </w:tr>
      <w:tr>
        <w:trPr>
          <w:trHeight w:val="270"/>
        </w:trPr>
        <w:tc>
          <w:tcPr>
            <w:tcW w:w="4820" w:type="dxa"/>
            <w:vAlign w:val="bottom"/>
          </w:tcPr>
          <w:p>
            <w:pPr>
              <w:spacing w:after="0"/>
              <w:rPr>
                <w:sz w:val="23"/>
                <w:szCs w:val="23"/>
                <w:color w:val="auto"/>
              </w:rPr>
            </w:pPr>
          </w:p>
        </w:tc>
        <w:tc>
          <w:tcPr>
            <w:tcW w:w="36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Emerging growth company o</w:t>
            </w:r>
          </w:p>
        </w:tc>
      </w:tr>
    </w:tbl>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May 31, 2017 was 107,916,636.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473"/>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852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Earnings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w:t>
              </w:r>
            </w:hyperlink>
            <w:r>
              <w:rPr>
                <w:rFonts w:ascii="Times New Roman" w:cs="Times New Roman" w:eastAsia="Times New Roman" w:hAnsi="Times New Roman"/>
                <w:sz w:val="18"/>
                <w:szCs w:val="18"/>
                <w:color w:val="000000"/>
              </w:rPr>
              <w:t>)</w:t>
            </w: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(Unaudited)</w:t>
              </w:r>
            </w:hyperlink>
          </w:p>
        </w:tc>
        <w:tc>
          <w:tcPr>
            <w:tcW w:w="3540" w:type="dxa"/>
            <w:vAlign w:val="bottom"/>
            <w:gridSpan w:val="4"/>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326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17">
              <w:r>
                <w:rPr>
                  <w:rFonts w:ascii="Times New Roman" w:cs="Times New Roman" w:eastAsia="Times New Roman" w:hAnsi="Times New Roman"/>
                  <w:sz w:val="18"/>
                  <w:szCs w:val="18"/>
                  <w:b w:val="1"/>
                  <w:bCs w:val="1"/>
                  <w:color w:val="0000EE"/>
                  <w:w w:val="96"/>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5"/>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9">
              <w:r>
                <w:rPr>
                  <w:rFonts w:ascii="Times New Roman" w:cs="Times New Roman" w:eastAsia="Times New Roman" w:hAnsi="Times New Roman"/>
                  <w:sz w:val="18"/>
                  <w:szCs w:val="18"/>
                  <w:b w:val="1"/>
                  <w:bCs w:val="1"/>
                  <w:color w:val="0000EE"/>
                  <w:w w:val="96"/>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Controls and Procedures</w:t>
              </w:r>
            </w:hyperlink>
          </w:p>
        </w:tc>
        <w:tc>
          <w:tcPr>
            <w:tcW w:w="2540" w:type="dxa"/>
            <w:vAlign w:val="bottom"/>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4"/>
              </w:rPr>
            </w:pPr>
            <w:hyperlink w:anchor="page29">
              <w:r>
                <w:rPr>
                  <w:rFonts w:ascii="Times New Roman" w:cs="Times New Roman" w:eastAsia="Times New Roman" w:hAnsi="Times New Roman"/>
                  <w:sz w:val="18"/>
                  <w:szCs w:val="18"/>
                  <w:b w:val="1"/>
                  <w:bCs w:val="1"/>
                  <w:color w:val="0000EE"/>
                  <w:w w:val="94"/>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29">
              <w:r>
                <w:rPr>
                  <w:rFonts w:ascii="Times New Roman" w:cs="Times New Roman" w:eastAsia="Times New Roman" w:hAnsi="Times New Roman"/>
                  <w:sz w:val="18"/>
                  <w:szCs w:val="18"/>
                  <w:b w:val="1"/>
                  <w:bCs w:val="1"/>
                  <w:color w:val="0000EE"/>
                  <w:w w:val="99"/>
                </w:rPr>
                <w:t>OTHER INFORMATION:</w:t>
              </w:r>
            </w:hyperlink>
          </w:p>
        </w:tc>
        <w:tc>
          <w:tcPr>
            <w:tcW w:w="640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29">
              <w:r>
                <w:rPr>
                  <w:rFonts w:ascii="Times New Roman" w:cs="Times New Roman" w:eastAsia="Times New Roman" w:hAnsi="Times New Roman"/>
                  <w:sz w:val="18"/>
                  <w:szCs w:val="18"/>
                  <w:b w:val="1"/>
                  <w:bCs w:val="1"/>
                  <w:color w:val="0000EE"/>
                  <w:w w:val="96"/>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6840" w:type="dxa"/>
            <w:vAlign w:val="bottom"/>
            <w:gridSpan w:val="10"/>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29</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30">
              <w:r>
                <w:rPr>
                  <w:rFonts w:ascii="Times New Roman" w:cs="Times New Roman" w:eastAsia="Times New Roman" w:hAnsi="Times New Roman"/>
                  <w:sz w:val="18"/>
                  <w:szCs w:val="18"/>
                  <w:b w:val="1"/>
                  <w:bCs w:val="1"/>
                  <w:color w:val="0000EE"/>
                  <w:w w:val="96"/>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Unregistered Sales of Equity Securities and Use of Proceeds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31">
              <w:r>
                <w:rPr>
                  <w:rFonts w:ascii="Times New Roman" w:cs="Times New Roman" w:eastAsia="Times New Roman" w:hAnsi="Times New Roman"/>
                  <w:sz w:val="18"/>
                  <w:szCs w:val="18"/>
                  <w:b w:val="1"/>
                  <w:bCs w:val="1"/>
                  <w:color w:val="0000EE"/>
                  <w:w w:val="96"/>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382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shares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5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jc w:val="right"/>
              <w:ind w:right="513"/>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12"/>
                <w:szCs w:val="12"/>
                <w:color w:val="auto"/>
              </w:rPr>
            </w:pPr>
          </w:p>
        </w:tc>
        <w:tc>
          <w:tcPr>
            <w:tcW w:w="124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80" w:type="dxa"/>
            <w:vAlign w:val="bottom"/>
          </w:tcPr>
          <w:p>
            <w:pPr>
              <w:spacing w:after="0"/>
              <w:rPr>
                <w:sz w:val="12"/>
                <w:szCs w:val="12"/>
                <w:color w:val="auto"/>
              </w:rPr>
            </w:pPr>
          </w:p>
        </w:tc>
        <w:tc>
          <w:tcPr>
            <w:tcW w:w="120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12"/>
                <w:szCs w:val="12"/>
                <w:color w:val="auto"/>
              </w:rPr>
            </w:pPr>
          </w:p>
        </w:tc>
        <w:tc>
          <w:tcPr>
            <w:tcW w:w="1200" w:type="dxa"/>
            <w:vAlign w:val="bottom"/>
          </w:tcPr>
          <w:p>
            <w:pPr>
              <w:jc w:val="right"/>
              <w:ind w:right="392"/>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5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872,767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836,441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1,388,606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1,322,839</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556,453</w:t>
            </w:r>
          </w:p>
        </w:tc>
        <w:tc>
          <w:tcPr>
            <w:tcW w:w="3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533,254</w:t>
            </w:r>
          </w:p>
        </w:tc>
        <w:tc>
          <w:tcPr>
            <w:tcW w:w="3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878,812</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836,998</w:t>
            </w:r>
          </w:p>
        </w:tc>
      </w:tr>
      <w:tr>
        <w:trPr>
          <w:trHeight w:val="27"/>
        </w:trPr>
        <w:tc>
          <w:tcPr>
            <w:tcW w:w="5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316,314</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303,187</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509,794</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485,841</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157,018</w:t>
            </w:r>
          </w:p>
        </w:tc>
        <w:tc>
          <w:tcPr>
            <w:tcW w:w="3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148,097</w:t>
            </w:r>
          </w:p>
        </w:tc>
        <w:tc>
          <w:tcPr>
            <w:tcW w:w="38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289,928</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276,912</w:t>
            </w:r>
          </w:p>
        </w:tc>
      </w:tr>
      <w:tr>
        <w:trPr>
          <w:trHeight w:val="27"/>
        </w:trPr>
        <w:tc>
          <w:tcPr>
            <w:tcW w:w="5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159,296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155,090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219,866</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208,929</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7"/>
        </w:trPr>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3,701</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3,873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7,567</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8,385</w:t>
            </w:r>
          </w:p>
        </w:tc>
      </w:tr>
      <w:tr>
        <w:trPr>
          <w:trHeight w:val="237"/>
        </w:trPr>
        <w:tc>
          <w:tcPr>
            <w:tcW w:w="5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158,321</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154,242</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217,874</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207,939</w:t>
            </w:r>
          </w:p>
        </w:tc>
      </w:tr>
      <w:tr>
        <w:trPr>
          <w:trHeight w:val="27"/>
        </w:trPr>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37,846</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48,561</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52,409</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62,997</w:t>
            </w:r>
          </w:p>
        </w:tc>
      </w:tr>
      <w:tr>
        <w:trPr>
          <w:trHeight w:val="237"/>
        </w:trPr>
        <w:tc>
          <w:tcPr>
            <w:tcW w:w="5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120,475</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105,681</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165,465</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144,942</w:t>
            </w:r>
          </w:p>
        </w:tc>
      </w:tr>
      <w:tr>
        <w:trPr>
          <w:trHeight w:val="67"/>
        </w:trPr>
        <w:tc>
          <w:tcPr>
            <w:tcW w:w="5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5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5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5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5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5"/>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Basic</w:t>
            </w:r>
          </w:p>
        </w:tc>
        <w:tc>
          <w:tcPr>
            <w:tcW w:w="48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108,203</w:t>
            </w:r>
          </w:p>
        </w:tc>
        <w:tc>
          <w:tcPr>
            <w:tcW w:w="36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109,808</w:t>
            </w:r>
          </w:p>
        </w:tc>
        <w:tc>
          <w:tcPr>
            <w:tcW w:w="38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108,419</w:t>
            </w:r>
          </w:p>
        </w:tc>
        <w:tc>
          <w:tcPr>
            <w:tcW w:w="3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109,918</w:t>
            </w:r>
          </w:p>
        </w:tc>
      </w:tr>
      <w:tr>
        <w:trPr>
          <w:trHeight w:val="27"/>
        </w:trPr>
        <w:tc>
          <w:tcPr>
            <w:tcW w:w="5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5"/>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Diluted</w:t>
            </w:r>
          </w:p>
        </w:tc>
        <w:tc>
          <w:tcPr>
            <w:tcW w:w="48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111,138</w:t>
            </w:r>
          </w:p>
        </w:tc>
        <w:tc>
          <w:tcPr>
            <w:tcW w:w="36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111,972</w:t>
            </w:r>
          </w:p>
        </w:tc>
        <w:tc>
          <w:tcPr>
            <w:tcW w:w="38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111,451</w:t>
            </w:r>
          </w:p>
        </w:tc>
        <w:tc>
          <w:tcPr>
            <w:tcW w:w="3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112,154</w:t>
            </w:r>
          </w:p>
        </w:tc>
      </w:tr>
      <w:tr>
        <w:trPr>
          <w:trHeight w:val="27"/>
        </w:trPr>
        <w:tc>
          <w:tcPr>
            <w:tcW w:w="5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4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380" w:type="dxa"/>
            <w:vAlign w:val="bottom"/>
          </w:tcPr>
          <w:p>
            <w:pPr>
              <w:spacing w:after="0"/>
              <w:rPr>
                <w:sz w:val="12"/>
                <w:szCs w:val="12"/>
                <w:color w:val="auto"/>
              </w:rPr>
            </w:pPr>
          </w:p>
        </w:tc>
        <w:tc>
          <w:tcPr>
            <w:tcW w:w="1240" w:type="dxa"/>
            <w:vAlign w:val="bottom"/>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80" w:type="dxa"/>
            <w:vAlign w:val="bottom"/>
          </w:tcPr>
          <w:p>
            <w:pPr>
              <w:spacing w:after="0"/>
              <w:rPr>
                <w:sz w:val="12"/>
                <w:szCs w:val="12"/>
                <w:color w:val="auto"/>
              </w:rPr>
            </w:pPr>
          </w:p>
        </w:tc>
        <w:tc>
          <w:tcPr>
            <w:tcW w:w="118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12"/>
                <w:szCs w:val="12"/>
                <w:color w:val="auto"/>
              </w:rPr>
            </w:pPr>
          </w:p>
        </w:tc>
        <w:tc>
          <w:tcPr>
            <w:tcW w:w="120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4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120,475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105,681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165,465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144,942</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5,741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717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950</w:t>
            </w:r>
          </w:p>
        </w:tc>
      </w:tr>
      <w:tr>
        <w:trPr>
          <w:trHeight w:val="225"/>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net of tax of $(257), $(2,042), $29, and</w:t>
            </w: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$(1,653), respectively</w:t>
            </w:r>
          </w:p>
        </w:tc>
        <w:tc>
          <w:tcPr>
            <w:tcW w:w="540" w:type="dxa"/>
            <w:vAlign w:val="bottom"/>
          </w:tcPr>
          <w:p>
            <w:pPr>
              <w:spacing w:after="0"/>
              <w:rPr>
                <w:sz w:val="20"/>
                <w:szCs w:val="20"/>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1,741</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8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1,962</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7"/>
        </w:trPr>
        <w:tc>
          <w:tcPr>
            <w:tcW w:w="4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2,341</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4,208</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2,679</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3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122,816</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109,889</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168,144</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143,300</w:t>
            </w:r>
          </w:p>
        </w:tc>
      </w:tr>
      <w:tr>
        <w:trPr>
          <w:trHeight w:val="27"/>
        </w:trPr>
        <w:tc>
          <w:tcPr>
            <w:tcW w:w="4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13"/>
                <w:szCs w:val="13"/>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01"/>
        </w:trPr>
        <w:tc>
          <w:tcPr>
            <w:tcW w:w="670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265,191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174,639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273,555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328,524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329,837</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163,265</w:t>
            </w: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341,576</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369,070</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307,034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41,272</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36,683</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35,155</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976,563</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910,229</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779,009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874,910</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824,214</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838,036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650,633</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602,145</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615,998</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224,277</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222,069</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222,038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57,117</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68,413</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30,618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30,015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23,422</w:t>
            </w: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201,915</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195,358</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194,782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108,268</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113,570</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108,093</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1,598,758</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1,539,654</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1,384,572</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23,105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23,286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22,484</w:t>
            </w: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273,600</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260,504</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174,668</w:t>
            </w: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324,878</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316,811</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266,687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622,415</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600,601</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463,839</w:t>
            </w:r>
          </w:p>
        </w:tc>
      </w:tr>
      <w:tr>
        <w:trPr>
          <w:trHeight w:val="291"/>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311,957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334,822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328,477</w:t>
            </w:r>
          </w:p>
        </w:tc>
      </w:tr>
      <w:tr>
        <w:trPr>
          <w:trHeight w:val="243"/>
        </w:trPr>
        <w:tc>
          <w:tcPr>
            <w:tcW w:w="6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24,948</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11,565</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31,667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30,058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30,391</w:t>
            </w:r>
          </w:p>
        </w:tc>
      </w:tr>
      <w:tr>
        <w:trPr>
          <w:trHeight w:val="297"/>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Preferred stock, par value $1.00 per share, authorized 1,000,000 voting and 850,000 non-</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voting shares, none issued and outstanding</w:t>
            </w:r>
          </w:p>
        </w:tc>
        <w:tc>
          <w:tcPr>
            <w:tcW w:w="38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par value $1.00 per share, authorized 175,000,000 shares; issued and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6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107,879,717 shares as of May 5, 2017, 109,519,366 shares as of April 29,</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2016, and 108,427,393 shares as of October 31, 2016</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107,880</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109,520</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108,427</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535,648</w:t>
            </w:r>
          </w:p>
        </w:tc>
        <w:tc>
          <w:tcPr>
            <w:tcW w:w="3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484,573</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480,044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607,771</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562,608</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550,035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1,598,758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1,539,654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1,384,572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13"/>
                <w:szCs w:val="13"/>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April 29,</w:t>
            </w:r>
          </w:p>
        </w:tc>
      </w:tr>
      <w:tr>
        <w:trPr>
          <w:trHeight w:val="195"/>
        </w:trPr>
        <w:tc>
          <w:tcPr>
            <w:tcW w:w="7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165,465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144,942</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1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depreciation, amortization, and impairment loss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34,548</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31,526</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6,629</w:t>
            </w:r>
          </w:p>
        </w:tc>
        <w:tc>
          <w:tcPr>
            <w:tcW w:w="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5,197</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deferred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(164,495)</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(150,072)</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(37,418)</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172,643</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159,117</w:t>
            </w:r>
          </w:p>
        </w:tc>
      </w:tr>
      <w:tr>
        <w:trPr>
          <w:trHeight w:val="237"/>
        </w:trPr>
        <w:tc>
          <w:tcPr>
            <w:tcW w:w="7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170,431</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148,439</w:t>
            </w:r>
          </w:p>
        </w:tc>
      </w:tr>
      <w:tr>
        <w:trPr>
          <w:trHeight w:val="27"/>
        </w:trPr>
        <w:tc>
          <w:tcPr>
            <w:tcW w:w="7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(49,162)</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w:t>
            </w:r>
          </w:p>
        </w:tc>
      </w:tr>
      <w:tr>
        <w:trPr>
          <w:trHeight w:val="27"/>
        </w:trPr>
        <w:tc>
          <w:tcPr>
            <w:tcW w:w="7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7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short-term debt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short-term debt</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8,222</w:t>
            </w:r>
          </w:p>
        </w:tc>
        <w:tc>
          <w:tcPr>
            <w:tcW w:w="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14,684</w:t>
            </w:r>
          </w:p>
        </w:tc>
      </w:tr>
      <w:tr>
        <w:trPr>
          <w:trHeight w:val="27"/>
        </w:trPr>
        <w:tc>
          <w:tcPr>
            <w:tcW w:w="7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(84,962)</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w:t>
            </w:r>
          </w:p>
        </w:tc>
      </w:tr>
      <w:tr>
        <w:trPr>
          <w:trHeight w:val="24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(33,005)</w:t>
            </w:r>
          </w:p>
        </w:tc>
      </w:tr>
      <w:tr>
        <w:trPr>
          <w:trHeight w:val="27"/>
        </w:trPr>
        <w:tc>
          <w:tcPr>
            <w:tcW w:w="7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(129,774)</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r>
      <w:tr>
        <w:trPr>
          <w:trHeight w:val="291"/>
        </w:trPr>
        <w:tc>
          <w:tcPr>
            <w:tcW w:w="7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w:t>
            </w:r>
          </w:p>
        </w:tc>
      </w:tr>
      <w:tr>
        <w:trPr>
          <w:trHeight w:val="291"/>
        </w:trPr>
        <w:tc>
          <w:tcPr>
            <w:tcW w:w="7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5"/>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48,364</w:t>
            </w:r>
          </w:p>
        </w:tc>
      </w:tr>
      <w:tr>
        <w:trPr>
          <w:trHeight w:val="237"/>
        </w:trPr>
        <w:tc>
          <w:tcPr>
            <w:tcW w:w="7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273,555</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126,275</w:t>
            </w:r>
          </w:p>
        </w:tc>
      </w:tr>
      <w:tr>
        <w:trPr>
          <w:trHeight w:val="27"/>
        </w:trPr>
        <w:tc>
          <w:tcPr>
            <w:tcW w:w="7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265,191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174,639</w:t>
            </w:r>
          </w:p>
        </w:tc>
      </w:tr>
      <w:tr>
        <w:trPr>
          <w:trHeight w:val="20"/>
        </w:trPr>
        <w:tc>
          <w:tcPr>
            <w:tcW w:w="7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United States generally accepted accounting principles (“U.S.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include all adjustments, consisting primarily of recurring accruals, considered necessary for the fair presentation of the company's financial position and results of operations. Since the company’s business is seasonal, operating results for the six months ended May 5, 2017 cannot be annualized to determine the expected results for the fiscal year ending October 31, 2017.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to Consolidated Financial Statements included in the company’s Annual Report on Form 10-K for the fiscal year ended October 31, 2016. The policies described in that report are used for preparing quarterly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 Changes in those estimates will be reflected in the Consolidated Financial Statements in future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broadens and strengthens the company's irrigation solutions for the sport, agricultural, and industrial markets. The acquisition was funded with existing foreign cash and cash equivalents.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of this acquisition was allocated to the identifiable assets acquired and liabilities assumed based on estimates of their fair value, with the excess purchase price recorded as goodwill. As of May 5, 2017, the company has not yet finalized the purchase accounting for the acquisition, but expects to finalize such purchase accounting in fiscal 2017. This acquisition was immaterial based on the company's consolidated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in Joint Venture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2009, the company and TCF Inventory Finance, Inc. (“TCFIF”), a subsidiary of TCF National Bank, established Red Iron Acceptance, LLC (“Red Iron”), a joint venture in the form of a Delaware limited liability company that primarily provides inventory financing to certain distributors and dealers of the company’s products in the United States. On November 29, 2016,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May 5, 2017 was $26.1 million. The company has not guaranteed the outstanding indebtedness of Red Iron. The company has agreed to repurchase products repossessed by Red Iron and the TCFIF Canadian affiliate, up to a maximum aggregate amount of $7.5 million in a calendar year.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May 5, 2017 and April 29, 2016 were $959.8 million and $932.7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2017, Red Iron’s total assets were $515.1 million and total liabilities were $457.1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0" w:type="dxa"/>
            <w:vAlign w:val="bottom"/>
          </w:tcPr>
          <w:p>
            <w:pPr>
              <w:spacing w:after="0"/>
              <w:rPr>
                <w:sz w:val="13"/>
                <w:szCs w:val="13"/>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13"/>
                <w:szCs w:val="13"/>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20" w:type="dxa"/>
            <w:vAlign w:val="bottom"/>
          </w:tcPr>
          <w:p>
            <w:pPr>
              <w:spacing w:after="0"/>
              <w:rPr>
                <w:sz w:val="13"/>
                <w:szCs w:val="13"/>
                <w:color w:val="auto"/>
              </w:rPr>
            </w:pP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2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96,723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100,739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90,463</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 and service parts</w:t>
            </w:r>
          </w:p>
        </w:tc>
        <w:tc>
          <w:tcPr>
            <w:tcW w:w="24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303,211</w:t>
            </w:r>
          </w:p>
        </w:tc>
        <w:tc>
          <w:tcPr>
            <w:tcW w:w="3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332,371</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274,929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FIFO value</w:t>
            </w:r>
          </w:p>
        </w:tc>
        <w:tc>
          <w:tcPr>
            <w:tcW w:w="2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399,934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433,110</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365,392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Adjustment to LIFO value</w:t>
            </w:r>
          </w:p>
        </w:tc>
        <w:tc>
          <w:tcPr>
            <w:tcW w:w="24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58,358</w:t>
            </w:r>
          </w:p>
        </w:tc>
        <w:tc>
          <w:tcPr>
            <w:tcW w:w="3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64,040</w:t>
            </w:r>
          </w:p>
        </w:tc>
        <w:tc>
          <w:tcPr>
            <w:tcW w:w="3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58,358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 net</w:t>
            </w:r>
          </w:p>
        </w:tc>
        <w:tc>
          <w:tcPr>
            <w:tcW w:w="2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341,576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369,070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307,034</w:t>
            </w:r>
          </w:p>
        </w:tc>
        <w:tc>
          <w:tcPr>
            <w:tcW w:w="0" w:type="dxa"/>
            <w:vAlign w:val="bottom"/>
          </w:tcPr>
          <w:p>
            <w:pPr>
              <w:spacing w:after="0"/>
              <w:rPr>
                <w:sz w:val="1"/>
                <w:szCs w:val="1"/>
                <w:color w:val="auto"/>
              </w:rPr>
            </w:pP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first six months of fiscal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Professional Segment</w:t>
            </w: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Residential Segment</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October 31, 2016</w:t>
            </w:r>
          </w:p>
        </w:tc>
        <w:tc>
          <w:tcPr>
            <w:tcW w:w="3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184,338</w:t>
            </w:r>
          </w:p>
        </w:tc>
        <w:tc>
          <w:tcPr>
            <w:tcW w:w="5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194,782</w:t>
            </w:r>
          </w:p>
        </w:tc>
      </w:tr>
      <w:tr>
        <w:trPr>
          <w:trHeight w:val="27"/>
        </w:trPr>
        <w:tc>
          <w:tcPr>
            <w:tcW w:w="39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acquired</w:t>
            </w:r>
          </w:p>
        </w:tc>
        <w:tc>
          <w:tcPr>
            <w:tcW w:w="3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6,683</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6,683</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3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w:t>
            </w:r>
          </w:p>
        </w:tc>
      </w:tr>
      <w:tr>
        <w:trPr>
          <w:trHeight w:val="27"/>
        </w:trPr>
        <w:tc>
          <w:tcPr>
            <w:tcW w:w="39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May 5, 2017</w:t>
            </w:r>
          </w:p>
        </w:tc>
        <w:tc>
          <w:tcPr>
            <w:tcW w:w="32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191,414</w:t>
            </w:r>
          </w:p>
        </w:tc>
        <w:tc>
          <w:tcPr>
            <w:tcW w:w="58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201,915</w:t>
            </w: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980" w:type="dxa"/>
            <w:vAlign w:val="bottom"/>
          </w:tcPr>
          <w:p>
            <w:pPr>
              <w:spacing w:after="0"/>
              <w:rPr>
                <w:sz w:val="24"/>
                <w:szCs w:val="24"/>
                <w:color w:val="auto"/>
              </w:rPr>
            </w:pPr>
          </w:p>
        </w:tc>
        <w:tc>
          <w:tcPr>
            <w:tcW w:w="3240" w:type="dxa"/>
            <w:vAlign w:val="bottom"/>
          </w:tcPr>
          <w:p>
            <w:pPr>
              <w:jc w:val="right"/>
              <w:ind w:right="1374"/>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as of May 5,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3"/>
                <w:szCs w:val="13"/>
                <w:color w:val="auto"/>
              </w:rPr>
            </w:pPr>
          </w:p>
        </w:tc>
        <w:tc>
          <w:tcPr>
            <w:tcW w:w="13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3"/>
                <w:szCs w:val="13"/>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15,141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6,878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Customer-related</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87,222</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70,597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30,082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4,741</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29,983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24,500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amortizable</w:t>
            </w: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170,106</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(66,217)</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103,889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4,379</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174,485</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(66,217)</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108,268</w:t>
            </w:r>
          </w:p>
        </w:tc>
        <w:tc>
          <w:tcPr>
            <w:tcW w:w="0" w:type="dxa"/>
            <w:vAlign w:val="bottom"/>
          </w:tcPr>
          <w:p>
            <w:pPr>
              <w:spacing w:after="0"/>
              <w:rPr>
                <w:sz w:val="1"/>
                <w:szCs w:val="1"/>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other intangible assets as of October 31, 2016 were as follows: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1320" w:type="dxa"/>
            <w:vAlign w:val="bottom"/>
          </w:tcPr>
          <w:p>
            <w:pPr>
              <w:jc w:val="center"/>
              <w:ind w:right="113"/>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Pr>
          <w:p>
            <w:pPr>
              <w:spacing w:after="0"/>
              <w:rPr>
                <w:sz w:val="12"/>
                <w:szCs w:val="12"/>
                <w:color w:val="auto"/>
              </w:rPr>
            </w:pPr>
          </w:p>
        </w:tc>
        <w:tc>
          <w:tcPr>
            <w:tcW w:w="1300" w:type="dxa"/>
            <w:vAlign w:val="bottom"/>
          </w:tcPr>
          <w:p>
            <w:pPr>
              <w:jc w:val="right"/>
              <w:ind w:right="273"/>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15,151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6,886</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Customer-related</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84,353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69,919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28,648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5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28,715</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24,480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amortizable</w:t>
            </w:r>
          </w:p>
        </w:tc>
        <w:tc>
          <w:tcPr>
            <w:tcW w:w="5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164,553</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103,825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Non-amortizable - trade names</w:t>
            </w: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4,268</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37"/>
        </w:trPr>
        <w:tc>
          <w:tcPr>
            <w:tcW w:w="6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168,821</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w:t>
            </w:r>
          </w:p>
        </w:tc>
        <w:tc>
          <w:tcPr>
            <w:tcW w:w="4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108,093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for intangible assets during the second quarter of fiscal 2017 was $2.5 million, compared to $2.4 million for the same period last fiscal year. Amortization expense for intangible assets during the first six months of fiscal 2017 was $4.9 million, compared to $5.6 million for the same period last fiscal year. Estimated amortization expense for the remainder of fiscal 2017 and succeeding fiscal years is as follows: fiscal 2017 (remainder), $4.8 million; fiscal 2018, $7.7 million; fiscal 2019, $6.8 million; fiscal 2020, $6.3 million; fiscal 2021, $5.9 million; fiscal 2022, $5.9 million; and after fiscal 2022, $66.5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accumulated other comprehensive loss (“AOCL”), net of tax,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80" w:type="dxa"/>
            <w:vAlign w:val="bottom"/>
          </w:tcPr>
          <w:p>
            <w:pPr>
              <w:spacing w:after="0"/>
              <w:rPr>
                <w:sz w:val="13"/>
                <w:szCs w:val="13"/>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13"/>
                <w:szCs w:val="13"/>
                <w:color w:val="auto"/>
              </w:rPr>
            </w:pPr>
          </w:p>
        </w:tc>
        <w:tc>
          <w:tcPr>
            <w:tcW w:w="12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20" w:type="dxa"/>
            <w:vAlign w:val="bottom"/>
          </w:tcPr>
          <w:p>
            <w:pPr>
              <w:spacing w:after="0"/>
              <w:rPr>
                <w:sz w:val="13"/>
                <w:szCs w:val="13"/>
                <w:color w:val="auto"/>
              </w:rPr>
            </w:pP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30,508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23,581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31,430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08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6,564</w:t>
            </w:r>
          </w:p>
        </w:tc>
        <w:tc>
          <w:tcPr>
            <w:tcW w:w="3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5,183</w:t>
            </w:r>
          </w:p>
        </w:tc>
        <w:tc>
          <w:tcPr>
            <w:tcW w:w="3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6,359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derivative instruments</w:t>
            </w:r>
          </w:p>
        </w:tc>
        <w:tc>
          <w:tcPr>
            <w:tcW w:w="20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2,721</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7"/>
        </w:trPr>
        <w:tc>
          <w:tcPr>
            <w:tcW w:w="5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35,757</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31,485</w:t>
            </w: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38,436</w:t>
            </w: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for the first six months of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3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2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3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2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31,430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5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May 5, 2017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30,508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6,564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35,757</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for the first six months of fiscal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3"/>
                <w:szCs w:val="13"/>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3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2"/>
                <w:szCs w:val="12"/>
                <w:color w:val="auto"/>
              </w:rPr>
            </w:pPr>
          </w:p>
        </w:tc>
        <w:tc>
          <w:tcPr>
            <w:tcW w:w="12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44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24,328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5,386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5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1,684</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908</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2,592</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April 29,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23,581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5,183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2,721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31,485</w:t>
            </w:r>
          </w:p>
        </w:tc>
        <w:tc>
          <w:tcPr>
            <w:tcW w:w="0" w:type="dxa"/>
            <w:vAlign w:val="bottom"/>
          </w:tcPr>
          <w:p>
            <w:pPr>
              <w:spacing w:after="0"/>
              <w:rPr>
                <w:sz w:val="1"/>
                <w:szCs w:val="1"/>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refer to Note 12,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executive officers, other employees, and non-employee directors are expected to exercise their stock options, which is primarily based on historical experience. Separate groups of employees and non-employee directors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4"/>
                <w:szCs w:val="14"/>
                <w:b w:val="1"/>
                <w:bCs w:val="1"/>
                <w:color w:val="auto"/>
              </w:rPr>
              <w:t>Fiscal 2017</w:t>
            </w: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Fiscal 2016</w:t>
            </w: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rPr>
              <w:t>6.02</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900" w:type="dxa"/>
            <w:vAlign w:val="bottom"/>
          </w:tcPr>
          <w:p>
            <w:pPr>
              <w:jc w:val="center"/>
              <w:ind w:left="2093"/>
              <w:spacing w:after="0"/>
              <w:rPr>
                <w:sz w:val="20"/>
                <w:szCs w:val="20"/>
                <w:color w:val="auto"/>
              </w:rPr>
            </w:pPr>
            <w:r>
              <w:rPr>
                <w:rFonts w:ascii="Times New Roman" w:cs="Times New Roman" w:eastAsia="Times New Roman" w:hAnsi="Times New Roman"/>
                <w:sz w:val="18"/>
                <w:szCs w:val="18"/>
                <w:color w:val="auto"/>
              </w:rPr>
              <w:t>22.15%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24.06%</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tcBorders>
              <w:bottom w:val="single" w:sz="8" w:color="CCEEFF"/>
            </w:tcBorders>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rPr>
              <w:t>2.03%</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00" w:type="dxa"/>
            <w:vAlign w:val="bottom"/>
          </w:tcPr>
          <w:p>
            <w:pPr>
              <w:jc w:val="center"/>
              <w:ind w:left="2093"/>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r>
      <w:tr>
        <w:trPr>
          <w:trHeight w:val="27"/>
        </w:trPr>
        <w:tc>
          <w:tcPr>
            <w:tcW w:w="5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900" w:type="dxa"/>
            <w:vAlign w:val="bottom"/>
            <w:shd w:val="clear" w:color="auto" w:fill="CCEEFF"/>
          </w:tcPr>
          <w:p>
            <w:pPr>
              <w:jc w:val="center"/>
              <w:ind w:left="2093"/>
              <w:spacing w:after="0"/>
              <w:rPr>
                <w:sz w:val="20"/>
                <w:szCs w:val="20"/>
                <w:color w:val="auto"/>
              </w:rPr>
            </w:pPr>
            <w:r>
              <w:rPr>
                <w:rFonts w:ascii="Times New Roman" w:cs="Times New Roman" w:eastAsia="Times New Roman" w:hAnsi="Times New Roman"/>
                <w:sz w:val="18"/>
                <w:szCs w:val="18"/>
                <w:color w:val="auto"/>
                <w:w w:val="96"/>
              </w:rPr>
              <w:t>$12.55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$8.79</w:t>
            </w:r>
          </w:p>
        </w:tc>
      </w:tr>
      <w:tr>
        <w:trPr>
          <w:trHeight w:val="27"/>
        </w:trPr>
        <w:tc>
          <w:tcPr>
            <w:tcW w:w="58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fiscal 2017 and 2016 was $54.52 and $38.89, respectively. No performance shares awards were granted during the second quarter of fiscal 2017 or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 Awards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unit awards granted during the first six months of fiscal 2017 and 2016 was $56.67 and $38.67,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Per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00" w:type="dxa"/>
            <w:vAlign w:val="bottom"/>
            <w:tcBorders>
              <w:bottom w:val="single" w:sz="8" w:color="auto"/>
            </w:tcBorders>
            <w:gridSpan w:val="2"/>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38"/>
        </w:trPr>
        <w:tc>
          <w:tcPr>
            <w:tcW w:w="4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74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May 5,</w:t>
            </w:r>
          </w:p>
        </w:tc>
        <w:tc>
          <w:tcPr>
            <w:tcW w:w="174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166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May 5,</w:t>
            </w:r>
          </w:p>
        </w:tc>
        <w:tc>
          <w:tcPr>
            <w:tcW w:w="14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4840" w:type="dxa"/>
            <w:vAlign w:val="bottom"/>
            <w:tcBorders>
              <w:bottom w:val="single" w:sz="8" w:color="auto"/>
            </w:tcBorders>
            <w:gridSpan w:val="4"/>
            <w:vMerge w:val="continue"/>
          </w:tcPr>
          <w:p>
            <w:pPr>
              <w:spacing w:after="0"/>
              <w:rPr>
                <w:sz w:val="16"/>
                <w:szCs w:val="16"/>
                <w:color w:val="auto"/>
              </w:rPr>
            </w:pPr>
          </w:p>
        </w:tc>
        <w:tc>
          <w:tcPr>
            <w:tcW w:w="17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7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1"/>
        </w:trPr>
        <w:tc>
          <w:tcPr>
            <w:tcW w:w="484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i w:val="1"/>
                <w:iCs w:val="1"/>
                <w:color w:val="auto"/>
              </w:rPr>
              <w:t>Basic</w:t>
            </w:r>
          </w:p>
        </w:tc>
        <w:tc>
          <w:tcPr>
            <w:tcW w:w="17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108,203</w:t>
            </w: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109,808</w:t>
            </w:r>
          </w:p>
        </w:tc>
        <w:tc>
          <w:tcPr>
            <w:tcW w:w="1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108,398</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109,880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74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8"/>
        </w:trPr>
        <w:tc>
          <w:tcPr>
            <w:tcW w:w="48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and</w:t>
            </w:r>
          </w:p>
        </w:tc>
        <w:tc>
          <w:tcPr>
            <w:tcW w:w="17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108,203</w:t>
            </w: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109,808</w:t>
            </w:r>
          </w:p>
        </w:tc>
        <w:tc>
          <w:tcPr>
            <w:tcW w:w="1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108,419</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109,918</w:t>
            </w:r>
          </w:p>
        </w:tc>
        <w:tc>
          <w:tcPr>
            <w:tcW w:w="0" w:type="dxa"/>
            <w:vAlign w:val="bottom"/>
          </w:tcPr>
          <w:p>
            <w:pPr>
              <w:spacing w:after="0"/>
              <w:rPr>
                <w:sz w:val="1"/>
                <w:szCs w:val="1"/>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840" w:type="dxa"/>
            <w:vAlign w:val="bottom"/>
            <w:gridSpan w:val="4"/>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Diluted</w:t>
            </w:r>
          </w:p>
        </w:tc>
        <w:tc>
          <w:tcPr>
            <w:tcW w:w="17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26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and</w:t>
            </w: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assumed issuance of contingent shares</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108,203</w:t>
            </w: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109,808</w:t>
            </w:r>
          </w:p>
        </w:tc>
        <w:tc>
          <w:tcPr>
            <w:tcW w:w="1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108,419</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109,918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4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2,935</w:t>
            </w:r>
          </w:p>
        </w:tc>
        <w:tc>
          <w:tcPr>
            <w:tcW w:w="174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2,164</w:t>
            </w:r>
          </w:p>
        </w:tc>
        <w:tc>
          <w:tcPr>
            <w:tcW w:w="166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3,032</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18"/>
        </w:trPr>
        <w:tc>
          <w:tcPr>
            <w:tcW w:w="48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w:t>
            </w:r>
          </w:p>
        </w:tc>
        <w:tc>
          <w:tcPr>
            <w:tcW w:w="17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assumed issuance of contingent shares, and effect of dilutive</w:t>
            </w: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17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111,138</w:t>
            </w: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111,972</w:t>
            </w:r>
          </w:p>
        </w:tc>
        <w:tc>
          <w:tcPr>
            <w:tcW w:w="1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111,451</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112,154</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and per share data have been adjusted for all periods presented to reflect a two-for-one stock split effective September 16, 2016.</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Incremental shares from options and restricted stock units are computed by the treasury stock method. Options to purchase 509,805 and 556,634 shares of common stock during the second quarter of fiscal 2017 and 2016, respectively, were excluded from diluted net earnings per share because they were anti-dilutive. Options to purchase 404,096 and 491,504 shares of common stock during the first six months of fiscal 2017 and 2016, respectively, were excluded from diluted net earnings per share because they were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the company-owned domestic distributorship, has been combined with the company’s corporate activities and elimination of intersegment revenues and expenses that is shown as “Other” in the following tables due to the insignificance of the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5"/>
        </w:trPr>
        <w:tc>
          <w:tcPr>
            <w:tcW w:w="3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May 5, 2017</w:t>
            </w:r>
          </w:p>
        </w:tc>
        <w:tc>
          <w:tcPr>
            <w:tcW w:w="14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610,896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258,134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12,634</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4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149,011</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35,047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54"/>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5"/>
        </w:trPr>
        <w:tc>
          <w:tcPr>
            <w:tcW w:w="3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April 29, 2016</w:t>
            </w:r>
          </w:p>
        </w:tc>
        <w:tc>
          <w:tcPr>
            <w:tcW w:w="14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595,209</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238,231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12,249</w:t>
            </w: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4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141,623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34,988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35"/>
        </w:trPr>
        <w:tc>
          <w:tcPr>
            <w:tcW w:w="40" w:type="dxa"/>
            <w:vAlign w:val="bottom"/>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54"/>
        </w:trPr>
        <w:tc>
          <w:tcPr>
            <w:tcW w:w="4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5"/>
        </w:trPr>
        <w:tc>
          <w:tcPr>
            <w:tcW w:w="40" w:type="dxa"/>
            <w:vAlign w:val="bottom"/>
          </w:tcPr>
          <w:p>
            <w:pPr>
              <w:spacing w:after="0"/>
              <w:rPr>
                <w:sz w:val="23"/>
                <w:szCs w:val="2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May 5, 2017</w:t>
            </w:r>
          </w:p>
        </w:tc>
        <w:tc>
          <w:tcPr>
            <w:tcW w:w="1480" w:type="dxa"/>
            <w:vAlign w:val="bottom"/>
          </w:tcPr>
          <w:p>
            <w:pPr>
              <w:spacing w:after="0"/>
              <w:rPr>
                <w:sz w:val="23"/>
                <w:szCs w:val="23"/>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Pr>
          <w:p>
            <w:pPr>
              <w:spacing w:after="0"/>
              <w:rPr>
                <w:sz w:val="23"/>
                <w:szCs w:val="23"/>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Pr>
          <w:p>
            <w:pPr>
              <w:spacing w:after="0"/>
              <w:rPr>
                <w:sz w:val="23"/>
                <w:szCs w:val="23"/>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23"/>
                <w:szCs w:val="2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0" w:type="dxa"/>
            <w:vAlign w:val="bottom"/>
          </w:tcPr>
          <w:p>
            <w:pPr>
              <w:spacing w:after="0"/>
              <w:rPr>
                <w:sz w:val="21"/>
                <w:szCs w:val="21"/>
                <w:color w:val="auto"/>
              </w:rPr>
            </w:pPr>
          </w:p>
        </w:tc>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982,705</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398,524</w:t>
            </w:r>
          </w:p>
        </w:tc>
        <w:tc>
          <w:tcPr>
            <w:tcW w:w="4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7,377</w:t>
            </w:r>
          </w:p>
        </w:tc>
        <w:tc>
          <w:tcPr>
            <w:tcW w:w="4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1,388,606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17,190</w:t>
            </w:r>
          </w:p>
        </w:tc>
        <w:tc>
          <w:tcPr>
            <w:tcW w:w="3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192</w:t>
            </w: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(17,382)</w:t>
            </w: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217,177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51,605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(50,908)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217,874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892,610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265,913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440,235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1,598,758</w:t>
            </w:r>
          </w:p>
        </w:tc>
        <w:tc>
          <w:tcPr>
            <w:tcW w:w="20" w:type="dxa"/>
            <w:vAlign w:val="bottom"/>
          </w:tcPr>
          <w:p>
            <w:pPr>
              <w:spacing w:after="0"/>
              <w:rPr>
                <w:sz w:val="21"/>
                <w:szCs w:val="21"/>
                <w:color w:val="auto"/>
              </w:rPr>
            </w:pPr>
          </w:p>
        </w:tc>
      </w:tr>
      <w:tr>
        <w:trPr>
          <w:trHeight w:val="162"/>
        </w:trPr>
        <w:tc>
          <w:tcPr>
            <w:tcW w:w="4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4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5"/>
        </w:trPr>
        <w:tc>
          <w:tcPr>
            <w:tcW w:w="40" w:type="dxa"/>
            <w:vAlign w:val="bottom"/>
          </w:tcPr>
          <w:p>
            <w:pPr>
              <w:spacing w:after="0"/>
              <w:rPr>
                <w:sz w:val="23"/>
                <w:szCs w:val="23"/>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April 29, 2016</w:t>
            </w:r>
          </w:p>
        </w:tc>
        <w:tc>
          <w:tcPr>
            <w:tcW w:w="1480" w:type="dxa"/>
            <w:vAlign w:val="bottom"/>
          </w:tcPr>
          <w:p>
            <w:pPr>
              <w:spacing w:after="0"/>
              <w:rPr>
                <w:sz w:val="23"/>
                <w:szCs w:val="23"/>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360" w:type="dxa"/>
            <w:vAlign w:val="bottom"/>
          </w:tcPr>
          <w:p>
            <w:pPr>
              <w:spacing w:after="0"/>
              <w:rPr>
                <w:sz w:val="23"/>
                <w:szCs w:val="23"/>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420" w:type="dxa"/>
            <w:vAlign w:val="bottom"/>
          </w:tcPr>
          <w:p>
            <w:pPr>
              <w:spacing w:after="0"/>
              <w:rPr>
                <w:sz w:val="23"/>
                <w:szCs w:val="23"/>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23"/>
                <w:szCs w:val="2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0" w:type="dxa"/>
            <w:vAlign w:val="bottom"/>
          </w:tcPr>
          <w:p>
            <w:pPr>
              <w:spacing w:after="0"/>
              <w:rPr>
                <w:sz w:val="21"/>
                <w:szCs w:val="21"/>
                <w:color w:val="auto"/>
              </w:rPr>
            </w:pPr>
          </w:p>
        </w:tc>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934,045</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382,515</w:t>
            </w:r>
          </w:p>
        </w:tc>
        <w:tc>
          <w:tcPr>
            <w:tcW w:w="4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6,279</w:t>
            </w:r>
          </w:p>
        </w:tc>
        <w:tc>
          <w:tcPr>
            <w:tcW w:w="4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1,322,839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gross sales</w:t>
            </w:r>
          </w:p>
        </w:tc>
        <w:tc>
          <w:tcPr>
            <w:tcW w:w="148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17,966</w:t>
            </w:r>
          </w:p>
        </w:tc>
        <w:tc>
          <w:tcPr>
            <w:tcW w:w="3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(18,163)</w:t>
            </w:r>
          </w:p>
        </w:tc>
        <w:tc>
          <w:tcPr>
            <w:tcW w:w="4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203,215</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51,727</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(47,003)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207,939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890,577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301,907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347,170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1,539,654</w:t>
            </w:r>
          </w:p>
        </w:tc>
        <w:tc>
          <w:tcPr>
            <w:tcW w:w="2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loss before income taxes included in “Other” shown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38"/>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00" w:type="dxa"/>
            <w:vAlign w:val="bottom"/>
          </w:tcPr>
          <w:p>
            <w:pPr>
              <w:spacing w:after="0"/>
              <w:rPr>
                <w:sz w:val="24"/>
                <w:szCs w:val="24"/>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24"/>
                <w:szCs w:val="24"/>
                <w:color w:val="auto"/>
              </w:rPr>
            </w:pPr>
          </w:p>
        </w:tc>
        <w:tc>
          <w:tcPr>
            <w:tcW w:w="12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80" w:type="dxa"/>
            <w:vAlign w:val="bottom"/>
          </w:tcPr>
          <w:p>
            <w:pPr>
              <w:spacing w:after="0"/>
              <w:rPr>
                <w:sz w:val="24"/>
                <w:szCs w:val="24"/>
                <w:color w:val="auto"/>
              </w:rPr>
            </w:pPr>
          </w:p>
        </w:tc>
        <w:tc>
          <w:tcPr>
            <w:tcW w:w="12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24"/>
                <w:szCs w:val="24"/>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5,189</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5,936</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8,862</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10,739</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(50,908)</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 — Litigation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 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Warranty Guarantees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The company sells extended warranty coverage on select products for a prescribed period after the original warranty period expires.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38"/>
        </w:trPr>
        <w:tc>
          <w:tcPr>
            <w:tcW w:w="3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80" w:type="dxa"/>
            <w:vAlign w:val="bottom"/>
          </w:tcPr>
          <w:p>
            <w:pPr>
              <w:spacing w:after="0"/>
              <w:rPr>
                <w:sz w:val="24"/>
                <w:szCs w:val="24"/>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60" w:type="dxa"/>
            <w:vAlign w:val="bottom"/>
          </w:tcPr>
          <w:p>
            <w:pPr>
              <w:spacing w:after="0"/>
              <w:rPr>
                <w:sz w:val="24"/>
                <w:szCs w:val="24"/>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80" w:type="dxa"/>
            <w:vAlign w:val="bottom"/>
          </w:tcPr>
          <w:p>
            <w:pPr>
              <w:spacing w:after="0"/>
              <w:rPr>
                <w:sz w:val="24"/>
                <w:szCs w:val="24"/>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24"/>
                <w:szCs w:val="24"/>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72,573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71,147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72,158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70,734</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provisions</w:t>
            </w:r>
          </w:p>
        </w:tc>
        <w:tc>
          <w:tcPr>
            <w:tcW w:w="208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17,180</w:t>
            </w:r>
          </w:p>
        </w:tc>
        <w:tc>
          <w:tcPr>
            <w:tcW w:w="36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16,864</w:t>
            </w:r>
          </w:p>
        </w:tc>
        <w:tc>
          <w:tcPr>
            <w:tcW w:w="38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26,795</w:t>
            </w:r>
          </w:p>
        </w:tc>
        <w:tc>
          <w:tcPr>
            <w:tcW w:w="34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25,804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claims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(8,507)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estimates</w:t>
            </w:r>
          </w:p>
        </w:tc>
        <w:tc>
          <w:tcPr>
            <w:tcW w:w="208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1,341</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81,993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79,658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81,993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79,658</w:t>
            </w:r>
          </w:p>
        </w:tc>
        <w:tc>
          <w:tcPr>
            <w:tcW w:w="0" w:type="dxa"/>
            <w:vAlign w:val="bottom"/>
          </w:tcPr>
          <w:p>
            <w:pPr>
              <w:spacing w:after="0"/>
              <w:rPr>
                <w:sz w:val="1"/>
                <w:szCs w:val="1"/>
                <w:color w:val="auto"/>
              </w:rPr>
            </w:pP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Instruments and Hedging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hedging instruments, authorized under company policies that place controls on these activities, with counterparties that are highly rated financial institutions.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forecasted sales and purchases denominated in foreign currencies. The company may also utilize forward currency contracts or cross currency swaps to offset intercompany loan exposures.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contracts are primarily based on the amount of exposure to the currency involved and an assessment of the near-term market value for each currency.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hedges. </w:t>
      </w:r>
      <w:r>
        <w:rPr>
          <w:rFonts w:ascii="Times New Roman" w:cs="Times New Roman" w:eastAsia="Times New Roman" w:hAnsi="Times New Roman"/>
          <w:sz w:val="18"/>
          <w:szCs w:val="18"/>
          <w:color w:val="auto"/>
        </w:rPr>
        <w:t>The company recognizes all derivative instruments as either assets or liabilities at fair value on the Condensed Consolidated Balance Sheet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foreign plant operations, and purchases from suppliers. Changes in fair values of outstanding cash flow hedge derivatives, except the ineffective portion, are recorded in other comprehensive income within accumulated other comprehensive loss ("AOCL") on the Condensed Consolidated Balance Sheets, until net earnings is affected by the variability of cash flows of the hedged transaction. Gains and losses on the derivative representing either hedge ineffectiveness or hedge components excluded from the assessment of effectiveness are recognized in net earnings. The Condensed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Condensed Consolidated Balance Sheets, recognizing future changes in the fair value in other income, net. For the second quarter of fiscal 2017, the company did not discontinue hedge accounting on any forward currency contracts designated as cash flow hedging instruments. For the six months ended May 5, 2017, the company recognized immaterial gains on forward currency contracts reclassified into earnings as a result of the discontinuance of hedge accounting. As of May 5, 2017, the notional amount outstanding of forward contracts designated as cash flow hedges was $85.6 million.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w:t>
      </w:r>
      <w:r>
        <w:rPr>
          <w:rFonts w:ascii="Times New Roman" w:cs="Times New Roman" w:eastAsia="Times New Roman" w:hAnsi="Times New Roman"/>
          <w:sz w:val="18"/>
          <w:szCs w:val="18"/>
          <w:color w:val="auto"/>
        </w:rPr>
        <w:t>The company also enters into foreign currency contracts that include forward currency contracts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mitigate the remeasurement of specific assets and liabilities on the Condensed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derivatives and Condensed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00" w:type="dxa"/>
            <w:vAlign w:val="bottom"/>
          </w:tcPr>
          <w:p>
            <w:pPr>
              <w:spacing w:after="0"/>
              <w:rPr>
                <w:sz w:val="16"/>
                <w:szCs w:val="16"/>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4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30"/>
        </w:trPr>
        <w:tc>
          <w:tcPr>
            <w:tcW w:w="5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0" w:type="dxa"/>
            <w:vAlign w:val="bottom"/>
          </w:tcPr>
          <w:p>
            <w:pPr>
              <w:spacing w:after="0"/>
              <w:rPr>
                <w:sz w:val="19"/>
                <w:szCs w:val="19"/>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300" w:type="dxa"/>
            <w:vAlign w:val="bottom"/>
          </w:tcPr>
          <w:p>
            <w:pPr>
              <w:spacing w:after="0"/>
              <w:rPr>
                <w:sz w:val="19"/>
                <w:szCs w:val="19"/>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2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31, 2016</w:t>
            </w:r>
          </w:p>
        </w:tc>
      </w:tr>
      <w:tr>
        <w:trPr>
          <w:trHeight w:val="51"/>
        </w:trPr>
        <w:tc>
          <w:tcPr>
            <w:tcW w:w="56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hedging instruments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1,535</w:t>
            </w: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Cross currency contract</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not designated as cash flow hedging instruments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4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Cross currency contract</w:t>
            </w:r>
          </w:p>
        </w:tc>
        <w:tc>
          <w:tcPr>
            <w:tcW w:w="1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1,847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2,831</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1,967</w:t>
            </w:r>
          </w:p>
        </w:tc>
      </w:tr>
      <w:tr>
        <w:trPr>
          <w:trHeight w:val="67"/>
        </w:trPr>
        <w:tc>
          <w:tcPr>
            <w:tcW w:w="56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designated as cash flow hedging instruments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973</w:t>
            </w: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Derivatives not designated as cash flow hedging instruments</w:t>
            </w:r>
          </w:p>
        </w:tc>
        <w:tc>
          <w:tcPr>
            <w:tcW w:w="1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792</w:t>
            </w:r>
          </w:p>
        </w:tc>
      </w:tr>
      <w:tr>
        <w:trPr>
          <w:trHeight w:val="237"/>
        </w:trPr>
        <w:tc>
          <w:tcPr>
            <w:tcW w:w="5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of derivative instruments on the Condensed Consolidated Statements of Earnings for the company’s derivatives designated as cash flow hedging instruments for the three and six months ended May 5, 2017 and April 29, 2016,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6"/>
              </w:rPr>
              <w:t>Ineffective Portion and Excluded from</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Effective Portion</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auto"/>
            </w:tcBorders>
            <w:gridSpan w:val="3"/>
          </w:tcPr>
          <w:p>
            <w:pPr>
              <w:jc w:val="center"/>
              <w:ind w:left="897"/>
              <w:spacing w:after="0"/>
              <w:rPr>
                <w:sz w:val="20"/>
                <w:szCs w:val="20"/>
                <w:color w:val="auto"/>
              </w:rPr>
            </w:pPr>
            <w:r>
              <w:rPr>
                <w:rFonts w:ascii="Times New Roman" w:cs="Times New Roman" w:eastAsia="Times New Roman" w:hAnsi="Times New Roman"/>
                <w:sz w:val="13"/>
                <w:szCs w:val="13"/>
                <w:b w:val="1"/>
                <w:bCs w:val="1"/>
                <w:color w:val="auto"/>
                <w:w w:val="94"/>
              </w:rPr>
              <w:t>Effectiveness Testing</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3"/>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760" w:type="dxa"/>
            <w:vAlign w:val="bottom"/>
          </w:tcPr>
          <w:p>
            <w:pPr>
              <w:jc w:val="center"/>
              <w:ind w:left="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Location of Gain (Loss)</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Location of Gain</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3"/>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Recognized in OCI on</w:t>
            </w:r>
          </w:p>
        </w:tc>
        <w:tc>
          <w:tcPr>
            <w:tcW w:w="176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340" w:type="dxa"/>
            <w:vAlign w:val="bottom"/>
          </w:tcPr>
          <w:p>
            <w:pPr>
              <w:spacing w:after="0"/>
              <w:rPr>
                <w:sz w:val="11"/>
                <w:szCs w:val="11"/>
                <w:color w:val="auto"/>
              </w:rPr>
            </w:pPr>
          </w:p>
        </w:tc>
        <w:tc>
          <w:tcPr>
            <w:tcW w:w="1860" w:type="dxa"/>
            <w:vAlign w:val="bottom"/>
            <w:gridSpan w:val="4"/>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Reclassified</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(Loss) Recognized in</w:t>
            </w:r>
          </w:p>
        </w:tc>
        <w:tc>
          <w:tcPr>
            <w:tcW w:w="340" w:type="dxa"/>
            <w:vAlign w:val="bottom"/>
          </w:tcPr>
          <w:p>
            <w:pPr>
              <w:spacing w:after="0"/>
              <w:rPr>
                <w:sz w:val="11"/>
                <w:szCs w:val="11"/>
                <w:color w:val="auto"/>
              </w:rPr>
            </w:pPr>
          </w:p>
        </w:tc>
        <w:tc>
          <w:tcPr>
            <w:tcW w:w="172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Recognized</w:t>
            </w:r>
          </w:p>
        </w:tc>
        <w:tc>
          <w:tcPr>
            <w:tcW w:w="0" w:type="dxa"/>
            <w:vAlign w:val="bottom"/>
          </w:tcPr>
          <w:p>
            <w:pPr>
              <w:spacing w:after="0"/>
              <w:rPr>
                <w:sz w:val="1"/>
                <w:szCs w:val="1"/>
                <w:color w:val="auto"/>
              </w:rPr>
            </w:pPr>
          </w:p>
        </w:tc>
      </w:tr>
      <w:tr>
        <w:trPr>
          <w:trHeight w:val="176"/>
        </w:trPr>
        <w:tc>
          <w:tcPr>
            <w:tcW w:w="1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Derivatives</w:t>
            </w:r>
          </w:p>
        </w:tc>
        <w:tc>
          <w:tcPr>
            <w:tcW w:w="17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AOCL into Income</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from AOCL into Income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Income on Derivatives</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in Income on Derivatives</w:t>
            </w:r>
          </w:p>
        </w:tc>
        <w:tc>
          <w:tcPr>
            <w:tcW w:w="0" w:type="dxa"/>
            <w:vAlign w:val="bottom"/>
          </w:tcPr>
          <w:p>
            <w:pPr>
              <w:spacing w:after="0"/>
              <w:rPr>
                <w:sz w:val="1"/>
                <w:szCs w:val="1"/>
                <w:color w:val="auto"/>
              </w:rPr>
            </w:pPr>
          </w:p>
        </w:tc>
      </w:tr>
      <w:tr>
        <w:trPr>
          <w:trHeight w:val="173"/>
        </w:trPr>
        <w:tc>
          <w:tcPr>
            <w:tcW w:w="1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6"/>
                <w:szCs w:val="16"/>
                <w:color w:val="auto"/>
              </w:rPr>
            </w:pPr>
          </w:p>
        </w:tc>
        <w:tc>
          <w:tcPr>
            <w:tcW w:w="780" w:type="dxa"/>
            <w:vAlign w:val="bottom"/>
          </w:tcPr>
          <w:p>
            <w:pPr>
              <w:jc w:val="center"/>
              <w:ind w:right="197"/>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40" w:type="dxa"/>
            <w:vAlign w:val="bottom"/>
          </w:tcPr>
          <w:p>
            <w:pPr>
              <w:spacing w:after="0"/>
              <w:rPr>
                <w:sz w:val="16"/>
                <w:szCs w:val="16"/>
                <w:color w:val="auto"/>
              </w:rPr>
            </w:pPr>
          </w:p>
        </w:tc>
        <w:tc>
          <w:tcPr>
            <w:tcW w:w="820" w:type="dxa"/>
            <w:vAlign w:val="bottom"/>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center"/>
              <w:ind w:right="177"/>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20" w:type="dxa"/>
            <w:vAlign w:val="bottom"/>
          </w:tcPr>
          <w:p>
            <w:pPr>
              <w:spacing w:after="0"/>
              <w:rPr>
                <w:sz w:val="16"/>
                <w:szCs w:val="16"/>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240" w:type="dxa"/>
            <w:vAlign w:val="bottom"/>
          </w:tcPr>
          <w:p>
            <w:pPr>
              <w:spacing w:after="0"/>
              <w:rPr>
                <w:sz w:val="7"/>
                <w:szCs w:val="7"/>
                <w:color w:val="auto"/>
              </w:rPr>
            </w:pPr>
          </w:p>
        </w:tc>
        <w:tc>
          <w:tcPr>
            <w:tcW w:w="8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2016</w:t>
            </w:r>
          </w:p>
        </w:tc>
        <w:tc>
          <w:tcPr>
            <w:tcW w:w="1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7"/>
                <w:szCs w:val="7"/>
                <w:color w:val="auto"/>
              </w:rPr>
            </w:pPr>
          </w:p>
        </w:tc>
        <w:tc>
          <w:tcPr>
            <w:tcW w:w="760" w:type="dxa"/>
            <w:vAlign w:val="bottom"/>
            <w:vMerge w:val="restart"/>
          </w:tcPr>
          <w:p>
            <w:pPr>
              <w:jc w:val="center"/>
              <w:ind w:right="77"/>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7"/>
                <w:szCs w:val="7"/>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2"/>
                <w:szCs w:val="12"/>
                <w:b w:val="1"/>
                <w:bCs w:val="1"/>
                <w:color w:val="auto"/>
                <w:w w:val="99"/>
              </w:rPr>
              <w:t>2016</w:t>
            </w:r>
          </w:p>
        </w:tc>
        <w:tc>
          <w:tcPr>
            <w:tcW w:w="0" w:type="dxa"/>
            <w:vAlign w:val="bottom"/>
          </w:tcPr>
          <w:p>
            <w:pPr>
              <w:spacing w:after="0"/>
              <w:rPr>
                <w:sz w:val="1"/>
                <w:szCs w:val="1"/>
                <w:color w:val="auto"/>
              </w:rPr>
            </w:pPr>
          </w:p>
        </w:tc>
      </w:tr>
      <w:tr>
        <w:trPr>
          <w:trHeight w:val="91"/>
        </w:trPr>
        <w:tc>
          <w:tcPr>
            <w:tcW w:w="1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(3,195)</w:t>
            </w: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sales</w:t>
            </w: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262"/>
        </w:trPr>
        <w:tc>
          <w:tcPr>
            <w:tcW w:w="1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8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2,267</w:t>
            </w:r>
          </w:p>
        </w:tc>
        <w:tc>
          <w:tcPr>
            <w:tcW w:w="240" w:type="dxa"/>
            <w:vAlign w:val="bottom"/>
          </w:tcPr>
          <w:p>
            <w:pPr>
              <w:spacing w:after="0"/>
              <w:rPr>
                <w:sz w:val="22"/>
                <w:szCs w:val="22"/>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1,439</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sales</w:t>
            </w: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(561)</w:t>
            </w:r>
          </w:p>
        </w:tc>
        <w:tc>
          <w:tcPr>
            <w:tcW w:w="22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(685)</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Cross currency contracts</w:t>
            </w: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221</w:t>
            </w:r>
          </w:p>
        </w:tc>
        <w:tc>
          <w:tcPr>
            <w:tcW w:w="1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Total derivatives designated as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cash flow hedging instruments</w:t>
            </w: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1,741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(1,535)</w:t>
            </w: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1,066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4"/>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gridSpan w:val="4"/>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6"/>
              </w:rPr>
              <w:t>Ineffective Portion and Excluded from</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Effective Portion</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auto"/>
            </w:tcBorders>
            <w:gridSpan w:val="3"/>
          </w:tcPr>
          <w:p>
            <w:pPr>
              <w:jc w:val="center"/>
              <w:ind w:left="897"/>
              <w:spacing w:after="0"/>
              <w:rPr>
                <w:sz w:val="20"/>
                <w:szCs w:val="20"/>
                <w:color w:val="auto"/>
              </w:rPr>
            </w:pPr>
            <w:r>
              <w:rPr>
                <w:rFonts w:ascii="Times New Roman" w:cs="Times New Roman" w:eastAsia="Times New Roman" w:hAnsi="Times New Roman"/>
                <w:sz w:val="13"/>
                <w:szCs w:val="13"/>
                <w:b w:val="1"/>
                <w:bCs w:val="1"/>
                <w:color w:val="auto"/>
                <w:w w:val="94"/>
              </w:rPr>
              <w:t>Effectiveness Testing</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3"/>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760" w:type="dxa"/>
            <w:vAlign w:val="bottom"/>
          </w:tcPr>
          <w:p>
            <w:pPr>
              <w:jc w:val="center"/>
              <w:ind w:left="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Location of Gain (Loss)</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Location of Gain</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3"/>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Recognized in OCI on</w:t>
            </w:r>
          </w:p>
        </w:tc>
        <w:tc>
          <w:tcPr>
            <w:tcW w:w="176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340" w:type="dxa"/>
            <w:vAlign w:val="bottom"/>
          </w:tcPr>
          <w:p>
            <w:pPr>
              <w:spacing w:after="0"/>
              <w:rPr>
                <w:sz w:val="11"/>
                <w:szCs w:val="11"/>
                <w:color w:val="auto"/>
              </w:rPr>
            </w:pPr>
          </w:p>
        </w:tc>
        <w:tc>
          <w:tcPr>
            <w:tcW w:w="1860" w:type="dxa"/>
            <w:vAlign w:val="bottom"/>
            <w:gridSpan w:val="4"/>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Reclassified</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(Loss) Recognized in</w:t>
            </w:r>
          </w:p>
        </w:tc>
        <w:tc>
          <w:tcPr>
            <w:tcW w:w="340" w:type="dxa"/>
            <w:vAlign w:val="bottom"/>
          </w:tcPr>
          <w:p>
            <w:pPr>
              <w:spacing w:after="0"/>
              <w:rPr>
                <w:sz w:val="11"/>
                <w:szCs w:val="11"/>
                <w:color w:val="auto"/>
              </w:rPr>
            </w:pPr>
          </w:p>
        </w:tc>
        <w:tc>
          <w:tcPr>
            <w:tcW w:w="172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Gain (Loss) Recognized</w:t>
            </w:r>
          </w:p>
        </w:tc>
        <w:tc>
          <w:tcPr>
            <w:tcW w:w="0" w:type="dxa"/>
            <w:vAlign w:val="bottom"/>
          </w:tcPr>
          <w:p>
            <w:pPr>
              <w:spacing w:after="0"/>
              <w:rPr>
                <w:sz w:val="1"/>
                <w:szCs w:val="1"/>
                <w:color w:val="auto"/>
              </w:rPr>
            </w:pPr>
          </w:p>
        </w:tc>
      </w:tr>
      <w:tr>
        <w:trPr>
          <w:trHeight w:val="176"/>
        </w:trPr>
        <w:tc>
          <w:tcPr>
            <w:tcW w:w="1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Derivatives</w:t>
            </w:r>
          </w:p>
        </w:tc>
        <w:tc>
          <w:tcPr>
            <w:tcW w:w="17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AOCL into Income</w:t>
            </w: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from AOCL into Income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Income on Derivatives</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in Income on Derivatives</w:t>
            </w:r>
          </w:p>
        </w:tc>
        <w:tc>
          <w:tcPr>
            <w:tcW w:w="0" w:type="dxa"/>
            <w:vAlign w:val="bottom"/>
          </w:tcPr>
          <w:p>
            <w:pPr>
              <w:spacing w:after="0"/>
              <w:rPr>
                <w:sz w:val="1"/>
                <w:szCs w:val="1"/>
                <w:color w:val="auto"/>
              </w:rPr>
            </w:pPr>
          </w:p>
        </w:tc>
      </w:tr>
      <w:tr>
        <w:trPr>
          <w:trHeight w:val="173"/>
        </w:trPr>
        <w:tc>
          <w:tcPr>
            <w:tcW w:w="17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80" w:type="dxa"/>
            <w:vAlign w:val="bottom"/>
          </w:tcPr>
          <w:p>
            <w:pPr>
              <w:spacing w:after="0"/>
              <w:rPr>
                <w:sz w:val="16"/>
                <w:szCs w:val="16"/>
                <w:color w:val="auto"/>
              </w:rPr>
            </w:pPr>
          </w:p>
        </w:tc>
        <w:tc>
          <w:tcPr>
            <w:tcW w:w="780" w:type="dxa"/>
            <w:vAlign w:val="bottom"/>
          </w:tcPr>
          <w:p>
            <w:pPr>
              <w:jc w:val="center"/>
              <w:ind w:right="197"/>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40" w:type="dxa"/>
            <w:vAlign w:val="bottom"/>
          </w:tcPr>
          <w:p>
            <w:pPr>
              <w:spacing w:after="0"/>
              <w:rPr>
                <w:sz w:val="16"/>
                <w:szCs w:val="16"/>
                <w:color w:val="auto"/>
              </w:rPr>
            </w:pPr>
          </w:p>
        </w:tc>
        <w:tc>
          <w:tcPr>
            <w:tcW w:w="820" w:type="dxa"/>
            <w:vAlign w:val="bottom"/>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center"/>
              <w:ind w:right="177"/>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May 5,</w:t>
            </w:r>
          </w:p>
        </w:tc>
        <w:tc>
          <w:tcPr>
            <w:tcW w:w="220" w:type="dxa"/>
            <w:vAlign w:val="bottom"/>
          </w:tcPr>
          <w:p>
            <w:pPr>
              <w:spacing w:after="0"/>
              <w:rPr>
                <w:sz w:val="16"/>
                <w:szCs w:val="16"/>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rPr>
              <w:t>April 29,</w:t>
            </w:r>
          </w:p>
        </w:tc>
        <w:tc>
          <w:tcPr>
            <w:tcW w:w="0" w:type="dxa"/>
            <w:vAlign w:val="bottom"/>
          </w:tcPr>
          <w:p>
            <w:pPr>
              <w:spacing w:after="0"/>
              <w:rPr>
                <w:sz w:val="1"/>
                <w:szCs w:val="1"/>
                <w:color w:val="auto"/>
              </w:rPr>
            </w:pPr>
          </w:p>
        </w:tc>
      </w:tr>
      <w:tr>
        <w:trPr>
          <w:trHeight w:val="84"/>
        </w:trPr>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240" w:type="dxa"/>
            <w:vAlign w:val="bottom"/>
          </w:tcPr>
          <w:p>
            <w:pPr>
              <w:spacing w:after="0"/>
              <w:rPr>
                <w:sz w:val="7"/>
                <w:szCs w:val="7"/>
                <w:color w:val="auto"/>
              </w:rPr>
            </w:pPr>
          </w:p>
        </w:tc>
        <w:tc>
          <w:tcPr>
            <w:tcW w:w="8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2016</w:t>
            </w:r>
          </w:p>
        </w:tc>
        <w:tc>
          <w:tcPr>
            <w:tcW w:w="1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7"/>
                <w:szCs w:val="7"/>
                <w:color w:val="auto"/>
              </w:rPr>
            </w:pPr>
          </w:p>
        </w:tc>
        <w:tc>
          <w:tcPr>
            <w:tcW w:w="760" w:type="dxa"/>
            <w:vAlign w:val="bottom"/>
            <w:vMerge w:val="restart"/>
          </w:tcPr>
          <w:p>
            <w:pPr>
              <w:jc w:val="center"/>
              <w:ind w:right="77"/>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7"/>
                <w:szCs w:val="7"/>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2"/>
                <w:szCs w:val="12"/>
                <w:b w:val="1"/>
                <w:bCs w:val="1"/>
                <w:color w:val="auto"/>
                <w:w w:val="99"/>
              </w:rPr>
              <w:t>2016</w:t>
            </w:r>
          </w:p>
        </w:tc>
        <w:tc>
          <w:tcPr>
            <w:tcW w:w="0" w:type="dxa"/>
            <w:vAlign w:val="bottom"/>
          </w:tcPr>
          <w:p>
            <w:pPr>
              <w:spacing w:after="0"/>
              <w:rPr>
                <w:sz w:val="1"/>
                <w:szCs w:val="1"/>
                <w:color w:val="auto"/>
              </w:rPr>
            </w:pPr>
          </w:p>
        </w:tc>
      </w:tr>
      <w:tr>
        <w:trPr>
          <w:trHeight w:val="91"/>
        </w:trPr>
        <w:tc>
          <w:tcPr>
            <w:tcW w:w="17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(2,630)</w:t>
            </w:r>
          </w:p>
        </w:tc>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sales</w:t>
            </w: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2,001</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262"/>
        </w:trPr>
        <w:tc>
          <w:tcPr>
            <w:tcW w:w="1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Forward currency contracts</w:t>
            </w:r>
          </w:p>
        </w:tc>
        <w:tc>
          <w:tcPr>
            <w:tcW w:w="18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2,116</w:t>
            </w:r>
          </w:p>
        </w:tc>
        <w:tc>
          <w:tcPr>
            <w:tcW w:w="24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(220)</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sales</w:t>
            </w: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(1,323)</w:t>
            </w:r>
          </w:p>
        </w:tc>
        <w:tc>
          <w:tcPr>
            <w:tcW w:w="22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Cross currency contracts</w:t>
            </w: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255</w:t>
            </w:r>
          </w:p>
        </w:tc>
        <w:tc>
          <w:tcPr>
            <w:tcW w:w="1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Total derivatives designated as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flow hedging instruments</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1,962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(2,595)</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743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908</w:t>
            </w:r>
          </w:p>
        </w:tc>
        <w:tc>
          <w:tcPr>
            <w:tcW w:w="100" w:type="dxa"/>
            <w:vAlign w:val="bottom"/>
          </w:tcPr>
          <w:p>
            <w:pPr>
              <w:spacing w:after="0"/>
              <w:rPr>
                <w:sz w:val="14"/>
                <w:szCs w:val="14"/>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369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45"/>
        </w:trPr>
        <w:tc>
          <w:tcPr>
            <w:tcW w:w="1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5, 2017, the company expects to reclassify approximately $1.5 million of gains from AOCL to earnings during the next twelve months.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gain/(loss) of derivative instruments on the Condensed Consolidated Statements of Earnings for the company’s derivatives not designated as cash flow hedging instruments: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38"/>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420" w:type="dxa"/>
            <w:vAlign w:val="bottom"/>
          </w:tcPr>
          <w:p>
            <w:pPr>
              <w:spacing w:after="0"/>
              <w:rPr>
                <w:sz w:val="24"/>
                <w:szCs w:val="24"/>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May 5,</w:t>
            </w:r>
          </w:p>
        </w:tc>
        <w:tc>
          <w:tcPr>
            <w:tcW w:w="280" w:type="dxa"/>
            <w:vAlign w:val="bottom"/>
          </w:tcPr>
          <w:p>
            <w:pPr>
              <w:spacing w:after="0"/>
              <w:rPr>
                <w:sz w:val="24"/>
                <w:szCs w:val="24"/>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320" w:type="dxa"/>
            <w:vAlign w:val="bottom"/>
          </w:tcPr>
          <w:p>
            <w:pPr>
              <w:spacing w:after="0"/>
              <w:rPr>
                <w:sz w:val="24"/>
                <w:szCs w:val="24"/>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May 5,</w:t>
            </w:r>
          </w:p>
        </w:tc>
        <w:tc>
          <w:tcPr>
            <w:tcW w:w="340" w:type="dxa"/>
            <w:vAlign w:val="bottom"/>
          </w:tcPr>
          <w:p>
            <w:pPr>
              <w:spacing w:after="0"/>
              <w:rPr>
                <w:sz w:val="24"/>
                <w:szCs w:val="24"/>
                <w:color w:val="auto"/>
              </w:rPr>
            </w:pPr>
          </w:p>
        </w:tc>
        <w:tc>
          <w:tcPr>
            <w:tcW w:w="10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2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554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currency contracts</w:t>
            </w:r>
          </w:p>
        </w:tc>
        <w:tc>
          <w:tcPr>
            <w:tcW w:w="2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8"/>
        </w:trPr>
        <w:tc>
          <w:tcPr>
            <w:tcW w:w="3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derivatives not designated as cash flow</w:t>
            </w:r>
          </w:p>
        </w:tc>
        <w:tc>
          <w:tcPr>
            <w:tcW w:w="2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hedging instruments</w:t>
            </w:r>
          </w:p>
        </w:tc>
        <w:tc>
          <w:tcPr>
            <w:tcW w:w="224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(2,991)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554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Condensed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effects of the master netting arrangements on the fair value of the company’s derivative contracts that are recorded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31, 2016</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assets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2,918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2,264</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liabilities offset in the balance sheets</w:t>
            </w:r>
          </w:p>
        </w:tc>
        <w:tc>
          <w:tcPr>
            <w:tcW w:w="14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5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amounts of assets presented in the balance sheets</w:t>
            </w:r>
          </w:p>
        </w:tc>
        <w:tc>
          <w:tcPr>
            <w:tcW w:w="1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2,831</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r>
      <w:tr>
        <w:trPr>
          <w:trHeight w:val="237"/>
        </w:trPr>
        <w:tc>
          <w:tcPr>
            <w:tcW w:w="5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Cross currency contracts</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assets</w:t>
            </w:r>
          </w:p>
        </w:tc>
        <w:tc>
          <w:tcPr>
            <w:tcW w:w="1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1,935</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amounts of assets presented in the balance sheets</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1,935</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2,831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5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Forward currency contracts</w:t>
            </w:r>
          </w:p>
        </w:tc>
        <w:tc>
          <w:tcPr>
            <w:tcW w:w="14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amounts of recognized liabilities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assets offset in the balance sheets</w:t>
            </w:r>
          </w:p>
        </w:tc>
        <w:tc>
          <w:tcPr>
            <w:tcW w:w="14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amounts of liabilities presented in the balance sheets</w:t>
            </w:r>
          </w:p>
        </w:tc>
        <w:tc>
          <w:tcPr>
            <w:tcW w:w="14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5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0"/>
        </w:trPr>
        <w:tc>
          <w:tcPr>
            <w:tcW w:w="5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balances are valued at their carrying amounts in the Condensed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May 5, 2017, April 29, 2016, and October 31, 2016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265,191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265,191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2,831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268,022</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265,191</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2,831</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889</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889</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5"/>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gridSpan w:val="5"/>
          </w:tcPr>
          <w:p>
            <w:pPr>
              <w:spacing w:after="0" w:line="20" w:lineRule="exact"/>
              <w:rPr>
                <w:sz w:val="1"/>
                <w:szCs w:val="1"/>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5"/>
          </w:tcPr>
          <w:p>
            <w:pPr>
              <w:spacing w:after="0"/>
              <w:rPr>
                <w:sz w:val="10"/>
                <w:szCs w:val="10"/>
                <w:color w:val="auto"/>
              </w:rPr>
            </w:pPr>
          </w:p>
        </w:tc>
      </w:tr>
      <w:tr>
        <w:trPr>
          <w:trHeight w:val="259"/>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174,639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174,639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 currency contracts</w:t>
            </w:r>
          </w:p>
        </w:tc>
        <w:tc>
          <w:tcPr>
            <w:tcW w:w="154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1,935</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1,935</w:t>
            </w:r>
          </w:p>
        </w:tc>
        <w:tc>
          <w:tcPr>
            <w:tcW w:w="40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176,614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174,639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3,753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1,400</w:t>
            </w:r>
          </w:p>
        </w:tc>
        <w:tc>
          <w:tcPr>
            <w:tcW w:w="40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5,153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5,153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320" w:type="dxa"/>
            <w:vAlign w:val="bottom"/>
            <w:tcBorders>
              <w:top w:val="single" w:sz="8" w:color="auto"/>
              <w:bottom w:val="single" w:sz="8" w:color="auto"/>
            </w:tcBorders>
            <w:gridSpan w:val="5"/>
          </w:tcPr>
          <w:p>
            <w:pPr>
              <w:spacing w:after="0" w:line="20" w:lineRule="exact"/>
              <w:rPr>
                <w:sz w:val="1"/>
                <w:szCs w:val="1"/>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gridSpan w:val="5"/>
          </w:tcPr>
          <w:p>
            <w:pPr>
              <w:spacing w:after="0"/>
              <w:rPr>
                <w:sz w:val="10"/>
                <w:szCs w:val="10"/>
                <w:color w:val="auto"/>
              </w:rPr>
            </w:pPr>
          </w:p>
        </w:tc>
      </w:tr>
      <w:tr>
        <w:trPr>
          <w:trHeight w:val="259"/>
        </w:trPr>
        <w:tc>
          <w:tcPr>
            <w:tcW w:w="3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r>
      <w:tr>
        <w:trPr>
          <w:trHeight w:val="26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2016</w:t>
            </w:r>
          </w:p>
        </w:tc>
        <w:tc>
          <w:tcPr>
            <w:tcW w:w="15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273,555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273,555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1,967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275,522</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273,555</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1,967</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1,765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1,149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1,149</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2,914</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2,914</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Assets acquired and liabilities assumed as part of acquisitions are measured at fair value. There were no transfers between Level 1 and Level 2 during the three and six months ended May 5, 2017 and April 29, 2016, or the twelve months ended October 31,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in six sections:</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Information</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should be read in conjunction with the MD&amp;A included in Part II, Item 7 of our Annual Report on Form 10-K for the fiscal year ended October 31, 2016. This discussion contains various “Forward-Looking Statements” within the meaning of</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and we refer readers to the section titled “Forward-Looking Information” located at the end of Part I, Item 2 of this report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sell our products worldwide through a network of distributors, dealers, hardware retailers, home centers, mass retailers, as well as online (direct to end-users).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 Shares and per share data have been adjusted for all periods presented to reflect a two-for-one stock split effective September 16,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second quarter of fiscal 2017, our net sales increased 4.3 percent with a net earnings increase of 14.0 percent, as compared to the second quarter of fiscal 2016. Year-to-date fiscal 2017 net earnings increased 14.2 percent compared to the same period in the prior fiscal year on a net sales increase of 5.0 percent. Professional segment net sales increased 2.6 percent for the second quarter comparison, primarily due to continued growth in our golf equipment and rental businesses, partially offset by lower shipments of zero-turn radius riding mowers in our landscape contractor business. Professional segment net sales increased 5.2 percent for the year-to-date comparison, primarily due to increased demand for golf and grounds equipment, new product releases in our landscape contractor business, increased shipments of our snow and ice management products, and growth in our rental and specialty construction business. Residential segment net sales were up 8.4 percent for the second quarter comparison, mainly due to the release of a new zero-turn radius riding mower series and strong demand for our walk-power mowers. Residential segment net sales increased 4.2 percent for the year-to-date comparison, primarily due to strong demand for our walk-power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mowers and increased shipments of our residential snow products, partially offset by a decrease in sales of Residential segment zero-turn radius riding mowers.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resulted in a reduction of our net sales of approximately $3.0 million and $6.4 million for the second quarter and year-to-date periods of fiscal 2017,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net earnings growth in the second quarter and year-to-date periods of fiscal 2017 was primarily attributable to increased sales while keeping our gross margins consistent with the prior fiscal year as well as a lower effective tax rate, mainly driven by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first quarter of fiscal 2017. We currently expect the adoption of ASU 2016-09 to continue to benefit our effective tax rate for the remainder of fiscal 2017 such that the effective tax rate is anticipated to be lower than the effective tax rate we experienced during the comparative prior fiscal year.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can add variability to our provision for income taxes, mainly due to the timing of stock option exercises, vesting of restricted stock units, or the trading price of our common stock.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increased our second quarter of fiscal 2017 cash dividend by 16.7 percent to $0.175 per share compared to the $0.15 per share cash dividend paid in the second quarter of fiscal 2016.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levels decreased $27.5 million, or 7.4 percent, as of the end of the second quarter of fiscal 2017 due primarily to higher sales and better inventory control initiatives during fiscal 2017. Accounts receivable decreased $1.3 million, or 0.4 percent, largely due to timing of payments from Red Iron for the second quarter comparison. As of the end of the second quarter of fiscal 2017, field inventory levels were comparable to the prior fiscal year.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multi-year employee initiative, “Destination PRIME,” which began with our 2015 fiscal year, continues our journey into our second century. This is our final year of this three-year initiative, which is intended to help us drive revenue and earnings growth and further improve productivity, while also continuing our century-long commitment to innovation, relationships, and excellence. Through our Destination PRIME initiative, we strive to achieve our goals by pursuing a progression of annual milestones.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13 percent or less by the end of fiscal 2017. We define average net working capital as net accounts receivable plus net inventory less accounts payable as a percentage of net sales for a twelve 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Worldwide consolidated net sales for the second quarter of fiscal 2017 were $872.8 million, up 4.3 percent compared to $836.4 million in the second quarter of fiscal 2016. The net sales increase for the quarter comparison was primarily driven by strong demand for our golf equipment, increased shipments of our residential zero-turn radius riding mowers and walk-power mowers, along with continued growth in our rental business, partially offset by decreased shipments in our landscape contractor business due to the timing of new product releases. For the year-to-date period of fiscal 2017, net sales were $1,388.6 million, up 5.0 percent from the same period in the prior fiscal year. The year-to-date increase was primarily due to strong sales of our golf and grounds equipment, strong demand for our residential walk-power mowers, demand for new products that were released in our landscape contractor business, increased shipments of Professional segment and Residential segment snow and ice management products, along with continued growth in our rental and specialty construction businesses, partially offset by a decrease in sales of Residential segment zero-turn radius riding mowers.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net sales were up 2.7 percent and 2.9 percent for the second quarter and year-to-date periods of fiscal 2017, respectively. The net sales increase for the quarter comparison was mainly due to sales from our acquisition in the first quarter of fiscal 2017, favorable weather conditions in Australia which produced increased shipments of our Pope-branded irrigation products, and higher shipments of walk-power mowers to Canada. The net sales increase for the year-to-date period comparison was primarily due to new projects for our golf business, increased sales from our acquisition in the first quarter of fiscal 2017, and increased Pope-branded irrigation sales due to favorable weather conditions in Australia, partially offset by lower shipments of zero-turn radius riding mowers.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operating costs and other income as a percentage of net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80" w:type="dxa"/>
            <w:vAlign w:val="bottom"/>
            <w:tcBorders>
              <w:bottom w:val="single" w:sz="8" w:color="auto"/>
            </w:tcBorders>
            <w:gridSpan w:val="2"/>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39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1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1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April 29, 2016</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1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1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63.8</w:t>
            </w:r>
          </w:p>
        </w:tc>
        <w:tc>
          <w:tcPr>
            <w:tcW w:w="14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63.3</w:t>
            </w: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63.3</w:t>
            </w:r>
          </w:p>
        </w:tc>
      </w:tr>
      <w:tr>
        <w:trPr>
          <w:trHeight w:val="27"/>
        </w:trPr>
        <w:tc>
          <w:tcPr>
            <w:tcW w:w="39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10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36.2</w:t>
            </w:r>
          </w:p>
        </w:tc>
        <w:tc>
          <w:tcPr>
            <w:tcW w:w="1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36.2</w:t>
            </w: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36.7</w:t>
            </w: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36.7</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SG&amp;A expense</w:t>
            </w:r>
          </w:p>
        </w:tc>
        <w:tc>
          <w:tcPr>
            <w:tcW w:w="31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18.0</w:t>
            </w: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17.7</w:t>
            </w:r>
          </w:p>
        </w:tc>
        <w:tc>
          <w:tcPr>
            <w:tcW w:w="14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20.9</w:t>
            </w:r>
          </w:p>
        </w:tc>
        <w:tc>
          <w:tcPr>
            <w:tcW w:w="1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39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310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18.2</w:t>
            </w:r>
          </w:p>
        </w:tc>
        <w:tc>
          <w:tcPr>
            <w:tcW w:w="1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18.5</w:t>
            </w: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15.8</w:t>
            </w: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(0.5)</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(0.6)</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39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10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0.4</w:t>
            </w:r>
          </w:p>
        </w:tc>
        <w:tc>
          <w:tcPr>
            <w:tcW w:w="1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3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1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39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1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13.8%</w:t>
            </w:r>
          </w:p>
        </w:tc>
        <w:tc>
          <w:tcPr>
            <w:tcW w:w="15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11.9%</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percentage of net sales, gross profit for the second quarter of fiscal 2017 was 36.2 percent, consistent with the second quarter of fiscal 2016. The second quarter comparison results were primarily due to productivity improvements, which were offset by higher commodity prices and segment mix. Gross profit as a percentage of net sales for the fiscal 2017 year-to-date period was 36.7 percent, consistent with the same period last year. The year-to-date comparison results were also due mainly to higher commodity costs, offset by productivity improvements made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expense increased $8.9 million, or 6.0 percent, for the second quarter of fiscal 2017 and increased $13.0 million, or 4.7 percent, for the year-to-date period of fiscal 2017. As a percentage of net sales, SG&amp;A expense increased 30 basis points for the second quarter and was flat for year-to-date periods of fiscal 2017, respectively. The increase as a percentage of net sales for the second quarter comparison was primarily due to higher incentive expense attributable to improved expected company performance in fiscal 2017 and higher warranty costs. SG&amp;A expense as a percentage of net sales for the year-to-date comparison was flat compared to the prior fiscal year, mainly due to higher incentive expense and higher warranty costs as mentioned in the quarter comparison, partially offset by lower administrative costs driven by the timing of health care claims.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for the second quarter of fiscal 2017 decreased slightly by 1.0 percent and increased by 2.0 percent for the year-to-date period of fiscal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second quarter and year-to-date periods of fiscal 2017 decreased $0.2 million and $0.8 million, respectively, compared to the same periods last fiscal year. The decrease in the year-to-date period of fiscal 2017 was mainly due to a litigation recovery and the sale of our Northwestern U.S. distribution company, both of which occurred in the first quarter of fiscal 2016, that did not repeat in fiscal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effective tax rate for the second quarter of fiscal 2017 was 23.9 percent compared to 31.5 percent in the second quarter of 2016. The effective tax rate for the year-to-date period of fiscal 2017 was 24.1 percent compared to 30.3 percent in the same period of fiscal 2016. The decrease in the second quarter and year-to-date periods of fiscal 2017 was primarily driven by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first quarter of fiscal 2017, which resulted in a discrete tax benefit of $11.0 million and $15.9 million, respectively, related to share-based compensation. The favorable year-to-date impact of the share-based compensation discrete benefit was partially offset by the retroactive reenactment of the domestic research tax credit of $2.3 million in the prior fiscal year.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can add variability to our provision for income taxes, mainly due to the timing of stock option exercises, vesting of restricted stock units, or the trading price of our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Net earnings for the second quarter of fiscal 2017 were $120.5 million, or $1.08 per diluted share, compared to $105.7 million, or $0.94 per diluted share, for the second quarter of fiscal 2016, resulting in a net earnings per diluted share increase of 14.9 percent. Year-to-date net earnings in fiscal 2017 were $165.5 million, or $1.48 per diluted share, compared to $144.9 million, or $1.29 per diluted share, in the prior fiscal year comparative period, resulting in a net earnings per diluted share increase of 14.7 percent. The primary factors contributing to the net earnings increase for the second quarter and year-to-date comparison periods included increased net sales while keeping our gross margins consistent with the prior fiscal year as well as a lower effective tax rate, mainly driven by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the first quarter of fiscal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three reportable business segments: Professional, Residential, and Distribution. Our Distribution segment, which consists of our company-owned domestic distributorship,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3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610,896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595,209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15,687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258,134</w:t>
            </w:r>
          </w:p>
        </w:tc>
        <w:tc>
          <w:tcPr>
            <w:tcW w:w="3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238,231</w:t>
            </w:r>
          </w:p>
        </w:tc>
        <w:tc>
          <w:tcPr>
            <w:tcW w:w="380" w:type="dxa"/>
            <w:vAlign w:val="bottom"/>
          </w:tcPr>
          <w:p>
            <w:pPr>
              <w:spacing w:after="0"/>
              <w:rPr>
                <w:sz w:val="21"/>
                <w:szCs w:val="21"/>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19,903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3,737</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3,001</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736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872,767</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836,441</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36,326</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auto"/>
            </w:tcBorders>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201,641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196,359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5,282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94"/>
        </w:trPr>
        <w:tc>
          <w:tcPr>
            <w:tcW w:w="4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80" w:type="dxa"/>
            <w:vAlign w:val="bottom"/>
          </w:tcPr>
          <w:p>
            <w:pPr>
              <w:spacing w:after="0"/>
              <w:rPr>
                <w:sz w:val="22"/>
                <w:szCs w:val="22"/>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300" w:type="dxa"/>
            <w:vAlign w:val="bottom"/>
          </w:tcPr>
          <w:p>
            <w:pPr>
              <w:spacing w:after="0"/>
              <w:rPr>
                <w:sz w:val="22"/>
                <w:szCs w:val="22"/>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380" w:type="dxa"/>
            <w:vAlign w:val="bottom"/>
          </w:tcPr>
          <w:p>
            <w:pPr>
              <w:spacing w:after="0"/>
              <w:rPr>
                <w:sz w:val="22"/>
                <w:szCs w:val="22"/>
                <w:color w:val="auto"/>
              </w:rPr>
            </w:pPr>
          </w:p>
        </w:tc>
        <w:tc>
          <w:tcPr>
            <w:tcW w:w="14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0" w:type="dxa"/>
            <w:vAlign w:val="bottom"/>
          </w:tcPr>
          <w:p>
            <w:pPr>
              <w:spacing w:after="0"/>
              <w:rPr>
                <w:sz w:val="21"/>
                <w:szCs w:val="21"/>
                <w:color w:val="auto"/>
              </w:rPr>
            </w:pPr>
          </w:p>
        </w:tc>
        <w:tc>
          <w:tcPr>
            <w:tcW w:w="3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w:t>
            </w: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982,705</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934,045</w:t>
            </w:r>
          </w:p>
        </w:tc>
        <w:tc>
          <w:tcPr>
            <w:tcW w:w="3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48,660</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398,524</w:t>
            </w:r>
          </w:p>
        </w:tc>
        <w:tc>
          <w:tcPr>
            <w:tcW w:w="3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382,515</w:t>
            </w:r>
          </w:p>
        </w:tc>
        <w:tc>
          <w:tcPr>
            <w:tcW w:w="380" w:type="dxa"/>
            <w:vAlign w:val="bottom"/>
          </w:tcPr>
          <w:p>
            <w:pPr>
              <w:spacing w:after="0"/>
              <w:rPr>
                <w:sz w:val="21"/>
                <w:szCs w:val="21"/>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16,009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7,377</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6,279</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1,098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1,388,606</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1,322,839</w:t>
            </w:r>
          </w:p>
        </w:tc>
        <w:tc>
          <w:tcPr>
            <w:tcW w:w="3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65,767</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r>
        <w:trPr>
          <w:trHeight w:val="67"/>
        </w:trPr>
        <w:tc>
          <w:tcPr>
            <w:tcW w:w="4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8"/>
        </w:trPr>
        <w:tc>
          <w:tcPr>
            <w:tcW w:w="4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332,883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323,602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9,281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segment earnings (loss) before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3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149,011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141,623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7,388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204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35,047</w:t>
            </w:r>
          </w:p>
        </w:tc>
        <w:tc>
          <w:tcPr>
            <w:tcW w:w="280" w:type="dxa"/>
            <w:vAlign w:val="bottom"/>
          </w:tcPr>
          <w:p>
            <w:pPr>
              <w:spacing w:after="0"/>
              <w:rPr>
                <w:sz w:val="21"/>
                <w:szCs w:val="21"/>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34,988</w:t>
            </w:r>
          </w:p>
        </w:tc>
        <w:tc>
          <w:tcPr>
            <w:tcW w:w="340" w:type="dxa"/>
            <w:vAlign w:val="bottom"/>
          </w:tcPr>
          <w:p>
            <w:pPr>
              <w:spacing w:after="0"/>
              <w:rPr>
                <w:sz w:val="21"/>
                <w:szCs w:val="21"/>
                <w:color w:val="auto"/>
              </w:rPr>
            </w:pPr>
          </w:p>
        </w:tc>
        <w:tc>
          <w:tcPr>
            <w:tcW w:w="14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(3,368)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158,321</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154,242</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4,079</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3"/>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81"/>
        </w:trPr>
        <w:tc>
          <w:tcPr>
            <w:tcW w:w="4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40" w:type="dxa"/>
            <w:vAlign w:val="bottom"/>
          </w:tcPr>
          <w:p>
            <w:pPr>
              <w:spacing w:after="0"/>
              <w:rPr>
                <w:sz w:val="22"/>
                <w:szCs w:val="22"/>
                <w:color w:val="auto"/>
              </w:rPr>
            </w:pPr>
          </w:p>
        </w:tc>
        <w:tc>
          <w:tcPr>
            <w:tcW w:w="12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May 5, 2017</w:t>
            </w:r>
          </w:p>
        </w:tc>
        <w:tc>
          <w:tcPr>
            <w:tcW w:w="280" w:type="dxa"/>
            <w:vAlign w:val="bottom"/>
          </w:tcPr>
          <w:p>
            <w:pPr>
              <w:spacing w:after="0"/>
              <w:rPr>
                <w:sz w:val="22"/>
                <w:szCs w:val="22"/>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April 29, 2016</w:t>
            </w:r>
          </w:p>
        </w:tc>
        <w:tc>
          <w:tcPr>
            <w:tcW w:w="340" w:type="dxa"/>
            <w:vAlign w:val="bottom"/>
          </w:tcPr>
          <w:p>
            <w:pPr>
              <w:spacing w:after="0"/>
              <w:rPr>
                <w:sz w:val="22"/>
                <w:szCs w:val="22"/>
                <w:color w:val="auto"/>
              </w:rPr>
            </w:pPr>
          </w:p>
        </w:tc>
        <w:tc>
          <w:tcPr>
            <w:tcW w:w="146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0" w:type="dxa"/>
            <w:vAlign w:val="bottom"/>
          </w:tcPr>
          <w:p>
            <w:pPr>
              <w:spacing w:after="0"/>
              <w:rPr>
                <w:sz w:val="21"/>
                <w:szCs w:val="21"/>
                <w:color w:val="auto"/>
              </w:rPr>
            </w:pPr>
          </w:p>
        </w:tc>
        <w:tc>
          <w:tcPr>
            <w:tcW w:w="3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w:t>
            </w:r>
          </w:p>
        </w:tc>
        <w:tc>
          <w:tcPr>
            <w:tcW w:w="2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217,177</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203,215</w:t>
            </w:r>
          </w:p>
        </w:tc>
        <w:tc>
          <w:tcPr>
            <w:tcW w:w="3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13,962</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04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51,605</w:t>
            </w:r>
          </w:p>
        </w:tc>
        <w:tc>
          <w:tcPr>
            <w:tcW w:w="28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51,727</w:t>
            </w:r>
          </w:p>
        </w:tc>
        <w:tc>
          <w:tcPr>
            <w:tcW w:w="340" w:type="dxa"/>
            <w:vAlign w:val="bottom"/>
          </w:tcPr>
          <w:p>
            <w:pPr>
              <w:spacing w:after="0"/>
              <w:rPr>
                <w:sz w:val="21"/>
                <w:szCs w:val="21"/>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(50,908)</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(47,003)</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(3,905)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2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217,874</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207,939</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9,935</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Worldwide net sales for our Professional segment in the second quarter and year-to-date periods of fiscal 2017 increased 2.6 percent and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respectively. The Professional segment net sales increase for the second quarter comparison of fiscal 2017 was primarily driven by continued growth in our golf business, with increased demand for our Reelmaster® and Greensmaster® series mowers, as well as our GTX utility vehicle, and strong demand for our compact utility loader and new tracked mud buggy in our rental business. The net sales increase for the quarter comparison was partially offset by lower shipments of zero-turn radius riding mowers in our landscape contractor business primarily due to the timing of new product releases. Professional segment net sales growth for the year-to-date comparison of fiscal 2017 was largely due to strong demand for our innovative golf and grounds equipment and the introduction of new productivity enhancing products in our landscape contractor business, including the Exmark-branded Radius® and the Toro-branded TITAN® HD zero-turn radius riding mowers. We also experienced increased shipments of our BOSS® snow and ice management products driven by more favorable snowfalls and icy weather conditions mainly during the first quarter of fiscal 2017 and higher demand for our rental and specialty construction compact utility loader.</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Operating Earnings</w:t>
      </w:r>
      <w:r>
        <w:rPr>
          <w:rFonts w:ascii="Times New Roman" w:cs="Times New Roman" w:eastAsia="Times New Roman" w:hAnsi="Times New Roman"/>
          <w:sz w:val="18"/>
          <w:szCs w:val="18"/>
          <w:color w:val="auto"/>
        </w:rPr>
        <w:t>. Operating earnings for the Professional segment in the second quarter of fiscal 2017 increased by 5.2 percent compared to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2016, and increased to 24.4 percent as a percentage of net sales in the second quarter of fiscal 2017 compared to 23.8 percent in the second quarter of fiscal 2016. As a percentage of net sales, the second quarter comparison Professional operating earnings increase was driven primarily by higher gross margins due to productivity improvements and favorable product mix, partially offset by higher commodity costs and higher freight costs, while SG&amp;A expenses remained flat. For the year-to-date period of fiscal 2017, Professional segment operating earnings increased by 6.9 percent compared to the same period in the prior fiscal year and increased to 22.1 percent as a percentage of net sales for the year-to-date period of fiscal 2017 compared to 21.8 percent in the same period last fiscal year. As a percentage of net sales, the year-to-date comparison Professional operating earnings increase was driven primarily by higher gross margins due to productivity improvements and favorable product mix, partially offset by higher commodity costs and higher freight costs. Lower SG&amp;A expenses also contributed to the increase in operating earnings mainly due to timing of engineering spending and lower administrative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Worldwide net sales for the Residential segment in the second quarter and year-to-date periods of fiscal 2017 increased 8.4 percent and 4.2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prior fiscal year periods. The Residential segment net sales increase in the second quarter comparison was primarily due to the release of the TimeCutter® HD zero-turn radius riding mower, which was well received in our dealer network, as well as strong demand for our walk-power mowers in our mass channel. The Residential segment net sales increase for the year-to-date comparison was primarily due to strong demand for our walk-power mowers and increased shipments of residential snow products due to more favorable snowfalls in the first quarter of fiscal 2017 compared to the prior fiscal year. This year-to-date net sales increase was partially offset by a decrease in sales of zero-turn radius riding mowers, as the lower sales we experienced in the first quarter of fiscal 2017 were only partially offset by the improved sales in the second quarter of fiscal 2017.</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Operating Earnings</w:t>
      </w:r>
      <w:r>
        <w:rPr>
          <w:rFonts w:ascii="Times New Roman" w:cs="Times New Roman" w:eastAsia="Times New Roman" w:hAnsi="Times New Roman"/>
          <w:sz w:val="18"/>
          <w:szCs w:val="18"/>
          <w:color w:val="auto"/>
        </w:rPr>
        <w:t>. Operating earnings for the Residential segment in the second quarter of fiscal 2017 increased 0.2 percent, or expressed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sales, decreased to 13.6 percent from 14.7 percent, when compared to the second quarter of fiscal 2016. As a percentage of net sales, the second quarter comparison Residential operating earnings decrease was driven primarily by an increase in SG&amp;A expense mainly due to a specific product warranty issue, as well as lower gross margins primarily due to higher commodity and freight costs. For the year-to-date period of fiscal 2017, Residential segment operating earnings decreased 0.2 percent, or expressed as a percentage of net sales, decreased to 12.9 percent from 13.5 percent, when compared to the same period last fiscal year. As a percentage of net sales, the year-to-date comparison Residential operating earnings decrease was primarily driven by an increase in SG&amp;A expense mainly due to a specific product warranty issue, as well as gross margins that were consistent with the same year-to-date period of fiscal 2016, primarily due to productivity improvements, offset by higher commodity and freight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Other segment include sales from our wholly owned domestic distribution company less sales from the Professional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segments to the distribution company. The Other segment net sales in the second quarter and year-to-date periods of fiscal 2017 increased slightly by $0.7 million and $1.1 million, respectively, compared to the same period last fiscal year.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Loss</w:t>
      </w:r>
      <w:r>
        <w:rPr>
          <w:rFonts w:ascii="Times New Roman" w:cs="Times New Roman" w:eastAsia="Times New Roman" w:hAnsi="Times New Roman"/>
          <w:sz w:val="18"/>
          <w:szCs w:val="18"/>
          <w:color w:val="auto"/>
        </w:rPr>
        <w:t>. Operating loss for the Other segment for the second quarter and year-to-date periods of fiscal 2017 increased $3.4 million and $3.9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last fiscal year. The increase in operating loss for the second quarter and year-to-date comparison periods was primarily attributable to higher incentive expense due to improved expected company performance in fiscal 2017, as well as the sale of our Northwestern U.S. distribution company in the first quarter of fiscal 2016 that was not repeated in fiscal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remainder of fiscal 2017, we plan to place continued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May 5, 2017, was 14.4 percent compared to 16.6 percent for the twelve months ended April 29, 2016. We calculate our average net working capital as net receivables plus net inventories, less accounts payable for a twelve month period as percentage of rolling twelve month net sales.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levels were down $27.5 million, or 7.4 percent, as of the end of the second quarter of fiscal 2017 compared to the end of the second quarter of fiscal 2016 due to strong sales, inventory control initiatives centered on production management, and increased emphasis on finished goods inventory. Accounts receivable as of the end of the second quarter of fiscal 2017 decreased $1.3 million, or 0.4 percent, compared to the end of the second quarter of fiscal 2016 primarily due to the timing of payments from Red Iron. Our average days sales outstanding for receivables decreased to 30.1 days based on sales for the last twelve months ended May 5, 2017, compared to 32.9 days for the twelve months ended April 29, 2016. In addition, accounts payable increased as of the end of our second quarter of fiscal 2017 compared to the end of the second quarter of fiscal 2016 by $13.1 million, or 5.0 percent, due mainly to continued working capital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May 5, 2017, cash and short-term investments held by our foreign subsidiaries was approximately $106.1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approved a cash dividend of $0.175 per share for the second quarter of fiscal 2017 that was paid on April 12, 2017. This was an increase of 16.7 percent over our cash dividend of $0.15 per share for the second quarter of fiscal 2016.</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Cash Flow</w:t>
      </w:r>
      <w:r>
        <w:rPr>
          <w:rFonts w:ascii="Times New Roman" w:cs="Times New Roman" w:eastAsia="Times New Roman" w:hAnsi="Times New Roman"/>
          <w:sz w:val="18"/>
          <w:szCs w:val="18"/>
          <w:color w:val="auto"/>
        </w:rPr>
        <w:t>. Cash provided by operating activities for the first six months of fiscal 2017 increased $22.0 million compared to the first six months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This six month comparison change was mainly due to strong net earnings and a Red Iron exclusivity incentive payment, partially offset by the change in working capital. Cash used for investing activities increased $25.4 million during the first six months of fiscal 2017 compared to the first six months of fiscal 2016, primarily due to cash utilized for an acquisition in the first quarter of fiscal 2017 and cash received in the first quarter of fiscal 2016 for the sale of our Western Distribution company that was not repeated in fiscal 2017, partially offset by lower purchases of property, plant and equipment. Cash used for financing activities for the first six months of fiscal 2017 increased $52.5 million compared to the first six months of fiscal 2016, mainly due to more cash used for common stock repurchases and common stock dividends paid.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Credit Lines and Other Capital Resources</w:t>
      </w:r>
      <w:r>
        <w:rPr>
          <w:rFonts w:ascii="Times New Roman" w:cs="Times New Roman" w:eastAsia="Times New Roman" w:hAnsi="Times New Roman"/>
          <w:sz w:val="18"/>
          <w:szCs w:val="18"/>
          <w:color w:val="auto"/>
        </w:rPr>
        <w:t>. Our businesses are seasonal, with accounts receivable balances historically increasing between January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$100.0 million in aggregate. Funds are available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$8.9 million. These facilities bear interest at various rates depending on the rates in their respective countries of operation. As of May 5, 2017, we had $0.8 million of outstanding short-term debt under these lines of credit compared to no outstanding short-term debt as of April 29, 2016. As of May 5, 2017, we had $5.5 million of outstanding letters of credit and $153.4 million of unutilized availability under our credit agreements.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5, 2017, we had $335.1 million outstanding in long-term debt that includes $100.0 million of 7.8% debentures due June 15, 2027, $123.8 million of 6.625% senior notes due May 1, 2037, a $104.0 million term loan, a $10.1 million note due to the former owners of the BOSS business, and partially offsetting debt issuance costs and deferred charges of $2.8 million related to our outstanding long-term debt.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revolving and term loan credit facility contains standard covenants, including, without limitation, financial covenants, such as the maintenance of minimum interest coverage and maximum debt to earnings before interest, taxes,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May 5, 2017, we were not limited in the amount for payments of cash dividends and stock repurchases. We were in compliance with all covenants related to our credit agreement for our revolving credit facility as of May 5, 2017, and we expect to be in compliance with all covenants during the remainder of fiscal 2017.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second quarter of fiscal 2017 by Standard and Poor’s Ratings Group at BBB and by Moody’s Investors Service at Baa3.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 and 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Red Iron joint venture with TCFIF provides inventory financing to certain distributors and dealers of our products in the U.S. that enables them to carry representative inventories of our products. Some independent international dealers continue to finance their products with a third party finance company. This third party financing company purchased $15.7 million of receivables from us during the first six months of fiscal 2017. As of May 5, 2017, $14.5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effects of inflation, deflation, and changing prices. In the first six months of fiscal 2017, average prices paid for commodities and components we purchase were slightly higher compared to the average prices paid for commodities and components in the first six months of fiscal 2016. We intend to continue to closely follow prices of commodities and components that affect our product lines, and we anticipate average prices paid for some commodities and components to be slightly higher for the remainder of fiscal 2017, as compared to fiscal 2016.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our most recent Annual Report on Form 10-K for the fiscal year ended October 31, 2016 for a discussion of our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to be Adopted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Updates ("ASU") No.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that updates the principles for recognizing revenue. The core principle of the guidance is that an entity should recognize revenue to depict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deferred the effective date of this standard by one year. We expect to adopt this guidance on November 1, 2018, as required, based on the new effective date. The guidance permits the use of either a retrospective or cumulative effect transition method. We have not yet selected a transition method but plan to select a transition method no later than the fourth quarter of fiscal 2017. We are currently assessing our contracts with customers and related financial disclosures to evaluate the impact of the amended guidance on our existing revenue recognition policies and procedures.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This amended guidance changes 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among other things, requires lessees to recognize most leases on-balance sheet. The standard requires the recognition of lease assets and lease liabilities by lessees for those leases classified as operating leases under previous GAAP. The amended guidance will become effective for us commencing in the first quarter of fiscal 2020. Entities are required to use a modified retrospective approach, with early adoption permitted. We are currently reviewing the revised guidance, assessing our leases, and related impact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which amends guidance on the classification of certain cash receipts and payments in the statement of cash flows. The amended guidance will become effective for us commencing in the first quarter of fiscal 2019. Early adoption is permitted. We are currently evaluating the impact of this new standard on our Consolidated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clarifies the definition of a business in Accounting Standards Codification 805. The amended guidance will become effective for us commencing in the first quarter of fiscal 2019. Early adoption is permitted. We are currently evaluating the impact of this new standard on our Consolidated Financial Statements.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simplifies the accounting for goodwill impairments by eliminating step 2 from the goodwill impairment test. The amended guidance will become effective for us commencing in the first quarter of fiscal 2021. We are currently evaluating the impact of this new standard on our Consolidated Financial Statements.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which provides guidance on the types of changes to the terms or conditions of share-based payment awards to which an entity would be required to apply modification accounting under Topic 718. The amended guidance will become effective for us commencing in the first quarter of fiscal 2019. Early adoption is permitted. We are currently evaluating the impact of this new standard on our Consolidated Financial Statements.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62" w:lineRule="exact"/>
        <w:rPr>
          <w:sz w:val="20"/>
          <w:szCs w:val="20"/>
          <w:color w:val="auto"/>
        </w:rPr>
      </w:pP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have affected our operating results and could continue to result in declines in our reported net sales and net earnings.</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international trade agreements may adversely affect our profit margins and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property owners who outsource their lawn care and snow and ice removal activities; the level of residential and commercial construction; continued acceptance of and demand for micro-irrigation solutions for agricultural markets; the timing and occurrence of winter weather conditions;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and changing buying patterns of customers.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impact our financial performance, including profit margins and net earnings, as our Professional segment products generally have higher profit margins than our Residential segment products.</w:t>
      </w:r>
    </w:p>
    <w:p>
      <w:pPr>
        <w:jc w:val="both"/>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our business in part through acquisitions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We cannot guarantee previous or future acquisitions, alliances, joint ventures or partnerships will in fact produce any benefits.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If we underestimate or overestimate demand for our products and do not maintain appropriate inventory levels, our net sales and/or working capital could be negatively impacted.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net sales and business could suffer.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labor needs fluctuate throughout the year, with a sharp increase in the number of production staff, some of which may be new to our manufacturing processes and safety protocols, during periods of peak manufacturing activity and any failure by our production labor force to adequately and safely perform their jobs could adversely affect our business, operating results, and reputation.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phishing, power loss or other disruptive events, our business, reputation, financial condition, and operating results could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in the U.S. or other countries in which we conduct business also may adversely affect our operating results, including, (i) taxation and tax policy changes, tax rate changes, new tax laws, revised tax law interpretations, which individually or in combination may cause our effective tax rate to increase,</w:t>
      </w:r>
    </w:p>
    <w:p>
      <w:pPr>
        <w:spacing w:after="0" w:line="2" w:lineRule="exact"/>
        <w:rPr>
          <w:rFonts w:ascii="Times New Roman" w:cs="Times New Roman" w:eastAsia="Times New Roman" w:hAnsi="Times New Roman"/>
          <w:sz w:val="18"/>
          <w:szCs w:val="18"/>
          <w:color w:val="auto"/>
        </w:rPr>
      </w:pPr>
    </w:p>
    <w:p>
      <w:pPr>
        <w:ind w:left="660" w:hanging="4"/>
        <w:spacing w:after="0" w:line="250" w:lineRule="auto"/>
        <w:tabs>
          <w:tab w:leader="none" w:pos="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laws or regulations, which may cause us to incur higher employee healthcare and other costs, or (iii) changes to international trade agreements that could result in additional duties or other charges on raw materials, whole goods or components we import.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change regulations may adversely impact our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enactments could impact the competitive landscape within our markets and affect demand for our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“conflict minerals” rules promulgated by the SEC, which has imposed costs on us and could raise reputational and other risks. We have, and we expect that we will continue to, incur additional costs and expenses, which may be significant in order to comply with these rules. Since our supply chain is complex, ultimately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jc w:val="both"/>
        <w:ind w:left="660"/>
        <w:spacing w:after="0" w:line="288" w:lineRule="auto"/>
        <w:rPr>
          <w:sz w:val="20"/>
          <w:szCs w:val="20"/>
          <w:color w:val="auto"/>
        </w:rPr>
      </w:pPr>
      <w:r>
        <w:rPr>
          <w:rFonts w:ascii="Times New Roman" w:cs="Times New Roman" w:eastAsia="Times New Roman" w:hAnsi="Times New Roman"/>
          <w:sz w:val="18"/>
          <w:szCs w:val="18"/>
          <w:color w:val="auto"/>
        </w:rPr>
        <w:t>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2" w:lineRule="exact"/>
        <w:rPr>
          <w:sz w:val="20"/>
          <w:szCs w:val="20"/>
          <w:color w:val="auto"/>
        </w:rPr>
      </w:pPr>
    </w:p>
    <w:p>
      <w:pPr>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liability claims, product quality issues, and other litigation from time to time that could adversely affect our business, reputation, operating results, or financial condition.</w:t>
      </w:r>
    </w:p>
    <w:p>
      <w:pPr>
        <w:jc w:val="both"/>
        <w:ind w:left="660" w:right="4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Red Iron joint venture,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expanding and renovating our corporate facilities and could experience disruptions to our operations in connection with such efforts.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or any quarterly financial guidance;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new or revised accounting standards, including standards related to stock-based compensation and revenue recognition; and the threat of terrorist acts and war that may result in heightened security and higher costs for import and export shipments of components or finished goods, reduced leisure travel, and contraction of the U.S. and world economies.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 and refer to our most recent Annual Report on Form 10-K for discussion on equity market risk.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Foreign Currency Exchange Rate Risk</w:t>
      </w:r>
      <w:r>
        <w:rPr>
          <w:rFonts w:ascii="Times New Roman" w:cs="Times New Roman" w:eastAsia="Times New Roman" w:hAnsi="Times New Roman"/>
          <w:sz w:val="18"/>
          <w:szCs w:val="18"/>
          <w:color w:val="auto"/>
        </w:rPr>
        <w:t>. We are exposed to foreign currency exchange rate risk arising from transactions in the normal course of business,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dollar and peso generally have a positive effect.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our exposure to foreign currency exchange rate risk, we actively manage the exposure of our foreign currency exchange rate risk by entering into various hedging instruments, authorized under company policies that place controls on these activities, with counterparties that are highly rated financial institutions. Our policy does not allow the use of derivatives for trading or speculative purposes. We use derivative instruments only in an attempt to limit underlying exposure from foreign currency exchange rate fluctuations and to minimize earnings and cash flow volatility associated with foreign currency exchange rate fluctuations.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hedging activities primarily involve the use of forward currency contracts to hedge most foreign currency transactions, including existing foreign currency assets, liabilities and probable commitments and forecasted sales and purchases denominated in foreign currencies. We may also utilize forward currency contracts or cross currency swaps to offset intercompany loan exposures. Decisions on whether to use such contracts are primarily based on the amount of exposure to the currency involved and an assessment of the near-term market value for each currency. Our worldwide foreign currency exchange rate exposures are reviewed monthly. The gains and losses on these contracts offset changes in values of the related exposures. Therefore, changes in values of these hedging instruments are highly correlated with changes in market values of underlying hedged items both at inception of the hedge and over the life of the hedge contract. For additional information regarding gains and losses on our derivative instruments, see Note 12 in our Notes to Condensed Consolidated Financial Statements under the heading "Derivative Instruments and Hedging Activities" included in Item 1 of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foreign currency exchange contracts have maturity dates in fiscal 2017 through fiscal 2019. All items are non-trading and stated in U.S.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derivative instruments we hold do not meet the cash flow hedging criteria; therefore, changes in their fair value are recorded in other income, net.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contracted rate, notional amount, pre-tax value of derivative instruments in accumulated other comprehensive loss, and fair value impact of derivative instruments in other income, net, as of, and for the fiscal period ended, May 5,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average</w:t>
            </w:r>
          </w:p>
        </w:tc>
        <w:tc>
          <w:tcPr>
            <w:tcW w:w="2560" w:type="dxa"/>
            <w:vAlign w:val="bottom"/>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9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Pre-tax Value in</w:t>
            </w:r>
          </w:p>
        </w:tc>
        <w:tc>
          <w:tcPr>
            <w:tcW w:w="16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2560" w:type="dxa"/>
            <w:vAlign w:val="bottom"/>
          </w:tcPr>
          <w:p>
            <w:pPr>
              <w:jc w:val="center"/>
              <w:ind w:left="136"/>
              <w:spacing w:after="0" w:line="149"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1620" w:type="dxa"/>
            <w:vAlign w:val="bottom"/>
            <w:vMerge w:val="continue"/>
          </w:tcPr>
          <w:p>
            <w:pPr>
              <w:spacing w:after="0"/>
              <w:rPr>
                <w:sz w:val="12"/>
                <w:szCs w:val="12"/>
                <w:color w:val="auto"/>
              </w:rPr>
            </w:pPr>
          </w:p>
        </w:tc>
        <w:tc>
          <w:tcPr>
            <w:tcW w:w="19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Impact (Loss)</w:t>
            </w:r>
          </w:p>
        </w:tc>
        <w:tc>
          <w:tcPr>
            <w:tcW w:w="0" w:type="dxa"/>
            <w:vAlign w:val="bottom"/>
          </w:tcPr>
          <w:p>
            <w:pPr>
              <w:spacing w:after="0"/>
              <w:rPr>
                <w:sz w:val="1"/>
                <w:szCs w:val="1"/>
                <w:color w:val="auto"/>
              </w:rPr>
            </w:pPr>
          </w:p>
        </w:tc>
      </w:tr>
      <w:tr>
        <w:trPr>
          <w:trHeight w:val="195"/>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contracted rate)</w:t>
            </w:r>
          </w:p>
        </w:tc>
        <w:tc>
          <w:tcPr>
            <w:tcW w:w="256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US dollar/Sell Australian dollar</w:t>
            </w:r>
          </w:p>
        </w:tc>
        <w:tc>
          <w:tcPr>
            <w:tcW w:w="256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0.7504</w:t>
            </w:r>
          </w:p>
        </w:tc>
        <w:tc>
          <w:tcPr>
            <w:tcW w:w="16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41,921.3</w:t>
            </w:r>
          </w:p>
        </w:tc>
        <w:tc>
          <w:tcPr>
            <w:tcW w:w="192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460.9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 US dollar/Sell Canadian dollar</w:t>
            </w:r>
          </w:p>
        </w:tc>
        <w:tc>
          <w:tcPr>
            <w:tcW w:w="25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1.2749</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2,949.3</w:t>
            </w:r>
          </w:p>
        </w:tc>
        <w:tc>
          <w:tcPr>
            <w:tcW w:w="19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210.2</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US dollar/Sell Euro</w:t>
            </w:r>
          </w:p>
        </w:tc>
        <w:tc>
          <w:tcPr>
            <w:tcW w:w="256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1.1154</w:t>
            </w:r>
          </w:p>
        </w:tc>
        <w:tc>
          <w:tcPr>
            <w:tcW w:w="16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76,559.6</w:t>
            </w:r>
          </w:p>
        </w:tc>
        <w:tc>
          <w:tcPr>
            <w:tcW w:w="192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298.6</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2,735.6</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 US dollar/Sell British pound</w:t>
            </w:r>
          </w:p>
        </w:tc>
        <w:tc>
          <w:tcPr>
            <w:tcW w:w="25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1.2910</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30,596.7</w:t>
            </w:r>
          </w:p>
        </w:tc>
        <w:tc>
          <w:tcPr>
            <w:tcW w:w="19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21.7</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 Mexican peso/Sell US dollar</w:t>
            </w:r>
          </w:p>
        </w:tc>
        <w:tc>
          <w:tcPr>
            <w:tcW w:w="256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20.4449</w:t>
            </w:r>
          </w:p>
        </w:tc>
        <w:tc>
          <w:tcPr>
            <w:tcW w:w="16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20,042.6</w:t>
            </w:r>
          </w:p>
        </w:tc>
        <w:tc>
          <w:tcPr>
            <w:tcW w:w="192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799.8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 Japanese yen/Sell US dollar</w:t>
            </w:r>
          </w:p>
        </w:tc>
        <w:tc>
          <w:tcPr>
            <w:tcW w:w="25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112.1083</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51.7</w:t>
            </w:r>
          </w:p>
        </w:tc>
        <w:tc>
          <w:tcPr>
            <w:tcW w:w="19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Our market risk on interest rates relates primarily to LIBOR-based short-term debt and a term loan from commercial banks,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 increase in fair value of our fixed-rate long-term debt resulting from a potential decrease in interest rates. We have no earnings or cash flow exposure due to market risks on our fixed-rate long-term debt obligations. We generally do not use interest rate swaps to mitigate the impact of fluctuations in interest rates. See our most recently filed Annual Report on Form 10-K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There has been no material change in this information.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Some raw materials used in our products are exposed to commodity price changes. The primary commodity price exposures are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aluminum, petroleum and natural gas-based resins, and linerboard. In addition, we are a purchaser of components and parts containing various commodities, including steel, aluminum, copper, lead, rubber, and others that 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integrated into our end products. Further information regarding rising prices for commodities is presented in Item 2 of this Quarterly Report on Form 10-Q, in the section entitled “Inflation.”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fixed-price contracts for future purchases of natural gas in the normal course of operations as a means to manage natural gas price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May 5, 2017 that has materially affected, or is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legal proceedings, see Note 10 in our Notes to Condensed Consolidated Financial Statements under the heading “Contingencies - Litigation” included in Item 1 of this Quarterly Report on Form 10-Q, which is incorporated into this Part II. Item 1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second quarter of fiscal 2017 stock repurchase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040" w:type="dxa"/>
            <w:vAlign w:val="bottom"/>
            <w:vMerge w:val="restart"/>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20" w:type="dxa"/>
            <w:vAlign w:val="bottom"/>
          </w:tcPr>
          <w:p>
            <w:pPr>
              <w:spacing w:after="0"/>
              <w:rPr>
                <w:sz w:val="13"/>
                <w:szCs w:val="13"/>
                <w:color w:val="auto"/>
              </w:rPr>
            </w:pPr>
          </w:p>
        </w:tc>
        <w:tc>
          <w:tcPr>
            <w:tcW w:w="12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Purchased As</w:t>
            </w:r>
          </w:p>
        </w:tc>
        <w:tc>
          <w:tcPr>
            <w:tcW w:w="20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40" w:type="dxa"/>
            <w:vAlign w:val="bottom"/>
          </w:tcPr>
          <w:p>
            <w:pPr>
              <w:jc w:val="center"/>
              <w:ind w:left="639"/>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20" w:type="dxa"/>
            <w:vAlign w:val="bottom"/>
          </w:tcPr>
          <w:p>
            <w:pPr>
              <w:spacing w:after="0"/>
              <w:rPr>
                <w:sz w:val="12"/>
                <w:szCs w:val="12"/>
                <w:color w:val="auto"/>
              </w:rPr>
            </w:pPr>
          </w:p>
        </w:tc>
        <w:tc>
          <w:tcPr>
            <w:tcW w:w="12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4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40" w:type="dxa"/>
            <w:vAlign w:val="bottom"/>
          </w:tcPr>
          <w:p>
            <w:pPr>
              <w:jc w:val="center"/>
              <w:ind w:left="639"/>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2"/>
                <w:szCs w:val="12"/>
                <w:color w:val="auto"/>
              </w:rPr>
            </w:pPr>
          </w:p>
        </w:tc>
        <w:tc>
          <w:tcPr>
            <w:tcW w:w="1200" w:type="dxa"/>
            <w:vAlign w:val="bottom"/>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w w:val="99"/>
              </w:rPr>
              <w:t>(1) (2)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204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4, 2017 through March 3, 2017</w:t>
            </w:r>
          </w:p>
        </w:tc>
        <w:tc>
          <w:tcPr>
            <w:tcW w:w="2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285,268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59.56</w:t>
            </w:r>
          </w:p>
        </w:tc>
        <w:tc>
          <w:tcPr>
            <w:tcW w:w="1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285,268</w:t>
            </w:r>
          </w:p>
        </w:tc>
        <w:tc>
          <w:tcPr>
            <w:tcW w:w="2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6,173,262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4, 2017 through March 31, 2017</w:t>
            </w:r>
          </w:p>
        </w:tc>
        <w:tc>
          <w:tcPr>
            <w:tcW w:w="20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4,100</w:t>
            </w:r>
          </w:p>
        </w:tc>
        <w:tc>
          <w:tcPr>
            <w:tcW w:w="320" w:type="dxa"/>
            <w:vAlign w:val="bottom"/>
          </w:tcPr>
          <w:p>
            <w:pPr>
              <w:spacing w:after="0"/>
              <w:rPr>
                <w:sz w:val="21"/>
                <w:szCs w:val="21"/>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59.95</w:t>
            </w:r>
          </w:p>
        </w:tc>
        <w:tc>
          <w:tcPr>
            <w:tcW w:w="1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2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6,169,162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2017 through May 5, 2017</w:t>
            </w:r>
          </w:p>
        </w:tc>
        <w:tc>
          <w:tcPr>
            <w:tcW w:w="2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1,360</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62.38</w:t>
            </w:r>
          </w:p>
        </w:tc>
        <w:tc>
          <w:tcPr>
            <w:tcW w:w="1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6,169,162</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290,728</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59.58</w:t>
            </w:r>
          </w:p>
        </w:tc>
        <w:tc>
          <w:tcPr>
            <w:tcW w:w="1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289,368</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411" w:lineRule="auto"/>
        <w:tabs>
          <w:tab w:leader="none" w:pos="17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 December 3, 2015, the company’s Board of Directors authorized the repurchase of an additional 8,000,000 shares of the company’s common stock in open-market or in privately negotiated transactions. This program has no expiration date but may be terminated by the company’s Board of Directors at any time. The company repurchased 289,368 shares during the period indicated above under this program and 6,169,162 shares remain available to repurchase under this program.</w:t>
      </w:r>
    </w:p>
    <w:p>
      <w:pPr>
        <w:spacing w:after="0" w:line="76" w:lineRule="exact"/>
        <w:rPr>
          <w:rFonts w:ascii="Times New Roman" w:cs="Times New Roman" w:eastAsia="Times New Roman" w:hAnsi="Times New Roman"/>
          <w:sz w:val="21"/>
          <w:szCs w:val="21"/>
          <w:color w:val="auto"/>
          <w:vertAlign w:val="superscript"/>
        </w:rPr>
      </w:pPr>
    </w:p>
    <w:p>
      <w:pPr>
        <w:jc w:val="both"/>
        <w:ind w:firstLine="8"/>
        <w:spacing w:after="0" w:line="286" w:lineRule="auto"/>
        <w:tabs>
          <w:tab w:leader="none" w:pos="17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1,360 units (shares) of the company’s common stock purchased in open-market transactions at an average price of $62.38 per share on behalf of a rabbi trust formed to pay benefit obligations of the company to participants in deferred compensation plans. These 1,360 shares were not repurchased under the company’s repurchase program described in footnote 1 above.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Exhibit No.</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554"/>
        </w:trPr>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 and 4.1</w:t>
            </w:r>
          </w:p>
        </w:tc>
        <w:tc>
          <w:tcPr>
            <w:tcW w:w="9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on Form 8-K dated June 17, 2008, Commission File No. 1-8649).</w:t>
              </w:r>
            </w:hyperlink>
          </w:p>
        </w:tc>
        <w:tc>
          <w:tcPr>
            <w:tcW w:w="4920" w:type="dxa"/>
            <w:vAlign w:val="bottom"/>
            <w:gridSpan w:val="6"/>
          </w:tcPr>
          <w:p>
            <w:pPr>
              <w:spacing w:after="0"/>
              <w:rPr>
                <w:sz w:val="17"/>
                <w:szCs w:val="17"/>
                <w:color w:val="auto"/>
              </w:rPr>
            </w:pPr>
          </w:p>
        </w:tc>
      </w:tr>
      <w:tr>
        <w:trPr>
          <w:trHeight w:val="574"/>
        </w:trPr>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3.2 and 4.2</w:t>
            </w:r>
          </w:p>
        </w:tc>
        <w:tc>
          <w:tcPr>
            <w:tcW w:w="9640" w:type="dxa"/>
            <w:vAlign w:val="bottom"/>
            <w:gridSpan w:val="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3.3 and 4.3</w:t>
            </w: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8-K dated July 19, 2016, Commission File No. 1-8649).</w:t>
              </w:r>
            </w:hyperlink>
          </w:p>
        </w:tc>
        <w:tc>
          <w:tcPr>
            <w:tcW w:w="5180" w:type="dxa"/>
            <w:vAlign w:val="bottom"/>
            <w:gridSpan w:val="7"/>
          </w:tcPr>
          <w:p>
            <w:pPr>
              <w:spacing w:after="0"/>
              <w:rPr>
                <w:sz w:val="17"/>
                <w:szCs w:val="17"/>
                <w:color w:val="auto"/>
              </w:rPr>
            </w:pPr>
          </w:p>
        </w:tc>
      </w:tr>
      <w:tr>
        <w:trPr>
          <w:trHeight w:val="542"/>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8-K dated June 24, 1997, Commission File No. 1-8649). (Filed on paper - hyperlink is not required pursuant to Rule 105 of</w:t>
            </w:r>
          </w:p>
        </w:tc>
      </w:tr>
      <w:tr>
        <w:trPr>
          <w:trHeight w:val="234"/>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Regulation S-T)</w:t>
            </w:r>
          </w:p>
        </w:tc>
      </w:tr>
      <w:tr>
        <w:trPr>
          <w:trHeight w:val="500"/>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on Form S-3 filed with the Securities and Exchange Commission on April 23, 2007, Registration No. 333-142282).</w:t>
              </w:r>
            </w:hyperlink>
          </w:p>
        </w:tc>
        <w:tc>
          <w:tcPr>
            <w:tcW w:w="1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7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on Form 8-K dated April 23, 2007, Commission File No. 1-8649).</w:t>
              </w:r>
            </w:hyperlink>
          </w:p>
        </w:tc>
        <w:tc>
          <w:tcPr>
            <w:tcW w:w="48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9640" w:type="dxa"/>
            <w:vAlign w:val="bottom"/>
            <w:gridSpan w:val="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333" w:lineRule="exact"/>
        <w:rPr>
          <w:sz w:val="20"/>
          <w:szCs w:val="20"/>
          <w:color w:val="auto"/>
        </w:rPr>
      </w:pPr>
    </w:p>
    <w:p>
      <w:pPr>
        <w:ind w:left="1760" w:right="20" w:hanging="1266"/>
        <w:spacing w:after="0" w:line="282" w:lineRule="auto"/>
        <w:tabs>
          <w:tab w:leader="none" w:pos="1760" w:val="left"/>
        </w:tabs>
        <w:numPr>
          <w:ilvl w:val="0"/>
          <w:numId w:val="7"/>
        </w:numPr>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35">
        <w:r>
          <w:rPr>
            <w:rFonts w:ascii="Times New Roman" w:cs="Times New Roman" w:eastAsia="Times New Roman" w:hAnsi="Times New Roman"/>
            <w:sz w:val="18"/>
            <w:szCs w:val="18"/>
            <w:u w:val="single" w:color="auto"/>
            <w:color w:val="0000EE"/>
          </w:rPr>
          <w:t>Section 906 of the Sarbanes-Oxley Act of 2002 (furnished herewith).</w:t>
        </w:r>
      </w:hyperlink>
    </w:p>
    <w:p>
      <w:pPr>
        <w:spacing w:after="0" w:line="270" w:lineRule="exact"/>
        <w:rPr>
          <w:rFonts w:ascii="Times New Roman" w:cs="Times New Roman" w:eastAsia="Times New Roman" w:hAnsi="Times New Roman"/>
          <w:sz w:val="18"/>
          <w:szCs w:val="18"/>
          <w:color w:val="auto"/>
        </w:rPr>
      </w:pPr>
    </w:p>
    <w:p>
      <w:pPr>
        <w:jc w:val="both"/>
        <w:ind w:left="1760" w:hanging="1266"/>
        <w:spacing w:after="0" w:line="255" w:lineRule="auto"/>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Toro Company’s Quarterly Report on Form 10-Q for the quarterly period ended May 5, 2017, filed with the SEC on June 7, 2017, formatted in eXtensible Business Reporting Language (XBRL): (i) Condensed Consolidated Statements of Earnings for the three and six-month periods ended May 5, 2017 and April 29, 2016, (ii) Condensed Consolidated Statements of Comprehensive Income for the three and six-month periods ended May 5, 2017 and April 29, 2016, (iii) Condensed Consolidated Balance Sheets as of May 5, 2017, April 29, 2016, and October 31, 2016, (iv) Condensed Consolidated Statement of Cash Flows for the six-month periods ended May 5, 2017 and April 29, 2016, and (v) Notes to Condensed Consolidated Financial Statements (filed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08"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June 7, 2017</w:t>
      </w:r>
      <w:r>
        <w:rPr>
          <w:sz w:val="20"/>
          <w:szCs w:val="20"/>
          <w:color w:val="auto"/>
        </w:rPr>
        <w:tab/>
      </w:r>
      <w:r>
        <w:rPr>
          <w:rFonts w:ascii="Times New Roman" w:cs="Times New Roman" w:eastAsia="Times New Roman" w:hAnsi="Times New Roman"/>
          <w:sz w:val="18"/>
          <w:szCs w:val="18"/>
          <w:color w:val="auto"/>
        </w:rPr>
        <w:t>By:</w:t>
        <w:tab/>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2017</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2017</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May 5, 2017 as filed with the Securities and Exchange Commission on the date hereof (the “Report”), we, Richard M. Olson,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7,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5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7, 2017</w:t>
      </w: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lowerRoman"/>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2"/>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27" Type="http://schemas.openxmlformats.org/officeDocument/2006/relationships/hyperlink" Target="http://www.sec.gov/Archives/edgar/data/737758/000073775808000033/form8-k06172008exhibitcert.htm" TargetMode="External"/><Relationship Id="rId28" Type="http://schemas.openxmlformats.org/officeDocument/2006/relationships/hyperlink" Target="http://www.sec.gov/Archives/edgar/data/737758/000119312513105223/d501846dex31.htm" TargetMode="External"/><Relationship Id="rId29" Type="http://schemas.openxmlformats.org/officeDocument/2006/relationships/hyperlink" Target="http://www.sec.gov/Archives/edgar/data/737758/000110465916133324/a16-15127_1ex3d1.htm" TargetMode="External"/><Relationship Id="rId30" Type="http://schemas.openxmlformats.org/officeDocument/2006/relationships/hyperlink" Target="http://www.sec.gov/Archives/edgar/data/737758/000110465907030051/a07-10570_1ex4d3.htm" TargetMode="External"/><Relationship Id="rId31" Type="http://schemas.openxmlformats.org/officeDocument/2006/relationships/hyperlink" Target="http://www.sec.gov/Archives/edgar/data/737758/000110465907031757/a07-10570_5ex4d1.htm" TargetMode="External"/><Relationship Id="rId32"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2019-12-29T05:07:53Z</dcterms:created>
  <dcterms:modified xsi:type="dcterms:W3CDTF">2019-12-29T05:07:53Z</dcterms:modified>
</cp:coreProperties>
</file>