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jc w:val="center"/>
        <w:ind w:right="40"/>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50"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May 21, 2015</w:t>
      </w:r>
    </w:p>
    <w:p>
      <w:pPr>
        <w:spacing w:after="0" w:line="202"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THE TORO COMPANY</w:t>
      </w:r>
    </w:p>
    <w:p>
      <w:pPr>
        <w:spacing w:after="0" w:line="40"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60"/>
          </w:cols>
          <w:pgMar w:left="240" w:top="544" w:right="199" w:bottom="0" w:gutter="0" w:footer="0" w:header="0"/>
        </w:sectPr>
      </w:pPr>
    </w:p>
    <w:p>
      <w:pPr>
        <w:spacing w:after="0" w:line="205" w:lineRule="exact"/>
        <w:rPr>
          <w:sz w:val="24"/>
          <w:szCs w:val="24"/>
          <w:color w:val="auto"/>
        </w:rPr>
      </w:pPr>
    </w:p>
    <w:p>
      <w:pPr>
        <w:jc w:val="center"/>
        <w:ind w:right="36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360"/>
        <w:spacing w:after="0"/>
        <w:rPr>
          <w:sz w:val="20"/>
          <w:szCs w:val="20"/>
          <w:color w:val="auto"/>
        </w:rPr>
      </w:pPr>
      <w:r>
        <w:rPr>
          <w:rFonts w:ascii="Arial" w:cs="Arial" w:eastAsia="Arial" w:hAnsi="Arial"/>
          <w:sz w:val="16"/>
          <w:szCs w:val="16"/>
          <w:color w:val="auto"/>
        </w:rPr>
        <w:t>(State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680"/>
        <w:spacing w:after="0"/>
        <w:rPr>
          <w:sz w:val="20"/>
          <w:szCs w:val="20"/>
          <w:color w:val="auto"/>
        </w:rPr>
      </w:pPr>
      <w:r>
        <w:rPr>
          <w:rFonts w:ascii="Arial" w:cs="Arial" w:eastAsia="Arial" w:hAnsi="Arial"/>
          <w:sz w:val="18"/>
          <w:szCs w:val="18"/>
          <w:b w:val="1"/>
          <w:bCs w:val="1"/>
          <w:color w:val="auto"/>
        </w:rPr>
        <w:t>1-8649</w:t>
      </w:r>
    </w:p>
    <w:p>
      <w:pPr>
        <w:spacing w:after="0" w:line="27" w:lineRule="exact"/>
        <w:rPr>
          <w:sz w:val="24"/>
          <w:szCs w:val="24"/>
          <w:color w:val="auto"/>
        </w:rPr>
      </w:pPr>
    </w:p>
    <w:p>
      <w:pPr>
        <w:jc w:val="center"/>
        <w:ind w:right="6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400"/>
        <w:spacing w:after="0"/>
        <w:rPr>
          <w:sz w:val="20"/>
          <w:szCs w:val="20"/>
          <w:color w:val="auto"/>
        </w:rPr>
      </w:pPr>
      <w:r>
        <w:rPr>
          <w:rFonts w:ascii="Arial" w:cs="Arial" w:eastAsia="Arial" w:hAnsi="Arial"/>
          <w:sz w:val="18"/>
          <w:szCs w:val="18"/>
          <w:b w:val="1"/>
          <w:bCs w:val="1"/>
          <w:color w:val="auto"/>
        </w:rPr>
        <w:t>41-0580470</w:t>
      </w:r>
    </w:p>
    <w:p>
      <w:pPr>
        <w:spacing w:after="0" w:line="27" w:lineRule="exact"/>
        <w:rPr>
          <w:sz w:val="24"/>
          <w:szCs w:val="24"/>
          <w:color w:val="auto"/>
        </w:rPr>
      </w:pPr>
    </w:p>
    <w:p>
      <w:pPr>
        <w:jc w:val="center"/>
        <w:ind w:right="400"/>
        <w:spacing w:after="0"/>
        <w:rPr>
          <w:sz w:val="20"/>
          <w:szCs w:val="20"/>
          <w:color w:val="auto"/>
        </w:rPr>
      </w:pPr>
      <w:r>
        <w:rPr>
          <w:rFonts w:ascii="Arial" w:cs="Arial" w:eastAsia="Arial" w:hAnsi="Arial"/>
          <w:sz w:val="16"/>
          <w:szCs w:val="16"/>
          <w:color w:val="auto"/>
        </w:rPr>
        <w:t>(I.R.S. Employer Identification Number)</w:t>
      </w:r>
    </w:p>
    <w:p>
      <w:pPr>
        <w:spacing w:after="0" w:line="200" w:lineRule="exact"/>
        <w:rPr>
          <w:sz w:val="24"/>
          <w:szCs w:val="24"/>
          <w:color w:val="auto"/>
        </w:rPr>
      </w:pPr>
    </w:p>
    <w:p>
      <w:pPr>
        <w:sectPr>
          <w:pgSz w:w="11900" w:h="16838" w:orient="portrait"/>
          <w:cols w:equalWidth="0" w:num="3">
            <w:col w:w="4020" w:space="720"/>
            <w:col w:w="2660" w:space="720"/>
            <w:col w:w="3340"/>
          </w:cols>
          <w:pgMar w:left="240" w:top="544" w:right="199" w:bottom="0" w:gutter="0" w:footer="0" w:header="0"/>
          <w:type w:val="continuous"/>
        </w:sectPr>
      </w:pPr>
    </w:p>
    <w:p>
      <w:pPr>
        <w:spacing w:after="0" w:line="30" w:lineRule="exact"/>
        <w:rPr>
          <w:sz w:val="24"/>
          <w:szCs w:val="24"/>
          <w:color w:val="auto"/>
        </w:rPr>
      </w:pPr>
    </w:p>
    <w:p>
      <w:pPr>
        <w:jc w:val="center"/>
        <w:ind w:right="1900"/>
        <w:spacing w:after="0"/>
        <w:rPr>
          <w:sz w:val="20"/>
          <w:szCs w:val="20"/>
          <w:color w:val="auto"/>
        </w:rPr>
      </w:pPr>
      <w:r>
        <w:rPr>
          <w:rFonts w:ascii="Arial" w:cs="Arial" w:eastAsia="Arial" w:hAnsi="Arial"/>
          <w:sz w:val="18"/>
          <w:szCs w:val="18"/>
          <w:b w:val="1"/>
          <w:bCs w:val="1"/>
          <w:color w:val="auto"/>
        </w:rPr>
        <w:t>8111 Lyndale Avenue South</w:t>
      </w:r>
    </w:p>
    <w:p>
      <w:pPr>
        <w:spacing w:after="0" w:line="27" w:lineRule="exact"/>
        <w:rPr>
          <w:sz w:val="24"/>
          <w:szCs w:val="24"/>
          <w:color w:val="auto"/>
        </w:rPr>
      </w:pPr>
    </w:p>
    <w:p>
      <w:pPr>
        <w:jc w:val="center"/>
        <w:ind w:right="1900"/>
        <w:spacing w:after="0"/>
        <w:rPr>
          <w:sz w:val="20"/>
          <w:szCs w:val="20"/>
          <w:color w:val="auto"/>
        </w:rPr>
      </w:pPr>
      <w:r>
        <w:rPr>
          <w:rFonts w:ascii="Arial" w:cs="Arial" w:eastAsia="Arial" w:hAnsi="Arial"/>
          <w:sz w:val="18"/>
          <w:szCs w:val="18"/>
          <w:b w:val="1"/>
          <w:bCs w:val="1"/>
          <w:color w:val="auto"/>
        </w:rPr>
        <w:t>Bloomington, Minnesota</w:t>
      </w:r>
    </w:p>
    <w:p>
      <w:pPr>
        <w:spacing w:after="0" w:line="9" w:lineRule="exact"/>
        <w:rPr>
          <w:sz w:val="24"/>
          <w:szCs w:val="24"/>
          <w:color w:val="auto"/>
        </w:rPr>
      </w:pPr>
    </w:p>
    <w:p>
      <w:pPr>
        <w:jc w:val="center"/>
        <w:ind w:right="190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26" w:lineRule="exact"/>
        <w:rPr>
          <w:sz w:val="24"/>
          <w:szCs w:val="24"/>
          <w:color w:val="auto"/>
        </w:rPr>
      </w:pPr>
    </w:p>
    <w:p>
      <w:pPr>
        <w:jc w:val="center"/>
        <w:ind w:right="2440"/>
        <w:spacing w:after="0"/>
        <w:rPr>
          <w:sz w:val="20"/>
          <w:szCs w:val="20"/>
          <w:color w:val="auto"/>
        </w:rPr>
      </w:pPr>
      <w:r>
        <w:rPr>
          <w:rFonts w:ascii="Arial" w:cs="Arial" w:eastAsia="Arial" w:hAnsi="Arial"/>
          <w:sz w:val="18"/>
          <w:szCs w:val="18"/>
          <w:b w:val="1"/>
          <w:bCs w:val="1"/>
          <w:color w:val="auto"/>
        </w:rPr>
        <w:t>55420</w:t>
      </w:r>
    </w:p>
    <w:p>
      <w:pPr>
        <w:spacing w:after="0" w:line="27" w:lineRule="exact"/>
        <w:rPr>
          <w:sz w:val="24"/>
          <w:szCs w:val="24"/>
          <w:color w:val="auto"/>
        </w:rPr>
      </w:pPr>
    </w:p>
    <w:p>
      <w:pPr>
        <w:jc w:val="center"/>
        <w:ind w:right="244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520" w:space="720"/>
            <w:col w:w="3220"/>
          </w:cols>
          <w:pgMar w:left="240" w:top="544" w:right="199" w:bottom="0" w:gutter="0" w:footer="0" w:header="0"/>
          <w:type w:val="continuous"/>
        </w:sectPr>
      </w:pPr>
    </w:p>
    <w:p>
      <w:pPr>
        <w:spacing w:after="0" w:line="30"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(952) 888-8801</w:t>
      </w:r>
    </w:p>
    <w:p>
      <w:pPr>
        <w:spacing w:after="0" w:line="22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1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180" w:hanging="172"/>
        <w:spacing w:after="0"/>
        <w:tabs>
          <w:tab w:leader="none" w:pos="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180" w:hanging="172"/>
        <w:spacing w:after="0"/>
        <w:tabs>
          <w:tab w:leader="none" w:pos="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180" w:hanging="172"/>
        <w:spacing w:after="0"/>
        <w:tabs>
          <w:tab w:leader="none" w:pos="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180" w:hanging="172"/>
        <w:spacing w:after="0"/>
        <w:tabs>
          <w:tab w:leader="none" w:pos="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Section 2 — Financial Information</w:t>
      </w:r>
    </w:p>
    <w:p>
      <w:pPr>
        <w:spacing w:after="0" w:line="225" w:lineRule="exact"/>
        <w:rPr>
          <w:sz w:val="24"/>
          <w:szCs w:val="24"/>
          <w:color w:val="auto"/>
        </w:rPr>
      </w:pPr>
    </w:p>
    <w:p>
      <w:pPr>
        <w:ind w:left="60"/>
        <w:spacing w:after="0"/>
        <w:tabs>
          <w:tab w:leader="none" w:pos="114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29" w:lineRule="exact"/>
        <w:rPr>
          <w:sz w:val="24"/>
          <w:szCs w:val="24"/>
          <w:color w:val="auto"/>
        </w:rPr>
      </w:pPr>
    </w:p>
    <w:p>
      <w:pPr>
        <w:ind w:left="820"/>
        <w:spacing w:after="0"/>
        <w:rPr>
          <w:sz w:val="20"/>
          <w:szCs w:val="20"/>
          <w:color w:val="auto"/>
        </w:rPr>
      </w:pPr>
      <w:r>
        <w:rPr>
          <w:rFonts w:ascii="Arial" w:cs="Arial" w:eastAsia="Arial" w:hAnsi="Arial"/>
          <w:sz w:val="18"/>
          <w:szCs w:val="18"/>
          <w:color w:val="auto"/>
        </w:rPr>
        <w:t>On May 21, 2015, The Toro Company announced its earnings for the three and six months ended May 1, 2015.</w:t>
      </w:r>
    </w:p>
    <w:p>
      <w:pPr>
        <w:spacing w:after="0" w:line="225" w:lineRule="exact"/>
        <w:rPr>
          <w:sz w:val="24"/>
          <w:szCs w:val="24"/>
          <w:color w:val="auto"/>
        </w:rPr>
      </w:pPr>
    </w:p>
    <w:p>
      <w:pPr>
        <w:ind w:left="820" w:right="120"/>
        <w:spacing w:after="0" w:line="257" w:lineRule="auto"/>
        <w:rPr>
          <w:sz w:val="20"/>
          <w:szCs w:val="20"/>
          <w:color w:val="auto"/>
        </w:rPr>
      </w:pPr>
      <w:r>
        <w:rPr>
          <w:rFonts w:ascii="Arial" w:cs="Arial" w:eastAsia="Arial" w:hAnsi="Arial"/>
          <w:sz w:val="18"/>
          <w:szCs w:val="18"/>
          <w:color w:val="auto"/>
        </w:rPr>
        <w:t>Attached to this Current Report on Form 8-K as Exhibit 99.1 is a copy of The Toro Company’s press release in connection with the announcement. The information in this Item 2.02, including the exhibit attached hereto, is furnished pursuant to Item 2.02 and shall not be deemed to be “filed” for purposes of Section 18 of the Securities Exchange Act of 1934, or otherwise subject to the liabilities of that section, nor shall it be deemed incorporated by reference in any filing under the Securities Act of 1933 or the Securities Exchange Act of 1934, except as shall be expressly set forth by specific reference in such filing.</w:t>
      </w:r>
    </w:p>
    <w:p>
      <w:pPr>
        <w:spacing w:after="0" w:line="188"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Section 9 — Financial Statements and Exhibits</w:t>
      </w:r>
    </w:p>
    <w:p>
      <w:pPr>
        <w:spacing w:after="0" w:line="225" w:lineRule="exact"/>
        <w:rPr>
          <w:sz w:val="24"/>
          <w:szCs w:val="24"/>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4"/>
          <w:szCs w:val="24"/>
          <w:color w:val="auto"/>
        </w:rPr>
      </w:pPr>
    </w:p>
    <w:p>
      <w:pPr>
        <w:ind w:left="1340" w:hanging="516"/>
        <w:spacing w:after="0"/>
        <w:tabs>
          <w:tab w:leader="none" w:pos="1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17" w:lineRule="exact"/>
        <w:rPr>
          <w:sz w:val="24"/>
          <w:szCs w:val="24"/>
          <w:color w:val="auto"/>
        </w:rPr>
      </w:pPr>
    </w:p>
    <w:tbl>
      <w:tblPr>
        <w:tblLayout w:type="fixed"/>
        <w:tblInd w:w="0" w:type="dxa"/>
        <w:tblCellMar>
          <w:top w:w="0" w:type="dxa"/>
          <w:left w:w="0" w:type="dxa"/>
          <w:bottom w:w="0" w:type="dxa"/>
          <w:right w:w="0" w:type="dxa"/>
        </w:tblCellMar>
      </w:tblPr>
      <w:tr>
        <w:trPr>
          <w:trHeight w:val="171"/>
        </w:trPr>
        <w:tc>
          <w:tcPr>
            <w:tcW w:w="820" w:type="dxa"/>
            <w:vAlign w:val="bottom"/>
          </w:tcPr>
          <w:p>
            <w:pPr>
              <w:spacing w:after="0"/>
              <w:rPr>
                <w:sz w:val="14"/>
                <w:szCs w:val="14"/>
                <w:color w:val="auto"/>
              </w:rPr>
            </w:pPr>
          </w:p>
        </w:tc>
        <w:tc>
          <w:tcPr>
            <w:tcW w:w="1280" w:type="dxa"/>
            <w:vAlign w:val="bottom"/>
            <w:gridSpan w:val="2"/>
          </w:tcPr>
          <w:p>
            <w:pPr>
              <w:spacing w:after="0"/>
              <w:rPr>
                <w:sz w:val="20"/>
                <w:szCs w:val="20"/>
                <w:color w:val="auto"/>
              </w:rPr>
            </w:pPr>
            <w:r>
              <w:rPr>
                <w:rFonts w:ascii="Arial" w:cs="Arial" w:eastAsia="Arial" w:hAnsi="Arial"/>
                <w:sz w:val="14"/>
                <w:szCs w:val="14"/>
                <w:b w:val="1"/>
                <w:bCs w:val="1"/>
                <w:color w:val="auto"/>
              </w:rPr>
              <w:t>Exhibit No.</w:t>
            </w:r>
          </w:p>
        </w:tc>
        <w:tc>
          <w:tcPr>
            <w:tcW w:w="9180" w:type="dxa"/>
            <w:vAlign w:val="bottom"/>
          </w:tcPr>
          <w:p>
            <w:pPr>
              <w:jc w:val="right"/>
              <w:ind w:right="4156"/>
              <w:spacing w:after="0"/>
              <w:rPr>
                <w:sz w:val="20"/>
                <w:szCs w:val="20"/>
                <w:color w:val="auto"/>
              </w:rPr>
            </w:pPr>
            <w:r>
              <w:rPr>
                <w:rFonts w:ascii="Arial" w:cs="Arial" w:eastAsia="Arial" w:hAnsi="Arial"/>
                <w:sz w:val="14"/>
                <w:szCs w:val="14"/>
                <w:b w:val="1"/>
                <w:bCs w:val="1"/>
                <w:color w:val="auto"/>
              </w:rPr>
              <w:t>Description</w:t>
            </w:r>
          </w:p>
        </w:tc>
        <w:tc>
          <w:tcPr>
            <w:tcW w:w="180" w:type="dxa"/>
            <w:vAlign w:val="bottom"/>
          </w:tcPr>
          <w:p>
            <w:pPr>
              <w:spacing w:after="0"/>
              <w:rPr>
                <w:sz w:val="14"/>
                <w:szCs w:val="14"/>
                <w:color w:val="auto"/>
              </w:rPr>
            </w:pPr>
          </w:p>
        </w:tc>
      </w:tr>
      <w:tr>
        <w:trPr>
          <w:trHeight w:val="224"/>
        </w:trPr>
        <w:tc>
          <w:tcPr>
            <w:tcW w:w="820" w:type="dxa"/>
            <w:vAlign w:val="bottom"/>
          </w:tcPr>
          <w:p>
            <w:pPr>
              <w:spacing w:after="0"/>
              <w:rPr>
                <w:sz w:val="19"/>
                <w:szCs w:val="19"/>
                <w:color w:val="auto"/>
              </w:rPr>
            </w:pPr>
          </w:p>
        </w:tc>
        <w:tc>
          <w:tcPr>
            <w:tcW w:w="10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99.1</w:t>
            </w:r>
          </w:p>
        </w:tc>
        <w:tc>
          <w:tcPr>
            <w:tcW w:w="200" w:type="dxa"/>
            <w:vAlign w:val="bottom"/>
          </w:tcPr>
          <w:p>
            <w:pPr>
              <w:spacing w:after="0"/>
              <w:rPr>
                <w:sz w:val="19"/>
                <w:szCs w:val="19"/>
                <w:color w:val="auto"/>
              </w:rPr>
            </w:pPr>
          </w:p>
        </w:tc>
        <w:tc>
          <w:tcPr>
            <w:tcW w:w="9180" w:type="dxa"/>
            <w:vAlign w:val="bottom"/>
            <w:tcBorders>
              <w:top w:val="single" w:sz="8" w:color="auto"/>
            </w:tcBorders>
          </w:tcPr>
          <w:p>
            <w:pPr>
              <w:jc w:val="right"/>
              <w:ind w:right="5116"/>
              <w:spacing w:after="0"/>
              <w:rPr>
                <w:sz w:val="20"/>
                <w:szCs w:val="20"/>
                <w:color w:val="auto"/>
              </w:rPr>
            </w:pPr>
            <w:r>
              <w:rPr>
                <w:rFonts w:ascii="Arial" w:cs="Arial" w:eastAsia="Arial" w:hAnsi="Arial"/>
                <w:sz w:val="18"/>
                <w:szCs w:val="18"/>
                <w:color w:val="auto"/>
                <w:w w:val="89"/>
              </w:rPr>
              <w:t>Press release dated May 21, 2015 (furnished herewith).</w:t>
            </w:r>
          </w:p>
        </w:tc>
        <w:tc>
          <w:tcPr>
            <w:tcW w:w="180" w:type="dxa"/>
            <w:vAlign w:val="bottom"/>
          </w:tcPr>
          <w:p>
            <w:pPr>
              <w:spacing w:after="0"/>
              <w:rPr>
                <w:sz w:val="19"/>
                <w:szCs w:val="19"/>
                <w:color w:val="auto"/>
              </w:rPr>
            </w:pPr>
          </w:p>
        </w:tc>
      </w:tr>
      <w:tr>
        <w:trPr>
          <w:trHeight w:val="418"/>
        </w:trPr>
        <w:tc>
          <w:tcPr>
            <w:tcW w:w="8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180" w:type="dxa"/>
            <w:vAlign w:val="bottom"/>
          </w:tcPr>
          <w:p>
            <w:pPr>
              <w:jc w:val="right"/>
              <w:ind w:right="5436"/>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24"/>
                <w:szCs w:val="24"/>
                <w:color w:val="auto"/>
              </w:rPr>
            </w:pPr>
          </w:p>
        </w:tc>
      </w:tr>
      <w:tr>
        <w:trPr>
          <w:trHeight w:val="132"/>
        </w:trPr>
        <w:tc>
          <w:tcPr>
            <w:tcW w:w="820" w:type="dxa"/>
            <w:vAlign w:val="bottom"/>
            <w:tcBorders>
              <w:bottom w:val="single" w:sz="8" w:color="010101"/>
            </w:tcBorders>
          </w:tcPr>
          <w:p>
            <w:pPr>
              <w:spacing w:after="0"/>
              <w:rPr>
                <w:sz w:val="11"/>
                <w:szCs w:val="11"/>
                <w:color w:val="auto"/>
              </w:rPr>
            </w:pPr>
          </w:p>
        </w:tc>
        <w:tc>
          <w:tcPr>
            <w:tcW w:w="108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918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544" w:right="199" w:bottom="0" w:gutter="0" w:footer="0" w:header="0"/>
          <w:type w:val="continuous"/>
        </w:sectPr>
      </w:pPr>
    </w:p>
    <w:bookmarkStart w:id="1" w:name="page2"/>
    <w:bookmarkEnd w:id="1"/>
    <w:p>
      <w:pPr>
        <w:jc w:val="center"/>
        <w:ind w:right="40"/>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380" w:type="dxa"/>
            <w:vAlign w:val="bottom"/>
            <w:gridSpan w:val="2"/>
          </w:tcPr>
          <w:p>
            <w:pPr>
              <w:ind w:left="3680"/>
              <w:spacing w:after="0"/>
              <w:rPr>
                <w:sz w:val="20"/>
                <w:szCs w:val="20"/>
                <w:color w:val="auto"/>
              </w:rPr>
            </w:pPr>
            <w:r>
              <w:rPr>
                <w:rFonts w:ascii="Arial" w:cs="Arial" w:eastAsia="Arial" w:hAnsi="Arial"/>
                <w:sz w:val="18"/>
                <w:szCs w:val="18"/>
                <w:color w:val="auto"/>
              </w:rPr>
              <w:t>THE TORO COMPANY</w:t>
            </w:r>
          </w:p>
        </w:tc>
        <w:tc>
          <w:tcPr>
            <w:tcW w:w="4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380" w:type="dxa"/>
            <w:vAlign w:val="bottom"/>
            <w:gridSpan w:val="2"/>
          </w:tcPr>
          <w:p>
            <w:pPr>
              <w:ind w:left="3680"/>
              <w:spacing w:after="0"/>
              <w:rPr>
                <w:sz w:val="20"/>
                <w:szCs w:val="20"/>
                <w:color w:val="auto"/>
              </w:rPr>
            </w:pPr>
            <w:r>
              <w:rPr>
                <w:rFonts w:ascii="Arial" w:cs="Arial" w:eastAsia="Arial" w:hAnsi="Arial"/>
                <w:sz w:val="18"/>
                <w:szCs w:val="18"/>
                <w:color w:val="auto"/>
              </w:rPr>
              <w:t>(Registrant)</w:t>
            </w:r>
          </w:p>
        </w:tc>
        <w:tc>
          <w:tcPr>
            <w:tcW w:w="40" w:type="dxa"/>
            <w:vAlign w:val="bottom"/>
          </w:tcPr>
          <w:p>
            <w:pPr>
              <w:spacing w:after="0"/>
              <w:rPr>
                <w:sz w:val="20"/>
                <w:szCs w:val="20"/>
                <w:color w:val="auto"/>
              </w:rPr>
            </w:pPr>
          </w:p>
        </w:tc>
      </w:tr>
      <w:tr>
        <w:trPr>
          <w:trHeight w:val="432"/>
        </w:trPr>
        <w:tc>
          <w:tcPr>
            <w:tcW w:w="1800" w:type="dxa"/>
            <w:vAlign w:val="bottom"/>
            <w:gridSpan w:val="2"/>
          </w:tcPr>
          <w:p>
            <w:pPr>
              <w:spacing w:after="0"/>
              <w:rPr>
                <w:sz w:val="20"/>
                <w:szCs w:val="20"/>
                <w:color w:val="auto"/>
              </w:rPr>
            </w:pPr>
            <w:r>
              <w:rPr>
                <w:rFonts w:ascii="Arial" w:cs="Arial" w:eastAsia="Arial" w:hAnsi="Arial"/>
                <w:sz w:val="18"/>
                <w:szCs w:val="18"/>
                <w:color w:val="auto"/>
              </w:rPr>
              <w:t>Date: May 21, 2015</w:t>
            </w:r>
          </w:p>
        </w:tc>
        <w:tc>
          <w:tcPr>
            <w:tcW w:w="240" w:type="dxa"/>
            <w:vAlign w:val="bottom"/>
          </w:tcPr>
          <w:p>
            <w:pPr>
              <w:spacing w:after="0"/>
              <w:rPr>
                <w:sz w:val="24"/>
                <w:szCs w:val="24"/>
                <w:color w:val="auto"/>
              </w:rPr>
            </w:pPr>
          </w:p>
        </w:tc>
        <w:tc>
          <w:tcPr>
            <w:tcW w:w="9380" w:type="dxa"/>
            <w:vAlign w:val="bottom"/>
            <w:gridSpan w:val="2"/>
          </w:tcPr>
          <w:p>
            <w:pPr>
              <w:ind w:left="3680"/>
              <w:spacing w:after="0"/>
              <w:rPr>
                <w:sz w:val="20"/>
                <w:szCs w:val="20"/>
                <w:color w:val="auto"/>
              </w:rPr>
            </w:pPr>
            <w:r>
              <w:rPr>
                <w:rFonts w:ascii="Arial" w:cs="Arial" w:eastAsia="Arial" w:hAnsi="Arial"/>
                <w:sz w:val="18"/>
                <w:szCs w:val="18"/>
                <w:color w:val="auto"/>
              </w:rPr>
              <w:t>By  /s/ Renee J. Peterson</w:t>
            </w:r>
          </w:p>
        </w:tc>
        <w:tc>
          <w:tcPr>
            <w:tcW w:w="40" w:type="dxa"/>
            <w:vAlign w:val="bottom"/>
          </w:tcPr>
          <w:p>
            <w:pPr>
              <w:spacing w:after="0"/>
              <w:rPr>
                <w:sz w:val="24"/>
                <w:szCs w:val="24"/>
                <w:color w:val="auto"/>
              </w:rPr>
            </w:pPr>
          </w:p>
        </w:tc>
      </w:tr>
      <w:tr>
        <w:trPr>
          <w:trHeight w:val="182"/>
        </w:trPr>
        <w:tc>
          <w:tcPr>
            <w:tcW w:w="2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60" w:type="dxa"/>
            <w:vAlign w:val="bottom"/>
          </w:tcPr>
          <w:p>
            <w:pPr>
              <w:ind w:left="3680"/>
              <w:spacing w:after="0" w:line="182" w:lineRule="exact"/>
              <w:rPr>
                <w:sz w:val="20"/>
                <w:szCs w:val="20"/>
                <w:color w:val="auto"/>
              </w:rPr>
            </w:pPr>
            <w:r>
              <w:rPr>
                <w:rFonts w:ascii="Arial" w:cs="Arial" w:eastAsia="Arial" w:hAnsi="Arial"/>
                <w:sz w:val="17"/>
                <w:szCs w:val="17"/>
                <w:color w:val="auto"/>
                <w:w w:val="71"/>
              </w:rPr>
              <w:t>Renee</w:t>
            </w:r>
          </w:p>
        </w:tc>
        <w:tc>
          <w:tcPr>
            <w:tcW w:w="5320" w:type="dxa"/>
            <w:vAlign w:val="bottom"/>
            <w:tcBorders>
              <w:top w:val="single" w:sz="8" w:color="auto"/>
            </w:tcBorders>
          </w:tcPr>
          <w:p>
            <w:pPr>
              <w:ind w:left="120"/>
              <w:spacing w:after="0" w:line="182" w:lineRule="exact"/>
              <w:rPr>
                <w:sz w:val="20"/>
                <w:szCs w:val="20"/>
                <w:color w:val="auto"/>
              </w:rPr>
            </w:pPr>
            <w:r>
              <w:rPr>
                <w:rFonts w:ascii="Arial" w:cs="Arial" w:eastAsia="Arial" w:hAnsi="Arial"/>
                <w:sz w:val="18"/>
                <w:szCs w:val="18"/>
                <w:color w:val="auto"/>
              </w:rPr>
              <w:t>J. Peterson</w:t>
            </w:r>
          </w:p>
        </w:tc>
        <w:tc>
          <w:tcPr>
            <w:tcW w:w="40" w:type="dxa"/>
            <w:vAlign w:val="bottom"/>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380" w:type="dxa"/>
            <w:vAlign w:val="bottom"/>
            <w:gridSpan w:val="2"/>
          </w:tcPr>
          <w:p>
            <w:pPr>
              <w:ind w:left="3680"/>
              <w:spacing w:after="0"/>
              <w:rPr>
                <w:sz w:val="20"/>
                <w:szCs w:val="20"/>
                <w:color w:val="auto"/>
              </w:rPr>
            </w:pPr>
            <w:r>
              <w:rPr>
                <w:rFonts w:ascii="Arial" w:cs="Arial" w:eastAsia="Arial" w:hAnsi="Arial"/>
                <w:sz w:val="18"/>
                <w:szCs w:val="18"/>
                <w:color w:val="auto"/>
              </w:rPr>
              <w:t>Vice President, Treasurer and</w:t>
            </w:r>
          </w:p>
        </w:tc>
        <w:tc>
          <w:tcPr>
            <w:tcW w:w="4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380" w:type="dxa"/>
            <w:vAlign w:val="bottom"/>
            <w:gridSpan w:val="2"/>
          </w:tcPr>
          <w:p>
            <w:pPr>
              <w:ind w:left="3680"/>
              <w:spacing w:after="0"/>
              <w:rPr>
                <w:sz w:val="20"/>
                <w:szCs w:val="20"/>
                <w:color w:val="auto"/>
              </w:rPr>
            </w:pPr>
            <w:r>
              <w:rPr>
                <w:rFonts w:ascii="Arial" w:cs="Arial" w:eastAsia="Arial" w:hAnsi="Arial"/>
                <w:sz w:val="18"/>
                <w:szCs w:val="18"/>
                <w:color w:val="auto"/>
              </w:rPr>
              <w:t>Chief Financial Officer</w:t>
            </w:r>
          </w:p>
        </w:tc>
        <w:tc>
          <w:tcPr>
            <w:tcW w:w="4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4300" w:type="dxa"/>
            <w:vAlign w:val="bottom"/>
            <w:gridSpan w:val="2"/>
          </w:tcPr>
          <w:p>
            <w:pPr>
              <w:jc w:val="center"/>
              <w:ind w:left="3430"/>
              <w:spacing w:after="0"/>
              <w:rPr>
                <w:sz w:val="20"/>
                <w:szCs w:val="20"/>
                <w:color w:val="auto"/>
              </w:rPr>
            </w:pPr>
            <w:r>
              <w:rPr>
                <w:rFonts w:ascii="Arial" w:cs="Arial" w:eastAsia="Arial" w:hAnsi="Arial"/>
                <w:sz w:val="18"/>
                <w:szCs w:val="18"/>
                <w:color w:val="auto"/>
                <w:w w:val="99"/>
              </w:rPr>
              <w:t>4</w:t>
            </w:r>
          </w:p>
        </w:tc>
        <w:tc>
          <w:tcPr>
            <w:tcW w:w="53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178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9380" w:type="dxa"/>
            <w:vAlign w:val="bottom"/>
            <w:tcBorders>
              <w:bottom w:val="single" w:sz="8" w:color="010101"/>
            </w:tcBorders>
            <w:gridSpan w:val="2"/>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r>
        <w:trPr>
          <w:trHeight w:val="780"/>
        </w:trPr>
        <w:tc>
          <w:tcPr>
            <w:tcW w:w="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380" w:type="dxa"/>
            <w:vAlign w:val="bottom"/>
            <w:gridSpan w:val="2"/>
          </w:tcPr>
          <w:p>
            <w:pPr>
              <w:jc w:val="center"/>
              <w:ind w:right="1939"/>
              <w:spacing w:after="0"/>
              <w:rPr>
                <w:sz w:val="20"/>
                <w:szCs w:val="20"/>
                <w:color w:val="auto"/>
              </w:rPr>
            </w:pPr>
            <w:r>
              <w:rPr>
                <w:rFonts w:ascii="Arial" w:cs="Arial" w:eastAsia="Arial" w:hAnsi="Arial"/>
                <w:sz w:val="18"/>
                <w:szCs w:val="18"/>
                <w:b w:val="1"/>
                <w:bCs w:val="1"/>
                <w:color w:val="auto"/>
              </w:rPr>
              <w:t>EXHIBIT INDEX</w:t>
            </w:r>
          </w:p>
        </w:tc>
        <w:tc>
          <w:tcPr>
            <w:tcW w:w="40" w:type="dxa"/>
            <w:vAlign w:val="bottom"/>
          </w:tcPr>
          <w:p>
            <w:pPr>
              <w:spacing w:after="0"/>
              <w:rPr>
                <w:sz w:val="24"/>
                <w:szCs w:val="24"/>
                <w:color w:val="auto"/>
              </w:rPr>
            </w:pPr>
          </w:p>
        </w:tc>
      </w:tr>
      <w:tr>
        <w:trPr>
          <w:trHeight w:val="365"/>
        </w:trPr>
        <w:tc>
          <w:tcPr>
            <w:tcW w:w="1800" w:type="dxa"/>
            <w:vAlign w:val="bottom"/>
            <w:gridSpan w:val="2"/>
          </w:tcPr>
          <w:p>
            <w:pPr>
              <w:spacing w:after="0"/>
              <w:rPr>
                <w:sz w:val="20"/>
                <w:szCs w:val="20"/>
                <w:color w:val="auto"/>
              </w:rPr>
            </w:pPr>
            <w:r>
              <w:rPr>
                <w:rFonts w:ascii="Arial" w:cs="Arial" w:eastAsia="Arial" w:hAnsi="Arial"/>
                <w:sz w:val="14"/>
                <w:szCs w:val="14"/>
                <w:b w:val="1"/>
                <w:bCs w:val="1"/>
                <w:color w:val="auto"/>
              </w:rPr>
              <w:t>EXHIBIT NUMBER</w:t>
            </w:r>
          </w:p>
        </w:tc>
        <w:tc>
          <w:tcPr>
            <w:tcW w:w="24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5320" w:type="dxa"/>
            <w:vAlign w:val="bottom"/>
          </w:tcPr>
          <w:p>
            <w:pPr>
              <w:ind w:left="120"/>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24"/>
                <w:szCs w:val="24"/>
                <w:color w:val="auto"/>
              </w:rPr>
            </w:pPr>
          </w:p>
        </w:tc>
      </w:tr>
      <w:tr>
        <w:trPr>
          <w:trHeight w:val="224"/>
        </w:trPr>
        <w:tc>
          <w:tcPr>
            <w:tcW w:w="20" w:type="dxa"/>
            <w:vAlign w:val="bottom"/>
          </w:tcPr>
          <w:p>
            <w:pPr>
              <w:spacing w:after="0"/>
              <w:rPr>
                <w:sz w:val="19"/>
                <w:szCs w:val="19"/>
                <w:color w:val="auto"/>
              </w:rPr>
            </w:pPr>
          </w:p>
        </w:tc>
        <w:tc>
          <w:tcPr>
            <w:tcW w:w="17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99.1</w:t>
            </w:r>
          </w:p>
        </w:tc>
        <w:tc>
          <w:tcPr>
            <w:tcW w:w="240" w:type="dxa"/>
            <w:vAlign w:val="bottom"/>
          </w:tcPr>
          <w:p>
            <w:pPr>
              <w:spacing w:after="0"/>
              <w:rPr>
                <w:sz w:val="19"/>
                <w:szCs w:val="19"/>
                <w:color w:val="auto"/>
              </w:rPr>
            </w:pPr>
          </w:p>
        </w:tc>
        <w:tc>
          <w:tcPr>
            <w:tcW w:w="93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Press release dated May 21, 2015 (furnished herewith).</w:t>
            </w:r>
          </w:p>
        </w:tc>
        <w:tc>
          <w:tcPr>
            <w:tcW w:w="40" w:type="dxa"/>
            <w:vAlign w:val="bottom"/>
          </w:tcPr>
          <w:p>
            <w:pPr>
              <w:spacing w:after="0"/>
              <w:rPr>
                <w:sz w:val="19"/>
                <w:szCs w:val="19"/>
                <w:color w:val="auto"/>
              </w:rPr>
            </w:pPr>
          </w:p>
        </w:tc>
      </w:tr>
      <w:tr>
        <w:trPr>
          <w:trHeight w:val="418"/>
        </w:trPr>
        <w:tc>
          <w:tcPr>
            <w:tcW w:w="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4300" w:type="dxa"/>
            <w:vAlign w:val="bottom"/>
            <w:gridSpan w:val="2"/>
          </w:tcPr>
          <w:p>
            <w:pPr>
              <w:jc w:val="center"/>
              <w:ind w:left="3430"/>
              <w:spacing w:after="0"/>
              <w:rPr>
                <w:sz w:val="20"/>
                <w:szCs w:val="20"/>
                <w:color w:val="auto"/>
              </w:rPr>
            </w:pPr>
            <w:r>
              <w:rPr>
                <w:rFonts w:ascii="Arial" w:cs="Arial" w:eastAsia="Arial" w:hAnsi="Arial"/>
                <w:sz w:val="18"/>
                <w:szCs w:val="18"/>
                <w:color w:val="auto"/>
                <w:w w:val="99"/>
              </w:rPr>
              <w:t>5</w:t>
            </w:r>
          </w:p>
        </w:tc>
        <w:tc>
          <w:tcPr>
            <w:tcW w:w="53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178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4060" w:type="dxa"/>
            <w:vAlign w:val="bottom"/>
            <w:tcBorders>
              <w:bottom w:val="single" w:sz="8" w:color="010101"/>
            </w:tcBorders>
          </w:tcPr>
          <w:p>
            <w:pPr>
              <w:spacing w:after="0"/>
              <w:rPr>
                <w:sz w:val="11"/>
                <w:szCs w:val="11"/>
                <w:color w:val="auto"/>
              </w:rPr>
            </w:pPr>
          </w:p>
        </w:tc>
        <w:tc>
          <w:tcPr>
            <w:tcW w:w="532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-1272540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-1272540</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1071880" cy="7029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071880" cy="702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Heather Hille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Director,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(952) 887-8923, heather.hille@toro.com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Relations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Branden Happel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Senior Manager, Public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(952) 887-8930, branden.happel@toro.com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Immediate Release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Toro Company Reports Record Second Quarter Results</w:t>
      </w:r>
    </w:p>
    <w:p>
      <w:pPr>
        <w:spacing w:after="0" w:line="229" w:lineRule="exact"/>
        <w:rPr>
          <w:sz w:val="20"/>
          <w:szCs w:val="20"/>
          <w:color w:val="auto"/>
        </w:rPr>
      </w:pPr>
    </w:p>
    <w:p>
      <w:pPr>
        <w:ind w:left="300" w:hanging="292"/>
        <w:spacing w:after="0"/>
        <w:tabs>
          <w:tab w:leader="none" w:pos="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Second quarter sales increase 10.9 percent to a record $826.2 million</w:t>
      </w:r>
    </w:p>
    <w:p>
      <w:pPr>
        <w:spacing w:after="0" w:line="23" w:lineRule="exact"/>
        <w:rPr>
          <w:rFonts w:ascii="Arial" w:cs="Arial" w:eastAsia="Arial" w:hAnsi="Arial"/>
          <w:sz w:val="18"/>
          <w:szCs w:val="18"/>
          <w:color w:val="auto"/>
        </w:rPr>
      </w:pPr>
    </w:p>
    <w:p>
      <w:pPr>
        <w:ind w:left="300" w:hanging="292"/>
        <w:spacing w:after="0"/>
        <w:tabs>
          <w:tab w:leader="none" w:pos="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earnings per share for the quarter up 8.6 percent to a record $1.64</w:t>
      </w:r>
    </w:p>
    <w:p>
      <w:pPr>
        <w:spacing w:after="0" w:line="9" w:lineRule="exact"/>
        <w:rPr>
          <w:rFonts w:ascii="Arial" w:cs="Arial" w:eastAsia="Arial" w:hAnsi="Arial"/>
          <w:sz w:val="18"/>
          <w:szCs w:val="18"/>
          <w:color w:val="auto"/>
        </w:rPr>
      </w:pPr>
    </w:p>
    <w:p>
      <w:pPr>
        <w:ind w:left="300" w:hanging="292"/>
        <w:spacing w:after="0"/>
        <w:tabs>
          <w:tab w:leader="none" w:pos="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Favorable spring weather and innovative products help build retail momentum in the quarter</w:t>
      </w:r>
    </w:p>
    <w:p>
      <w:pPr>
        <w:spacing w:after="0" w:line="211"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BLOOMINGTON, Minn. (May 21, 2015) — The Toro Company (NYSE: TTC) today reported net earnings of $93.8 million, or $1.64 per share, on a net sales increase of 10.9 percent to $826.2 million for its 2015 second quarter ended May 1, 2015. In the comparable fiscal 2014 period, the company delivered net earnings of $87.1 million, or $1.51 per share, on net sales of $745 million.</w:t>
      </w:r>
    </w:p>
    <w:p>
      <w:pPr>
        <w:spacing w:after="0" w:line="18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“Good spring weather conditions helped generate robust retail sales during the quarter,” said Michael J. Hoffman, Toro’s chairman and chief executive officer. “Additionally, I’m proud of the dedication of and execution by our strong team that enabled us to deliver our record results. On the residential side of the business, we drove increased sales due to our innovative product line-up, including our new platform of consumer zero-turn riding mowers and new all-wheel drive walk power mower. We also benefited from expanded retail placement for these products. In our professional segment, landscape contractors readied themselves for the spring season by investing in our zero-turn riding and walk behind mowers and newly introduced Toro® and Exmark® branded spreader-sprayer turf management products. Additionally, our recently acquired BOSS® line of snow and ice management products contributed to our second quarter results. Like other companies, however, our earnings were not immune from unfavorable foreign currency rates and also were affected by segment mix.”</w:t>
      </w:r>
    </w:p>
    <w:p>
      <w:pPr>
        <w:spacing w:after="0" w:line="167"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For the first six months, Toro reported net earnings of $124.7 million, or $2.18 per share, on a net sales increase of 9.2 percent to $1.3 billion. In the comparable fiscal 2014 period, the company posted net earnings of $113 million, or $1.95 per share, on net sales of $1.191 billion. “Our residential segment contributed double-digit revenue growth in the year-to-date period due to strong retail demand for residential zero-turn riding and walk power mowers, as well as higher demand for our residential snow thrower products,” said Hoffman. “On the professional side of our business, the addition of the BOSS snow and ice management products, higher sales of landscape maintenance equipment and solid demand for our golf turf maintenance equipment all helped us to deliver record results for the period.”</w:t>
      </w:r>
    </w:p>
    <w:p>
      <w:pPr>
        <w:spacing w:after="0" w:line="193" w:lineRule="exact"/>
        <w:rPr>
          <w:sz w:val="20"/>
          <w:szCs w:val="20"/>
          <w:color w:val="auto"/>
        </w:rPr>
      </w:pPr>
    </w:p>
    <w:p>
      <w:pPr>
        <w:ind w:right="100"/>
        <w:spacing w:after="0" w:line="245" w:lineRule="auto"/>
        <w:rPr>
          <w:sz w:val="20"/>
          <w:szCs w:val="20"/>
          <w:color w:val="auto"/>
        </w:rPr>
      </w:pPr>
      <w:r>
        <w:rPr>
          <w:rFonts w:ascii="Arial" w:cs="Arial" w:eastAsia="Arial" w:hAnsi="Arial"/>
          <w:sz w:val="17"/>
          <w:szCs w:val="17"/>
          <w:color w:val="auto"/>
        </w:rPr>
        <w:t>“As we continue through the key selling season, we are encouraged by the strong retail sales results that we are seeing across our businesses. We believe that we are well-positioned with our portfolio of innovative products to drive additional sales and increase our market share. In particular, we are excited by the successful launch of our Reelmaster</w:t>
      </w:r>
      <w:r>
        <w:rPr>
          <w:rFonts w:ascii="Arial" w:cs="Arial" w:eastAsia="Arial" w:hAnsi="Arial"/>
          <w:sz w:val="22"/>
          <w:szCs w:val="22"/>
          <w:color w:val="auto"/>
          <w:vertAlign w:val="superscript"/>
        </w:rPr>
        <w:t>®</w:t>
      </w:r>
      <w:r>
        <w:rPr>
          <w:rFonts w:ascii="Arial" w:cs="Arial" w:eastAsia="Arial" w:hAnsi="Arial"/>
          <w:sz w:val="17"/>
          <w:szCs w:val="17"/>
          <w:color w:val="auto"/>
        </w:rPr>
        <w:t xml:space="preserve"> 5010-H hybrid fairway mower for the golf market and early customer demand for our all-new Dingo</w:t>
      </w:r>
      <w:r>
        <w:rPr>
          <w:rFonts w:ascii="Arial" w:cs="Arial" w:eastAsia="Arial" w:hAnsi="Arial"/>
          <w:sz w:val="22"/>
          <w:szCs w:val="22"/>
          <w:color w:val="auto"/>
          <w:vertAlign w:val="superscript"/>
        </w:rPr>
        <w:t>®</w:t>
      </w:r>
      <w:r>
        <w:rPr>
          <w:rFonts w:ascii="Arial" w:cs="Arial" w:eastAsia="Arial" w:hAnsi="Arial"/>
          <w:sz w:val="17"/>
          <w:szCs w:val="17"/>
          <w:color w:val="auto"/>
        </w:rPr>
        <w:t xml:space="preserve"> TX 1000 compact utility loader for the landscape contractor and rental markets that will be released in our third quarter. With that said, we are mindful of the fact that Mother Nature delivered two consecutive favorable summer growing seasons in 2013 and 2014 and may not do so again this year. We also will have to manage the unfavorable foreign currency rate conditions that we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201295</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right="380"/>
        <w:spacing w:after="0" w:line="312" w:lineRule="auto"/>
        <w:rPr>
          <w:sz w:val="20"/>
          <w:szCs w:val="20"/>
          <w:color w:val="auto"/>
        </w:rPr>
      </w:pPr>
      <w:r>
        <w:rPr>
          <w:rFonts w:ascii="Arial" w:cs="Arial" w:eastAsia="Arial" w:hAnsi="Arial"/>
          <w:sz w:val="16"/>
          <w:szCs w:val="16"/>
          <w:color w:val="auto"/>
        </w:rPr>
        <w:t>expect will continue to pressure our international business. We will remain flexible to address both anticipated and unforeseen challenges and will keep a careful eye on both retail demand and field inventories. In addition, we will focus on the key things within our control that will help us achieve our Destination PRIME objectives, including investing in product innovation, delivering excellent customer service and executing in our markets.”</w:t>
      </w:r>
    </w:p>
    <w:p>
      <w:pPr>
        <w:spacing w:after="0" w:line="14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company continues to expect revenue growth for fiscal 2015 to be about 8 to 10 percent and net earnings per share to be about $3.35 to $3.45. For the third quarter, the company expects net earnings per share to be about $0.85 to $0.90.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SEGMENT RESULTS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Professional</w:t>
      </w:r>
    </w:p>
    <w:p>
      <w:pPr>
        <w:spacing w:after="0" w:line="229" w:lineRule="exact"/>
        <w:rPr>
          <w:sz w:val="20"/>
          <w:szCs w:val="20"/>
          <w:color w:val="auto"/>
        </w:rPr>
      </w:pPr>
    </w:p>
    <w:p>
      <w:pPr>
        <w:ind w:left="340" w:hanging="332"/>
        <w:spacing w:after="0" w:line="271" w:lineRule="auto"/>
        <w:tabs>
          <w:tab w:leader="none" w:pos="304" w:val="left"/>
        </w:tabs>
        <w:numPr>
          <w:ilvl w:val="0"/>
          <w:numId w:val="4"/>
        </w:numPr>
        <w:rPr>
          <w:rFonts w:ascii="Arial" w:cs="Arial" w:eastAsia="Arial" w:hAnsi="Arial"/>
          <w:sz w:val="17"/>
          <w:szCs w:val="17"/>
          <w:color w:val="auto"/>
        </w:rPr>
      </w:pPr>
      <w:r>
        <w:rPr>
          <w:rFonts w:ascii="Arial" w:cs="Arial" w:eastAsia="Arial" w:hAnsi="Arial"/>
          <w:sz w:val="17"/>
          <w:szCs w:val="17"/>
          <w:color w:val="auto"/>
        </w:rPr>
        <w:t>Professional segment net sales for the second quarter totaled $552.8 million, up 4.6 percent from $528.6 million in the same period last year. Incremental sales of our recently acquired BOSS snow and ice management products contributed to the growth for the quarter. In addition, landscape maintenance equipment sales increased due to solid retail demand for our professional zero-turn riding and walk behind mowing platforms and new turf management products. Domestic golf sales also grew on strong channel and retail demand for our innovative application equipment and vehicles. For the first six months, professional segment net sales were $892.5 million, up 8.3 percent from the comparable fiscal 2014 period. For the year-to-date period, sales benefited from the addition of the BOSS snow and ice management products to our professional portfolio, higher sales of landscape maintenance mowing and turf management equipment, and strong demand for our golf turf maintenance equipment and vehicles. Somewhat offsetting the sales growth in both periods were unfavorable currency exchange rates.</w:t>
      </w:r>
    </w:p>
    <w:p>
      <w:pPr>
        <w:sectPr>
          <w:pgSz w:w="11900" w:h="16838" w:orient="portrait"/>
          <w:cols w:equalWidth="0" w:num="1">
            <w:col w:w="11420"/>
          </w:cols>
          <w:pgMar w:left="240" w:top="121" w:right="239" w:bottom="26" w:gutter="0" w:footer="0" w:header="0"/>
        </w:sectPr>
      </w:pPr>
    </w:p>
    <w:bookmarkStart w:id="3" w:name="page4"/>
    <w:bookmarkEnd w:id="3"/>
    <w:p>
      <w:pPr>
        <w:ind w:left="340" w:right="80" w:hanging="332"/>
        <w:spacing w:after="0" w:line="277" w:lineRule="auto"/>
        <w:tabs>
          <w:tab w:leader="none" w:pos="304"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Professional segment earnings for the first quarter totaled $120.8 million, down 1.3 percent from $122.4 million in the same period last year. For the first six months, professional segment earnings were $176.5 million, up 3.9 percent from the comparable fiscal 2014 period.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Residential</w:t>
      </w:r>
    </w:p>
    <w:p>
      <w:pPr>
        <w:spacing w:after="0" w:line="229" w:lineRule="exact"/>
        <w:rPr>
          <w:sz w:val="20"/>
          <w:szCs w:val="20"/>
          <w:color w:val="auto"/>
        </w:rPr>
      </w:pPr>
    </w:p>
    <w:p>
      <w:pPr>
        <w:ind w:left="340" w:right="100" w:hanging="332"/>
        <w:spacing w:after="0" w:line="297" w:lineRule="auto"/>
        <w:tabs>
          <w:tab w:leader="none" w:pos="304" w:val="left"/>
        </w:tabs>
        <w:numPr>
          <w:ilvl w:val="0"/>
          <w:numId w:val="6"/>
        </w:numPr>
        <w:rPr>
          <w:rFonts w:ascii="Arial" w:cs="Arial" w:eastAsia="Arial" w:hAnsi="Arial"/>
          <w:sz w:val="16"/>
          <w:szCs w:val="16"/>
          <w:color w:val="auto"/>
        </w:rPr>
      </w:pPr>
      <w:r>
        <w:rPr>
          <w:rFonts w:ascii="Arial" w:cs="Arial" w:eastAsia="Arial" w:hAnsi="Arial"/>
          <w:sz w:val="16"/>
          <w:szCs w:val="16"/>
          <w:color w:val="auto"/>
        </w:rPr>
        <w:t>Residential segment net sales for the second quarter were $267.9 million, up 27.3 percent from $210.4 million in the same period last year. For the first six months, residential segment net sales were $402.6 million, up 12.5 percent from the comparable fiscal 2014 period. The sales growth in both periods benefited from strong retail demand for, and expanded retail placement of, our innovative product line-up that included our new platform of residential zero-turn riding mowers and new all-wheel drive walk power mower. The year-to date period also benefited from demand for residential snow thrower products. Somewhat offsetting growth in both the quarter and year-to-date periods were unfavorable currency exchange rates.</w:t>
      </w:r>
    </w:p>
    <w:p>
      <w:pPr>
        <w:spacing w:after="0" w:line="158" w:lineRule="exact"/>
        <w:rPr>
          <w:rFonts w:ascii="Arial" w:cs="Arial" w:eastAsia="Arial" w:hAnsi="Arial"/>
          <w:sz w:val="16"/>
          <w:szCs w:val="16"/>
          <w:color w:val="auto"/>
        </w:rPr>
      </w:pPr>
    </w:p>
    <w:p>
      <w:pPr>
        <w:ind w:left="340" w:right="340" w:hanging="332"/>
        <w:spacing w:after="0" w:line="277" w:lineRule="auto"/>
        <w:tabs>
          <w:tab w:leader="none" w:pos="304" w:val="left"/>
        </w:tabs>
        <w:numPr>
          <w:ilvl w:val="0"/>
          <w:numId w:val="6"/>
        </w:numPr>
        <w:rPr>
          <w:rFonts w:ascii="Arial" w:cs="Arial" w:eastAsia="Arial" w:hAnsi="Arial"/>
          <w:sz w:val="18"/>
          <w:szCs w:val="18"/>
          <w:color w:val="auto"/>
        </w:rPr>
      </w:pPr>
      <w:r>
        <w:rPr>
          <w:rFonts w:ascii="Arial" w:cs="Arial" w:eastAsia="Arial" w:hAnsi="Arial"/>
          <w:sz w:val="18"/>
          <w:szCs w:val="18"/>
          <w:color w:val="auto"/>
        </w:rPr>
        <w:t>Residential segment earnings for the second quarter were $34.8 million, up 46.2 percent from $23.8 million the same period last year. For the first six months, residential segment earnings were $48.6 million, up 15.8 percent from the comparable fiscal 2014 period.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OPERATING RESULTS</w:t>
      </w:r>
    </w:p>
    <w:p>
      <w:pPr>
        <w:spacing w:after="0" w:line="22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Gross margin as a percent of sales for the second quarter was 34.1 percent, a decrease of 140 basis points from the same period last year. Half of this decrease was due to unfavorable currency exchange rates and the other half was due to the segment mix impact of stronger sales in our residential segment. For the first six months, gross margin as a percent of sales was 34.7 percent, a decrease of 120 basis points from the same period last year, primarily due to unfavorable currency exchange rates.</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Selling, general and administrative (SG&amp;A) expense as a percent of sales for the second quarter was 17.3 percent, a decrease of 60 basis points from the same period last year. For the first six months, SG&amp;A</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expense as a percent of sales was 20.6 percent, a decrease of 90 basis points from the same period last year. For both periods, these decreases were due to the leveraging of expenses over higher sales volumes.</w:t>
      </w:r>
    </w:p>
    <w:p>
      <w:pPr>
        <w:spacing w:after="0" w:line="170" w:lineRule="exact"/>
        <w:rPr>
          <w:sz w:val="20"/>
          <w:szCs w:val="20"/>
          <w:color w:val="auto"/>
        </w:rPr>
      </w:pPr>
    </w:p>
    <w:p>
      <w:pPr>
        <w:ind w:right="480"/>
        <w:spacing w:after="0" w:line="308" w:lineRule="auto"/>
        <w:rPr>
          <w:sz w:val="20"/>
          <w:szCs w:val="20"/>
          <w:color w:val="auto"/>
        </w:rPr>
      </w:pPr>
      <w:r>
        <w:rPr>
          <w:rFonts w:ascii="Arial" w:cs="Arial" w:eastAsia="Arial" w:hAnsi="Arial"/>
          <w:sz w:val="17"/>
          <w:szCs w:val="17"/>
          <w:color w:val="auto"/>
        </w:rPr>
        <w:t>Operating earnings as a percent of sales for the second quarter was 16.8 percent, a decrease of 80 basis points from the same period last year. Operating earnings as a percent of sales for the first six months was 14.1 percent, a decrease of 30 basis points from the same period last year.</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Interest expense for the second quarter was $4.8 million, up $1.1 million from the same period last year, and interest expense for the first six months was $9.5 million, up $2 million from the same period last year. For both periods, the increases primarily were due to the additional long-term debt issued in connection with the BOSS acquisition.</w:t>
      </w:r>
    </w:p>
    <w:p>
      <w:pPr>
        <w:spacing w:after="0" w:line="18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effective tax rate for the second quarter was 31.1 percent, compared to 32.6 percent in the same period last year. For the first six months, the effective tax rate was 30 percent, compared to 32.7 percent in the same period last year, primarily due to the benefit realized in our first quarter from the retroactive reenactment of the domestic research tax credit for calendar year 2014.</w:t>
      </w:r>
    </w:p>
    <w:p>
      <w:pPr>
        <w:spacing w:after="0" w:line="18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Accounts receivable at the end of the second quarter totaled $351.6 million, up 12.2 percent compared to the end of the same period last year. Net inventories were $341.4 million, up 12.9 percent compared to the end of the same period last year. Trade payables were $256.4 million, up 8.7 percent compared to the end of the same period last year.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The Toro Company</w:t>
      </w:r>
    </w:p>
    <w:p>
      <w:pPr>
        <w:spacing w:after="0" w:line="22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Toro Company (NYSE: TTC) is a leading worldwide provider of innovative solutions for the outdoor environment, including turf, snow and ground engaging equipment and irrigation and outdoor lighting solutions. With sales of $2.2 billion in fiscal 2014, Toro’s global presence extends to more than 90 countries. Through constant innovation and caring relationships built on trust and integrity, Toro and its family of brands have built a legacy of excellence by helping customers care for golf courses, landscapes, sports fields, public green spaces, commercial and residential properties and agricultural fields. For more information, visit www.thetorocompany.com.</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LIVE CONFERENCE CALL</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May 21, 2015 at 10:00 a.m. CDT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www.thetorocompany.com/invest</w:t>
      </w:r>
    </w:p>
    <w:p>
      <w:pPr>
        <w:spacing w:after="0" w:line="211"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i w:val="1"/>
          <w:iCs w:val="1"/>
          <w:color w:val="auto"/>
        </w:rPr>
        <w:t>The Toro Company will conduct its earnings call and webcast for investors beginning at 10:00 a.m. CDT on May 21, 2015. The webcast will be available at www.streetevents.com or at www.thetorocompany.com/invest. Webcast participants will need to complete a brief registration form and should allocate extra time before the webcast begins to register and, if necessary, download and install audio software.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This news release contains forward-looking statements, which are being made pursuant to the safe harbor provisions of the Private Securities Litigation Reform Act of 1995. These forward-looking statements are based on management’s current assumptions and expectations of future events, and often can be identified by words such as “expect,” “strive,” “looking ahead,” “outlook,” “guidance,” “forecast,” “goal,” “optimistic,” “anticipate,” “continue,” “plan,” “estimate,” “project,” “believe,” “should,” “could,” “will,” “would,” “possible,” “may,” “likely,” “intend,” “can,” “seek,” and similar expressions. Forward-looking statements involve risks and uncertainties that could cause actual events and results to differ materially from those projected or implied. Particular risks and uncertainties that may affect our operating results or financial position include: worldwide economic conditions, including slow or negative growth rates in global and domestic economies and weakened consumer confidence; disruption at our manufacturing or distribution facilities, including drug cartel-related violence affecting our maquiladora operations in Juarez, Mexico; fluctuations in the cost and availability of raw materials and components, including steel, engines, hydraulics and resins, resulting from the U.S. West Coast port situation or otherwise; the impact of abnormal weather patterns, including unfavorable weather conditions</w:t>
      </w:r>
    </w:p>
    <w:p>
      <w:pPr>
        <w:sectPr>
          <w:pgSz w:w="11900" w:h="16838" w:orient="portrait"/>
          <w:cols w:equalWidth="0" w:num="1">
            <w:col w:w="11400"/>
          </w:cols>
          <w:pgMar w:left="240" w:top="125" w:right="259" w:bottom="0" w:gutter="0" w:footer="0" w:header="0"/>
        </w:sectPr>
      </w:pP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00"/>
          </w:cols>
          <w:pgMar w:left="240" w:top="125" w:right="259" w:bottom="0" w:gutter="0" w:footer="0" w:header="0"/>
          <w:type w:val="continuous"/>
        </w:sectPr>
      </w:pPr>
    </w:p>
    <w:bookmarkStart w:id="4" w:name="page5"/>
    <w:bookmarkEnd w:id="4"/>
    <w:p>
      <w:pPr>
        <w:ind w:right="80"/>
        <w:spacing w:after="0" w:line="26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exacerbated by global climate change or otherwise; the impact of natural disasters and global pandemics; the level of growth or contraction in our key markets; government and municipal revenue, budget and spending levels; dependence on The Home Depot as a customer for our residential business; elimination of shelf space for our products at dealers or retailers; inventory adjustments or changes in purchasing patterns by our customers; our ability to develop and achieve market acceptance for new products; increased competition; the risks attendant to international operations and markets, including political, economic and/or social instability and tax policies in the countries in which we manufacture or sell our products; foreign currency exchange rate fluctuations; our relationships with our distribution channel partners, including the financial viability of our distributors and dealers; risks associated with acquisitions, including our acquisition of the BOSS</w:t>
      </w:r>
      <w:r>
        <w:rPr>
          <w:rFonts w:ascii="Arial" w:cs="Arial" w:eastAsia="Arial" w:hAnsi="Arial"/>
          <w:sz w:val="22"/>
          <w:szCs w:val="22"/>
          <w:color w:val="auto"/>
          <w:vertAlign w:val="superscript"/>
        </w:rPr>
        <w:t>®</w:t>
      </w:r>
      <w:r>
        <w:rPr>
          <w:rFonts w:ascii="Arial" w:cs="Arial" w:eastAsia="Arial" w:hAnsi="Arial"/>
          <w:sz w:val="17"/>
          <w:szCs w:val="17"/>
          <w:color w:val="auto"/>
        </w:rPr>
        <w:t xml:space="preserve"> professional snow and ice management business; management of our alliances or joint ventures, including Red Iron Acceptance, LLC; the costs and effects of enactment of, changes in and compliance with laws, regulations and standards, including those relating to consumer product safety, Tier 4 emissions requirements, conflict mineral disclosure, taxation, healthcare, and environmental, health and safety matters; unforeseen product quality problems; loss of or changes in executive management or key employees; the occurrence of litigation or claims, including those involving intellectual property or product liability matters; and other risks and uncertainties described in our most recent annual report on Form 10-K, subsequent quarterly reports on Form 10-Q, and other filings with the Securities and Exchange Commission. We undertake no obligation to update forward-looking statements made herein to reflect events or circumstances after the date hereof.</w:t>
      </w:r>
    </w:p>
    <w:p>
      <w:pPr>
        <w:spacing w:after="0" w:line="18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(Financial tables follow)</w:t>
      </w: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THE TORO COMPANY AND SUBSIDIARIES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Statements of Earnings (Unaudited)</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(Dollars and shares in thousands, except per-share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920" w:type="dxa"/>
            <w:vAlign w:val="bottom"/>
            <w:gridSpan w:val="8"/>
          </w:tcPr>
          <w:p>
            <w:pPr>
              <w:jc w:val="right"/>
              <w:ind w:right="106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80" w:type="dxa"/>
            <w:vAlign w:val="bottom"/>
            <w:gridSpan w:val="5"/>
          </w:tcPr>
          <w:p>
            <w:pPr>
              <w:jc w:val="right"/>
              <w:spacing w:after="0"/>
              <w:rPr>
                <w:sz w:val="20"/>
                <w:szCs w:val="20"/>
                <w:color w:val="auto"/>
              </w:rPr>
            </w:pPr>
            <w:r>
              <w:rPr>
                <w:rFonts w:ascii="Arial" w:cs="Arial" w:eastAsia="Arial" w:hAnsi="Arial"/>
                <w:sz w:val="14"/>
                <w:szCs w:val="14"/>
                <w:b w:val="1"/>
                <w:bCs w:val="1"/>
                <w:color w:val="auto"/>
              </w:rPr>
              <w:t>Six Months Ended</w:t>
            </w: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1360" w:type="dxa"/>
            <w:vAlign w:val="bottom"/>
            <w:tcBorders>
              <w:top w:val="single" w:sz="8" w:color="auto"/>
            </w:tcBorders>
            <w:gridSpan w:val="3"/>
          </w:tcPr>
          <w:p>
            <w:pPr>
              <w:jc w:val="center"/>
              <w:ind w:right="580"/>
              <w:spacing w:after="0" w:line="119" w:lineRule="exact"/>
              <w:rPr>
                <w:sz w:val="20"/>
                <w:szCs w:val="20"/>
                <w:color w:val="auto"/>
              </w:rPr>
            </w:pPr>
            <w:r>
              <w:rPr>
                <w:rFonts w:ascii="Arial" w:cs="Arial" w:eastAsia="Arial" w:hAnsi="Arial"/>
                <w:sz w:val="13"/>
                <w:szCs w:val="13"/>
                <w:b w:val="1"/>
                <w:bCs w:val="1"/>
                <w:color w:val="auto"/>
              </w:rPr>
              <w:t>May 1,</w:t>
            </w:r>
          </w:p>
        </w:tc>
        <w:tc>
          <w:tcPr>
            <w:tcW w:w="2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jc w:val="right"/>
              <w:ind w:right="374"/>
              <w:spacing w:after="0" w:line="119" w:lineRule="exact"/>
              <w:rPr>
                <w:sz w:val="20"/>
                <w:szCs w:val="20"/>
                <w:color w:val="auto"/>
              </w:rPr>
            </w:pPr>
            <w:r>
              <w:rPr>
                <w:rFonts w:ascii="Arial" w:cs="Arial" w:eastAsia="Arial" w:hAnsi="Arial"/>
                <w:sz w:val="13"/>
                <w:szCs w:val="13"/>
                <w:b w:val="1"/>
                <w:bCs w:val="1"/>
                <w:color w:val="auto"/>
              </w:rPr>
              <w:t>May 2,</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320" w:type="dxa"/>
            <w:vAlign w:val="bottom"/>
            <w:tcBorders>
              <w:top w:val="single" w:sz="8" w:color="auto"/>
            </w:tcBorders>
            <w:gridSpan w:val="3"/>
          </w:tcPr>
          <w:p>
            <w:pPr>
              <w:jc w:val="right"/>
              <w:ind w:right="740"/>
              <w:spacing w:after="0" w:line="119" w:lineRule="exact"/>
              <w:rPr>
                <w:sz w:val="20"/>
                <w:szCs w:val="20"/>
                <w:color w:val="auto"/>
              </w:rPr>
            </w:pPr>
            <w:r>
              <w:rPr>
                <w:rFonts w:ascii="Arial" w:cs="Arial" w:eastAsia="Arial" w:hAnsi="Arial"/>
                <w:sz w:val="13"/>
                <w:szCs w:val="13"/>
                <w:b w:val="1"/>
                <w:bCs w:val="1"/>
                <w:color w:val="auto"/>
              </w:rPr>
              <w:t>May 1,</w:t>
            </w:r>
          </w:p>
        </w:tc>
        <w:tc>
          <w:tcPr>
            <w:tcW w:w="6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jc w:val="right"/>
              <w:ind w:right="374"/>
              <w:spacing w:after="0" w:line="119" w:lineRule="exact"/>
              <w:rPr>
                <w:sz w:val="20"/>
                <w:szCs w:val="20"/>
                <w:color w:val="auto"/>
              </w:rPr>
            </w:pPr>
            <w:r>
              <w:rPr>
                <w:rFonts w:ascii="Arial" w:cs="Arial" w:eastAsia="Arial" w:hAnsi="Arial"/>
                <w:sz w:val="13"/>
                <w:szCs w:val="13"/>
                <w:b w:val="1"/>
                <w:bCs w:val="1"/>
                <w:color w:val="auto"/>
              </w:rPr>
              <w:t>May 2,</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400" w:type="dxa"/>
            <w:vAlign w:val="bottom"/>
            <w:tcBorders>
              <w:bottom w:val="single" w:sz="8" w:color="CCEEFF"/>
            </w:tcBorders>
          </w:tcPr>
          <w:p>
            <w:pPr>
              <w:spacing w:after="0"/>
              <w:rPr>
                <w:sz w:val="14"/>
                <w:szCs w:val="14"/>
                <w:color w:val="auto"/>
              </w:rPr>
            </w:pPr>
          </w:p>
        </w:tc>
        <w:tc>
          <w:tcPr>
            <w:tcW w:w="1460" w:type="dxa"/>
            <w:vAlign w:val="bottom"/>
            <w:tcBorders>
              <w:bottom w:val="single" w:sz="8" w:color="CCEEFF"/>
            </w:tcBorders>
          </w:tcPr>
          <w:p>
            <w:pPr>
              <w:spacing w:after="0"/>
              <w:rPr>
                <w:sz w:val="14"/>
                <w:szCs w:val="14"/>
                <w:color w:val="auto"/>
              </w:rPr>
            </w:pPr>
          </w:p>
        </w:tc>
        <w:tc>
          <w:tcPr>
            <w:tcW w:w="700" w:type="dxa"/>
            <w:vAlign w:val="bottom"/>
            <w:tcBorders>
              <w:bottom w:val="single" w:sz="8" w:color="CCEEFF"/>
            </w:tcBorders>
          </w:tcPr>
          <w:p>
            <w:pPr>
              <w:spacing w:after="0"/>
              <w:rPr>
                <w:sz w:val="14"/>
                <w:szCs w:val="14"/>
                <w:color w:val="auto"/>
              </w:rPr>
            </w:pPr>
          </w:p>
        </w:tc>
        <w:tc>
          <w:tcPr>
            <w:tcW w:w="700" w:type="dxa"/>
            <w:vAlign w:val="bottom"/>
            <w:tcBorders>
              <w:bottom w:val="single" w:sz="8" w:color="CCEEFF"/>
            </w:tcBorders>
          </w:tcPr>
          <w:p>
            <w:pPr>
              <w:spacing w:after="0"/>
              <w:rPr>
                <w:sz w:val="14"/>
                <w:szCs w:val="14"/>
                <w:color w:val="auto"/>
              </w:rPr>
            </w:pPr>
          </w:p>
        </w:tc>
        <w:tc>
          <w:tcPr>
            <w:tcW w:w="72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216"/>
              <w:spacing w:after="0"/>
              <w:rPr>
                <w:sz w:val="20"/>
                <w:szCs w:val="20"/>
                <w:color w:val="auto"/>
              </w:rPr>
            </w:pPr>
            <w:r>
              <w:rPr>
                <w:rFonts w:ascii="Arial" w:cs="Arial" w:eastAsia="Arial" w:hAnsi="Arial"/>
                <w:sz w:val="14"/>
                <w:szCs w:val="14"/>
                <w:b w:val="1"/>
                <w:bCs w:val="1"/>
                <w:color w:val="auto"/>
                <w:w w:val="96"/>
              </w:rPr>
              <w:t>2015</w:t>
            </w:r>
          </w:p>
        </w:tc>
        <w:tc>
          <w:tcPr>
            <w:tcW w:w="2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2014</w:t>
            </w:r>
          </w:p>
        </w:tc>
        <w:tc>
          <w:tcPr>
            <w:tcW w:w="6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2015</w:t>
            </w:r>
          </w:p>
        </w:tc>
        <w:tc>
          <w:tcPr>
            <w:tcW w:w="6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2014</w:t>
            </w:r>
          </w:p>
        </w:tc>
        <w:tc>
          <w:tcPr>
            <w:tcW w:w="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Net sales</w:t>
            </w: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826,242</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10"/>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745,030</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30"/>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1,300,453</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1,191,011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4"/>
          </w:tcPr>
          <w:p>
            <w:pPr>
              <w:spacing w:after="0"/>
              <w:rPr>
                <w:sz w:val="20"/>
                <w:szCs w:val="20"/>
                <w:color w:val="auto"/>
              </w:rPr>
            </w:pPr>
            <w:r>
              <w:rPr>
                <w:rFonts w:ascii="Arial" w:cs="Arial" w:eastAsia="Arial" w:hAnsi="Arial"/>
                <w:sz w:val="18"/>
                <w:szCs w:val="18"/>
                <w:color w:val="auto"/>
              </w:rPr>
              <w:t>Gross profit</w:t>
            </w: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281,972</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264,540</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450,971</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428,054</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Gross profit percent</w:t>
            </w: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34.1%</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35.5%</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34.7%</w:t>
            </w: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35.9%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4"/>
          </w:tcPr>
          <w:p>
            <w:pPr>
              <w:spacing w:after="0"/>
              <w:rPr>
                <w:sz w:val="20"/>
                <w:szCs w:val="20"/>
                <w:color w:val="auto"/>
              </w:rPr>
            </w:pPr>
            <w:r>
              <w:rPr>
                <w:rFonts w:ascii="Arial" w:cs="Arial" w:eastAsia="Arial" w:hAnsi="Arial"/>
                <w:sz w:val="18"/>
                <w:szCs w:val="18"/>
                <w:color w:val="auto"/>
              </w:rPr>
              <w:t>Selling, general, and administrative expense</w:t>
            </w: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143,517</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133,661</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268,094</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256,577</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60" w:type="dxa"/>
            <w:vAlign w:val="bottom"/>
            <w:tcBorders>
              <w:top w:val="single" w:sz="8" w:color="CCEEFF"/>
            </w:tcBorders>
            <w:gridSpan w:val="4"/>
            <w:shd w:val="clear" w:color="auto" w:fill="CCEEFF"/>
          </w:tcPr>
          <w:p>
            <w:pPr>
              <w:ind w:left="160"/>
              <w:spacing w:after="0"/>
              <w:rPr>
                <w:sz w:val="20"/>
                <w:szCs w:val="20"/>
                <w:color w:val="auto"/>
              </w:rPr>
            </w:pPr>
            <w:r>
              <w:rPr>
                <w:rFonts w:ascii="Arial" w:cs="Arial" w:eastAsia="Arial" w:hAnsi="Arial"/>
                <w:sz w:val="18"/>
                <w:szCs w:val="18"/>
                <w:color w:val="auto"/>
              </w:rPr>
              <w:t>Operating earnings</w:t>
            </w:r>
          </w:p>
        </w:tc>
        <w:tc>
          <w:tcPr>
            <w:tcW w:w="7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138,455</w:t>
            </w: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130,879</w:t>
            </w: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182,877</w:t>
            </w:r>
          </w:p>
        </w:tc>
        <w:tc>
          <w:tcPr>
            <w:tcW w:w="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171,477</w:t>
            </w: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4"/>
          </w:tcPr>
          <w:p>
            <w:pPr>
              <w:spacing w:after="0"/>
              <w:rPr>
                <w:sz w:val="20"/>
                <w:szCs w:val="20"/>
                <w:color w:val="auto"/>
              </w:rPr>
            </w:pPr>
            <w:r>
              <w:rPr>
                <w:rFonts w:ascii="Arial" w:cs="Arial" w:eastAsia="Arial" w:hAnsi="Arial"/>
                <w:sz w:val="18"/>
                <w:szCs w:val="18"/>
                <w:color w:val="auto"/>
              </w:rPr>
              <w:t>Interest expense</w:t>
            </w: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3"/>
          </w:tcPr>
          <w:p>
            <w:pPr>
              <w:jc w:val="right"/>
              <w:ind w:right="220"/>
              <w:spacing w:after="0"/>
              <w:rPr>
                <w:sz w:val="20"/>
                <w:szCs w:val="20"/>
                <w:color w:val="auto"/>
              </w:rPr>
            </w:pPr>
            <w:r>
              <w:rPr>
                <w:rFonts w:ascii="Arial" w:cs="Arial" w:eastAsia="Arial" w:hAnsi="Arial"/>
                <w:sz w:val="18"/>
                <w:szCs w:val="18"/>
                <w:color w:val="auto"/>
              </w:rPr>
              <w:t>(4,768)</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gridSpan w:val="3"/>
          </w:tcPr>
          <w:p>
            <w:pPr>
              <w:jc w:val="right"/>
              <w:ind w:right="160"/>
              <w:spacing w:after="0"/>
              <w:rPr>
                <w:sz w:val="20"/>
                <w:szCs w:val="20"/>
                <w:color w:val="auto"/>
              </w:rPr>
            </w:pPr>
            <w:r>
              <w:rPr>
                <w:rFonts w:ascii="Arial" w:cs="Arial" w:eastAsia="Arial" w:hAnsi="Arial"/>
                <w:sz w:val="18"/>
                <w:szCs w:val="18"/>
                <w:color w:val="auto"/>
              </w:rPr>
              <w:t>(3,683)</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3"/>
          </w:tcPr>
          <w:p>
            <w:pPr>
              <w:jc w:val="right"/>
              <w:ind w:right="220"/>
              <w:spacing w:after="0"/>
              <w:rPr>
                <w:sz w:val="20"/>
                <w:szCs w:val="20"/>
                <w:color w:val="auto"/>
              </w:rPr>
            </w:pPr>
            <w:r>
              <w:rPr>
                <w:rFonts w:ascii="Arial" w:cs="Arial" w:eastAsia="Arial" w:hAnsi="Arial"/>
                <w:sz w:val="18"/>
                <w:szCs w:val="18"/>
                <w:color w:val="auto"/>
              </w:rPr>
              <w:t>(9,484)</w:t>
            </w: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(7,436)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2,450</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1,920</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4,717</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3,830</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60" w:type="dxa"/>
            <w:vAlign w:val="bottom"/>
            <w:gridSpan w:val="4"/>
          </w:tcPr>
          <w:p>
            <w:pPr>
              <w:ind w:left="160"/>
              <w:spacing w:after="0"/>
              <w:rPr>
                <w:sz w:val="20"/>
                <w:szCs w:val="20"/>
                <w:color w:val="auto"/>
              </w:rPr>
            </w:pPr>
            <w:r>
              <w:rPr>
                <w:rFonts w:ascii="Arial" w:cs="Arial" w:eastAsia="Arial" w:hAnsi="Arial"/>
                <w:sz w:val="18"/>
                <w:szCs w:val="18"/>
                <w:color w:val="auto"/>
              </w:rPr>
              <w:t>Earnings before income taxes</w:t>
            </w:r>
          </w:p>
        </w:tc>
        <w:tc>
          <w:tcPr>
            <w:tcW w:w="7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136,137</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129,116</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178,110</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167,871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42,374</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42,030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53,397</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54,916</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260" w:type="dxa"/>
            <w:vAlign w:val="bottom"/>
            <w:tcBorders>
              <w:bottom w:val="single" w:sz="8" w:color="CCEEFF"/>
            </w:tcBorders>
            <w:gridSpan w:val="4"/>
          </w:tcPr>
          <w:p>
            <w:pPr>
              <w:ind w:left="160"/>
              <w:spacing w:after="0"/>
              <w:rPr>
                <w:sz w:val="20"/>
                <w:szCs w:val="20"/>
                <w:color w:val="auto"/>
              </w:rPr>
            </w:pPr>
            <w:r>
              <w:rPr>
                <w:rFonts w:ascii="Arial" w:cs="Arial" w:eastAsia="Arial" w:hAnsi="Arial"/>
                <w:sz w:val="18"/>
                <w:szCs w:val="18"/>
                <w:color w:val="auto"/>
              </w:rPr>
              <w:t>Net earnings</w:t>
            </w:r>
          </w:p>
        </w:tc>
        <w:tc>
          <w:tcPr>
            <w:tcW w:w="72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93,763</w:t>
            </w:r>
          </w:p>
        </w:tc>
        <w:tc>
          <w:tcPr>
            <w:tcW w:w="20" w:type="dxa"/>
            <w:vAlign w:val="bottom"/>
            <w:tcBorders>
              <w:bottom w:val="single" w:sz="8" w:color="CCEEFF"/>
            </w:tcBorders>
          </w:tcPr>
          <w:p>
            <w:pPr>
              <w:spacing w:after="0"/>
              <w:rPr>
                <w:sz w:val="21"/>
                <w:szCs w:val="21"/>
                <w:color w:val="auto"/>
              </w:rPr>
            </w:pPr>
          </w:p>
        </w:tc>
        <w:tc>
          <w:tcPr>
            <w:tcW w:w="26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gridSpan w:val="2"/>
          </w:tcPr>
          <w:p>
            <w:pPr>
              <w:jc w:val="right"/>
              <w:ind w:right="110"/>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87,086</w:t>
            </w:r>
          </w:p>
        </w:tc>
        <w:tc>
          <w:tcPr>
            <w:tcW w:w="6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gridSpan w:val="2"/>
          </w:tcPr>
          <w:p>
            <w:pPr>
              <w:jc w:val="right"/>
              <w:ind w:right="130"/>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124,713</w:t>
            </w:r>
          </w:p>
        </w:tc>
        <w:tc>
          <w:tcPr>
            <w:tcW w:w="6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460" w:type="dxa"/>
            <w:vAlign w:val="bottom"/>
            <w:tcBorders>
              <w:top w:val="single" w:sz="8" w:color="auto"/>
              <w:bottom w:val="single" w:sz="8" w:color="auto"/>
            </w:tcBorders>
            <w:gridSpan w:val="2"/>
          </w:tcPr>
          <w:p>
            <w:pPr>
              <w:jc w:val="right"/>
              <w:ind w:right="2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112,955</w:t>
            </w:r>
          </w:p>
        </w:tc>
        <w:tc>
          <w:tcPr>
            <w:tcW w:w="6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4260" w:type="dxa"/>
            <w:vAlign w:val="bottom"/>
            <w:gridSpan w:val="4"/>
          </w:tcPr>
          <w:p>
            <w:pPr>
              <w:spacing w:after="0"/>
              <w:rPr>
                <w:sz w:val="20"/>
                <w:szCs w:val="20"/>
                <w:color w:val="auto"/>
              </w:rPr>
            </w:pPr>
            <w:r>
              <w:rPr>
                <w:rFonts w:ascii="Arial" w:cs="Arial" w:eastAsia="Arial" w:hAnsi="Arial"/>
                <w:sz w:val="18"/>
                <w:szCs w:val="18"/>
                <w:color w:val="auto"/>
              </w:rPr>
              <w:t>Basic net earnings per share</w:t>
            </w:r>
          </w:p>
        </w:tc>
        <w:tc>
          <w:tcPr>
            <w:tcW w:w="100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1.68</w:t>
            </w:r>
          </w:p>
        </w:tc>
        <w:tc>
          <w:tcPr>
            <w:tcW w:w="260" w:type="dxa"/>
            <w:vAlign w:val="bottom"/>
          </w:tcPr>
          <w:p>
            <w:pPr>
              <w:spacing w:after="0"/>
              <w:rPr>
                <w:sz w:val="22"/>
                <w:szCs w:val="22"/>
                <w:color w:val="auto"/>
              </w:rPr>
            </w:pPr>
          </w:p>
        </w:tc>
        <w:tc>
          <w:tcPr>
            <w:tcW w:w="280" w:type="dxa"/>
            <w:vAlign w:val="bottom"/>
            <w:gridSpan w:val="2"/>
          </w:tcPr>
          <w:p>
            <w:pPr>
              <w:jc w:val="right"/>
              <w:ind w:right="110"/>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1.54</w:t>
            </w:r>
          </w:p>
        </w:tc>
        <w:tc>
          <w:tcPr>
            <w:tcW w:w="160" w:type="dxa"/>
            <w:vAlign w:val="bottom"/>
          </w:tcPr>
          <w:p>
            <w:pPr>
              <w:spacing w:after="0"/>
              <w:rPr>
                <w:sz w:val="22"/>
                <w:szCs w:val="22"/>
                <w:color w:val="auto"/>
              </w:rPr>
            </w:pPr>
          </w:p>
        </w:tc>
        <w:tc>
          <w:tcPr>
            <w:tcW w:w="380" w:type="dxa"/>
            <w:vAlign w:val="bottom"/>
            <w:gridSpan w:val="3"/>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2.23</w:t>
            </w:r>
          </w:p>
        </w:tc>
        <w:tc>
          <w:tcPr>
            <w:tcW w:w="220" w:type="dxa"/>
            <w:vAlign w:val="bottom"/>
          </w:tcPr>
          <w:p>
            <w:pPr>
              <w:spacing w:after="0"/>
              <w:rPr>
                <w:sz w:val="22"/>
                <w:szCs w:val="22"/>
                <w:color w:val="auto"/>
              </w:rPr>
            </w:pPr>
          </w:p>
        </w:tc>
        <w:tc>
          <w:tcPr>
            <w:tcW w:w="460" w:type="dxa"/>
            <w:vAlign w:val="bottom"/>
            <w:gridSpan w:val="2"/>
          </w:tcPr>
          <w:p>
            <w:pPr>
              <w:jc w:val="right"/>
              <w:ind w:right="27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1.99</w:t>
            </w: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1400" w:type="dxa"/>
            <w:vAlign w:val="bottom"/>
            <w:tcBorders>
              <w:top w:val="single" w:sz="8" w:color="CCEEFF"/>
            </w:tcBorders>
            <w:shd w:val="clear" w:color="auto" w:fill="CCEEFF"/>
          </w:tcPr>
          <w:p>
            <w:pPr>
              <w:spacing w:after="0"/>
              <w:rPr>
                <w:sz w:val="17"/>
                <w:szCs w:val="17"/>
                <w:color w:val="auto"/>
              </w:rPr>
            </w:pPr>
          </w:p>
        </w:tc>
        <w:tc>
          <w:tcPr>
            <w:tcW w:w="146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4260" w:type="dxa"/>
            <w:vAlign w:val="bottom"/>
            <w:gridSpan w:val="4"/>
          </w:tcPr>
          <w:p>
            <w:pPr>
              <w:spacing w:after="0"/>
              <w:rPr>
                <w:sz w:val="20"/>
                <w:szCs w:val="20"/>
                <w:color w:val="auto"/>
              </w:rPr>
            </w:pPr>
            <w:r>
              <w:rPr>
                <w:rFonts w:ascii="Arial" w:cs="Arial" w:eastAsia="Arial" w:hAnsi="Arial"/>
                <w:sz w:val="18"/>
                <w:szCs w:val="18"/>
                <w:color w:val="auto"/>
              </w:rPr>
              <w:t>Diluted net earnings per share</w:t>
            </w:r>
          </w:p>
        </w:tc>
        <w:tc>
          <w:tcPr>
            <w:tcW w:w="100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1.64</w:t>
            </w:r>
          </w:p>
        </w:tc>
        <w:tc>
          <w:tcPr>
            <w:tcW w:w="260" w:type="dxa"/>
            <w:vAlign w:val="bottom"/>
          </w:tcPr>
          <w:p>
            <w:pPr>
              <w:spacing w:after="0"/>
              <w:rPr>
                <w:sz w:val="22"/>
                <w:szCs w:val="22"/>
                <w:color w:val="auto"/>
              </w:rPr>
            </w:pPr>
          </w:p>
        </w:tc>
        <w:tc>
          <w:tcPr>
            <w:tcW w:w="280" w:type="dxa"/>
            <w:vAlign w:val="bottom"/>
            <w:gridSpan w:val="2"/>
          </w:tcPr>
          <w:p>
            <w:pPr>
              <w:jc w:val="right"/>
              <w:ind w:right="110"/>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1.51</w:t>
            </w:r>
          </w:p>
        </w:tc>
        <w:tc>
          <w:tcPr>
            <w:tcW w:w="160" w:type="dxa"/>
            <w:vAlign w:val="bottom"/>
          </w:tcPr>
          <w:p>
            <w:pPr>
              <w:spacing w:after="0"/>
              <w:rPr>
                <w:sz w:val="22"/>
                <w:szCs w:val="22"/>
                <w:color w:val="auto"/>
              </w:rPr>
            </w:pPr>
          </w:p>
        </w:tc>
        <w:tc>
          <w:tcPr>
            <w:tcW w:w="380" w:type="dxa"/>
            <w:vAlign w:val="bottom"/>
            <w:gridSpan w:val="3"/>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2.18</w:t>
            </w:r>
          </w:p>
        </w:tc>
        <w:tc>
          <w:tcPr>
            <w:tcW w:w="220" w:type="dxa"/>
            <w:vAlign w:val="bottom"/>
          </w:tcPr>
          <w:p>
            <w:pPr>
              <w:spacing w:after="0"/>
              <w:rPr>
                <w:sz w:val="22"/>
                <w:szCs w:val="22"/>
                <w:color w:val="auto"/>
              </w:rPr>
            </w:pPr>
          </w:p>
        </w:tc>
        <w:tc>
          <w:tcPr>
            <w:tcW w:w="460" w:type="dxa"/>
            <w:vAlign w:val="bottom"/>
            <w:gridSpan w:val="2"/>
          </w:tcPr>
          <w:p>
            <w:pPr>
              <w:jc w:val="right"/>
              <w:ind w:right="27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1400" w:type="dxa"/>
            <w:vAlign w:val="bottom"/>
            <w:tcBorders>
              <w:top w:val="single" w:sz="8" w:color="CCEEFF"/>
            </w:tcBorders>
            <w:shd w:val="clear" w:color="auto" w:fill="CCEEFF"/>
          </w:tcPr>
          <w:p>
            <w:pPr>
              <w:spacing w:after="0"/>
              <w:rPr>
                <w:sz w:val="17"/>
                <w:szCs w:val="17"/>
                <w:color w:val="auto"/>
              </w:rPr>
            </w:pPr>
          </w:p>
        </w:tc>
        <w:tc>
          <w:tcPr>
            <w:tcW w:w="146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260" w:type="dxa"/>
            <w:vAlign w:val="bottom"/>
            <w:gridSpan w:val="4"/>
          </w:tcPr>
          <w:p>
            <w:pPr>
              <w:spacing w:after="0" w:line="201" w:lineRule="exact"/>
              <w:rPr>
                <w:sz w:val="20"/>
                <w:szCs w:val="20"/>
                <w:color w:val="auto"/>
              </w:rPr>
            </w:pPr>
            <w:r>
              <w:rPr>
                <w:rFonts w:ascii="Arial" w:cs="Arial" w:eastAsia="Arial" w:hAnsi="Arial"/>
                <w:sz w:val="18"/>
                <w:szCs w:val="18"/>
                <w:color w:val="auto"/>
                <w:w w:val="98"/>
              </w:rPr>
              <w:t>Weighted average number of shares of common stock</w:t>
            </w: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60" w:type="dxa"/>
            <w:vAlign w:val="bottom"/>
            <w:gridSpan w:val="4"/>
          </w:tcPr>
          <w:p>
            <w:pPr>
              <w:ind w:left="160"/>
              <w:spacing w:after="0"/>
              <w:rPr>
                <w:sz w:val="20"/>
                <w:szCs w:val="20"/>
                <w:color w:val="auto"/>
              </w:rPr>
            </w:pPr>
            <w:r>
              <w:rPr>
                <w:rFonts w:ascii="Arial" w:cs="Arial" w:eastAsia="Arial" w:hAnsi="Arial"/>
                <w:sz w:val="18"/>
                <w:szCs w:val="18"/>
                <w:color w:val="auto"/>
              </w:rPr>
              <w:t>outstanding — Basic</w:t>
            </w: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55,864</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56,493</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55,954</w:t>
            </w: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56,758</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260" w:type="dxa"/>
            <w:vAlign w:val="bottom"/>
            <w:gridSpan w:val="4"/>
          </w:tcPr>
          <w:p>
            <w:pPr>
              <w:spacing w:after="0" w:line="201" w:lineRule="exact"/>
              <w:rPr>
                <w:sz w:val="20"/>
                <w:szCs w:val="20"/>
                <w:color w:val="auto"/>
              </w:rPr>
            </w:pPr>
            <w:r>
              <w:rPr>
                <w:rFonts w:ascii="Arial" w:cs="Arial" w:eastAsia="Arial" w:hAnsi="Arial"/>
                <w:sz w:val="18"/>
                <w:szCs w:val="18"/>
                <w:color w:val="auto"/>
                <w:w w:val="98"/>
              </w:rPr>
              <w:t>Weighted average number of shares of common stock</w:t>
            </w: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60" w:type="dxa"/>
            <w:vAlign w:val="bottom"/>
            <w:gridSpan w:val="4"/>
          </w:tcPr>
          <w:p>
            <w:pPr>
              <w:ind w:left="160"/>
              <w:spacing w:after="0"/>
              <w:rPr>
                <w:sz w:val="20"/>
                <w:szCs w:val="20"/>
                <w:color w:val="auto"/>
              </w:rPr>
            </w:pPr>
            <w:r>
              <w:rPr>
                <w:rFonts w:ascii="Arial" w:cs="Arial" w:eastAsia="Arial" w:hAnsi="Arial"/>
                <w:sz w:val="18"/>
                <w:szCs w:val="18"/>
                <w:color w:val="auto"/>
              </w:rPr>
              <w:t>outstanding — Diluted</w:t>
            </w: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57,073</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57,773</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57,157</w:t>
            </w: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58,040</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40" w:type="dxa"/>
            <w:vAlign w:val="bottom"/>
            <w:gridSpan w:val="7"/>
          </w:tcPr>
          <w:p>
            <w:pPr>
              <w:jc w:val="right"/>
              <w:ind w:right="90"/>
              <w:spacing w:after="0"/>
              <w:rPr>
                <w:sz w:val="20"/>
                <w:szCs w:val="20"/>
                <w:color w:val="auto"/>
              </w:rPr>
            </w:pPr>
            <w:r>
              <w:rPr>
                <w:rFonts w:ascii="Arial" w:cs="Arial" w:eastAsia="Arial" w:hAnsi="Arial"/>
                <w:sz w:val="18"/>
                <w:szCs w:val="18"/>
                <w:b w:val="1"/>
                <w:bCs w:val="1"/>
                <w:color w:val="auto"/>
              </w:rPr>
              <w:t>Segment Data (Unaudited)</w:t>
            </w: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360" w:type="dxa"/>
            <w:vAlign w:val="bottom"/>
            <w:gridSpan w:val="5"/>
          </w:tcPr>
          <w:p>
            <w:pPr>
              <w:jc w:val="right"/>
              <w:ind w:right="80"/>
              <w:spacing w:after="0"/>
              <w:rPr>
                <w:sz w:val="20"/>
                <w:szCs w:val="20"/>
                <w:color w:val="auto"/>
              </w:rPr>
            </w:pPr>
            <w:r>
              <w:rPr>
                <w:rFonts w:ascii="Arial" w:cs="Arial" w:eastAsia="Arial" w:hAnsi="Arial"/>
                <w:sz w:val="18"/>
                <w:szCs w:val="18"/>
                <w:b w:val="1"/>
                <w:bCs w:val="1"/>
                <w:color w:val="auto"/>
              </w:rPr>
              <w:t>(Dollars in thousands)</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920" w:type="dxa"/>
            <w:vAlign w:val="bottom"/>
            <w:gridSpan w:val="8"/>
          </w:tcPr>
          <w:p>
            <w:pPr>
              <w:jc w:val="right"/>
              <w:ind w:right="102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40" w:type="dxa"/>
            <w:vAlign w:val="bottom"/>
            <w:gridSpan w:val="8"/>
          </w:tcPr>
          <w:p>
            <w:pPr>
              <w:jc w:val="right"/>
              <w:ind w:right="1040"/>
              <w:spacing w:after="0"/>
              <w:rPr>
                <w:sz w:val="20"/>
                <w:szCs w:val="20"/>
                <w:color w:val="auto"/>
              </w:rPr>
            </w:pPr>
            <w:r>
              <w:rPr>
                <w:rFonts w:ascii="Arial" w:cs="Arial" w:eastAsia="Arial" w:hAnsi="Arial"/>
                <w:sz w:val="14"/>
                <w:szCs w:val="14"/>
                <w:b w:val="1"/>
                <w:bCs w:val="1"/>
                <w:color w:val="auto"/>
              </w:rPr>
              <w:t>Six Months Ended</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1360" w:type="dxa"/>
            <w:vAlign w:val="bottom"/>
            <w:tcBorders>
              <w:top w:val="single" w:sz="8" w:color="auto"/>
            </w:tcBorders>
            <w:gridSpan w:val="3"/>
          </w:tcPr>
          <w:p>
            <w:pPr>
              <w:jc w:val="center"/>
              <w:ind w:right="560"/>
              <w:spacing w:after="0" w:line="119" w:lineRule="exact"/>
              <w:rPr>
                <w:sz w:val="20"/>
                <w:szCs w:val="20"/>
                <w:color w:val="auto"/>
              </w:rPr>
            </w:pPr>
            <w:r>
              <w:rPr>
                <w:rFonts w:ascii="Arial" w:cs="Arial" w:eastAsia="Arial" w:hAnsi="Arial"/>
                <w:sz w:val="13"/>
                <w:szCs w:val="13"/>
                <w:b w:val="1"/>
                <w:bCs w:val="1"/>
                <w:color w:val="auto"/>
              </w:rPr>
              <w:t>May 1,</w:t>
            </w:r>
          </w:p>
        </w:tc>
        <w:tc>
          <w:tcPr>
            <w:tcW w:w="2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rPr>
              <w:t>May 2,</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320" w:type="dxa"/>
            <w:vAlign w:val="bottom"/>
            <w:tcBorders>
              <w:top w:val="single" w:sz="8" w:color="auto"/>
            </w:tcBorders>
            <w:gridSpan w:val="3"/>
          </w:tcPr>
          <w:p>
            <w:pPr>
              <w:jc w:val="center"/>
              <w:ind w:right="460"/>
              <w:spacing w:after="0" w:line="119" w:lineRule="exact"/>
              <w:rPr>
                <w:sz w:val="20"/>
                <w:szCs w:val="20"/>
                <w:color w:val="auto"/>
              </w:rPr>
            </w:pPr>
            <w:r>
              <w:rPr>
                <w:rFonts w:ascii="Arial" w:cs="Arial" w:eastAsia="Arial" w:hAnsi="Arial"/>
                <w:sz w:val="13"/>
                <w:szCs w:val="13"/>
                <w:b w:val="1"/>
                <w:bCs w:val="1"/>
                <w:color w:val="auto"/>
              </w:rPr>
              <w:t>May 1,</w:t>
            </w:r>
          </w:p>
        </w:tc>
        <w:tc>
          <w:tcPr>
            <w:tcW w:w="6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gridSpan w:val="2"/>
          </w:tcPr>
          <w:p>
            <w:pPr>
              <w:jc w:val="center"/>
              <w:ind w:right="420"/>
              <w:spacing w:after="0" w:line="119" w:lineRule="exact"/>
              <w:rPr>
                <w:sz w:val="20"/>
                <w:szCs w:val="20"/>
                <w:color w:val="auto"/>
              </w:rPr>
            </w:pPr>
            <w:r>
              <w:rPr>
                <w:rFonts w:ascii="Arial" w:cs="Arial" w:eastAsia="Arial" w:hAnsi="Arial"/>
                <w:sz w:val="13"/>
                <w:szCs w:val="13"/>
                <w:b w:val="1"/>
                <w:bCs w:val="1"/>
                <w:color w:val="auto"/>
              </w:rPr>
              <w:t>May 2,</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400" w:type="dxa"/>
            <w:vAlign w:val="bottom"/>
            <w:tcBorders>
              <w:bottom w:val="single" w:sz="8" w:color="CCEEFF"/>
            </w:tcBorders>
          </w:tcPr>
          <w:p>
            <w:pPr>
              <w:spacing w:after="0"/>
              <w:rPr>
                <w:sz w:val="14"/>
                <w:szCs w:val="14"/>
                <w:color w:val="auto"/>
              </w:rPr>
            </w:pPr>
          </w:p>
        </w:tc>
        <w:tc>
          <w:tcPr>
            <w:tcW w:w="1460" w:type="dxa"/>
            <w:vAlign w:val="bottom"/>
            <w:tcBorders>
              <w:bottom w:val="single" w:sz="8" w:color="CCEEFF"/>
            </w:tcBorders>
          </w:tcPr>
          <w:p>
            <w:pPr>
              <w:spacing w:after="0"/>
              <w:rPr>
                <w:sz w:val="14"/>
                <w:szCs w:val="14"/>
                <w:color w:val="auto"/>
              </w:rPr>
            </w:pPr>
          </w:p>
        </w:tc>
        <w:tc>
          <w:tcPr>
            <w:tcW w:w="700" w:type="dxa"/>
            <w:vAlign w:val="bottom"/>
            <w:tcBorders>
              <w:bottom w:val="single" w:sz="8" w:color="CCEEFF"/>
            </w:tcBorders>
          </w:tcPr>
          <w:p>
            <w:pPr>
              <w:spacing w:after="0"/>
              <w:rPr>
                <w:sz w:val="14"/>
                <w:szCs w:val="14"/>
                <w:color w:val="auto"/>
              </w:rPr>
            </w:pPr>
          </w:p>
        </w:tc>
        <w:tc>
          <w:tcPr>
            <w:tcW w:w="700" w:type="dxa"/>
            <w:vAlign w:val="bottom"/>
            <w:tcBorders>
              <w:bottom w:val="single" w:sz="8" w:color="CCEEFF"/>
            </w:tcBorders>
          </w:tcPr>
          <w:p>
            <w:pPr>
              <w:spacing w:after="0"/>
              <w:rPr>
                <w:sz w:val="14"/>
                <w:szCs w:val="14"/>
                <w:color w:val="auto"/>
              </w:rPr>
            </w:pPr>
          </w:p>
        </w:tc>
        <w:tc>
          <w:tcPr>
            <w:tcW w:w="72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196"/>
              <w:spacing w:after="0"/>
              <w:rPr>
                <w:sz w:val="20"/>
                <w:szCs w:val="20"/>
                <w:color w:val="auto"/>
              </w:rPr>
            </w:pPr>
            <w:r>
              <w:rPr>
                <w:rFonts w:ascii="Arial" w:cs="Arial" w:eastAsia="Arial" w:hAnsi="Arial"/>
                <w:sz w:val="14"/>
                <w:szCs w:val="14"/>
                <w:b w:val="1"/>
                <w:bCs w:val="1"/>
                <w:color w:val="auto"/>
                <w:w w:val="89"/>
              </w:rPr>
              <w:t>2015</w:t>
            </w:r>
          </w:p>
        </w:tc>
        <w:tc>
          <w:tcPr>
            <w:tcW w:w="20" w:type="dxa"/>
            <w:vAlign w:val="bottom"/>
            <w:tcBorders>
              <w:bottom w:val="single" w:sz="8" w:color="auto"/>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w w:val="89"/>
              </w:rPr>
              <w:t>2014</w:t>
            </w:r>
          </w:p>
        </w:tc>
        <w:tc>
          <w:tcPr>
            <w:tcW w:w="60" w:type="dxa"/>
            <w:vAlign w:val="bottom"/>
            <w:tcBorders>
              <w:bottom w:val="single" w:sz="8" w:color="auto"/>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116"/>
              <w:spacing w:after="0"/>
              <w:rPr>
                <w:sz w:val="20"/>
                <w:szCs w:val="20"/>
                <w:color w:val="auto"/>
              </w:rPr>
            </w:pPr>
            <w:r>
              <w:rPr>
                <w:rFonts w:ascii="Arial" w:cs="Arial" w:eastAsia="Arial" w:hAnsi="Arial"/>
                <w:sz w:val="14"/>
                <w:szCs w:val="14"/>
                <w:b w:val="1"/>
                <w:bCs w:val="1"/>
                <w:color w:val="auto"/>
                <w:w w:val="89"/>
              </w:rPr>
              <w:t>2015</w:t>
            </w:r>
          </w:p>
        </w:tc>
        <w:tc>
          <w:tcPr>
            <w:tcW w:w="6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254"/>
              <w:spacing w:after="0"/>
              <w:rPr>
                <w:sz w:val="20"/>
                <w:szCs w:val="20"/>
                <w:color w:val="auto"/>
              </w:rPr>
            </w:pPr>
            <w:r>
              <w:rPr>
                <w:rFonts w:ascii="Arial" w:cs="Arial" w:eastAsia="Arial" w:hAnsi="Arial"/>
                <w:sz w:val="14"/>
                <w:szCs w:val="14"/>
                <w:b w:val="1"/>
                <w:bCs w:val="1"/>
                <w:color w:val="auto"/>
                <w:w w:val="89"/>
              </w:rPr>
              <w:t>2014</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400" w:type="dxa"/>
            <w:vAlign w:val="bottom"/>
            <w:tcBorders>
              <w:bottom w:val="single" w:sz="8" w:color="auto"/>
            </w:tcBorders>
            <w:shd w:val="clear" w:color="auto" w:fill="CCEEFF"/>
          </w:tcPr>
          <w:p>
            <w:pPr>
              <w:spacing w:after="0" w:line="156" w:lineRule="exact"/>
              <w:rPr>
                <w:sz w:val="20"/>
                <w:szCs w:val="20"/>
                <w:color w:val="auto"/>
              </w:rPr>
            </w:pPr>
            <w:r>
              <w:rPr>
                <w:rFonts w:ascii="Arial" w:cs="Arial" w:eastAsia="Arial" w:hAnsi="Arial"/>
                <w:sz w:val="18"/>
                <w:szCs w:val="18"/>
                <w:b w:val="1"/>
                <w:bCs w:val="1"/>
                <w:color w:val="auto"/>
                <w:w w:val="85"/>
              </w:rPr>
              <w:t>Segment Net Sales</w:t>
            </w:r>
          </w:p>
        </w:tc>
        <w:tc>
          <w:tcPr>
            <w:tcW w:w="2860" w:type="dxa"/>
            <w:vAlign w:val="bottom"/>
            <w:tcBorders>
              <w:bottom w:val="single" w:sz="8" w:color="CCEEFF"/>
            </w:tcBorders>
            <w:gridSpan w:val="3"/>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4"/>
          </w:tcPr>
          <w:p>
            <w:pPr>
              <w:spacing w:after="0"/>
              <w:rPr>
                <w:sz w:val="20"/>
                <w:szCs w:val="20"/>
                <w:color w:val="auto"/>
              </w:rPr>
            </w:pPr>
            <w:r>
              <w:rPr>
                <w:rFonts w:ascii="Arial" w:cs="Arial" w:eastAsia="Arial" w:hAnsi="Arial"/>
                <w:sz w:val="18"/>
                <w:szCs w:val="18"/>
                <w:color w:val="auto"/>
              </w:rPr>
              <w:t>Professional</w:t>
            </w:r>
          </w:p>
        </w:tc>
        <w:tc>
          <w:tcPr>
            <w:tcW w:w="100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552,774</w:t>
            </w:r>
          </w:p>
        </w:tc>
        <w:tc>
          <w:tcPr>
            <w:tcW w:w="260" w:type="dxa"/>
            <w:vAlign w:val="bottom"/>
          </w:tcPr>
          <w:p>
            <w:pPr>
              <w:spacing w:after="0"/>
              <w:rPr>
                <w:sz w:val="18"/>
                <w:szCs w:val="18"/>
                <w:color w:val="auto"/>
              </w:rPr>
            </w:pPr>
          </w:p>
        </w:tc>
        <w:tc>
          <w:tcPr>
            <w:tcW w:w="280" w:type="dxa"/>
            <w:vAlign w:val="bottom"/>
            <w:gridSpan w:val="2"/>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gridSpan w:val="3"/>
          </w:tcPr>
          <w:p>
            <w:pPr>
              <w:jc w:val="right"/>
              <w:ind w:right="160"/>
              <w:spacing w:after="0"/>
              <w:rPr>
                <w:sz w:val="20"/>
                <w:szCs w:val="20"/>
                <w:color w:val="auto"/>
              </w:rPr>
            </w:pPr>
            <w:r>
              <w:rPr>
                <w:rFonts w:ascii="Arial" w:cs="Arial" w:eastAsia="Arial" w:hAnsi="Arial"/>
                <w:sz w:val="18"/>
                <w:szCs w:val="18"/>
                <w:color w:val="auto"/>
              </w:rPr>
              <w:t>528,561</w:t>
            </w:r>
          </w:p>
        </w:tc>
        <w:tc>
          <w:tcPr>
            <w:tcW w:w="380" w:type="dxa"/>
            <w:vAlign w:val="bottom"/>
            <w:gridSpan w:val="3"/>
          </w:tcPr>
          <w:p>
            <w:pPr>
              <w:jc w:val="right"/>
              <w:ind w:right="70"/>
              <w:spacing w:after="0"/>
              <w:rPr>
                <w:sz w:val="20"/>
                <w:szCs w:val="20"/>
                <w:color w:val="auto"/>
              </w:rPr>
            </w:pPr>
            <w:r>
              <w:rPr>
                <w:rFonts w:ascii="Arial" w:cs="Arial" w:eastAsia="Arial" w:hAnsi="Arial"/>
                <w:sz w:val="18"/>
                <w:szCs w:val="18"/>
                <w:color w:val="auto"/>
              </w:rPr>
              <w:t>$</w:t>
            </w:r>
          </w:p>
        </w:tc>
        <w:tc>
          <w:tcPr>
            <w:tcW w:w="1320" w:type="dxa"/>
            <w:vAlign w:val="bottom"/>
            <w:gridSpan w:val="3"/>
          </w:tcPr>
          <w:p>
            <w:pPr>
              <w:jc w:val="right"/>
              <w:ind w:right="220"/>
              <w:spacing w:after="0"/>
              <w:rPr>
                <w:sz w:val="20"/>
                <w:szCs w:val="20"/>
                <w:color w:val="auto"/>
              </w:rPr>
            </w:pPr>
            <w:r>
              <w:rPr>
                <w:rFonts w:ascii="Arial" w:cs="Arial" w:eastAsia="Arial" w:hAnsi="Arial"/>
                <w:sz w:val="18"/>
                <w:szCs w:val="18"/>
                <w:color w:val="auto"/>
              </w:rPr>
              <w:t>892,480</w:t>
            </w:r>
          </w:p>
        </w:tc>
        <w:tc>
          <w:tcPr>
            <w:tcW w:w="46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824,029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Residential</w:t>
            </w: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267,867</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210,377</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402,610</w:t>
            </w: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357,947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4"/>
          </w:tcPr>
          <w:p>
            <w:pPr>
              <w:spacing w:after="0"/>
              <w:rPr>
                <w:sz w:val="20"/>
                <w:szCs w:val="20"/>
                <w:color w:val="auto"/>
              </w:rPr>
            </w:pPr>
            <w:r>
              <w:rPr>
                <w:rFonts w:ascii="Arial" w:cs="Arial" w:eastAsia="Arial" w:hAnsi="Arial"/>
                <w:sz w:val="18"/>
                <w:szCs w:val="18"/>
                <w:color w:val="auto"/>
              </w:rPr>
              <w:t>Other</w:t>
            </w: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5,601</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gridSpan w:val="3"/>
          </w:tcPr>
          <w:p>
            <w:pPr>
              <w:jc w:val="right"/>
              <w:ind w:right="160"/>
              <w:spacing w:after="0"/>
              <w:rPr>
                <w:sz w:val="20"/>
                <w:szCs w:val="20"/>
                <w:color w:val="auto"/>
              </w:rPr>
            </w:pPr>
            <w:r>
              <w:rPr>
                <w:rFonts w:ascii="Arial" w:cs="Arial" w:eastAsia="Arial" w:hAnsi="Arial"/>
                <w:sz w:val="18"/>
                <w:szCs w:val="18"/>
                <w:color w:val="auto"/>
              </w:rPr>
              <w:t>6,092</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3"/>
          </w:tcPr>
          <w:p>
            <w:pPr>
              <w:jc w:val="right"/>
              <w:ind w:right="220"/>
              <w:spacing w:after="0"/>
              <w:rPr>
                <w:sz w:val="20"/>
                <w:szCs w:val="20"/>
                <w:color w:val="auto"/>
              </w:rPr>
            </w:pPr>
            <w:r>
              <w:rPr>
                <w:rFonts w:ascii="Arial" w:cs="Arial" w:eastAsia="Arial" w:hAnsi="Arial"/>
                <w:sz w:val="18"/>
                <w:szCs w:val="18"/>
                <w:color w:val="auto"/>
              </w:rPr>
              <w:t>5,363</w:t>
            </w: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9,035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60" w:type="dxa"/>
            <w:vAlign w:val="bottom"/>
            <w:tcBorders>
              <w:top w:val="single" w:sz="8" w:color="CCEEFF"/>
              <w:bottom w:val="single" w:sz="8" w:color="CCEEFF"/>
            </w:tcBorders>
            <w:gridSpan w:val="4"/>
            <w:shd w:val="clear" w:color="auto" w:fill="CCEEFF"/>
          </w:tcPr>
          <w:p>
            <w:pPr>
              <w:ind w:left="160"/>
              <w:spacing w:after="0"/>
              <w:rPr>
                <w:sz w:val="20"/>
                <w:szCs w:val="20"/>
                <w:color w:val="auto"/>
              </w:rPr>
            </w:pPr>
            <w:r>
              <w:rPr>
                <w:rFonts w:ascii="Arial" w:cs="Arial" w:eastAsia="Arial" w:hAnsi="Arial"/>
                <w:sz w:val="18"/>
                <w:szCs w:val="18"/>
                <w:color w:val="auto"/>
              </w:rPr>
              <w:t>Total *</w:t>
            </w:r>
          </w:p>
        </w:tc>
        <w:tc>
          <w:tcPr>
            <w:tcW w:w="72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826,242</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745,030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1,300,453</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1,191,011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20" w:type="dxa"/>
            <w:vAlign w:val="bottom"/>
            <w:gridSpan w:val="2"/>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20" w:type="dxa"/>
            <w:vAlign w:val="bottom"/>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0" w:type="dxa"/>
            <w:vAlign w:val="bottom"/>
            <w:gridSpan w:val="2"/>
          </w:tcPr>
          <w:p>
            <w:pPr>
              <w:spacing w:after="0"/>
              <w:rPr>
                <w:sz w:val="24"/>
                <w:szCs w:val="24"/>
                <w:color w:val="auto"/>
              </w:rPr>
            </w:pPr>
          </w:p>
        </w:tc>
        <w:tc>
          <w:tcPr>
            <w:tcW w:w="1100" w:type="dxa"/>
            <w:vAlign w:val="bottom"/>
            <w:gridSpan w:val="2"/>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gridSpan w:val="2"/>
          </w:tcPr>
          <w:p>
            <w:pPr>
              <w:spacing w:after="0"/>
              <w:rPr>
                <w:sz w:val="24"/>
                <w:szCs w:val="24"/>
                <w:color w:val="auto"/>
              </w:rPr>
            </w:pPr>
          </w:p>
        </w:tc>
        <w:tc>
          <w:tcPr>
            <w:tcW w:w="1280" w:type="dxa"/>
            <w:vAlign w:val="bottom"/>
            <w:gridSpan w:val="3"/>
          </w:tcPr>
          <w:p>
            <w:pPr>
              <w:spacing w:after="0"/>
              <w:rPr>
                <w:sz w:val="24"/>
                <w:szCs w:val="24"/>
                <w:color w:val="auto"/>
              </w:rPr>
            </w:pPr>
          </w:p>
        </w:tc>
        <w:tc>
          <w:tcPr>
            <w:tcW w:w="380" w:type="dxa"/>
            <w:vAlign w:val="bottom"/>
            <w:gridSpan w:val="3"/>
          </w:tcPr>
          <w:p>
            <w:pPr>
              <w:spacing w:after="0"/>
              <w:rPr>
                <w:sz w:val="24"/>
                <w:szCs w:val="24"/>
                <w:color w:val="auto"/>
              </w:rPr>
            </w:pPr>
          </w:p>
        </w:tc>
        <w:tc>
          <w:tcPr>
            <w:tcW w:w="1320" w:type="dxa"/>
            <w:vAlign w:val="bottom"/>
            <w:gridSpan w:val="3"/>
          </w:tcPr>
          <w:p>
            <w:pPr>
              <w:spacing w:after="0"/>
              <w:rPr>
                <w:sz w:val="24"/>
                <w:szCs w:val="24"/>
                <w:color w:val="auto"/>
              </w:rPr>
            </w:pPr>
          </w:p>
        </w:tc>
        <w:tc>
          <w:tcPr>
            <w:tcW w:w="460" w:type="dxa"/>
            <w:vAlign w:val="bottom"/>
            <w:gridSpan w:val="2"/>
          </w:tcPr>
          <w:p>
            <w:pPr>
              <w:spacing w:after="0"/>
              <w:rPr>
                <w:sz w:val="24"/>
                <w:szCs w:val="24"/>
                <w:color w:val="auto"/>
              </w:rPr>
            </w:pPr>
          </w:p>
        </w:tc>
        <w:tc>
          <w:tcPr>
            <w:tcW w:w="1060" w:type="dxa"/>
            <w:vAlign w:val="bottom"/>
            <w:gridSpan w:val="3"/>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400" w:type="dxa"/>
            <w:vAlign w:val="bottom"/>
          </w:tcPr>
          <w:p>
            <w:pPr>
              <w:spacing w:after="0"/>
              <w:rPr>
                <w:sz w:val="8"/>
                <w:szCs w:val="8"/>
                <w:color w:val="auto"/>
              </w:rPr>
            </w:pPr>
          </w:p>
        </w:tc>
        <w:tc>
          <w:tcPr>
            <w:tcW w:w="2160" w:type="dxa"/>
            <w:vAlign w:val="bottom"/>
            <w:gridSpan w:val="2"/>
          </w:tcPr>
          <w:p>
            <w:pPr>
              <w:spacing w:after="0"/>
              <w:rPr>
                <w:sz w:val="8"/>
                <w:szCs w:val="8"/>
                <w:color w:val="auto"/>
              </w:rPr>
            </w:pPr>
          </w:p>
        </w:tc>
        <w:tc>
          <w:tcPr>
            <w:tcW w:w="700" w:type="dxa"/>
            <w:vAlign w:val="bottom"/>
          </w:tcPr>
          <w:p>
            <w:pPr>
              <w:spacing w:after="0"/>
              <w:rPr>
                <w:sz w:val="8"/>
                <w:szCs w:val="8"/>
                <w:color w:val="auto"/>
              </w:rPr>
            </w:pPr>
          </w:p>
        </w:tc>
        <w:tc>
          <w:tcPr>
            <w:tcW w:w="1000" w:type="dxa"/>
            <w:vAlign w:val="bottom"/>
            <w:gridSpan w:val="2"/>
          </w:tcPr>
          <w:p>
            <w:pPr>
              <w:spacing w:after="0"/>
              <w:rPr>
                <w:sz w:val="8"/>
                <w:szCs w:val="8"/>
                <w:color w:val="auto"/>
              </w:rPr>
            </w:pPr>
          </w:p>
        </w:tc>
        <w:tc>
          <w:tcPr>
            <w:tcW w:w="1100" w:type="dxa"/>
            <w:vAlign w:val="bottom"/>
            <w:gridSpan w:val="2"/>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gridSpan w:val="2"/>
          </w:tcPr>
          <w:p>
            <w:pPr>
              <w:spacing w:after="0"/>
              <w:rPr>
                <w:sz w:val="8"/>
                <w:szCs w:val="8"/>
                <w:color w:val="auto"/>
              </w:rPr>
            </w:pPr>
          </w:p>
        </w:tc>
        <w:tc>
          <w:tcPr>
            <w:tcW w:w="1280" w:type="dxa"/>
            <w:vAlign w:val="bottom"/>
            <w:gridSpan w:val="3"/>
          </w:tcPr>
          <w:p>
            <w:pPr>
              <w:spacing w:after="0"/>
              <w:rPr>
                <w:sz w:val="8"/>
                <w:szCs w:val="8"/>
                <w:color w:val="auto"/>
              </w:rPr>
            </w:pPr>
          </w:p>
        </w:tc>
        <w:tc>
          <w:tcPr>
            <w:tcW w:w="380" w:type="dxa"/>
            <w:vAlign w:val="bottom"/>
            <w:gridSpan w:val="3"/>
          </w:tcPr>
          <w:p>
            <w:pPr>
              <w:spacing w:after="0"/>
              <w:rPr>
                <w:sz w:val="8"/>
                <w:szCs w:val="8"/>
                <w:color w:val="auto"/>
              </w:rPr>
            </w:pPr>
          </w:p>
        </w:tc>
        <w:tc>
          <w:tcPr>
            <w:tcW w:w="1320" w:type="dxa"/>
            <w:vAlign w:val="bottom"/>
            <w:gridSpan w:val="3"/>
          </w:tcPr>
          <w:p>
            <w:pPr>
              <w:spacing w:after="0"/>
              <w:rPr>
                <w:sz w:val="8"/>
                <w:szCs w:val="8"/>
                <w:color w:val="auto"/>
              </w:rPr>
            </w:pPr>
          </w:p>
        </w:tc>
        <w:tc>
          <w:tcPr>
            <w:tcW w:w="460" w:type="dxa"/>
            <w:vAlign w:val="bottom"/>
            <w:gridSpan w:val="2"/>
          </w:tcPr>
          <w:p>
            <w:pPr>
              <w:spacing w:after="0"/>
              <w:rPr>
                <w:sz w:val="8"/>
                <w:szCs w:val="8"/>
                <w:color w:val="auto"/>
              </w:rPr>
            </w:pPr>
          </w:p>
        </w:tc>
        <w:tc>
          <w:tcPr>
            <w:tcW w:w="1060" w:type="dxa"/>
            <w:vAlign w:val="bottom"/>
            <w:gridSpan w:val="3"/>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 Includes international sales of</w:t>
            </w:r>
          </w:p>
        </w:tc>
        <w:tc>
          <w:tcPr>
            <w:tcW w:w="100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195,384</w:t>
            </w:r>
          </w:p>
        </w:tc>
        <w:tc>
          <w:tcPr>
            <w:tcW w:w="2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205,117</w:t>
            </w:r>
          </w:p>
        </w:tc>
        <w:tc>
          <w:tcPr>
            <w:tcW w:w="380" w:type="dxa"/>
            <w:vAlign w:val="bottom"/>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338,285</w:t>
            </w:r>
          </w:p>
        </w:tc>
        <w:tc>
          <w:tcPr>
            <w:tcW w:w="46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356,380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920" w:type="dxa"/>
            <w:vAlign w:val="bottom"/>
            <w:gridSpan w:val="8"/>
          </w:tcPr>
          <w:p>
            <w:pPr>
              <w:jc w:val="right"/>
              <w:ind w:right="102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40" w:type="dxa"/>
            <w:vAlign w:val="bottom"/>
            <w:gridSpan w:val="8"/>
          </w:tcPr>
          <w:p>
            <w:pPr>
              <w:jc w:val="right"/>
              <w:ind w:right="1040"/>
              <w:spacing w:after="0"/>
              <w:rPr>
                <w:sz w:val="20"/>
                <w:szCs w:val="20"/>
                <w:color w:val="auto"/>
              </w:rPr>
            </w:pPr>
            <w:r>
              <w:rPr>
                <w:rFonts w:ascii="Arial" w:cs="Arial" w:eastAsia="Arial" w:hAnsi="Arial"/>
                <w:sz w:val="14"/>
                <w:szCs w:val="14"/>
                <w:b w:val="1"/>
                <w:bCs w:val="1"/>
                <w:color w:val="auto"/>
              </w:rPr>
              <w:t>Six Months Ended</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1360" w:type="dxa"/>
            <w:vAlign w:val="bottom"/>
            <w:tcBorders>
              <w:top w:val="single" w:sz="8" w:color="auto"/>
            </w:tcBorders>
            <w:gridSpan w:val="3"/>
          </w:tcPr>
          <w:p>
            <w:pPr>
              <w:jc w:val="center"/>
              <w:ind w:right="560"/>
              <w:spacing w:after="0" w:line="119" w:lineRule="exact"/>
              <w:rPr>
                <w:sz w:val="20"/>
                <w:szCs w:val="20"/>
                <w:color w:val="auto"/>
              </w:rPr>
            </w:pPr>
            <w:r>
              <w:rPr>
                <w:rFonts w:ascii="Arial" w:cs="Arial" w:eastAsia="Arial" w:hAnsi="Arial"/>
                <w:sz w:val="13"/>
                <w:szCs w:val="13"/>
                <w:b w:val="1"/>
                <w:bCs w:val="1"/>
                <w:color w:val="auto"/>
              </w:rPr>
              <w:t>May 1,</w:t>
            </w:r>
          </w:p>
        </w:tc>
        <w:tc>
          <w:tcPr>
            <w:tcW w:w="2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rPr>
              <w:t>May 2,</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320" w:type="dxa"/>
            <w:vAlign w:val="bottom"/>
            <w:tcBorders>
              <w:top w:val="single" w:sz="8" w:color="auto"/>
            </w:tcBorders>
            <w:gridSpan w:val="3"/>
          </w:tcPr>
          <w:p>
            <w:pPr>
              <w:jc w:val="center"/>
              <w:ind w:right="460"/>
              <w:spacing w:after="0" w:line="119" w:lineRule="exact"/>
              <w:rPr>
                <w:sz w:val="20"/>
                <w:szCs w:val="20"/>
                <w:color w:val="auto"/>
              </w:rPr>
            </w:pPr>
            <w:r>
              <w:rPr>
                <w:rFonts w:ascii="Arial" w:cs="Arial" w:eastAsia="Arial" w:hAnsi="Arial"/>
                <w:sz w:val="13"/>
                <w:szCs w:val="13"/>
                <w:b w:val="1"/>
                <w:bCs w:val="1"/>
                <w:color w:val="auto"/>
              </w:rPr>
              <w:t>May 1,</w:t>
            </w:r>
          </w:p>
        </w:tc>
        <w:tc>
          <w:tcPr>
            <w:tcW w:w="6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gridSpan w:val="2"/>
          </w:tcPr>
          <w:p>
            <w:pPr>
              <w:jc w:val="center"/>
              <w:ind w:right="420"/>
              <w:spacing w:after="0" w:line="119" w:lineRule="exact"/>
              <w:rPr>
                <w:sz w:val="20"/>
                <w:szCs w:val="20"/>
                <w:color w:val="auto"/>
              </w:rPr>
            </w:pPr>
            <w:r>
              <w:rPr>
                <w:rFonts w:ascii="Arial" w:cs="Arial" w:eastAsia="Arial" w:hAnsi="Arial"/>
                <w:sz w:val="13"/>
                <w:szCs w:val="13"/>
                <w:b w:val="1"/>
                <w:bCs w:val="1"/>
                <w:color w:val="auto"/>
              </w:rPr>
              <w:t>May 2,</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400" w:type="dxa"/>
            <w:vAlign w:val="bottom"/>
            <w:tcBorders>
              <w:bottom w:val="single" w:sz="8" w:color="CCEEFF"/>
            </w:tcBorders>
          </w:tcPr>
          <w:p>
            <w:pPr>
              <w:spacing w:after="0"/>
              <w:rPr>
                <w:sz w:val="14"/>
                <w:szCs w:val="14"/>
                <w:color w:val="auto"/>
              </w:rPr>
            </w:pPr>
          </w:p>
        </w:tc>
        <w:tc>
          <w:tcPr>
            <w:tcW w:w="1460" w:type="dxa"/>
            <w:vAlign w:val="bottom"/>
            <w:tcBorders>
              <w:bottom w:val="single" w:sz="8" w:color="CCEEFF"/>
            </w:tcBorders>
          </w:tcPr>
          <w:p>
            <w:pPr>
              <w:spacing w:after="0"/>
              <w:rPr>
                <w:sz w:val="14"/>
                <w:szCs w:val="14"/>
                <w:color w:val="auto"/>
              </w:rPr>
            </w:pPr>
          </w:p>
        </w:tc>
        <w:tc>
          <w:tcPr>
            <w:tcW w:w="700" w:type="dxa"/>
            <w:vAlign w:val="bottom"/>
            <w:tcBorders>
              <w:bottom w:val="single" w:sz="8" w:color="CCEEFF"/>
            </w:tcBorders>
          </w:tcPr>
          <w:p>
            <w:pPr>
              <w:spacing w:after="0"/>
              <w:rPr>
                <w:sz w:val="14"/>
                <w:szCs w:val="14"/>
                <w:color w:val="auto"/>
              </w:rPr>
            </w:pPr>
          </w:p>
        </w:tc>
        <w:tc>
          <w:tcPr>
            <w:tcW w:w="700" w:type="dxa"/>
            <w:vAlign w:val="bottom"/>
            <w:tcBorders>
              <w:bottom w:val="single" w:sz="8" w:color="CCEEFF"/>
            </w:tcBorders>
          </w:tcPr>
          <w:p>
            <w:pPr>
              <w:spacing w:after="0"/>
              <w:rPr>
                <w:sz w:val="14"/>
                <w:szCs w:val="14"/>
                <w:color w:val="auto"/>
              </w:rPr>
            </w:pPr>
          </w:p>
        </w:tc>
        <w:tc>
          <w:tcPr>
            <w:tcW w:w="72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196"/>
              <w:spacing w:after="0"/>
              <w:rPr>
                <w:sz w:val="20"/>
                <w:szCs w:val="20"/>
                <w:color w:val="auto"/>
              </w:rPr>
            </w:pPr>
            <w:r>
              <w:rPr>
                <w:rFonts w:ascii="Arial" w:cs="Arial" w:eastAsia="Arial" w:hAnsi="Arial"/>
                <w:sz w:val="14"/>
                <w:szCs w:val="14"/>
                <w:b w:val="1"/>
                <w:bCs w:val="1"/>
                <w:color w:val="auto"/>
                <w:w w:val="89"/>
              </w:rPr>
              <w:t>2015</w:t>
            </w:r>
          </w:p>
        </w:tc>
        <w:tc>
          <w:tcPr>
            <w:tcW w:w="20" w:type="dxa"/>
            <w:vAlign w:val="bottom"/>
            <w:tcBorders>
              <w:bottom w:val="single" w:sz="8" w:color="auto"/>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w w:val="89"/>
              </w:rPr>
              <w:t>2014</w:t>
            </w:r>
          </w:p>
        </w:tc>
        <w:tc>
          <w:tcPr>
            <w:tcW w:w="60" w:type="dxa"/>
            <w:vAlign w:val="bottom"/>
            <w:tcBorders>
              <w:bottom w:val="single" w:sz="8" w:color="auto"/>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116"/>
              <w:spacing w:after="0"/>
              <w:rPr>
                <w:sz w:val="20"/>
                <w:szCs w:val="20"/>
                <w:color w:val="auto"/>
              </w:rPr>
            </w:pPr>
            <w:r>
              <w:rPr>
                <w:rFonts w:ascii="Arial" w:cs="Arial" w:eastAsia="Arial" w:hAnsi="Arial"/>
                <w:sz w:val="14"/>
                <w:szCs w:val="14"/>
                <w:b w:val="1"/>
                <w:bCs w:val="1"/>
                <w:color w:val="auto"/>
                <w:w w:val="89"/>
              </w:rPr>
              <w:t>2015</w:t>
            </w:r>
          </w:p>
        </w:tc>
        <w:tc>
          <w:tcPr>
            <w:tcW w:w="6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254"/>
              <w:spacing w:after="0"/>
              <w:rPr>
                <w:sz w:val="20"/>
                <w:szCs w:val="20"/>
                <w:color w:val="auto"/>
              </w:rPr>
            </w:pPr>
            <w:r>
              <w:rPr>
                <w:rFonts w:ascii="Arial" w:cs="Arial" w:eastAsia="Arial" w:hAnsi="Arial"/>
                <w:sz w:val="14"/>
                <w:szCs w:val="14"/>
                <w:b w:val="1"/>
                <w:bCs w:val="1"/>
                <w:color w:val="auto"/>
                <w:w w:val="89"/>
              </w:rPr>
              <w:t>2014</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560" w:type="dxa"/>
            <w:vAlign w:val="bottom"/>
            <w:tcBorders>
              <w:bottom w:val="single" w:sz="8" w:color="auto"/>
            </w:tcBorders>
            <w:gridSpan w:val="3"/>
            <w:shd w:val="clear" w:color="auto" w:fill="CCEEFF"/>
          </w:tcPr>
          <w:p>
            <w:pPr>
              <w:spacing w:after="0" w:line="156" w:lineRule="exact"/>
              <w:rPr>
                <w:sz w:val="20"/>
                <w:szCs w:val="20"/>
                <w:color w:val="auto"/>
              </w:rPr>
            </w:pPr>
            <w:r>
              <w:rPr>
                <w:rFonts w:ascii="Arial" w:cs="Arial" w:eastAsia="Arial" w:hAnsi="Arial"/>
                <w:sz w:val="18"/>
                <w:szCs w:val="18"/>
                <w:b w:val="1"/>
                <w:bCs w:val="1"/>
                <w:color w:val="auto"/>
                <w:w w:val="87"/>
              </w:rPr>
              <w:t>Segment Earnings (Loss) Before Income Taxes</w:t>
            </w:r>
          </w:p>
        </w:tc>
        <w:tc>
          <w:tcPr>
            <w:tcW w:w="7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4"/>
          </w:tcPr>
          <w:p>
            <w:pPr>
              <w:spacing w:after="0"/>
              <w:rPr>
                <w:sz w:val="20"/>
                <w:szCs w:val="20"/>
                <w:color w:val="auto"/>
              </w:rPr>
            </w:pPr>
            <w:r>
              <w:rPr>
                <w:rFonts w:ascii="Arial" w:cs="Arial" w:eastAsia="Arial" w:hAnsi="Arial"/>
                <w:sz w:val="18"/>
                <w:szCs w:val="18"/>
                <w:color w:val="auto"/>
              </w:rPr>
              <w:t>Professional</w:t>
            </w:r>
          </w:p>
        </w:tc>
        <w:tc>
          <w:tcPr>
            <w:tcW w:w="100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120,815</w:t>
            </w:r>
          </w:p>
        </w:tc>
        <w:tc>
          <w:tcPr>
            <w:tcW w:w="260" w:type="dxa"/>
            <w:vAlign w:val="bottom"/>
          </w:tcPr>
          <w:p>
            <w:pPr>
              <w:spacing w:after="0"/>
              <w:rPr>
                <w:sz w:val="18"/>
                <w:szCs w:val="18"/>
                <w:color w:val="auto"/>
              </w:rPr>
            </w:pPr>
          </w:p>
        </w:tc>
        <w:tc>
          <w:tcPr>
            <w:tcW w:w="280" w:type="dxa"/>
            <w:vAlign w:val="bottom"/>
            <w:gridSpan w:val="2"/>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gridSpan w:val="3"/>
          </w:tcPr>
          <w:p>
            <w:pPr>
              <w:jc w:val="right"/>
              <w:ind w:right="160"/>
              <w:spacing w:after="0"/>
              <w:rPr>
                <w:sz w:val="20"/>
                <w:szCs w:val="20"/>
                <w:color w:val="auto"/>
              </w:rPr>
            </w:pPr>
            <w:r>
              <w:rPr>
                <w:rFonts w:ascii="Arial" w:cs="Arial" w:eastAsia="Arial" w:hAnsi="Arial"/>
                <w:sz w:val="18"/>
                <w:szCs w:val="18"/>
                <w:color w:val="auto"/>
              </w:rPr>
              <w:t>122,367</w:t>
            </w:r>
          </w:p>
        </w:tc>
        <w:tc>
          <w:tcPr>
            <w:tcW w:w="380" w:type="dxa"/>
            <w:vAlign w:val="bottom"/>
            <w:gridSpan w:val="3"/>
          </w:tcPr>
          <w:p>
            <w:pPr>
              <w:jc w:val="right"/>
              <w:ind w:right="70"/>
              <w:spacing w:after="0"/>
              <w:rPr>
                <w:sz w:val="20"/>
                <w:szCs w:val="20"/>
                <w:color w:val="auto"/>
              </w:rPr>
            </w:pPr>
            <w:r>
              <w:rPr>
                <w:rFonts w:ascii="Arial" w:cs="Arial" w:eastAsia="Arial" w:hAnsi="Arial"/>
                <w:sz w:val="18"/>
                <w:szCs w:val="18"/>
                <w:color w:val="auto"/>
              </w:rPr>
              <w:t>$</w:t>
            </w:r>
          </w:p>
        </w:tc>
        <w:tc>
          <w:tcPr>
            <w:tcW w:w="1320" w:type="dxa"/>
            <w:vAlign w:val="bottom"/>
            <w:gridSpan w:val="3"/>
          </w:tcPr>
          <w:p>
            <w:pPr>
              <w:jc w:val="right"/>
              <w:ind w:right="220"/>
              <w:spacing w:after="0"/>
              <w:rPr>
                <w:sz w:val="20"/>
                <w:szCs w:val="20"/>
                <w:color w:val="auto"/>
              </w:rPr>
            </w:pPr>
            <w:r>
              <w:rPr>
                <w:rFonts w:ascii="Arial" w:cs="Arial" w:eastAsia="Arial" w:hAnsi="Arial"/>
                <w:sz w:val="18"/>
                <w:szCs w:val="18"/>
                <w:color w:val="auto"/>
              </w:rPr>
              <w:t>176,474</w:t>
            </w:r>
          </w:p>
        </w:tc>
        <w:tc>
          <w:tcPr>
            <w:tcW w:w="46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169,830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Residential</w:t>
            </w: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34,838</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23,822</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48,565</w:t>
            </w: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41,956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4"/>
          </w:tcPr>
          <w:p>
            <w:pPr>
              <w:spacing w:after="0"/>
              <w:rPr>
                <w:sz w:val="20"/>
                <w:szCs w:val="20"/>
                <w:color w:val="auto"/>
              </w:rPr>
            </w:pPr>
            <w:r>
              <w:rPr>
                <w:rFonts w:ascii="Arial" w:cs="Arial" w:eastAsia="Arial" w:hAnsi="Arial"/>
                <w:sz w:val="18"/>
                <w:szCs w:val="18"/>
                <w:color w:val="auto"/>
              </w:rPr>
              <w:t>Other</w:t>
            </w: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3"/>
          </w:tcPr>
          <w:p>
            <w:pPr>
              <w:jc w:val="right"/>
              <w:ind w:right="220"/>
              <w:spacing w:after="0"/>
              <w:rPr>
                <w:sz w:val="20"/>
                <w:szCs w:val="20"/>
                <w:color w:val="auto"/>
              </w:rPr>
            </w:pPr>
            <w:r>
              <w:rPr>
                <w:rFonts w:ascii="Arial" w:cs="Arial" w:eastAsia="Arial" w:hAnsi="Arial"/>
                <w:sz w:val="18"/>
                <w:szCs w:val="18"/>
                <w:color w:val="auto"/>
              </w:rPr>
              <w:t>(19,516)</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gridSpan w:val="3"/>
          </w:tcPr>
          <w:p>
            <w:pPr>
              <w:jc w:val="right"/>
              <w:ind w:right="100"/>
              <w:spacing w:after="0"/>
              <w:rPr>
                <w:sz w:val="20"/>
                <w:szCs w:val="20"/>
                <w:color w:val="auto"/>
              </w:rPr>
            </w:pPr>
            <w:r>
              <w:rPr>
                <w:rFonts w:ascii="Arial" w:cs="Arial" w:eastAsia="Arial" w:hAnsi="Arial"/>
                <w:sz w:val="18"/>
                <w:szCs w:val="18"/>
                <w:color w:val="auto"/>
              </w:rPr>
              <w:t>(17,073)</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3"/>
          </w:tcPr>
          <w:p>
            <w:pPr>
              <w:jc w:val="right"/>
              <w:ind w:right="160"/>
              <w:spacing w:after="0"/>
              <w:rPr>
                <w:sz w:val="20"/>
                <w:szCs w:val="20"/>
                <w:color w:val="auto"/>
              </w:rPr>
            </w:pPr>
            <w:r>
              <w:rPr>
                <w:rFonts w:ascii="Arial" w:cs="Arial" w:eastAsia="Arial" w:hAnsi="Arial"/>
                <w:sz w:val="18"/>
                <w:szCs w:val="18"/>
                <w:color w:val="auto"/>
              </w:rPr>
              <w:t>(46,929)</w:t>
            </w: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rPr>
              <w:t>(43,915)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60" w:type="dxa"/>
            <w:vAlign w:val="bottom"/>
            <w:tcBorders>
              <w:top w:val="single" w:sz="8" w:color="CCEEFF"/>
              <w:bottom w:val="single" w:sz="8" w:color="CCEEFF"/>
            </w:tcBorders>
            <w:gridSpan w:val="4"/>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72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136,137</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129,116</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178,110</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167,871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8"/>
        </w:trPr>
        <w:tc>
          <w:tcPr>
            <w:tcW w:w="20" w:type="dxa"/>
            <w:vAlign w:val="bottom"/>
            <w:tcBorders>
              <w:bottom w:val="single" w:sz="8" w:color="010101"/>
            </w:tcBorders>
          </w:tcPr>
          <w:p>
            <w:pPr>
              <w:spacing w:after="0"/>
              <w:rPr>
                <w:sz w:val="24"/>
                <w:szCs w:val="24"/>
                <w:color w:val="auto"/>
              </w:rPr>
            </w:pPr>
          </w:p>
        </w:tc>
        <w:tc>
          <w:tcPr>
            <w:tcW w:w="1400" w:type="dxa"/>
            <w:vAlign w:val="bottom"/>
            <w:tcBorders>
              <w:bottom w:val="single" w:sz="8" w:color="010101"/>
            </w:tcBorders>
          </w:tcPr>
          <w:p>
            <w:pPr>
              <w:spacing w:after="0"/>
              <w:rPr>
                <w:sz w:val="24"/>
                <w:szCs w:val="24"/>
                <w:color w:val="auto"/>
              </w:rPr>
            </w:pPr>
          </w:p>
        </w:tc>
        <w:tc>
          <w:tcPr>
            <w:tcW w:w="1460" w:type="dxa"/>
            <w:vAlign w:val="bottom"/>
            <w:tcBorders>
              <w:bottom w:val="single" w:sz="8" w:color="010101"/>
            </w:tcBorders>
          </w:tcPr>
          <w:p>
            <w:pPr>
              <w:spacing w:after="0"/>
              <w:rPr>
                <w:sz w:val="24"/>
                <w:szCs w:val="24"/>
                <w:color w:val="auto"/>
              </w:rPr>
            </w:pPr>
          </w:p>
        </w:tc>
        <w:tc>
          <w:tcPr>
            <w:tcW w:w="700" w:type="dxa"/>
            <w:vAlign w:val="bottom"/>
            <w:tcBorders>
              <w:bottom w:val="single" w:sz="8" w:color="010101"/>
            </w:tcBorders>
          </w:tcPr>
          <w:p>
            <w:pPr>
              <w:spacing w:after="0"/>
              <w:rPr>
                <w:sz w:val="24"/>
                <w:szCs w:val="24"/>
                <w:color w:val="auto"/>
              </w:rPr>
            </w:pPr>
          </w:p>
        </w:tc>
        <w:tc>
          <w:tcPr>
            <w:tcW w:w="700" w:type="dxa"/>
            <w:vAlign w:val="bottom"/>
            <w:tcBorders>
              <w:bottom w:val="single" w:sz="8" w:color="010101"/>
            </w:tcBorders>
          </w:tcPr>
          <w:p>
            <w:pPr>
              <w:spacing w:after="0"/>
              <w:rPr>
                <w:sz w:val="24"/>
                <w:szCs w:val="24"/>
                <w:color w:val="auto"/>
              </w:rPr>
            </w:pPr>
          </w:p>
        </w:tc>
        <w:tc>
          <w:tcPr>
            <w:tcW w:w="720" w:type="dxa"/>
            <w:vAlign w:val="bottom"/>
            <w:tcBorders>
              <w:bottom w:val="single" w:sz="8" w:color="010101"/>
            </w:tcBorders>
          </w:tcPr>
          <w:p>
            <w:pPr>
              <w:spacing w:after="0"/>
              <w:rPr>
                <w:sz w:val="24"/>
                <w:szCs w:val="24"/>
                <w:color w:val="auto"/>
              </w:rPr>
            </w:pPr>
          </w:p>
        </w:tc>
        <w:tc>
          <w:tcPr>
            <w:tcW w:w="280" w:type="dxa"/>
            <w:vAlign w:val="bottom"/>
            <w:tcBorders>
              <w:bottom w:val="single" w:sz="8" w:color="010101"/>
            </w:tcBorders>
          </w:tcPr>
          <w:p>
            <w:pPr>
              <w:spacing w:after="0"/>
              <w:rPr>
                <w:sz w:val="24"/>
                <w:szCs w:val="24"/>
                <w:color w:val="auto"/>
              </w:rPr>
            </w:pPr>
          </w:p>
        </w:tc>
        <w:tc>
          <w:tcPr>
            <w:tcW w:w="1080" w:type="dxa"/>
            <w:vAlign w:val="bottom"/>
            <w:tcBorders>
              <w:bottom w:val="single" w:sz="8" w:color="010101"/>
            </w:tcBorders>
          </w:tcPr>
          <w:p>
            <w:pPr>
              <w:spacing w:after="0"/>
              <w:rPr>
                <w:sz w:val="24"/>
                <w:szCs w:val="24"/>
                <w:color w:val="auto"/>
              </w:rPr>
            </w:pPr>
          </w:p>
        </w:tc>
        <w:tc>
          <w:tcPr>
            <w:tcW w:w="20" w:type="dxa"/>
            <w:vAlign w:val="bottom"/>
            <w:tcBorders>
              <w:bottom w:val="single" w:sz="8" w:color="010101"/>
            </w:tcBorders>
          </w:tcPr>
          <w:p>
            <w:pPr>
              <w:spacing w:after="0"/>
              <w:rPr>
                <w:sz w:val="24"/>
                <w:szCs w:val="24"/>
                <w:color w:val="auto"/>
              </w:rPr>
            </w:pPr>
          </w:p>
        </w:tc>
        <w:tc>
          <w:tcPr>
            <w:tcW w:w="260" w:type="dxa"/>
            <w:vAlign w:val="bottom"/>
            <w:tcBorders>
              <w:bottom w:val="single" w:sz="8" w:color="010101"/>
            </w:tcBorders>
          </w:tcPr>
          <w:p>
            <w:pPr>
              <w:spacing w:after="0"/>
              <w:rPr>
                <w:sz w:val="24"/>
                <w:szCs w:val="24"/>
                <w:color w:val="auto"/>
              </w:rPr>
            </w:pPr>
          </w:p>
        </w:tc>
        <w:tc>
          <w:tcPr>
            <w:tcW w:w="20" w:type="dxa"/>
            <w:vAlign w:val="bottom"/>
            <w:tcBorders>
              <w:bottom w:val="single" w:sz="8" w:color="010101"/>
            </w:tcBorders>
          </w:tcPr>
          <w:p>
            <w:pPr>
              <w:spacing w:after="0"/>
              <w:rPr>
                <w:sz w:val="24"/>
                <w:szCs w:val="24"/>
                <w:color w:val="auto"/>
              </w:rPr>
            </w:pPr>
          </w:p>
        </w:tc>
        <w:tc>
          <w:tcPr>
            <w:tcW w:w="260" w:type="dxa"/>
            <w:vAlign w:val="bottom"/>
            <w:tcBorders>
              <w:bottom w:val="single" w:sz="8" w:color="010101"/>
            </w:tcBorders>
          </w:tcPr>
          <w:p>
            <w:pPr>
              <w:spacing w:after="0"/>
              <w:rPr>
                <w:sz w:val="24"/>
                <w:szCs w:val="24"/>
                <w:color w:val="auto"/>
              </w:rPr>
            </w:pPr>
          </w:p>
        </w:tc>
        <w:tc>
          <w:tcPr>
            <w:tcW w:w="1060" w:type="dxa"/>
            <w:vAlign w:val="bottom"/>
            <w:tcBorders>
              <w:bottom w:val="single" w:sz="8" w:color="010101"/>
            </w:tcBorders>
          </w:tcPr>
          <w:p>
            <w:pPr>
              <w:spacing w:after="0"/>
              <w:rPr>
                <w:sz w:val="24"/>
                <w:szCs w:val="24"/>
                <w:color w:val="auto"/>
              </w:rPr>
            </w:pPr>
          </w:p>
        </w:tc>
        <w:tc>
          <w:tcPr>
            <w:tcW w:w="60" w:type="dxa"/>
            <w:vAlign w:val="bottom"/>
            <w:tcBorders>
              <w:bottom w:val="single" w:sz="8" w:color="010101"/>
            </w:tcBorders>
          </w:tcPr>
          <w:p>
            <w:pPr>
              <w:spacing w:after="0"/>
              <w:rPr>
                <w:sz w:val="24"/>
                <w:szCs w:val="24"/>
                <w:color w:val="auto"/>
              </w:rPr>
            </w:pPr>
          </w:p>
        </w:tc>
        <w:tc>
          <w:tcPr>
            <w:tcW w:w="160" w:type="dxa"/>
            <w:vAlign w:val="bottom"/>
            <w:tcBorders>
              <w:bottom w:val="single" w:sz="8" w:color="010101"/>
            </w:tcBorders>
          </w:tcPr>
          <w:p>
            <w:pPr>
              <w:spacing w:after="0"/>
              <w:rPr>
                <w:sz w:val="24"/>
                <w:szCs w:val="24"/>
                <w:color w:val="auto"/>
              </w:rPr>
            </w:pPr>
          </w:p>
        </w:tc>
        <w:tc>
          <w:tcPr>
            <w:tcW w:w="8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c>
          <w:tcPr>
            <w:tcW w:w="260" w:type="dxa"/>
            <w:vAlign w:val="bottom"/>
            <w:tcBorders>
              <w:bottom w:val="single" w:sz="8" w:color="010101"/>
            </w:tcBorders>
          </w:tcPr>
          <w:p>
            <w:pPr>
              <w:spacing w:after="0"/>
              <w:rPr>
                <w:sz w:val="24"/>
                <w:szCs w:val="24"/>
                <w:color w:val="auto"/>
              </w:rPr>
            </w:pPr>
          </w:p>
        </w:tc>
        <w:tc>
          <w:tcPr>
            <w:tcW w:w="1040" w:type="dxa"/>
            <w:vAlign w:val="bottom"/>
            <w:tcBorders>
              <w:bottom w:val="single" w:sz="8" w:color="010101"/>
            </w:tcBorders>
          </w:tcPr>
          <w:p>
            <w:pPr>
              <w:spacing w:after="0"/>
              <w:rPr>
                <w:sz w:val="24"/>
                <w:szCs w:val="24"/>
                <w:color w:val="auto"/>
              </w:rPr>
            </w:pPr>
          </w:p>
        </w:tc>
        <w:tc>
          <w:tcPr>
            <w:tcW w:w="60" w:type="dxa"/>
            <w:vAlign w:val="bottom"/>
            <w:tcBorders>
              <w:bottom w:val="single" w:sz="8" w:color="010101"/>
            </w:tcBorders>
          </w:tcPr>
          <w:p>
            <w:pPr>
              <w:spacing w:after="0"/>
              <w:rPr>
                <w:sz w:val="24"/>
                <w:szCs w:val="24"/>
                <w:color w:val="auto"/>
              </w:rPr>
            </w:pPr>
          </w:p>
        </w:tc>
        <w:tc>
          <w:tcPr>
            <w:tcW w:w="220" w:type="dxa"/>
            <w:vAlign w:val="bottom"/>
            <w:tcBorders>
              <w:bottom w:val="single" w:sz="8" w:color="010101"/>
            </w:tcBorders>
          </w:tcPr>
          <w:p>
            <w:pPr>
              <w:spacing w:after="0"/>
              <w:rPr>
                <w:sz w:val="24"/>
                <w:szCs w:val="24"/>
                <w:color w:val="auto"/>
              </w:rPr>
            </w:pPr>
          </w:p>
        </w:tc>
        <w:tc>
          <w:tcPr>
            <w:tcW w:w="60" w:type="dxa"/>
            <w:vAlign w:val="bottom"/>
            <w:tcBorders>
              <w:bottom w:val="single" w:sz="8" w:color="010101"/>
            </w:tcBorders>
          </w:tcPr>
          <w:p>
            <w:pPr>
              <w:spacing w:after="0"/>
              <w:rPr>
                <w:sz w:val="24"/>
                <w:szCs w:val="24"/>
                <w:color w:val="auto"/>
              </w:rPr>
            </w:pPr>
          </w:p>
        </w:tc>
        <w:tc>
          <w:tcPr>
            <w:tcW w:w="400" w:type="dxa"/>
            <w:vAlign w:val="bottom"/>
            <w:tcBorders>
              <w:bottom w:val="single" w:sz="8" w:color="010101"/>
            </w:tcBorders>
          </w:tcPr>
          <w:p>
            <w:pPr>
              <w:spacing w:after="0"/>
              <w:rPr>
                <w:sz w:val="24"/>
                <w:szCs w:val="24"/>
                <w:color w:val="auto"/>
              </w:rPr>
            </w:pPr>
          </w:p>
        </w:tc>
        <w:tc>
          <w:tcPr>
            <w:tcW w:w="900" w:type="dxa"/>
            <w:vAlign w:val="bottom"/>
            <w:tcBorders>
              <w:bottom w:val="single" w:sz="8" w:color="010101"/>
            </w:tcBorders>
          </w:tcPr>
          <w:p>
            <w:pPr>
              <w:spacing w:after="0"/>
              <w:rPr>
                <w:sz w:val="24"/>
                <w:szCs w:val="24"/>
                <w:color w:val="auto"/>
              </w:rPr>
            </w:pPr>
          </w:p>
        </w:tc>
        <w:tc>
          <w:tcPr>
            <w:tcW w:w="60" w:type="dxa"/>
            <w:vAlign w:val="bottom"/>
            <w:tcBorders>
              <w:bottom w:val="single" w:sz="8" w:color="010101"/>
            </w:tcBorders>
          </w:tcPr>
          <w:p>
            <w:pPr>
              <w:spacing w:after="0"/>
              <w:rPr>
                <w:sz w:val="24"/>
                <w:szCs w:val="24"/>
                <w:color w:val="auto"/>
              </w:rPr>
            </w:pPr>
          </w:p>
        </w:tc>
        <w:tc>
          <w:tcPr>
            <w:tcW w:w="10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733" w:right="199" w:bottom="19" w:gutter="0" w:footer="0" w:header="0"/>
        </w:sectPr>
      </w:pPr>
    </w:p>
    <w:bookmarkStart w:id="5" w:name="page6"/>
    <w:bookmarkEnd w:id="5"/>
    <w:p>
      <w:pPr>
        <w:spacing w:after="0" w:line="6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THE TORO COMPANY AND SUBSIDIARIES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(Dollars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80" w:type="dxa"/>
            <w:vAlign w:val="bottom"/>
            <w:gridSpan w:val="2"/>
          </w:tcPr>
          <w:p>
            <w:pPr>
              <w:ind w:left="200"/>
              <w:spacing w:after="0"/>
              <w:rPr>
                <w:sz w:val="20"/>
                <w:szCs w:val="20"/>
                <w:color w:val="auto"/>
              </w:rPr>
            </w:pPr>
            <w:r>
              <w:rPr>
                <w:rFonts w:ascii="Arial" w:cs="Arial" w:eastAsia="Arial" w:hAnsi="Arial"/>
                <w:sz w:val="14"/>
                <w:szCs w:val="14"/>
                <w:b w:val="1"/>
                <w:bCs w:val="1"/>
                <w:color w:val="auto"/>
              </w:rPr>
              <w:t>May 1,</w:t>
            </w:r>
          </w:p>
        </w:tc>
        <w:tc>
          <w:tcPr>
            <w:tcW w:w="280" w:type="dxa"/>
            <w:vAlign w:val="bottom"/>
          </w:tcPr>
          <w:p>
            <w:pPr>
              <w:spacing w:after="0"/>
              <w:rPr>
                <w:sz w:val="14"/>
                <w:szCs w:val="14"/>
                <w:color w:val="auto"/>
              </w:rPr>
            </w:pPr>
          </w:p>
        </w:tc>
        <w:tc>
          <w:tcPr>
            <w:tcW w:w="1180" w:type="dxa"/>
            <w:vAlign w:val="bottom"/>
            <w:gridSpan w:val="3"/>
          </w:tcPr>
          <w:p>
            <w:pPr>
              <w:ind w:left="180"/>
              <w:spacing w:after="0"/>
              <w:rPr>
                <w:sz w:val="20"/>
                <w:szCs w:val="20"/>
                <w:color w:val="auto"/>
              </w:rPr>
            </w:pPr>
            <w:r>
              <w:rPr>
                <w:rFonts w:ascii="Arial" w:cs="Arial" w:eastAsia="Arial" w:hAnsi="Arial"/>
                <w:sz w:val="14"/>
                <w:szCs w:val="14"/>
                <w:b w:val="1"/>
                <w:bCs w:val="1"/>
                <w:color w:val="auto"/>
              </w:rPr>
              <w:t>May 2,</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40" w:type="dxa"/>
            <w:vAlign w:val="bottom"/>
            <w:tcBorders>
              <w:bottom w:val="single" w:sz="8" w:color="CCEEFF"/>
            </w:tcBorders>
          </w:tcPr>
          <w:p>
            <w:pPr>
              <w:spacing w:after="0"/>
              <w:rPr>
                <w:sz w:val="14"/>
                <w:szCs w:val="14"/>
                <w:color w:val="auto"/>
              </w:rPr>
            </w:pPr>
          </w:p>
        </w:tc>
        <w:tc>
          <w:tcPr>
            <w:tcW w:w="3040" w:type="dxa"/>
            <w:vAlign w:val="bottom"/>
            <w:tcBorders>
              <w:bottom w:val="single" w:sz="8" w:color="CCEEFF"/>
            </w:tcBorders>
          </w:tcPr>
          <w:p>
            <w:pPr>
              <w:spacing w:after="0"/>
              <w:rPr>
                <w:sz w:val="14"/>
                <w:szCs w:val="14"/>
                <w:color w:val="auto"/>
              </w:rPr>
            </w:pPr>
          </w:p>
        </w:tc>
        <w:tc>
          <w:tcPr>
            <w:tcW w:w="2300" w:type="dxa"/>
            <w:vAlign w:val="bottom"/>
            <w:tcBorders>
              <w:bottom w:val="single" w:sz="8" w:color="CCEEFF"/>
            </w:tcBorders>
          </w:tcPr>
          <w:p>
            <w:pPr>
              <w:spacing w:after="0"/>
              <w:rPr>
                <w:sz w:val="14"/>
                <w:szCs w:val="14"/>
                <w:color w:val="auto"/>
              </w:rPr>
            </w:pPr>
          </w:p>
        </w:tc>
        <w:tc>
          <w:tcPr>
            <w:tcW w:w="23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2015</w:t>
            </w:r>
          </w:p>
        </w:tc>
        <w:tc>
          <w:tcPr>
            <w:tcW w:w="2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2014</w:t>
            </w: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40" w:type="dxa"/>
            <w:vAlign w:val="bottom"/>
            <w:tcBorders>
              <w:bottom w:val="single" w:sz="8" w:color="auto"/>
            </w:tcBorders>
            <w:shd w:val="clear" w:color="auto" w:fill="CCEEFF"/>
          </w:tcPr>
          <w:p>
            <w:pPr>
              <w:spacing w:after="0" w:line="156" w:lineRule="exact"/>
              <w:rPr>
                <w:sz w:val="20"/>
                <w:szCs w:val="20"/>
                <w:color w:val="auto"/>
              </w:rPr>
            </w:pPr>
            <w:r>
              <w:rPr>
                <w:rFonts w:ascii="Arial" w:cs="Arial" w:eastAsia="Arial" w:hAnsi="Arial"/>
                <w:sz w:val="18"/>
                <w:szCs w:val="18"/>
                <w:color w:val="auto"/>
                <w:w w:val="87"/>
              </w:rPr>
              <w:t>ASSETS</w:t>
            </w:r>
          </w:p>
        </w:tc>
        <w:tc>
          <w:tcPr>
            <w:tcW w:w="5340" w:type="dxa"/>
            <w:vAlign w:val="bottom"/>
            <w:tcBorders>
              <w:bottom w:val="single" w:sz="8" w:color="CCEEFF"/>
            </w:tcBorders>
            <w:gridSpan w:val="2"/>
            <w:shd w:val="clear" w:color="auto" w:fill="CCEEFF"/>
          </w:tcPr>
          <w:p>
            <w:pPr>
              <w:spacing w:after="0"/>
              <w:rPr>
                <w:sz w:val="15"/>
                <w:szCs w:val="15"/>
                <w:color w:val="auto"/>
              </w:rPr>
            </w:pPr>
          </w:p>
        </w:tc>
        <w:tc>
          <w:tcPr>
            <w:tcW w:w="23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3"/>
          </w:tcPr>
          <w:p>
            <w:pPr>
              <w:spacing w:after="0"/>
              <w:rPr>
                <w:sz w:val="20"/>
                <w:szCs w:val="20"/>
                <w:color w:val="auto"/>
              </w:rPr>
            </w:pPr>
            <w:r>
              <w:rPr>
                <w:rFonts w:ascii="Arial" w:cs="Arial" w:eastAsia="Arial" w:hAnsi="Arial"/>
                <w:sz w:val="18"/>
                <w:szCs w:val="18"/>
                <w:color w:val="auto"/>
              </w:rPr>
              <w:t>Cash and cash equivalents</w:t>
            </w:r>
          </w:p>
        </w:tc>
        <w:tc>
          <w:tcPr>
            <w:tcW w:w="25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109,295</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129,909</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Receivables, net</w:t>
            </w:r>
          </w:p>
        </w:tc>
        <w:tc>
          <w:tcPr>
            <w:tcW w:w="2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351,602</w:t>
            </w: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313,489</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3"/>
          </w:tcPr>
          <w:p>
            <w:pPr>
              <w:spacing w:after="0"/>
              <w:rPr>
                <w:sz w:val="20"/>
                <w:szCs w:val="20"/>
                <w:color w:val="auto"/>
              </w:rPr>
            </w:pPr>
            <w:r>
              <w:rPr>
                <w:rFonts w:ascii="Arial" w:cs="Arial" w:eastAsia="Arial" w:hAnsi="Arial"/>
                <w:sz w:val="18"/>
                <w:szCs w:val="18"/>
                <w:color w:val="auto"/>
              </w:rPr>
              <w:t>Inventories, net</w:t>
            </w:r>
          </w:p>
        </w:tc>
        <w:tc>
          <w:tcPr>
            <w:tcW w:w="2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341,440</w:t>
            </w:r>
          </w:p>
        </w:tc>
        <w:tc>
          <w:tcPr>
            <w:tcW w:w="28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302,477</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Prepaid expenses and other current assets</w:t>
            </w:r>
          </w:p>
        </w:tc>
        <w:tc>
          <w:tcPr>
            <w:tcW w:w="2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38,210</w:t>
            </w: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29,218</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3"/>
          </w:tcPr>
          <w:p>
            <w:pPr>
              <w:spacing w:after="0"/>
              <w:rPr>
                <w:sz w:val="20"/>
                <w:szCs w:val="20"/>
                <w:color w:val="auto"/>
              </w:rPr>
            </w:pPr>
            <w:r>
              <w:rPr>
                <w:rFonts w:ascii="Arial" w:cs="Arial" w:eastAsia="Arial" w:hAnsi="Arial"/>
                <w:sz w:val="18"/>
                <w:szCs w:val="18"/>
                <w:color w:val="auto"/>
              </w:rPr>
              <w:t>Deferred income taxes</w:t>
            </w:r>
          </w:p>
        </w:tc>
        <w:tc>
          <w:tcPr>
            <w:tcW w:w="2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43,202</w:t>
            </w:r>
          </w:p>
        </w:tc>
        <w:tc>
          <w:tcPr>
            <w:tcW w:w="28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39,261</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tcBorders>
              <w:top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Total current assets</w:t>
            </w:r>
          </w:p>
        </w:tc>
        <w:tc>
          <w:tcPr>
            <w:tcW w:w="23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883,749</w:t>
            </w: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814,354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4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2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219,941</w:t>
            </w: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192,751</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3"/>
          </w:tcPr>
          <w:p>
            <w:pPr>
              <w:spacing w:after="0"/>
              <w:rPr>
                <w:sz w:val="20"/>
                <w:szCs w:val="20"/>
                <w:color w:val="auto"/>
              </w:rPr>
            </w:pPr>
            <w:r>
              <w:rPr>
                <w:rFonts w:ascii="Arial" w:cs="Arial" w:eastAsia="Arial" w:hAnsi="Arial"/>
                <w:sz w:val="18"/>
                <w:szCs w:val="18"/>
                <w:color w:val="auto"/>
              </w:rPr>
              <w:t>Deferred income taxes</w:t>
            </w:r>
          </w:p>
        </w:tc>
        <w:tc>
          <w:tcPr>
            <w:tcW w:w="2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26,416</w:t>
            </w:r>
          </w:p>
        </w:tc>
        <w:tc>
          <w:tcPr>
            <w:tcW w:w="28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25,942</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Goodwill and other assets, net</w:t>
            </w:r>
          </w:p>
        </w:tc>
        <w:tc>
          <w:tcPr>
            <w:tcW w:w="2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349,021</w:t>
            </w: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146,199</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980" w:type="dxa"/>
            <w:vAlign w:val="bottom"/>
            <w:tcBorders>
              <w:bottom w:val="single" w:sz="8" w:color="CCEEFF"/>
            </w:tcBorders>
            <w:gridSpan w:val="3"/>
          </w:tcPr>
          <w:p>
            <w:pPr>
              <w:ind w:left="160"/>
              <w:spacing w:after="0"/>
              <w:rPr>
                <w:sz w:val="20"/>
                <w:szCs w:val="20"/>
                <w:color w:val="auto"/>
              </w:rPr>
            </w:pPr>
            <w:r>
              <w:rPr>
                <w:rFonts w:ascii="Arial" w:cs="Arial" w:eastAsia="Arial" w:hAnsi="Arial"/>
                <w:sz w:val="18"/>
                <w:szCs w:val="18"/>
                <w:color w:val="auto"/>
              </w:rPr>
              <w:t>Total assets</w:t>
            </w:r>
          </w:p>
        </w:tc>
        <w:tc>
          <w:tcPr>
            <w:tcW w:w="230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1,479,127</w:t>
            </w:r>
          </w:p>
        </w:tc>
        <w:tc>
          <w:tcPr>
            <w:tcW w:w="28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1,179,246</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40" w:type="dxa"/>
            <w:vAlign w:val="bottom"/>
            <w:shd w:val="clear" w:color="auto" w:fill="CCEEFF"/>
          </w:tcPr>
          <w:p>
            <w:pPr>
              <w:spacing w:after="0"/>
              <w:rPr>
                <w:sz w:val="17"/>
                <w:szCs w:val="17"/>
                <w:color w:val="auto"/>
              </w:rPr>
            </w:pPr>
          </w:p>
        </w:tc>
        <w:tc>
          <w:tcPr>
            <w:tcW w:w="2300" w:type="dxa"/>
            <w:vAlign w:val="bottom"/>
            <w:shd w:val="clear" w:color="auto" w:fill="CCEEFF"/>
          </w:tcPr>
          <w:p>
            <w:pPr>
              <w:spacing w:after="0"/>
              <w:rPr>
                <w:sz w:val="17"/>
                <w:szCs w:val="17"/>
                <w:color w:val="auto"/>
              </w:rPr>
            </w:pPr>
          </w:p>
        </w:tc>
        <w:tc>
          <w:tcPr>
            <w:tcW w:w="2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5980" w:type="dxa"/>
            <w:vAlign w:val="bottom"/>
            <w:gridSpan w:val="3"/>
          </w:tcPr>
          <w:p>
            <w:pPr>
              <w:spacing w:after="0" w:line="176" w:lineRule="exact"/>
              <w:rPr>
                <w:sz w:val="20"/>
                <w:szCs w:val="20"/>
                <w:color w:val="auto"/>
              </w:rPr>
            </w:pPr>
            <w:r>
              <w:rPr>
                <w:rFonts w:ascii="Arial" w:cs="Arial" w:eastAsia="Arial" w:hAnsi="Arial"/>
                <w:sz w:val="18"/>
                <w:szCs w:val="18"/>
                <w:color w:val="auto"/>
              </w:rPr>
              <w:t>LIABILITIES AND STOCKHOLDERS’ EQUITY</w:t>
            </w:r>
          </w:p>
        </w:tc>
        <w:tc>
          <w:tcPr>
            <w:tcW w:w="2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3040" w:type="dxa"/>
            <w:vAlign w:val="bottom"/>
            <w:tcBorders>
              <w:top w:val="single" w:sz="8" w:color="auto"/>
            </w:tcBorders>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Current portion of long-term debt</w:t>
            </w:r>
          </w:p>
        </w:tc>
        <w:tc>
          <w:tcPr>
            <w:tcW w:w="25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23,444</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140</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3"/>
          </w:tcPr>
          <w:p>
            <w:pPr>
              <w:spacing w:after="0"/>
              <w:rPr>
                <w:sz w:val="20"/>
                <w:szCs w:val="20"/>
                <w:color w:val="auto"/>
              </w:rPr>
            </w:pPr>
            <w:r>
              <w:rPr>
                <w:rFonts w:ascii="Arial" w:cs="Arial" w:eastAsia="Arial" w:hAnsi="Arial"/>
                <w:sz w:val="18"/>
                <w:szCs w:val="18"/>
                <w:color w:val="auto"/>
              </w:rPr>
              <w:t>Short-term debt</w:t>
            </w:r>
          </w:p>
        </w:tc>
        <w:tc>
          <w:tcPr>
            <w:tcW w:w="2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24,900</w:t>
            </w:r>
          </w:p>
        </w:tc>
        <w:tc>
          <w:tcPr>
            <w:tcW w:w="280" w:type="dxa"/>
            <w:vAlign w:val="bottom"/>
          </w:tcPr>
          <w:p>
            <w:pPr>
              <w:spacing w:after="0"/>
              <w:rPr>
                <w:sz w:val="18"/>
                <w:szCs w:val="18"/>
                <w:color w:val="auto"/>
              </w:rPr>
            </w:pPr>
          </w:p>
        </w:tc>
        <w:tc>
          <w:tcPr>
            <w:tcW w:w="11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2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256,391</w:t>
            </w: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235,971</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3"/>
          </w:tcPr>
          <w:p>
            <w:pPr>
              <w:spacing w:after="0"/>
              <w:rPr>
                <w:sz w:val="20"/>
                <w:szCs w:val="20"/>
                <w:color w:val="auto"/>
              </w:rPr>
            </w:pPr>
            <w:r>
              <w:rPr>
                <w:rFonts w:ascii="Arial" w:cs="Arial" w:eastAsia="Arial" w:hAnsi="Arial"/>
                <w:sz w:val="18"/>
                <w:szCs w:val="18"/>
                <w:color w:val="auto"/>
              </w:rPr>
              <w:t>Accrued liabilities</w:t>
            </w:r>
          </w:p>
        </w:tc>
        <w:tc>
          <w:tcPr>
            <w:tcW w:w="2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314,505</w:t>
            </w:r>
          </w:p>
        </w:tc>
        <w:tc>
          <w:tcPr>
            <w:tcW w:w="28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302,515</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tcBorders>
              <w:top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Total current liabilities</w:t>
            </w:r>
          </w:p>
        </w:tc>
        <w:tc>
          <w:tcPr>
            <w:tcW w:w="23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619,240</w:t>
            </w: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538,626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4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Long-term debt, less current portion</w:t>
            </w:r>
          </w:p>
        </w:tc>
        <w:tc>
          <w:tcPr>
            <w:tcW w:w="2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361,428</w:t>
            </w: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223,855</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3"/>
          </w:tcPr>
          <w:p>
            <w:pPr>
              <w:spacing w:after="0"/>
              <w:rPr>
                <w:sz w:val="20"/>
                <w:szCs w:val="20"/>
                <w:color w:val="auto"/>
              </w:rPr>
            </w:pPr>
            <w:r>
              <w:rPr>
                <w:rFonts w:ascii="Arial" w:cs="Arial" w:eastAsia="Arial" w:hAnsi="Arial"/>
                <w:sz w:val="18"/>
                <w:szCs w:val="18"/>
                <w:color w:val="auto"/>
              </w:rPr>
              <w:t>Deferred revenue</w:t>
            </w:r>
          </w:p>
        </w:tc>
        <w:tc>
          <w:tcPr>
            <w:tcW w:w="2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11,244</w:t>
            </w:r>
          </w:p>
        </w:tc>
        <w:tc>
          <w:tcPr>
            <w:tcW w:w="28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10,891</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2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5,969</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3"/>
          </w:tcPr>
          <w:p>
            <w:pPr>
              <w:spacing w:after="0"/>
              <w:rPr>
                <w:sz w:val="20"/>
                <w:szCs w:val="20"/>
                <w:color w:val="auto"/>
              </w:rPr>
            </w:pPr>
            <w:r>
              <w:rPr>
                <w:rFonts w:ascii="Arial" w:cs="Arial" w:eastAsia="Arial" w:hAnsi="Arial"/>
                <w:sz w:val="18"/>
                <w:szCs w:val="18"/>
                <w:color w:val="auto"/>
              </w:rPr>
              <w:t>Other long-term liabilities</w:t>
            </w:r>
          </w:p>
        </w:tc>
        <w:tc>
          <w:tcPr>
            <w:tcW w:w="2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24,211</w:t>
            </w:r>
          </w:p>
        </w:tc>
        <w:tc>
          <w:tcPr>
            <w:tcW w:w="28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14,355</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2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463,004</w:t>
            </w: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385,550</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gridSpan w:val="3"/>
          </w:tcPr>
          <w:p>
            <w:pPr>
              <w:ind w:left="160"/>
              <w:spacing w:after="0"/>
              <w:rPr>
                <w:sz w:val="20"/>
                <w:szCs w:val="20"/>
                <w:color w:val="auto"/>
              </w:rPr>
            </w:pPr>
            <w:r>
              <w:rPr>
                <w:rFonts w:ascii="Arial" w:cs="Arial" w:eastAsia="Arial" w:hAnsi="Arial"/>
                <w:sz w:val="18"/>
                <w:szCs w:val="18"/>
                <w:color w:val="auto"/>
              </w:rPr>
              <w:t>Total liabilities and stockholders’ equity</w:t>
            </w:r>
          </w:p>
        </w:tc>
        <w:tc>
          <w:tcPr>
            <w:tcW w:w="230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1,479,127</w:t>
            </w:r>
          </w:p>
        </w:tc>
        <w:tc>
          <w:tcPr>
            <w:tcW w:w="28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1,179,246</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8"/>
        </w:trPr>
        <w:tc>
          <w:tcPr>
            <w:tcW w:w="20" w:type="dxa"/>
            <w:vAlign w:val="bottom"/>
            <w:tcBorders>
              <w:bottom w:val="single" w:sz="8" w:color="010101"/>
            </w:tcBorders>
          </w:tcPr>
          <w:p>
            <w:pPr>
              <w:spacing w:after="0"/>
              <w:rPr>
                <w:sz w:val="24"/>
                <w:szCs w:val="24"/>
                <w:color w:val="auto"/>
              </w:rPr>
            </w:pPr>
          </w:p>
        </w:tc>
        <w:tc>
          <w:tcPr>
            <w:tcW w:w="640" w:type="dxa"/>
            <w:vAlign w:val="bottom"/>
            <w:tcBorders>
              <w:bottom w:val="single" w:sz="8" w:color="010101"/>
            </w:tcBorders>
          </w:tcPr>
          <w:p>
            <w:pPr>
              <w:spacing w:after="0"/>
              <w:rPr>
                <w:sz w:val="24"/>
                <w:szCs w:val="24"/>
                <w:color w:val="auto"/>
              </w:rPr>
            </w:pPr>
          </w:p>
        </w:tc>
        <w:tc>
          <w:tcPr>
            <w:tcW w:w="3040" w:type="dxa"/>
            <w:vAlign w:val="bottom"/>
            <w:tcBorders>
              <w:bottom w:val="single" w:sz="8" w:color="010101"/>
            </w:tcBorders>
          </w:tcPr>
          <w:p>
            <w:pPr>
              <w:spacing w:after="0"/>
              <w:rPr>
                <w:sz w:val="24"/>
                <w:szCs w:val="24"/>
                <w:color w:val="auto"/>
              </w:rPr>
            </w:pPr>
          </w:p>
        </w:tc>
        <w:tc>
          <w:tcPr>
            <w:tcW w:w="2300" w:type="dxa"/>
            <w:vAlign w:val="bottom"/>
            <w:tcBorders>
              <w:bottom w:val="single" w:sz="8" w:color="010101"/>
            </w:tcBorders>
          </w:tcPr>
          <w:p>
            <w:pPr>
              <w:spacing w:after="0"/>
              <w:rPr>
                <w:sz w:val="24"/>
                <w:szCs w:val="24"/>
                <w:color w:val="auto"/>
              </w:rPr>
            </w:pPr>
          </w:p>
        </w:tc>
        <w:tc>
          <w:tcPr>
            <w:tcW w:w="2300" w:type="dxa"/>
            <w:vAlign w:val="bottom"/>
            <w:tcBorders>
              <w:bottom w:val="single" w:sz="8" w:color="010101"/>
            </w:tcBorders>
          </w:tcPr>
          <w:p>
            <w:pPr>
              <w:spacing w:after="0"/>
              <w:rPr>
                <w:sz w:val="24"/>
                <w:szCs w:val="24"/>
                <w:color w:val="auto"/>
              </w:rPr>
            </w:pPr>
          </w:p>
        </w:tc>
        <w:tc>
          <w:tcPr>
            <w:tcW w:w="280" w:type="dxa"/>
            <w:vAlign w:val="bottom"/>
            <w:tcBorders>
              <w:bottom w:val="single" w:sz="8" w:color="010101"/>
            </w:tcBorders>
          </w:tcPr>
          <w:p>
            <w:pPr>
              <w:spacing w:after="0"/>
              <w:rPr>
                <w:sz w:val="24"/>
                <w:szCs w:val="24"/>
                <w:color w:val="auto"/>
              </w:rPr>
            </w:pPr>
          </w:p>
        </w:tc>
        <w:tc>
          <w:tcPr>
            <w:tcW w:w="1100" w:type="dxa"/>
            <w:vAlign w:val="bottom"/>
            <w:tcBorders>
              <w:bottom w:val="single" w:sz="8" w:color="010101"/>
            </w:tcBorders>
          </w:tcPr>
          <w:p>
            <w:pPr>
              <w:spacing w:after="0"/>
              <w:rPr>
                <w:sz w:val="24"/>
                <w:szCs w:val="24"/>
                <w:color w:val="auto"/>
              </w:rPr>
            </w:pPr>
          </w:p>
        </w:tc>
        <w:tc>
          <w:tcPr>
            <w:tcW w:w="280" w:type="dxa"/>
            <w:vAlign w:val="bottom"/>
            <w:tcBorders>
              <w:bottom w:val="single" w:sz="8" w:color="010101"/>
            </w:tcBorders>
          </w:tcPr>
          <w:p>
            <w:pPr>
              <w:spacing w:after="0"/>
              <w:rPr>
                <w:sz w:val="24"/>
                <w:szCs w:val="24"/>
                <w:color w:val="auto"/>
              </w:rPr>
            </w:pPr>
          </w:p>
        </w:tc>
        <w:tc>
          <w:tcPr>
            <w:tcW w:w="280" w:type="dxa"/>
            <w:vAlign w:val="bottom"/>
            <w:tcBorders>
              <w:bottom w:val="single" w:sz="8" w:color="010101"/>
            </w:tcBorders>
          </w:tcPr>
          <w:p>
            <w:pPr>
              <w:spacing w:after="0"/>
              <w:rPr>
                <w:sz w:val="24"/>
                <w:szCs w:val="24"/>
                <w:color w:val="auto"/>
              </w:rPr>
            </w:pPr>
          </w:p>
        </w:tc>
        <w:tc>
          <w:tcPr>
            <w:tcW w:w="1080" w:type="dxa"/>
            <w:vAlign w:val="bottom"/>
            <w:tcBorders>
              <w:bottom w:val="single" w:sz="8" w:color="010101"/>
            </w:tcBorders>
          </w:tcPr>
          <w:p>
            <w:pPr>
              <w:spacing w:after="0"/>
              <w:rPr>
                <w:sz w:val="24"/>
                <w:szCs w:val="24"/>
                <w:color w:val="auto"/>
              </w:rPr>
            </w:pPr>
          </w:p>
        </w:tc>
        <w:tc>
          <w:tcPr>
            <w:tcW w:w="20" w:type="dxa"/>
            <w:vAlign w:val="bottom"/>
            <w:tcBorders>
              <w:bottom w:val="single" w:sz="8" w:color="010101"/>
            </w:tcBorders>
          </w:tcPr>
          <w:p>
            <w:pPr>
              <w:spacing w:after="0"/>
              <w:rPr>
                <w:sz w:val="24"/>
                <w:szCs w:val="24"/>
                <w:color w:val="auto"/>
              </w:rPr>
            </w:pPr>
          </w:p>
        </w:tc>
        <w:tc>
          <w:tcPr>
            <w:tcW w:w="8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THE TORO COMPANY AND SUBSIDIARIES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(Dollars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9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74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80" w:type="dxa"/>
            <w:vAlign w:val="bottom"/>
            <w:gridSpan w:val="2"/>
          </w:tcPr>
          <w:p>
            <w:pPr>
              <w:jc w:val="right"/>
              <w:ind w:right="760"/>
              <w:spacing w:after="0" w:line="119" w:lineRule="exact"/>
              <w:rPr>
                <w:sz w:val="20"/>
                <w:szCs w:val="20"/>
                <w:color w:val="auto"/>
              </w:rPr>
            </w:pPr>
            <w:r>
              <w:rPr>
                <w:rFonts w:ascii="Arial" w:cs="Arial" w:eastAsia="Arial" w:hAnsi="Arial"/>
                <w:sz w:val="13"/>
                <w:szCs w:val="13"/>
                <w:b w:val="1"/>
                <w:bCs w:val="1"/>
                <w:color w:val="auto"/>
              </w:rPr>
              <w:t>May 1,</w:t>
            </w:r>
          </w:p>
        </w:tc>
        <w:tc>
          <w:tcPr>
            <w:tcW w:w="440" w:type="dxa"/>
            <w:vAlign w:val="bottom"/>
          </w:tcPr>
          <w:p>
            <w:pPr>
              <w:spacing w:after="0"/>
              <w:rPr>
                <w:sz w:val="10"/>
                <w:szCs w:val="10"/>
                <w:color w:val="auto"/>
              </w:rPr>
            </w:pPr>
          </w:p>
        </w:tc>
        <w:tc>
          <w:tcPr>
            <w:tcW w:w="920" w:type="dxa"/>
            <w:vAlign w:val="bottom"/>
          </w:tcPr>
          <w:p>
            <w:pPr>
              <w:jc w:val="right"/>
              <w:ind w:right="392"/>
              <w:spacing w:after="0" w:line="119" w:lineRule="exact"/>
              <w:rPr>
                <w:sz w:val="20"/>
                <w:szCs w:val="20"/>
                <w:color w:val="auto"/>
              </w:rPr>
            </w:pPr>
            <w:r>
              <w:rPr>
                <w:rFonts w:ascii="Arial" w:cs="Arial" w:eastAsia="Arial" w:hAnsi="Arial"/>
                <w:sz w:val="13"/>
                <w:szCs w:val="13"/>
                <w:b w:val="1"/>
                <w:bCs w:val="1"/>
                <w:color w:val="auto"/>
              </w:rPr>
              <w:t>May 2,</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0" w:type="dxa"/>
            <w:vAlign w:val="bottom"/>
            <w:tcBorders>
              <w:bottom w:val="single" w:sz="8" w:color="CCEEFF"/>
            </w:tcBorders>
          </w:tcPr>
          <w:p>
            <w:pPr>
              <w:spacing w:after="0"/>
              <w:rPr>
                <w:sz w:val="14"/>
                <w:szCs w:val="14"/>
                <w:color w:val="auto"/>
              </w:rPr>
            </w:pPr>
          </w:p>
        </w:tc>
        <w:tc>
          <w:tcPr>
            <w:tcW w:w="8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2015</w:t>
            </w:r>
          </w:p>
        </w:tc>
        <w:tc>
          <w:tcPr>
            <w:tcW w:w="28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Net earnings</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124,713</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112,955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Adjustments to reconcile net earnings to net cash provided by operating activities:</w:t>
            </w: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160"/>
              <w:spacing w:after="0"/>
              <w:rPr>
                <w:sz w:val="20"/>
                <w:szCs w:val="20"/>
                <w:color w:val="auto"/>
              </w:rPr>
            </w:pPr>
            <w:r>
              <w:rPr>
                <w:rFonts w:ascii="Arial" w:cs="Arial" w:eastAsia="Arial" w:hAnsi="Arial"/>
                <w:sz w:val="18"/>
                <w:szCs w:val="18"/>
                <w:color w:val="auto"/>
              </w:rPr>
              <w:t>Noncash income from finance affiliate</w:t>
            </w: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(3,709)</w:t>
            </w:r>
          </w:p>
        </w:tc>
        <w:tc>
          <w:tcPr>
            <w:tcW w:w="4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(3,377)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Provision for depreciation, amortization, and impairment loss</w:t>
            </w: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30,613</w:t>
            </w: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26,589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160"/>
              <w:spacing w:after="0"/>
              <w:rPr>
                <w:sz w:val="20"/>
                <w:szCs w:val="20"/>
                <w:color w:val="auto"/>
              </w:rPr>
            </w:pPr>
            <w:r>
              <w:rPr>
                <w:rFonts w:ascii="Arial" w:cs="Arial" w:eastAsia="Arial" w:hAnsi="Arial"/>
                <w:sz w:val="18"/>
                <w:szCs w:val="18"/>
                <w:color w:val="auto"/>
              </w:rPr>
              <w:t>Stock-based compensation expense</w:t>
            </w: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5,090</w:t>
            </w:r>
          </w:p>
        </w:tc>
        <w:tc>
          <w:tcPr>
            <w:tcW w:w="4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5,051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(Increase) decrease in deferred income taxes</w:t>
            </w: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(1,107)</w:t>
            </w: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160"/>
              <w:spacing w:after="0"/>
              <w:rPr>
                <w:sz w:val="20"/>
                <w:szCs w:val="20"/>
                <w:color w:val="auto"/>
              </w:rPr>
            </w:pPr>
            <w:r>
              <w:rPr>
                <w:rFonts w:ascii="Arial" w:cs="Arial" w:eastAsia="Arial" w:hAnsi="Arial"/>
                <w:sz w:val="18"/>
                <w:szCs w:val="18"/>
                <w:color w:val="auto"/>
              </w:rPr>
              <w:t>Other</w:t>
            </w: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(47)</w:t>
            </w:r>
          </w:p>
        </w:tc>
        <w:tc>
          <w:tcPr>
            <w:tcW w:w="4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Changes in operating assets and liabilities, net of effect of acquisition:</w:t>
            </w: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340"/>
              <w:spacing w:after="0"/>
              <w:rPr>
                <w:sz w:val="20"/>
                <w:szCs w:val="20"/>
                <w:color w:val="auto"/>
              </w:rPr>
            </w:pPr>
            <w:r>
              <w:rPr>
                <w:rFonts w:ascii="Arial" w:cs="Arial" w:eastAsia="Arial" w:hAnsi="Arial"/>
                <w:sz w:val="18"/>
                <w:szCs w:val="18"/>
                <w:color w:val="auto"/>
              </w:rPr>
              <w:t>Receivables, net</w:t>
            </w: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(193,552)</w:t>
            </w:r>
          </w:p>
        </w:tc>
        <w:tc>
          <w:tcPr>
            <w:tcW w:w="4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(156,423)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Inventories, net</w:t>
            </w: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(56,099)</w:t>
            </w: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(62,072)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340"/>
              <w:spacing w:after="0"/>
              <w:rPr>
                <w:sz w:val="20"/>
                <w:szCs w:val="20"/>
                <w:color w:val="auto"/>
              </w:rPr>
            </w:pPr>
            <w:r>
              <w:rPr>
                <w:rFonts w:ascii="Arial" w:cs="Arial" w:eastAsia="Arial" w:hAnsi="Arial"/>
                <w:sz w:val="18"/>
                <w:szCs w:val="18"/>
                <w:color w:val="auto"/>
              </w:rPr>
              <w:t>Prepaid expenses and other assets</w:t>
            </w: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(5,168)</w:t>
            </w:r>
          </w:p>
        </w:tc>
        <w:tc>
          <w:tcPr>
            <w:tcW w:w="4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4,285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 accrued liabilities, deferred revenue, and other long-term liabilities</w:t>
            </w: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194,514</w:t>
            </w: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150,836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00" w:type="dxa"/>
            <w:vAlign w:val="bottom"/>
            <w:tcBorders>
              <w:bottom w:val="single" w:sz="8" w:color="CCEEFF"/>
            </w:tcBorders>
          </w:tcPr>
          <w:p>
            <w:pPr>
              <w:ind w:left="520"/>
              <w:spacing w:after="0"/>
              <w:rPr>
                <w:sz w:val="20"/>
                <w:szCs w:val="20"/>
                <w:color w:val="auto"/>
              </w:rPr>
            </w:pPr>
            <w:r>
              <w:rPr>
                <w:rFonts w:ascii="Arial" w:cs="Arial" w:eastAsia="Arial" w:hAnsi="Arial"/>
                <w:sz w:val="18"/>
                <w:szCs w:val="18"/>
                <w:color w:val="auto"/>
              </w:rPr>
              <w:t>Net cash provided by operating activities</w:t>
            </w:r>
          </w:p>
        </w:tc>
        <w:tc>
          <w:tcPr>
            <w:tcW w:w="88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95,248</w:t>
            </w:r>
          </w:p>
        </w:tc>
        <w:tc>
          <w:tcPr>
            <w:tcW w:w="28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77,949</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Purchases of property, plant, and equipment</w:t>
            </w: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(27,261)</w:t>
            </w: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(32,682)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160"/>
              <w:spacing w:after="0"/>
              <w:rPr>
                <w:sz w:val="20"/>
                <w:szCs w:val="20"/>
                <w:color w:val="auto"/>
              </w:rPr>
            </w:pPr>
            <w:r>
              <w:rPr>
                <w:rFonts w:ascii="Arial" w:cs="Arial" w:eastAsia="Arial" w:hAnsi="Arial"/>
                <w:sz w:val="18"/>
                <w:szCs w:val="18"/>
                <w:color w:val="auto"/>
              </w:rPr>
              <w:t>Proceeds from asset disposals</w:t>
            </w: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57</w:t>
            </w:r>
          </w:p>
        </w:tc>
        <w:tc>
          <w:tcPr>
            <w:tcW w:w="4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Contributions to finance affiliate, net</w:t>
            </w: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(4,512)</w:t>
            </w: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160"/>
              <w:spacing w:after="0"/>
              <w:rPr>
                <w:sz w:val="20"/>
                <w:szCs w:val="20"/>
                <w:color w:val="auto"/>
              </w:rPr>
            </w:pPr>
            <w:r>
              <w:rPr>
                <w:rFonts w:ascii="Arial" w:cs="Arial" w:eastAsia="Arial" w:hAnsi="Arial"/>
                <w:sz w:val="18"/>
                <w:szCs w:val="18"/>
                <w:color w:val="auto"/>
              </w:rPr>
              <w:t>Acquisitions, net of cash acquired</w:t>
            </w: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(198,329)</w:t>
            </w:r>
          </w:p>
        </w:tc>
        <w:tc>
          <w:tcPr>
            <w:tcW w:w="4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(715)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00" w:type="dxa"/>
            <w:vAlign w:val="bottom"/>
            <w:tcBorders>
              <w:top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Net cash used in investing activities</w:t>
            </w:r>
          </w:p>
        </w:tc>
        <w:tc>
          <w:tcPr>
            <w:tcW w:w="8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(230,045)</w:t>
            </w:r>
          </w:p>
        </w:tc>
        <w:tc>
          <w:tcPr>
            <w:tcW w:w="2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(38,150)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160"/>
              <w:spacing w:after="0"/>
              <w:rPr>
                <w:sz w:val="20"/>
                <w:szCs w:val="20"/>
                <w:color w:val="auto"/>
              </w:rPr>
            </w:pPr>
            <w:r>
              <w:rPr>
                <w:rFonts w:ascii="Arial" w:cs="Arial" w:eastAsia="Arial" w:hAnsi="Arial"/>
                <w:sz w:val="18"/>
                <w:szCs w:val="18"/>
                <w:color w:val="auto"/>
              </w:rPr>
              <w:t>Repayments of short-term debt</w:t>
            </w: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(1,283)</w:t>
            </w:r>
          </w:p>
        </w:tc>
        <w:tc>
          <w:tcPr>
            <w:tcW w:w="4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(849)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(Repayments of) increase in long-term debt</w:t>
            </w: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(276)</w:t>
            </w: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160"/>
              <w:spacing w:after="0"/>
              <w:rPr>
                <w:sz w:val="20"/>
                <w:szCs w:val="20"/>
                <w:color w:val="auto"/>
              </w:rPr>
            </w:pPr>
            <w:r>
              <w:rPr>
                <w:rFonts w:ascii="Arial" w:cs="Arial" w:eastAsia="Arial" w:hAnsi="Arial"/>
                <w:sz w:val="18"/>
                <w:szCs w:val="18"/>
                <w:color w:val="auto"/>
              </w:rPr>
              <w:t>Excess tax benefits from stock-based awards</w:t>
            </w: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5,057</w:t>
            </w:r>
          </w:p>
        </w:tc>
        <w:tc>
          <w:tcPr>
            <w:tcW w:w="4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6,657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exercise of stock options</w:t>
            </w: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5,168</w:t>
            </w: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160"/>
              <w:spacing w:after="0"/>
              <w:rPr>
                <w:sz w:val="20"/>
                <w:szCs w:val="20"/>
                <w:color w:val="auto"/>
              </w:rPr>
            </w:pPr>
            <w:r>
              <w:rPr>
                <w:rFonts w:ascii="Arial" w:cs="Arial" w:eastAsia="Arial" w:hAnsi="Arial"/>
                <w:sz w:val="18"/>
                <w:szCs w:val="18"/>
                <w:color w:val="auto"/>
              </w:rPr>
              <w:t>Purchases of Toro common stock</w:t>
            </w: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(49,323)</w:t>
            </w:r>
          </w:p>
        </w:tc>
        <w:tc>
          <w:tcPr>
            <w:tcW w:w="4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(81,694)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Dividends paid on Toro common stock</w:t>
            </w: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(27,975)</w:t>
            </w: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(22,670)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00" w:type="dxa"/>
            <w:vAlign w:val="bottom"/>
            <w:tcBorders>
              <w:bottom w:val="single" w:sz="8" w:color="CCEEFF"/>
            </w:tcBorders>
          </w:tcPr>
          <w:p>
            <w:pPr>
              <w:ind w:left="520"/>
              <w:spacing w:after="0"/>
              <w:rPr>
                <w:sz w:val="20"/>
                <w:szCs w:val="20"/>
                <w:color w:val="auto"/>
              </w:rPr>
            </w:pPr>
            <w:r>
              <w:rPr>
                <w:rFonts w:ascii="Arial" w:cs="Arial" w:eastAsia="Arial" w:hAnsi="Arial"/>
                <w:sz w:val="18"/>
                <w:szCs w:val="18"/>
                <w:color w:val="auto"/>
              </w:rPr>
              <w:t>Net cash used in financing activities</w:t>
            </w:r>
          </w:p>
        </w:tc>
        <w:tc>
          <w:tcPr>
            <w:tcW w:w="88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(68,632)</w:t>
            </w:r>
          </w:p>
        </w:tc>
        <w:tc>
          <w:tcPr>
            <w:tcW w:w="28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(93,736)</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Effect of exchange rates on cash and cash equivalents</w:t>
            </w: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(2,149)</w:t>
            </w:r>
          </w:p>
        </w:tc>
        <w:tc>
          <w:tcPr>
            <w:tcW w:w="4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853</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400" w:type="dxa"/>
            <w:vAlign w:val="bottom"/>
            <w:tcBorders>
              <w:top w:val="single" w:sz="8" w:color="CCEEFF"/>
            </w:tcBorders>
            <w:shd w:val="clear" w:color="auto" w:fill="CCEEFF"/>
          </w:tcPr>
          <w:p>
            <w:pPr>
              <w:spacing w:after="0"/>
              <w:rPr>
                <w:sz w:val="11"/>
                <w:szCs w:val="11"/>
                <w:color w:val="auto"/>
              </w:rPr>
            </w:pPr>
          </w:p>
        </w:tc>
        <w:tc>
          <w:tcPr>
            <w:tcW w:w="88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110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bl>
    <w:p>
      <w:pPr>
        <w:sectPr>
          <w:pgSz w:w="11900" w:h="16900" w:orient="portrait"/>
          <w:cols w:equalWidth="0" w:num="1">
            <w:col w:w="11460"/>
          </w:cols>
          <w:pgMar w:left="240" w:top="337" w:right="199" w:bottom="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gridSpan w:val="2"/>
          </w:tcPr>
          <w:p>
            <w:pPr>
              <w:spacing w:after="0"/>
              <w:rPr>
                <w:sz w:val="20"/>
                <w:szCs w:val="20"/>
                <w:color w:val="auto"/>
              </w:rPr>
            </w:pPr>
            <w:r>
              <w:rPr>
                <w:rFonts w:ascii="Arial" w:cs="Arial" w:eastAsia="Arial" w:hAnsi="Arial"/>
                <w:sz w:val="18"/>
                <w:szCs w:val="18"/>
                <w:color w:val="auto"/>
              </w:rPr>
              <w:t>Net decrease in cash and cash equivalents</w:t>
            </w:r>
          </w:p>
        </w:tc>
        <w:tc>
          <w:tcPr>
            <w:tcW w:w="2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(205,578)</w:t>
            </w:r>
          </w:p>
        </w:tc>
        <w:tc>
          <w:tcPr>
            <w:tcW w:w="42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(53,084)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as of the beginning of the period</w:t>
            </w:r>
          </w:p>
        </w:tc>
        <w:tc>
          <w:tcPr>
            <w:tcW w:w="20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314,873</w:t>
            </w: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182,993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2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as of the end of the period</w:t>
            </w:r>
          </w:p>
        </w:tc>
        <w:tc>
          <w:tcPr>
            <w:tcW w:w="24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109,295</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129,909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80" w:type="dxa"/>
            <w:vAlign w:val="bottom"/>
            <w:tcBorders>
              <w:top w:val="single" w:sz="8" w:color="CCEEFF"/>
            </w:tcBorders>
          </w:tcPr>
          <w:p>
            <w:pPr>
              <w:spacing w:after="0" w:line="20" w:lineRule="exact"/>
              <w:rPr>
                <w:sz w:val="1"/>
                <w:szCs w:val="1"/>
                <w:color w:val="auto"/>
              </w:rPr>
            </w:pPr>
          </w:p>
        </w:tc>
        <w:tc>
          <w:tcPr>
            <w:tcW w:w="20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8"/>
        </w:trPr>
        <w:tc>
          <w:tcPr>
            <w:tcW w:w="20" w:type="dxa"/>
            <w:vAlign w:val="bottom"/>
            <w:tcBorders>
              <w:bottom w:val="single" w:sz="8" w:color="010101"/>
            </w:tcBorders>
          </w:tcPr>
          <w:p>
            <w:pPr>
              <w:spacing w:after="0"/>
              <w:rPr>
                <w:sz w:val="24"/>
                <w:szCs w:val="24"/>
                <w:color w:val="auto"/>
              </w:rPr>
            </w:pPr>
          </w:p>
        </w:tc>
        <w:tc>
          <w:tcPr>
            <w:tcW w:w="6280" w:type="dxa"/>
            <w:vAlign w:val="bottom"/>
            <w:tcBorders>
              <w:bottom w:val="single" w:sz="8" w:color="010101"/>
            </w:tcBorders>
          </w:tcPr>
          <w:p>
            <w:pPr>
              <w:spacing w:after="0"/>
              <w:rPr>
                <w:sz w:val="24"/>
                <w:szCs w:val="24"/>
                <w:color w:val="auto"/>
              </w:rPr>
            </w:pPr>
          </w:p>
        </w:tc>
        <w:tc>
          <w:tcPr>
            <w:tcW w:w="2000" w:type="dxa"/>
            <w:vAlign w:val="bottom"/>
            <w:tcBorders>
              <w:bottom w:val="single" w:sz="8" w:color="010101"/>
            </w:tcBorders>
          </w:tcPr>
          <w:p>
            <w:pPr>
              <w:spacing w:after="0"/>
              <w:rPr>
                <w:sz w:val="24"/>
                <w:szCs w:val="24"/>
                <w:color w:val="auto"/>
              </w:rPr>
            </w:pPr>
          </w:p>
        </w:tc>
        <w:tc>
          <w:tcPr>
            <w:tcW w:w="420" w:type="dxa"/>
            <w:vAlign w:val="bottom"/>
            <w:tcBorders>
              <w:bottom w:val="single" w:sz="8" w:color="010101"/>
            </w:tcBorders>
          </w:tcPr>
          <w:p>
            <w:pPr>
              <w:spacing w:after="0"/>
              <w:rPr>
                <w:sz w:val="24"/>
                <w:szCs w:val="24"/>
                <w:color w:val="auto"/>
              </w:rPr>
            </w:pPr>
          </w:p>
        </w:tc>
        <w:tc>
          <w:tcPr>
            <w:tcW w:w="960" w:type="dxa"/>
            <w:vAlign w:val="bottom"/>
            <w:tcBorders>
              <w:bottom w:val="single" w:sz="8" w:color="010101"/>
            </w:tcBorders>
          </w:tcPr>
          <w:p>
            <w:pPr>
              <w:spacing w:after="0"/>
              <w:rPr>
                <w:sz w:val="24"/>
                <w:szCs w:val="24"/>
                <w:color w:val="auto"/>
              </w:rPr>
            </w:pPr>
          </w:p>
        </w:tc>
        <w:tc>
          <w:tcPr>
            <w:tcW w:w="280" w:type="dxa"/>
            <w:vAlign w:val="bottom"/>
            <w:tcBorders>
              <w:bottom w:val="single" w:sz="8" w:color="010101"/>
            </w:tcBorders>
          </w:tcPr>
          <w:p>
            <w:pPr>
              <w:spacing w:after="0"/>
              <w:rPr>
                <w:sz w:val="24"/>
                <w:szCs w:val="24"/>
                <w:color w:val="auto"/>
              </w:rPr>
            </w:pPr>
          </w:p>
        </w:tc>
        <w:tc>
          <w:tcPr>
            <w:tcW w:w="420" w:type="dxa"/>
            <w:vAlign w:val="bottom"/>
            <w:tcBorders>
              <w:bottom w:val="single" w:sz="8" w:color="010101"/>
            </w:tcBorders>
          </w:tcPr>
          <w:p>
            <w:pPr>
              <w:spacing w:after="0"/>
              <w:rPr>
                <w:sz w:val="24"/>
                <w:szCs w:val="24"/>
                <w:color w:val="auto"/>
              </w:rPr>
            </w:pPr>
          </w:p>
        </w:tc>
        <w:tc>
          <w:tcPr>
            <w:tcW w:w="940" w:type="dxa"/>
            <w:vAlign w:val="bottom"/>
            <w:tcBorders>
              <w:bottom w:val="single" w:sz="8" w:color="010101"/>
            </w:tcBorders>
          </w:tcPr>
          <w:p>
            <w:pPr>
              <w:spacing w:after="0"/>
              <w:rPr>
                <w:sz w:val="24"/>
                <w:szCs w:val="24"/>
                <w:color w:val="auto"/>
              </w:rPr>
            </w:pPr>
          </w:p>
        </w:tc>
        <w:tc>
          <w:tcPr>
            <w:tcW w:w="10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140"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o"/>
      <w:numFmt w:val="bullet"/>
      <w:start w:val="1"/>
    </w:lvl>
  </w:abstractNum>
  <w:abstractNum w:abstractNumId="1">
    <w:nsid w:val="625558EC"/>
    <w:multiLevelType w:val="hybridMultilevel"/>
    <w:lvl w:ilvl="0">
      <w:lvlJc w:val="left"/>
      <w:lvlText w:val="(%1)"/>
      <w:numFmt w:val="lowerLetter"/>
      <w:start w:val="4"/>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2019-12-05T21:28:40Z</dcterms:created>
  <dcterms:modified xsi:type="dcterms:W3CDTF">2019-12-05T21:28:40Z</dcterms:modified>
</cp:coreProperties>
</file>