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March 23, 2022</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333-165582</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333-204336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ind w:left="4660"/>
        <w:spacing w:after="0" w:line="227" w:lineRule="auto"/>
        <w:rPr>
          <w:sz w:val="20"/>
          <w:szCs w:val="20"/>
          <w:color w:val="auto"/>
        </w:rPr>
      </w:pPr>
      <w:r>
        <w:rPr>
          <w:rFonts w:ascii="Arial" w:cs="Arial" w:eastAsia="Arial" w:hAnsi="Arial"/>
          <w:sz w:val="14"/>
          <w:szCs w:val="14"/>
          <w:b w:val="1"/>
          <w:bCs w:val="1"/>
          <w:color w:val="auto"/>
        </w:rPr>
        <w:t>___________________________</w:t>
      </w:r>
    </w:p>
    <w:p>
      <w:pPr>
        <w:ind w:left="1300" w:right="1300"/>
        <w:spacing w:after="0" w:line="244" w:lineRule="auto"/>
        <w:rPr>
          <w:sz w:val="20"/>
          <w:szCs w:val="20"/>
          <w:color w:val="auto"/>
        </w:rPr>
      </w:pPr>
      <w:r>
        <w:rPr>
          <w:rFonts w:ascii="Arial" w:cs="Arial" w:eastAsia="Arial" w:hAnsi="Arial"/>
          <w:sz w:val="21"/>
          <w:szCs w:val="21"/>
          <w:b w:val="1"/>
          <w:bCs w:val="1"/>
          <w:color w:val="auto"/>
        </w:rPr>
        <w:t>POST-EFFECTIVE AMENDMENT NO. 1 TO FORM S-8 REGISTRATION NO. 333-165582 POST-EFFECTIVE AMENDMENT NO. 1 TO FORM S-8 REGISTRATION NO. 333-204336</w:t>
      </w:r>
    </w:p>
    <w:p>
      <w:pPr>
        <w:jc w:val="center"/>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TORO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30"/>
        </w:trPr>
        <w:tc>
          <w:tcPr>
            <w:tcW w:w="5380" w:type="dxa"/>
            <w:vAlign w:val="bottom"/>
          </w:tcPr>
          <w:p>
            <w:pPr>
              <w:ind w:left="1320"/>
              <w:spacing w:after="0"/>
              <w:rPr>
                <w:sz w:val="20"/>
                <w:szCs w:val="20"/>
                <w:color w:val="auto"/>
              </w:rPr>
            </w:pPr>
            <w:r>
              <w:rPr>
                <w:rFonts w:ascii="Arial" w:cs="Arial" w:eastAsia="Arial" w:hAnsi="Arial"/>
                <w:sz w:val="20"/>
                <w:szCs w:val="20"/>
                <w:color w:val="auto"/>
              </w:rPr>
              <w:t>Delaware</w:t>
            </w:r>
          </w:p>
        </w:tc>
        <w:tc>
          <w:tcPr>
            <w:tcW w:w="2260" w:type="dxa"/>
            <w:vAlign w:val="bottom"/>
          </w:tcPr>
          <w:p>
            <w:pPr>
              <w:jc w:val="right"/>
              <w:ind w:right="539"/>
              <w:spacing w:after="0"/>
              <w:rPr>
                <w:sz w:val="20"/>
                <w:szCs w:val="20"/>
                <w:color w:val="auto"/>
              </w:rPr>
            </w:pPr>
            <w:r>
              <w:rPr>
                <w:rFonts w:ascii="Arial" w:cs="Arial" w:eastAsia="Arial" w:hAnsi="Arial"/>
                <w:sz w:val="18"/>
                <w:szCs w:val="18"/>
                <w:b w:val="1"/>
                <w:bCs w:val="1"/>
                <w:color w:val="auto"/>
              </w:rPr>
              <w:t>41-0580470</w:t>
            </w:r>
          </w:p>
        </w:tc>
      </w:tr>
      <w:tr>
        <w:trPr>
          <w:trHeight w:val="196"/>
        </w:trPr>
        <w:tc>
          <w:tcPr>
            <w:tcW w:w="5380" w:type="dxa"/>
            <w:vAlign w:val="bottom"/>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2260" w:type="dxa"/>
            <w:vAlign w:val="bottom"/>
          </w:tcPr>
          <w:p>
            <w:pPr>
              <w:jc w:val="center"/>
              <w:ind w:left="79"/>
              <w:spacing w:after="0"/>
              <w:rPr>
                <w:sz w:val="20"/>
                <w:szCs w:val="20"/>
                <w:color w:val="auto"/>
              </w:rPr>
            </w:pPr>
            <w:r>
              <w:rPr>
                <w:rFonts w:ascii="Arial" w:cs="Arial" w:eastAsia="Arial" w:hAnsi="Arial"/>
                <w:sz w:val="14"/>
                <w:szCs w:val="14"/>
                <w:color w:val="auto"/>
                <w:w w:val="97"/>
              </w:rPr>
              <w:t>(I.R.S. Employer Identification No.)</w:t>
            </w:r>
          </w:p>
        </w:tc>
      </w:tr>
      <w:tr>
        <w:trPr>
          <w:trHeight w:val="282"/>
        </w:trPr>
        <w:tc>
          <w:tcPr>
            <w:tcW w:w="5380" w:type="dxa"/>
            <w:vAlign w:val="bottom"/>
          </w:tcPr>
          <w:p>
            <w:pPr>
              <w:ind w:left="3100"/>
              <w:spacing w:after="0"/>
              <w:rPr>
                <w:sz w:val="20"/>
                <w:szCs w:val="20"/>
                <w:color w:val="auto"/>
              </w:rPr>
            </w:pPr>
            <w:r>
              <w:rPr>
                <w:rFonts w:ascii="Arial" w:cs="Arial" w:eastAsia="Arial" w:hAnsi="Arial"/>
                <w:sz w:val="18"/>
                <w:szCs w:val="18"/>
                <w:b w:val="1"/>
                <w:bCs w:val="1"/>
                <w:color w:val="auto"/>
                <w:w w:val="94"/>
              </w:rPr>
              <w:t>8111 Lyndale Avenue South</w:t>
            </w:r>
          </w:p>
        </w:tc>
        <w:tc>
          <w:tcPr>
            <w:tcW w:w="226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Bloomington, Minnesota 55420-1196</w:t>
      </w:r>
    </w:p>
    <w:p>
      <w:pPr>
        <w:jc w:val="center"/>
        <w:spacing w:after="0" w:line="224" w:lineRule="auto"/>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Toro Company Amended and Restated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2010 Equity and Incentive Plan</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title of the plan)</w:t>
      </w:r>
    </w:p>
    <w:p>
      <w:pPr>
        <w:spacing w:after="0" w:line="96"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Amy E. Dahl</w:t>
      </w:r>
    </w:p>
    <w:p>
      <w:pPr>
        <w:spacing w:after="0" w:line="27"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Vice President, Human Resources, General Counsel and Corporate Secretary</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Bloomington, Minnesota 55420-1196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of agent for service)</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84"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Copies requested to:</w:t>
      </w:r>
    </w:p>
    <w:p>
      <w:pPr>
        <w:spacing w:after="0" w:line="2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Amy E. Culbert, Esq.</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Fox Rothschild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222 South Ninth Street, Suite 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607-7287</w:t>
      </w:r>
    </w:p>
    <w:p>
      <w:pPr>
        <w:spacing w:after="0" w:line="2"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___________________________</w:t>
      </w:r>
    </w:p>
    <w:p>
      <w:pPr>
        <w:spacing w:after="0" w:line="65" w:lineRule="exact"/>
        <w:rPr>
          <w:sz w:val="24"/>
          <w:szCs w:val="24"/>
          <w:color w:val="auto"/>
        </w:rPr>
      </w:pPr>
    </w:p>
    <w:p>
      <w:pPr>
        <w:ind w:right="300" w:firstLine="37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9" w:lineRule="exact"/>
        <w:rPr>
          <w:sz w:val="24"/>
          <w:szCs w:val="24"/>
          <w:color w:val="auto"/>
        </w:rPr>
      </w:pPr>
    </w:p>
    <w:tbl>
      <w:tblPr>
        <w:tblLayout w:type="fixed"/>
        <w:tblInd w:w="1040" w:type="dxa"/>
        <w:tblCellMar>
          <w:top w:w="0" w:type="dxa"/>
          <w:left w:w="0" w:type="dxa"/>
          <w:bottom w:w="0" w:type="dxa"/>
          <w:right w:w="0" w:type="dxa"/>
        </w:tblCellMar>
      </w:tblPr>
      <w:tr>
        <w:trPr>
          <w:trHeight w:val="254"/>
        </w:trPr>
        <w:tc>
          <w:tcPr>
            <w:tcW w:w="1520" w:type="dxa"/>
            <w:vAlign w:val="bottom"/>
          </w:tcPr>
          <w:p>
            <w:pPr>
              <w:spacing w:after="0"/>
              <w:rPr>
                <w:sz w:val="20"/>
                <w:szCs w:val="20"/>
                <w:color w:val="auto"/>
              </w:rPr>
            </w:pPr>
            <w:r>
              <w:rPr>
                <w:rFonts w:ascii="Arial" w:cs="Arial" w:eastAsia="Arial" w:hAnsi="Arial"/>
                <w:sz w:val="16"/>
                <w:szCs w:val="16"/>
                <w:color w:val="auto"/>
                <w:w w:val="94"/>
              </w:rPr>
              <w:t>Large accelerated filer</w:t>
            </w:r>
          </w:p>
        </w:tc>
        <w:tc>
          <w:tcPr>
            <w:tcW w:w="164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420"/>
              <w:spacing w:after="0"/>
              <w:rPr>
                <w:sz w:val="20"/>
                <w:szCs w:val="20"/>
                <w:color w:val="auto"/>
              </w:rPr>
            </w:pPr>
            <w:r>
              <w:rPr>
                <w:rFonts w:ascii="Arial" w:cs="Arial" w:eastAsia="Arial" w:hAnsi="Arial"/>
                <w:sz w:val="16"/>
                <w:szCs w:val="16"/>
                <w:color w:val="auto"/>
              </w:rPr>
              <w:t>Accelerated filer</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520" w:type="dxa"/>
            <w:vAlign w:val="bottom"/>
          </w:tcPr>
          <w:p>
            <w:pPr>
              <w:spacing w:after="0"/>
              <w:rPr>
                <w:sz w:val="20"/>
                <w:szCs w:val="20"/>
                <w:color w:val="auto"/>
              </w:rPr>
            </w:pPr>
            <w:r>
              <w:rPr>
                <w:rFonts w:ascii="Arial" w:cs="Arial" w:eastAsia="Arial" w:hAnsi="Arial"/>
                <w:sz w:val="16"/>
                <w:szCs w:val="16"/>
                <w:color w:val="auto"/>
              </w:rPr>
              <w:t>Non-accelerated filer</w:t>
            </w:r>
          </w:p>
        </w:tc>
        <w:tc>
          <w:tcPr>
            <w:tcW w:w="164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420"/>
              <w:spacing w:after="0"/>
              <w:rPr>
                <w:sz w:val="20"/>
                <w:szCs w:val="20"/>
                <w:color w:val="auto"/>
              </w:rPr>
            </w:pPr>
            <w:r>
              <w:rPr>
                <w:rFonts w:ascii="Arial" w:cs="Arial" w:eastAsia="Arial" w:hAnsi="Arial"/>
                <w:sz w:val="16"/>
                <w:szCs w:val="16"/>
                <w:color w:val="auto"/>
                <w:w w:val="96"/>
              </w:rPr>
              <w:t>Smaller reporting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5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280" w:type="dxa"/>
            <w:vAlign w:val="bottom"/>
          </w:tcPr>
          <w:p>
            <w:pPr>
              <w:ind w:left="1420"/>
              <w:spacing w:after="0"/>
              <w:rPr>
                <w:sz w:val="20"/>
                <w:szCs w:val="20"/>
                <w:color w:val="auto"/>
              </w:rPr>
            </w:pPr>
            <w:r>
              <w:rPr>
                <w:rFonts w:ascii="Arial" w:cs="Arial" w:eastAsia="Arial" w:hAnsi="Arial"/>
                <w:sz w:val="16"/>
                <w:szCs w:val="16"/>
                <w:color w:val="auto"/>
                <w:w w:val="96"/>
              </w:rPr>
              <w:t>Emerging growth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89" w:lineRule="exact"/>
        <w:rPr>
          <w:sz w:val="24"/>
          <w:szCs w:val="24"/>
          <w:color w:val="auto"/>
        </w:rPr>
      </w:pPr>
    </w:p>
    <w:p>
      <w:pPr>
        <w:ind w:right="200" w:firstLine="374"/>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951230</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20"/>
          <w:szCs w:val="20"/>
          <w:b w:val="1"/>
          <w:bCs w:val="1"/>
          <w:color w:val="auto"/>
        </w:rPr>
        <w:t>EXPLANATORY NOTE</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DEREGISTRATION OF SECURITIES</w:t>
      </w:r>
    </w:p>
    <w:p>
      <w:pPr>
        <w:spacing w:after="0" w:line="200"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The share numbers in the Explanatory Note below reflect adjustments for a two-for-one stock split effected on June 29, 2012, and a two-for-one stock split effected on September 16, 2016, as applicable.</w:t>
      </w:r>
    </w:p>
    <w:p>
      <w:pPr>
        <w:spacing w:after="0" w:line="190" w:lineRule="exact"/>
        <w:rPr>
          <w:sz w:val="20"/>
          <w:szCs w:val="20"/>
          <w:color w:val="auto"/>
        </w:rPr>
      </w:pPr>
    </w:p>
    <w:p>
      <w:pPr>
        <w:ind w:right="20" w:firstLine="749"/>
        <w:spacing w:after="0" w:line="243" w:lineRule="auto"/>
        <w:rPr>
          <w:sz w:val="20"/>
          <w:szCs w:val="20"/>
          <w:color w:val="auto"/>
        </w:rPr>
      </w:pPr>
      <w:r>
        <w:rPr>
          <w:rFonts w:ascii="Arial" w:cs="Arial" w:eastAsia="Arial" w:hAnsi="Arial"/>
          <w:sz w:val="20"/>
          <w:szCs w:val="20"/>
          <w:color w:val="auto"/>
        </w:rPr>
        <w:t>The Toro Company (the “Registrant”) is filing this Post-Effective Amendment (this “Post-Effective Amendment”) to the Registration Statement on Form S-8 (File No. 333-165582) and the Registration Statement on Form S-8 (File No. 333-204336) (collectively, the “Registration Statements”) filed by the Registrant with the Securities and Exchange Commission on March 19, 2010 and May 20, 2015, respectively, which registered 11,000,000 and 1,396,486 shares of the Registrant’s common stock, $1.00 par value per share (the “Common Stock”), respectively, to be issued pursuant to The Toro Company Amended and Restated 2010 Equity and Incentive Plan 2010 Plan (the “2010 Plan”).</w:t>
      </w:r>
    </w:p>
    <w:p>
      <w:pPr>
        <w:spacing w:after="0" w:line="209" w:lineRule="exact"/>
        <w:rPr>
          <w:sz w:val="20"/>
          <w:szCs w:val="20"/>
          <w:color w:val="auto"/>
        </w:rPr>
      </w:pPr>
    </w:p>
    <w:p>
      <w:pPr>
        <w:ind w:right="20" w:firstLine="749"/>
        <w:spacing w:after="0" w:line="259" w:lineRule="auto"/>
        <w:rPr>
          <w:sz w:val="20"/>
          <w:szCs w:val="20"/>
          <w:color w:val="auto"/>
        </w:rPr>
      </w:pPr>
      <w:r>
        <w:rPr>
          <w:rFonts w:ascii="Arial" w:cs="Arial" w:eastAsia="Arial" w:hAnsi="Arial"/>
          <w:sz w:val="19"/>
          <w:szCs w:val="19"/>
          <w:color w:val="auto"/>
        </w:rPr>
        <w:t>The Registrant’s authority to grant new awards under the 2010 Plan terminated upon shareholder approval of The Toro Company 2022 Equity and Incentive Plan (the “2022 Plan”) on March 15, 2022 (the “Effective Date”). The number of shares of Common Stock available for issuance under the 2022 Plan includes, subject to adjustment pursuant to the terms of the 2022 Plan, 2,515,966 shares of Common Stock remaining available for issuance under the 2010 Plan as of the Effective Date but not subject to outstanding awards as of the Effective Date (the “Carryover Shares”). The terms of the 2010 Plan, as applicable, will continue to govern awards outstanding under the 2010 Plan, until exercised, expired, paid or otherwise terminated or canceled.</w:t>
      </w:r>
    </w:p>
    <w:p>
      <w:pPr>
        <w:spacing w:after="0" w:line="192" w:lineRule="exact"/>
        <w:rPr>
          <w:sz w:val="20"/>
          <w:szCs w:val="20"/>
          <w:color w:val="auto"/>
        </w:rPr>
      </w:pPr>
    </w:p>
    <w:p>
      <w:pPr>
        <w:ind w:right="80" w:firstLine="749"/>
        <w:spacing w:after="0" w:line="260" w:lineRule="auto"/>
        <w:rPr>
          <w:sz w:val="20"/>
          <w:szCs w:val="20"/>
          <w:color w:val="auto"/>
        </w:rPr>
      </w:pPr>
      <w:r>
        <w:rPr>
          <w:rFonts w:ascii="Arial" w:cs="Arial" w:eastAsia="Arial" w:hAnsi="Arial"/>
          <w:sz w:val="20"/>
          <w:szCs w:val="20"/>
          <w:color w:val="auto"/>
        </w:rPr>
        <w:t>The Registrant is filing this Post-Effective Amendment in order to remove from registration the 2,515,966 Carryover Shares under the 2010 Plan that have been carried over to the 2022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221" w:lineRule="exact"/>
        <w:rPr>
          <w:sz w:val="20"/>
          <w:szCs w:val="20"/>
          <w:color w:val="auto"/>
        </w:rPr>
      </w:pPr>
    </w:p>
    <w:p>
      <w:pPr>
        <w:ind w:right="140" w:firstLine="749"/>
        <w:spacing w:after="0" w:line="246" w:lineRule="auto"/>
        <w:rPr>
          <w:sz w:val="20"/>
          <w:szCs w:val="20"/>
          <w:color w:val="auto"/>
        </w:rPr>
      </w:pPr>
      <w:r>
        <w:rPr>
          <w:rFonts w:ascii="Arial" w:cs="Arial" w:eastAsia="Arial" w:hAnsi="Arial"/>
          <w:sz w:val="20"/>
          <w:szCs w:val="20"/>
          <w:color w:val="auto"/>
        </w:rPr>
        <w:t>Pursuant to the requirements of the Securities Act of 1933, the Registrant certifies that it has reasonable grounds to believe that it meets all of the requirements for filing on Form S-8 and has duly caused this Post-Effective Amendment to each of the Registration Statements to be signed on its behalf by the undersigned, thereunto duly authorized, in the City of Bloomington, State of Minnesota, on March 23, 2022.</w:t>
      </w:r>
    </w:p>
    <w:p>
      <w:pPr>
        <w:spacing w:after="0" w:line="205"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THE TORO COMPANY</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(Registrant)</w:t>
      </w:r>
    </w:p>
    <w:p>
      <w:pPr>
        <w:spacing w:after="0" w:line="200" w:lineRule="exact"/>
        <w:rPr>
          <w:sz w:val="20"/>
          <w:szCs w:val="20"/>
          <w:color w:val="auto"/>
        </w:rPr>
      </w:pPr>
    </w:p>
    <w:p>
      <w:pPr>
        <w:spacing w:after="0" w:line="292"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By: /s/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10160</wp:posOffset>
            </wp:positionV>
            <wp:extent cx="3831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Amy E. Dahl</w:t>
      </w:r>
    </w:p>
    <w:p>
      <w:pPr>
        <w:spacing w:after="0" w:line="20"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Vice President, Human Resources, General Counsel and Corporate</w:t>
      </w:r>
    </w:p>
    <w:p>
      <w:pPr>
        <w:spacing w:after="0" w:line="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Secretary</w:t>
      </w:r>
    </w:p>
    <w:p>
      <w:pPr>
        <w:spacing w:after="0" w:line="213"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No other person is required to sign this Post-Effective Amendment to each of the registration statements in reliance on Rule 478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sectPr>
      <w:pgSz w:w="11900" w:h="16838" w:orient="portrait"/>
      <w:cols w:equalWidth="0" w:num="1">
        <w:col w:w="11120"/>
      </w:cols>
      <w:pgMar w:left="320" w:top="11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2022-03-23T15:35:43Z</dcterms:created>
  <dcterms:modified xsi:type="dcterms:W3CDTF">2022-03-23T15:35:43Z</dcterms:modified>
</cp:coreProperties>
</file>