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00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039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ALKIRE DAVID H</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12/08/2016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26"/>
        <w:spacing w:after="0"/>
        <w:rPr>
          <w:sz w:val="20"/>
          <w:szCs w:val="20"/>
          <w:color w:val="auto"/>
        </w:rPr>
      </w:pPr>
      <w:r>
        <w:rPr>
          <w:rFonts w:ascii="Arial" w:cs="Arial" w:eastAsia="Arial" w:hAnsi="Arial"/>
          <w:sz w:val="17"/>
          <w:szCs w:val="17"/>
          <w:color w:val="0000FF"/>
        </w:rPr>
        <w:t>VP, RLC Businesses</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380" w:type="dxa"/>
            <w:vAlign w:val="bottom"/>
            <w:gridSpan w:val="2"/>
          </w:tcPr>
          <w:p>
            <w:pPr>
              <w:ind w:left="48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20"/>
              <w:spacing w:after="0" w:line="132"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1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7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1380" w:type="dxa"/>
            <w:vAlign w:val="bottom"/>
            <w:gridSpan w:val="2"/>
          </w:tcPr>
          <w:p>
            <w:pPr>
              <w:ind w:left="480"/>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Beneficially</w:t>
            </w:r>
          </w:p>
        </w:tc>
        <w:tc>
          <w:tcPr>
            <w:tcW w:w="1380" w:type="dxa"/>
            <w:vAlign w:val="bottom"/>
            <w:gridSpan w:val="2"/>
          </w:tcPr>
          <w:p>
            <w:pPr>
              <w:jc w:val="center"/>
              <w:ind w:left="299"/>
              <w:spacing w:after="0" w:line="134" w:lineRule="exact"/>
              <w:rPr>
                <w:sz w:val="20"/>
                <w:szCs w:val="20"/>
                <w:color w:val="auto"/>
              </w:rPr>
            </w:pPr>
            <w:r>
              <w:rPr>
                <w:rFonts w:ascii="Arial" w:cs="Arial" w:eastAsia="Arial" w:hAnsi="Arial"/>
                <w:sz w:val="12"/>
                <w:szCs w:val="12"/>
                <w:b w:val="1"/>
                <w:bCs w:val="1"/>
                <w:color w:val="auto"/>
                <w:w w:val="99"/>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Owned Following   (I)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vMerge w:val="restart"/>
          </w:tcPr>
          <w:p>
            <w:pPr>
              <w:ind w:left="40"/>
              <w:spacing w:after="0" w:line="134"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5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12/08/2016</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2"/>
              </w:rPr>
              <w:t>4,876</w:t>
            </w:r>
            <w:r>
              <w:rPr>
                <w:rFonts w:ascii="Arial" w:cs="Arial" w:eastAsia="Arial" w:hAnsi="Arial"/>
                <w:sz w:val="22"/>
                <w:szCs w:val="22"/>
                <w:color w:val="008000"/>
                <w:w w:val="92"/>
                <w:vertAlign w:val="superscript"/>
              </w:rPr>
              <w:t>(1)</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800" w:type="dxa"/>
            <w:vAlign w:val="bottom"/>
            <w:tcBorders>
              <w:bottom w:val="single" w:sz="8" w:color="2C2C2C"/>
            </w:tcBorders>
            <w:gridSpan w:val="2"/>
          </w:tcPr>
          <w:p>
            <w:pPr>
              <w:jc w:val="center"/>
              <w:ind w:left="320"/>
              <w:spacing w:after="0"/>
              <w:rPr>
                <w:sz w:val="20"/>
                <w:szCs w:val="20"/>
                <w:color w:val="auto"/>
              </w:rPr>
            </w:pPr>
            <w:r>
              <w:rPr>
                <w:rFonts w:ascii="Arial" w:cs="Arial" w:eastAsia="Arial" w:hAnsi="Arial"/>
                <w:sz w:val="17"/>
                <w:szCs w:val="17"/>
                <w:color w:val="0000FF"/>
                <w:w w:val="93"/>
              </w:rPr>
              <w:t>4,876</w:t>
            </w:r>
          </w:p>
        </w:tc>
        <w:tc>
          <w:tcPr>
            <w:tcW w:w="7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1"/>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right="299"/>
              <w:spacing w:after="0"/>
              <w:rPr>
                <w:sz w:val="20"/>
                <w:szCs w:val="20"/>
                <w:color w:val="auto"/>
              </w:rPr>
            </w:pPr>
            <w:r>
              <w:rPr>
                <w:rFonts w:ascii="Arial" w:cs="Arial" w:eastAsia="Arial" w:hAnsi="Arial"/>
                <w:sz w:val="17"/>
                <w:szCs w:val="17"/>
                <w:color w:val="0000FF"/>
                <w:w w:val="87"/>
              </w:rPr>
              <w:t>6,857.165</w:t>
            </w:r>
            <w:r>
              <w:rPr>
                <w:rFonts w:ascii="Arial" w:cs="Arial" w:eastAsia="Arial" w:hAnsi="Arial"/>
                <w:sz w:val="22"/>
                <w:szCs w:val="22"/>
                <w:color w:val="008000"/>
                <w:w w:val="87"/>
                <w:vertAlign w:val="superscript"/>
              </w:rPr>
              <w:t>(2)</w:t>
            </w:r>
          </w:p>
        </w:tc>
        <w:tc>
          <w:tcPr>
            <w:tcW w:w="600" w:type="dxa"/>
            <w:vAlign w:val="bottom"/>
            <w:tcBorders>
              <w:bottom w:val="single" w:sz="8" w:color="2C2C2C"/>
            </w:tcBorders>
          </w:tcPr>
          <w:p>
            <w:pPr>
              <w:jc w:val="center"/>
              <w:ind w:right="331"/>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gridSpan w:val="3"/>
          </w:tcPr>
          <w:p>
            <w:pPr>
              <w:jc w:val="center"/>
              <w:ind w:right="299"/>
              <w:spacing w:after="0" w:line="214" w:lineRule="exact"/>
              <w:rPr>
                <w:sz w:val="20"/>
                <w:szCs w:val="20"/>
                <w:color w:val="auto"/>
              </w:rPr>
            </w:pPr>
            <w:r>
              <w:rPr>
                <w:rFonts w:ascii="Arial" w:cs="Arial" w:eastAsia="Arial" w:hAnsi="Arial"/>
                <w:sz w:val="17"/>
                <w:szCs w:val="17"/>
                <w:color w:val="0000FF"/>
                <w:w w:val="87"/>
              </w:rPr>
              <w:t>11,278.491</w:t>
            </w:r>
            <w:r>
              <w:rPr>
                <w:rFonts w:ascii="Arial" w:cs="Arial" w:eastAsia="Arial" w:hAnsi="Arial"/>
                <w:sz w:val="22"/>
                <w:szCs w:val="22"/>
                <w:color w:val="008000"/>
                <w:w w:val="87"/>
                <w:vertAlign w:val="superscript"/>
              </w:rPr>
              <w:t>(3)</w:t>
            </w:r>
          </w:p>
        </w:tc>
        <w:tc>
          <w:tcPr>
            <w:tcW w:w="600" w:type="dxa"/>
            <w:vAlign w:val="bottom"/>
          </w:tcPr>
          <w:p>
            <w:pPr>
              <w:jc w:val="center"/>
              <w:ind w:right="311"/>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10"/>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jc w:val="center"/>
              <w:ind w:righ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60" w:type="dxa"/>
            <w:vAlign w:val="bottom"/>
            <w:gridSpan w:val="9"/>
          </w:tcPr>
          <w:p>
            <w:pPr>
              <w:jc w:val="center"/>
              <w:ind w:left="57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 Amount</w:t>
            </w:r>
          </w:p>
        </w:tc>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56.54</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12/09/2016</w:t>
            </w:r>
          </w:p>
        </w:tc>
        <w:tc>
          <w:tcPr>
            <w:tcW w:w="1180" w:type="dxa"/>
            <w:vAlign w:val="bottom"/>
          </w:tcPr>
          <w:p>
            <w:pPr>
              <w:spacing w:after="0"/>
              <w:rPr>
                <w:sz w:val="17"/>
                <w:szCs w:val="17"/>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17"/>
                <w:szCs w:val="17"/>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0000FF"/>
              </w:rPr>
              <w:t>12,600</w:t>
            </w:r>
          </w:p>
        </w:tc>
        <w:tc>
          <w:tcPr>
            <w:tcW w:w="34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1"/>
                <w:szCs w:val="11"/>
                <w:color w:val="008000"/>
              </w:rPr>
              <w:t>(4)</w:t>
            </w:r>
          </w:p>
        </w:tc>
        <w:tc>
          <w:tcPr>
            <w:tcW w:w="760" w:type="dxa"/>
            <w:vAlign w:val="bottom"/>
          </w:tcPr>
          <w:p>
            <w:pPr>
              <w:ind w:left="60"/>
              <w:spacing w:after="0"/>
              <w:rPr>
                <w:sz w:val="20"/>
                <w:szCs w:val="20"/>
                <w:color w:val="auto"/>
              </w:rPr>
            </w:pPr>
            <w:r>
              <w:rPr>
                <w:rFonts w:ascii="Arial" w:cs="Arial" w:eastAsia="Arial" w:hAnsi="Arial"/>
                <w:sz w:val="13"/>
                <w:szCs w:val="13"/>
                <w:color w:val="0000FF"/>
              </w:rPr>
              <w:t>12/09/2026</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20"/>
                <w:szCs w:val="20"/>
                <w:color w:val="auto"/>
              </w:rPr>
            </w:pPr>
            <w:r>
              <w:rPr>
                <w:rFonts w:ascii="Arial" w:cs="Arial" w:eastAsia="Arial" w:hAnsi="Arial"/>
                <w:sz w:val="17"/>
                <w:szCs w:val="17"/>
                <w:color w:val="0000FF"/>
                <w:w w:val="99"/>
              </w:rPr>
              <w:t>12,600</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tcPr>
          <w:p>
            <w:pPr>
              <w:ind w:left="240"/>
              <w:spacing w:after="0"/>
              <w:rPr>
                <w:sz w:val="20"/>
                <w:szCs w:val="20"/>
                <w:color w:val="auto"/>
              </w:rPr>
            </w:pPr>
            <w:r>
              <w:rPr>
                <w:rFonts w:ascii="Arial" w:cs="Arial" w:eastAsia="Arial" w:hAnsi="Arial"/>
                <w:sz w:val="13"/>
                <w:szCs w:val="13"/>
                <w:color w:val="0000FF"/>
              </w:rPr>
              <w:t>12,600</w:t>
            </w: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ind w:left="140"/>
              <w:spacing w:after="0" w:line="109"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8"/>
        <w:spacing w:after="0" w:line="276"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a Performance Share Award for the Fiscal 2014 to Fiscal 2016 Performance Period under The Toro Company Amended and Restated 2010 Equity and Incentive Plan, as amended and restated (the "Amended and Restated 2010 Plan"), as approved by the issuer's Compensation &amp; Human Resources Committee of its Board of Directors on December 6, 2016, and which was conditioned upon and subject to confirmation by the issuer's Fiscal 2016 financial results that were released on December 8, 2016.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9" w:lineRule="exact"/>
        <w:rPr>
          <w:rFonts w:ascii="Arial" w:cs="Arial" w:eastAsia="Arial" w:hAnsi="Arial"/>
          <w:sz w:val="12"/>
          <w:szCs w:val="12"/>
          <w:color w:val="008000"/>
        </w:rPr>
      </w:pPr>
    </w:p>
    <w:p>
      <w:pPr>
        <w:ind w:left="40" w:right="36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16, 2016, the common stock of the issuer split two-for-one (the "Stock Split"), resulting in the reporting person's ownership of 3,417.581 additional shares of common stock and 22.003 post-split shares of common stock acquired under under a dividend reinvestment feature of the account in which the shares are held since the date of his last report. All future Form 4 and 5 filings made by the reporting person will include adjustments, as necessary, to reflect the Stock Split.</w:t>
      </w:r>
    </w:p>
    <w:p>
      <w:pPr>
        <w:spacing w:after="0" w:line="21" w:lineRule="exact"/>
        <w:rPr>
          <w:rFonts w:ascii="Arial" w:cs="Arial" w:eastAsia="Arial" w:hAnsi="Arial"/>
          <w:sz w:val="13"/>
          <w:szCs w:val="13"/>
          <w:color w:val="008000"/>
        </w:rPr>
      </w:pPr>
    </w:p>
    <w:p>
      <w:pPr>
        <w:ind w:left="40" w:right="5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5,621.591 additional shares of common stock as a result of the Stock Split and 35.309 post-split net shares acquired by the reporting person under the dividend reinvestment feature of The Toro Company Investment, Savings &amp; ESOP since the date of his last report, less quarterly non-discretionary administrative fees.</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12/12/2016</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2741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2019-12-23T21:01:31Z</dcterms:created>
  <dcterms:modified xsi:type="dcterms:W3CDTF">2019-12-23T21:01:31Z</dcterms:modified>
</cp:coreProperties>
</file>