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617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61721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line="240"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BROWN WILLIAM E JR</w:t>
              </w:r>
            </w:hyperlink>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20" w:type="dxa"/>
            <w:vAlign w:val="bottom"/>
            <w:gridSpan w:val="4"/>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TORO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TTC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60" w:type="dxa"/>
            <w:vAlign w:val="bottom"/>
          </w:tcPr>
          <w:p>
            <w:pPr>
              <w:spacing w:after="0"/>
              <w:rPr>
                <w:sz w:val="2"/>
                <w:szCs w:val="2"/>
                <w:color w:val="auto"/>
              </w:rPr>
            </w:pPr>
          </w:p>
        </w:tc>
        <w:tc>
          <w:tcPr>
            <w:tcW w:w="162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0000EE"/>
            </w:tcBorders>
            <w:gridSpan w:val="3"/>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gridSpan w:val="3"/>
          </w:tcPr>
          <w:p>
            <w:pPr>
              <w:spacing w:after="0"/>
              <w:rPr>
                <w:sz w:val="3"/>
                <w:szCs w:val="3"/>
                <w:color w:val="auto"/>
              </w:rPr>
            </w:pPr>
          </w:p>
        </w:tc>
        <w:tc>
          <w:tcPr>
            <w:tcW w:w="3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6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2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40" w:type="dxa"/>
            <w:vAlign w:val="bottom"/>
            <w:vMerge w:val="restart"/>
          </w:tcPr>
          <w:p>
            <w:pPr>
              <w:ind w:left="180"/>
              <w:spacing w:after="0" w:line="129" w:lineRule="exact"/>
              <w:rPr>
                <w:sz w:val="20"/>
                <w:szCs w:val="20"/>
                <w:color w:val="auto"/>
              </w:rPr>
            </w:pPr>
            <w:r>
              <w:rPr>
                <w:rFonts w:ascii="Arial" w:cs="Arial" w:eastAsia="Arial" w:hAnsi="Arial"/>
                <w:sz w:val="13"/>
                <w:szCs w:val="13"/>
                <w:color w:val="auto"/>
              </w:rPr>
              <w:t>below)</w:t>
            </w:r>
          </w:p>
        </w:tc>
        <w:tc>
          <w:tcPr>
            <w:tcW w:w="760" w:type="dxa"/>
            <w:vAlign w:val="bottom"/>
          </w:tcPr>
          <w:p>
            <w:pPr>
              <w:spacing w:after="0"/>
              <w:rPr>
                <w:sz w:val="6"/>
                <w:szCs w:val="6"/>
                <w:color w:val="auto"/>
              </w:rPr>
            </w:pPr>
          </w:p>
        </w:tc>
        <w:tc>
          <w:tcPr>
            <w:tcW w:w="920" w:type="dxa"/>
            <w:vAlign w:val="bottom"/>
            <w:gridSpan w:val="2"/>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gridSpan w:val="3"/>
            <w:vMerge w:val="restart"/>
          </w:tcPr>
          <w:p>
            <w:pPr>
              <w:ind w:left="520"/>
              <w:spacing w:after="0"/>
              <w:rPr>
                <w:sz w:val="20"/>
                <w:szCs w:val="20"/>
                <w:color w:val="auto"/>
              </w:rPr>
            </w:pPr>
            <w:r>
              <w:rPr>
                <w:rFonts w:ascii="Arial" w:cs="Arial" w:eastAsia="Arial" w:hAnsi="Arial"/>
                <w:sz w:val="17"/>
                <w:szCs w:val="17"/>
                <w:color w:val="0000FF"/>
                <w:w w:val="91"/>
              </w:rPr>
              <w:t>Group VP, Res &amp; Cont</w:t>
            </w: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w w:val="95"/>
              </w:rPr>
              <w:t>8111 LYNDALE AVENUE SOUTH</w:t>
            </w:r>
          </w:p>
        </w:tc>
        <w:tc>
          <w:tcPr>
            <w:tcW w:w="1060" w:type="dxa"/>
            <w:vAlign w:val="bottom"/>
          </w:tcPr>
          <w:p>
            <w:pPr>
              <w:spacing w:after="0"/>
              <w:rPr>
                <w:sz w:val="18"/>
                <w:szCs w:val="18"/>
                <w:color w:val="auto"/>
              </w:rPr>
            </w:pPr>
          </w:p>
        </w:tc>
        <w:tc>
          <w:tcPr>
            <w:tcW w:w="1280" w:type="dxa"/>
            <w:vAlign w:val="bottom"/>
            <w:gridSpan w:val="5"/>
          </w:tcPr>
          <w:p>
            <w:pPr>
              <w:ind w:left="380"/>
              <w:spacing w:after="0"/>
              <w:rPr>
                <w:sz w:val="20"/>
                <w:szCs w:val="20"/>
                <w:color w:val="auto"/>
              </w:rPr>
            </w:pPr>
            <w:r>
              <w:rPr>
                <w:rFonts w:ascii="Arial" w:cs="Arial" w:eastAsia="Arial" w:hAnsi="Arial"/>
                <w:sz w:val="17"/>
                <w:szCs w:val="17"/>
                <w:color w:val="0000FF"/>
              </w:rPr>
              <w:t>09/15/2018</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gridSpan w:val="2"/>
          </w:tcPr>
          <w:p>
            <w:pPr>
              <w:spacing w:after="0"/>
              <w:rPr>
                <w:sz w:val="16"/>
                <w:szCs w:val="16"/>
                <w:color w:val="auto"/>
              </w:rPr>
            </w:pPr>
          </w:p>
        </w:tc>
        <w:tc>
          <w:tcPr>
            <w:tcW w:w="2640" w:type="dxa"/>
            <w:vAlign w:val="bottom"/>
            <w:tcBorders>
              <w:bottom w:val="single" w:sz="8" w:color="2C2C2C"/>
            </w:tcBorders>
            <w:gridSpan w:val="5"/>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08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line="20" w:lineRule="exact"/>
              <w:rPr>
                <w:sz w:val="1"/>
                <w:szCs w:val="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40" w:type="dxa"/>
            <w:vAlign w:val="bottom"/>
            <w:gridSpan w:val="7"/>
            <w:vMerge w:val="continue"/>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rPr>
              <w:t>BLOOMINGTON MN</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55420-1196</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4"/>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4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3020" w:type="dxa"/>
            <w:vAlign w:val="bottom"/>
            <w:tcBorders>
              <w:bottom w:val="single" w:sz="8" w:color="2C2C2C"/>
            </w:tcBorders>
            <w:gridSpan w:val="6"/>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82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gridSpan w:val="5"/>
          </w:tcPr>
          <w:p>
            <w:pPr>
              <w:ind w:left="860"/>
              <w:spacing w:after="0"/>
              <w:rPr>
                <w:sz w:val="20"/>
                <w:szCs w:val="20"/>
                <w:color w:val="auto"/>
              </w:rPr>
            </w:pPr>
            <w:r>
              <w:rPr>
                <w:rFonts w:ascii="Arial" w:cs="Arial" w:eastAsia="Arial" w:hAnsi="Arial"/>
                <w:sz w:val="17"/>
                <w:szCs w:val="17"/>
                <w:color w:val="0000FF"/>
              </w:rPr>
              <w:t>09/15/2018</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820" w:type="dxa"/>
            <w:vAlign w:val="bottom"/>
            <w:gridSpan w:val="2"/>
          </w:tcPr>
          <w:p>
            <w:pPr>
              <w:jc w:val="right"/>
              <w:spacing w:after="0"/>
              <w:rPr>
                <w:sz w:val="20"/>
                <w:szCs w:val="20"/>
                <w:color w:val="auto"/>
              </w:rPr>
            </w:pPr>
            <w:r>
              <w:rPr>
                <w:rFonts w:ascii="Arial" w:cs="Arial" w:eastAsia="Arial" w:hAnsi="Arial"/>
                <w:sz w:val="17"/>
                <w:szCs w:val="17"/>
                <w:color w:val="0000FF"/>
              </w:rPr>
              <w:t>8,312.363</w:t>
            </w:r>
          </w:p>
        </w:tc>
        <w:tc>
          <w:tcPr>
            <w:tcW w:w="500" w:type="dxa"/>
            <w:vAlign w:val="bottom"/>
          </w:tcPr>
          <w:p>
            <w:pPr>
              <w:ind w:left="28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center"/>
              <w:ind w:right="14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88"/>
              </w:rPr>
              <w:t>189,544.715</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gridSpan w:val="5"/>
          </w:tcPr>
          <w:p>
            <w:pPr>
              <w:ind w:left="860"/>
              <w:spacing w:after="0"/>
              <w:rPr>
                <w:sz w:val="20"/>
                <w:szCs w:val="20"/>
                <w:color w:val="auto"/>
              </w:rPr>
            </w:pPr>
            <w:r>
              <w:rPr>
                <w:rFonts w:ascii="Arial" w:cs="Arial" w:eastAsia="Arial" w:hAnsi="Arial"/>
                <w:sz w:val="17"/>
                <w:szCs w:val="17"/>
                <w:color w:val="0000FF"/>
              </w:rPr>
              <w:t>09/17/2018</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center"/>
              <w:ind w:right="261"/>
              <w:spacing w:after="0"/>
              <w:rPr>
                <w:sz w:val="20"/>
                <w:szCs w:val="20"/>
                <w:color w:val="auto"/>
              </w:rPr>
            </w:pPr>
            <w:r>
              <w:rPr>
                <w:rFonts w:ascii="Arial" w:cs="Arial" w:eastAsia="Arial" w:hAnsi="Arial"/>
                <w:sz w:val="13"/>
                <w:szCs w:val="13"/>
                <w:color w:val="0000FF"/>
                <w:w w:val="74"/>
              </w:rPr>
              <w:t>F</w:t>
            </w:r>
          </w:p>
        </w:tc>
        <w:tc>
          <w:tcPr>
            <w:tcW w:w="700" w:type="dxa"/>
            <w:vAlign w:val="bottom"/>
          </w:tcPr>
          <w:p>
            <w:pPr>
              <w:jc w:val="right"/>
              <w:spacing w:after="0"/>
              <w:rPr>
                <w:sz w:val="20"/>
                <w:szCs w:val="20"/>
                <w:color w:val="auto"/>
              </w:rPr>
            </w:pPr>
            <w:r>
              <w:rPr>
                <w:rFonts w:ascii="Arial" w:cs="Arial" w:eastAsia="Arial" w:hAnsi="Arial"/>
                <w:sz w:val="17"/>
                <w:szCs w:val="17"/>
                <w:color w:val="0000FF"/>
              </w:rPr>
              <w:t>2,544</w:t>
            </w:r>
          </w:p>
        </w:tc>
        <w:tc>
          <w:tcPr>
            <w:tcW w:w="12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center"/>
              <w:ind w:righ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62.39</w:t>
            </w:r>
          </w:p>
        </w:tc>
        <w:tc>
          <w:tcPr>
            <w:tcW w:w="60" w:type="dxa"/>
            <w:vAlign w:val="bottom"/>
          </w:tcPr>
          <w:p>
            <w:pPr>
              <w:spacing w:after="0"/>
              <w:rPr>
                <w:sz w:val="22"/>
                <w:szCs w:val="22"/>
                <w:color w:val="auto"/>
              </w:rPr>
            </w:pPr>
          </w:p>
        </w:tc>
        <w:tc>
          <w:tcPr>
            <w:tcW w:w="1500" w:type="dxa"/>
            <w:vAlign w:val="bottom"/>
            <w:gridSpan w:val="2"/>
          </w:tcPr>
          <w:p>
            <w:pPr>
              <w:jc w:val="center"/>
              <w:ind w:right="361"/>
              <w:spacing w:after="0"/>
              <w:rPr>
                <w:sz w:val="20"/>
                <w:szCs w:val="20"/>
                <w:color w:val="auto"/>
              </w:rPr>
            </w:pPr>
            <w:r>
              <w:rPr>
                <w:rFonts w:ascii="Arial" w:cs="Arial" w:eastAsia="Arial" w:hAnsi="Arial"/>
                <w:sz w:val="17"/>
                <w:szCs w:val="17"/>
                <w:color w:val="0000FF"/>
                <w:w w:val="88"/>
              </w:rPr>
              <w:t>187,000.715</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center"/>
              <w:ind w:right="361"/>
              <w:spacing w:after="0" w:line="208" w:lineRule="exact"/>
              <w:rPr>
                <w:sz w:val="20"/>
                <w:szCs w:val="20"/>
                <w:color w:val="auto"/>
              </w:rPr>
            </w:pPr>
            <w:r>
              <w:rPr>
                <w:rFonts w:ascii="Arial" w:cs="Arial" w:eastAsia="Arial" w:hAnsi="Arial"/>
                <w:sz w:val="17"/>
                <w:szCs w:val="17"/>
                <w:color w:val="0000FF"/>
                <w:w w:val="86"/>
              </w:rPr>
              <w:t>173.476</w:t>
            </w:r>
            <w:r>
              <w:rPr>
                <w:rFonts w:ascii="Arial" w:cs="Arial" w:eastAsia="Arial" w:hAnsi="Arial"/>
                <w:sz w:val="21"/>
                <w:szCs w:val="21"/>
                <w:color w:val="008000"/>
                <w:w w:val="86"/>
                <w:vertAlign w:val="superscript"/>
              </w:rPr>
              <w:t>(1)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Performance Share Units</w:t>
            </w: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right="361"/>
              <w:spacing w:after="0"/>
              <w:rPr>
                <w:sz w:val="20"/>
                <w:szCs w:val="20"/>
                <w:color w:val="auto"/>
              </w:rPr>
            </w:pPr>
            <w:r>
              <w:rPr>
                <w:rFonts w:ascii="Arial" w:cs="Arial" w:eastAsia="Arial" w:hAnsi="Arial"/>
                <w:sz w:val="17"/>
                <w:szCs w:val="17"/>
                <w:color w:val="0000FF"/>
                <w:w w:val="86"/>
              </w:rPr>
              <w:t>9,190.163</w:t>
            </w:r>
            <w:r>
              <w:rPr>
                <w:rFonts w:ascii="Arial" w:cs="Arial" w:eastAsia="Arial" w:hAnsi="Arial"/>
                <w:sz w:val="21"/>
                <w:szCs w:val="21"/>
                <w:color w:val="008000"/>
                <w:w w:val="86"/>
                <w:vertAlign w:val="superscript"/>
              </w:rPr>
              <w:t>(2)</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jc w:val="right"/>
              <w:ind w:right="2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8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7"/>
              </w:rPr>
              <w:t>8,312.363</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20" w:type="dxa"/>
            <w:vAlign w:val="bottom"/>
            <w:gridSpan w:val="2"/>
          </w:tcPr>
          <w:p>
            <w:pPr>
              <w:jc w:val="right"/>
              <w:ind w:right="195"/>
              <w:spacing w:after="0" w:line="126" w:lineRule="exact"/>
              <w:rPr>
                <w:sz w:val="20"/>
                <w:szCs w:val="20"/>
                <w:color w:val="auto"/>
              </w:rPr>
            </w:pPr>
            <w:r>
              <w:rPr>
                <w:rFonts w:ascii="Arial" w:cs="Arial" w:eastAsia="Arial" w:hAnsi="Arial"/>
                <w:sz w:val="13"/>
                <w:szCs w:val="13"/>
                <w:color w:val="0000FF"/>
              </w:rPr>
              <w:t>09/15/2018</w:t>
            </w:r>
          </w:p>
        </w:tc>
        <w:tc>
          <w:tcPr>
            <w:tcW w:w="1060" w:type="dxa"/>
            <w:vAlign w:val="bottom"/>
          </w:tcPr>
          <w:p>
            <w:pPr>
              <w:spacing w:after="0"/>
              <w:rPr>
                <w:sz w:val="10"/>
                <w:szCs w:val="10"/>
                <w:color w:val="auto"/>
              </w:rPr>
            </w:pPr>
          </w:p>
        </w:tc>
        <w:tc>
          <w:tcPr>
            <w:tcW w:w="760" w:type="dxa"/>
            <w:vAlign w:val="bottom"/>
            <w:gridSpan w:val="4"/>
          </w:tcPr>
          <w:p>
            <w:pPr>
              <w:ind w:left="160"/>
              <w:spacing w:after="0" w:line="126" w:lineRule="exact"/>
              <w:rPr>
                <w:sz w:val="20"/>
                <w:szCs w:val="20"/>
                <w:color w:val="auto"/>
              </w:rPr>
            </w:pPr>
            <w:r>
              <w:rPr>
                <w:rFonts w:ascii="Arial" w:cs="Arial" w:eastAsia="Arial" w:hAnsi="Arial"/>
                <w:sz w:val="13"/>
                <w:szCs w:val="13"/>
                <w:color w:val="0000FF"/>
              </w:rPr>
              <w:t>M</w:t>
            </w:r>
          </w:p>
        </w:tc>
        <w:tc>
          <w:tcPr>
            <w:tcW w:w="1060" w:type="dxa"/>
            <w:vAlign w:val="bottom"/>
            <w:gridSpan w:val="2"/>
          </w:tcPr>
          <w:p>
            <w:pPr>
              <w:ind w:left="420"/>
              <w:spacing w:after="0" w:line="126" w:lineRule="exact"/>
              <w:rPr>
                <w:sz w:val="20"/>
                <w:szCs w:val="20"/>
                <w:color w:val="auto"/>
              </w:rPr>
            </w:pPr>
            <w:r>
              <w:rPr>
                <w:rFonts w:ascii="Arial" w:cs="Arial" w:eastAsia="Arial" w:hAnsi="Arial"/>
                <w:sz w:val="13"/>
                <w:szCs w:val="13"/>
                <w:color w:val="0000FF"/>
              </w:rPr>
              <w:t>8,312.363</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274"/>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400"/>
              <w:spacing w:after="0" w:line="126" w:lineRule="exact"/>
              <w:rPr>
                <w:sz w:val="20"/>
                <w:szCs w:val="20"/>
                <w:color w:val="auto"/>
              </w:rPr>
            </w:pPr>
            <w:r>
              <w:rPr>
                <w:rFonts w:ascii="Arial" w:cs="Arial" w:eastAsia="Arial" w:hAnsi="Arial"/>
                <w:sz w:val="13"/>
                <w:szCs w:val="13"/>
                <w:color w:val="0000FF"/>
              </w:rPr>
              <w:t>0</w:t>
            </w:r>
          </w:p>
        </w:tc>
        <w:tc>
          <w:tcPr>
            <w:tcW w:w="600" w:type="dxa"/>
            <w:vAlign w:val="bottom"/>
          </w:tcPr>
          <w:p>
            <w:pPr>
              <w:ind w:left="460"/>
              <w:spacing w:after="0" w:line="126"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1.481 net shares acquired under the dividend reinvestment feature of The Toro Company Investment, Savings &amp; ESOP (the "IS&amp;ESOP") less quarterly non-discretionary administrative fees; and 51.380 shares acquired through issuer annual investment fund contributions to and revenue credit allocations in the IS&amp;ESOP.</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87.163 performance share units acquired by the reporting person since the date of his last report under the dividend reinvestment feature of The Toro Company Deferred Compensation Plan for Officers.</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Toro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vested and became non-forfeitable in full on September 15, 2018, which was the third anniversary of the date of grant.</w:t>
      </w:r>
    </w:p>
    <w:p>
      <w:pPr>
        <w:spacing w:after="0" w:line="5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09/18/2018</w:t>
            </w:r>
          </w:p>
        </w:tc>
        <w:tc>
          <w:tcPr>
            <w:tcW w:w="0" w:type="dxa"/>
            <w:vAlign w:val="bottom"/>
          </w:tcPr>
          <w:p>
            <w:pPr>
              <w:spacing w:after="0"/>
              <w:rPr>
                <w:sz w:val="1"/>
                <w:szCs w:val="1"/>
                <w:color w:val="auto"/>
              </w:rPr>
            </w:pPr>
          </w:p>
        </w:tc>
      </w:tr>
      <w:tr>
        <w:trPr>
          <w:trHeight w:val="89"/>
        </w:trPr>
        <w:tc>
          <w:tcPr>
            <w:tcW w:w="154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Attorney-In-Fact</w:t>
            </w:r>
          </w:p>
        </w:tc>
        <w:tc>
          <w:tcPr>
            <w:tcW w:w="7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2019-12-23T21:17:27Z</dcterms:created>
  <dcterms:modified xsi:type="dcterms:W3CDTF">2019-12-23T21:17:27Z</dcterms:modified>
</cp:coreProperties>
</file>