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August 23, 2005</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23, 2005, The Toro Company announced its earnings for the three and nine months ended July 29, 2005.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883920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August 23,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Michael J. Hoffman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0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86"/>
              </w:rPr>
              <w:t>Other - Registrant's press release dated August 23, 2005 (furnished</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herewith).</w:t>
            </w:r>
          </w:p>
        </w:tc>
      </w:tr>
    </w:tbl>
    <w:p>
      <w:pPr>
        <w:sectPr>
          <w:pgSz w:w="11900" w:h="16838" w:orient="portrait"/>
          <w:cols w:equalWidth="0" w:num="1">
            <w:col w:w="10219"/>
          </w:cols>
          <w:pgMar w:left="240" w:top="12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32"/>
          <w:szCs w:val="32"/>
          <w:b w:val="1"/>
          <w:bCs w:val="1"/>
          <w:color w:val="auto"/>
        </w:rPr>
        <w:t>The Toro Company</w:t>
      </w:r>
    </w:p>
    <w:p>
      <w:pPr>
        <w:spacing w:after="0" w:line="3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Bloomington, Minnesota 55420-1196</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952/888-8801 • FAX 952/887-8258</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Investor Relations</w:t>
            </w:r>
          </w:p>
        </w:tc>
        <w:tc>
          <w:tcPr>
            <w:tcW w:w="3280" w:type="dxa"/>
            <w:vAlign w:val="bottom"/>
          </w:tcPr>
          <w:p>
            <w:pPr>
              <w:spacing w:after="0"/>
              <w:rPr>
                <w:sz w:val="19"/>
                <w:szCs w:val="19"/>
                <w:color w:val="auto"/>
              </w:rPr>
            </w:pPr>
          </w:p>
        </w:tc>
        <w:tc>
          <w:tcPr>
            <w:tcW w:w="2760" w:type="dxa"/>
            <w:vAlign w:val="bottom"/>
          </w:tcPr>
          <w:p>
            <w:pPr>
              <w:ind w:left="1140"/>
              <w:spacing w:after="0"/>
              <w:rPr>
                <w:sz w:val="20"/>
                <w:szCs w:val="20"/>
                <w:color w:val="auto"/>
              </w:rPr>
            </w:pPr>
            <w:r>
              <w:rPr>
                <w:rFonts w:ascii="Arial" w:cs="Arial" w:eastAsia="Arial" w:hAnsi="Arial"/>
                <w:sz w:val="18"/>
                <w:szCs w:val="18"/>
                <w:b w:val="1"/>
                <w:bCs w:val="1"/>
                <w:color w:val="auto"/>
              </w:rPr>
              <w:t>Media Relations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vMerge w:val="continue"/>
          </w:tcPr>
          <w:p>
            <w:pPr>
              <w:spacing w:after="0"/>
              <w:rPr>
                <w:sz w:val="18"/>
                <w:szCs w:val="18"/>
                <w:color w:val="auto"/>
              </w:rPr>
            </w:pPr>
          </w:p>
        </w:tc>
        <w:tc>
          <w:tcPr>
            <w:tcW w:w="3280" w:type="dxa"/>
            <w:vAlign w:val="bottom"/>
          </w:tcPr>
          <w:p>
            <w:pPr>
              <w:ind w:left="560"/>
              <w:spacing w:after="0"/>
              <w:rPr>
                <w:sz w:val="20"/>
                <w:szCs w:val="20"/>
                <w:color w:val="auto"/>
              </w:rPr>
            </w:pPr>
            <w:r>
              <w:rPr>
                <w:rFonts w:ascii="Arial" w:cs="Arial" w:eastAsia="Arial" w:hAnsi="Arial"/>
                <w:sz w:val="18"/>
                <w:szCs w:val="18"/>
                <w:color w:val="auto"/>
              </w:rPr>
              <w:t>John Wright</w:t>
            </w:r>
          </w:p>
        </w:tc>
        <w:tc>
          <w:tcPr>
            <w:tcW w:w="2760" w:type="dxa"/>
            <w:vAlign w:val="bottom"/>
          </w:tcPr>
          <w:p>
            <w:pPr>
              <w:ind w:left="740"/>
              <w:spacing w:after="0"/>
              <w:rPr>
                <w:sz w:val="20"/>
                <w:szCs w:val="20"/>
                <w:color w:val="auto"/>
              </w:rPr>
            </w:pPr>
            <w:r>
              <w:rPr>
                <w:rFonts w:ascii="Arial" w:cs="Arial" w:eastAsia="Arial" w:hAnsi="Arial"/>
                <w:sz w:val="18"/>
                <w:szCs w:val="18"/>
                <w:color w:val="auto"/>
              </w:rPr>
              <w:t>Connie Kotke</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Stephen P. Wolfe</w:t>
            </w:r>
          </w:p>
        </w:tc>
        <w:tc>
          <w:tcPr>
            <w:tcW w:w="3280" w:type="dxa"/>
            <w:vAlign w:val="bottom"/>
          </w:tcPr>
          <w:p>
            <w:pPr>
              <w:ind w:left="560"/>
              <w:spacing w:after="0"/>
              <w:rPr>
                <w:sz w:val="20"/>
                <w:szCs w:val="20"/>
                <w:color w:val="auto"/>
              </w:rPr>
            </w:pPr>
            <w:r>
              <w:rPr>
                <w:rFonts w:ascii="Arial" w:cs="Arial" w:eastAsia="Arial" w:hAnsi="Arial"/>
                <w:sz w:val="18"/>
                <w:szCs w:val="18"/>
                <w:color w:val="auto"/>
              </w:rPr>
              <w:t>Director, Investor Relations</w:t>
            </w:r>
          </w:p>
        </w:tc>
        <w:tc>
          <w:tcPr>
            <w:tcW w:w="2760" w:type="dxa"/>
            <w:vAlign w:val="bottom"/>
          </w:tcPr>
          <w:p>
            <w:pPr>
              <w:ind w:left="740"/>
              <w:spacing w:after="0"/>
              <w:rPr>
                <w:sz w:val="20"/>
                <w:szCs w:val="20"/>
                <w:color w:val="auto"/>
              </w:rPr>
            </w:pPr>
            <w:r>
              <w:rPr>
                <w:rFonts w:ascii="Arial" w:cs="Arial" w:eastAsia="Arial" w:hAnsi="Arial"/>
                <w:sz w:val="18"/>
                <w:szCs w:val="18"/>
                <w:color w:val="auto"/>
              </w:rPr>
              <w:t>Toro Media Relations</w:t>
            </w:r>
          </w:p>
        </w:tc>
        <w:tc>
          <w:tcPr>
            <w:tcW w:w="2060" w:type="dxa"/>
            <w:vAlign w:val="bottom"/>
          </w:tcPr>
          <w:p>
            <w:pPr>
              <w:ind w:left="360"/>
              <w:spacing w:after="0"/>
              <w:rPr>
                <w:sz w:val="20"/>
                <w:szCs w:val="20"/>
                <w:color w:val="auto"/>
              </w:rPr>
            </w:pPr>
            <w:r>
              <w:rPr>
                <w:rFonts w:ascii="Arial" w:cs="Arial" w:eastAsia="Arial" w:hAnsi="Arial"/>
                <w:sz w:val="18"/>
                <w:szCs w:val="18"/>
                <w:color w:val="auto"/>
              </w:rPr>
              <w:t>Web Site</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Vice President, CFO</w:t>
            </w:r>
          </w:p>
        </w:tc>
        <w:tc>
          <w:tcPr>
            <w:tcW w:w="3280" w:type="dxa"/>
            <w:vAlign w:val="bottom"/>
          </w:tcPr>
          <w:p>
            <w:pPr>
              <w:ind w:left="560"/>
              <w:spacing w:after="0"/>
              <w:rPr>
                <w:sz w:val="20"/>
                <w:szCs w:val="20"/>
                <w:color w:val="auto"/>
              </w:rPr>
            </w:pPr>
            <w:r>
              <w:rPr>
                <w:rFonts w:ascii="Arial" w:cs="Arial" w:eastAsia="Arial" w:hAnsi="Arial"/>
                <w:sz w:val="18"/>
                <w:szCs w:val="18"/>
                <w:color w:val="auto"/>
              </w:rPr>
              <w:t>(952) 887-8865</w:t>
            </w:r>
          </w:p>
        </w:tc>
        <w:tc>
          <w:tcPr>
            <w:tcW w:w="2760" w:type="dxa"/>
            <w:vAlign w:val="bottom"/>
          </w:tcPr>
          <w:p>
            <w:pPr>
              <w:ind w:left="740"/>
              <w:spacing w:after="0"/>
              <w:rPr>
                <w:sz w:val="20"/>
                <w:szCs w:val="20"/>
                <w:color w:val="auto"/>
              </w:rPr>
            </w:pPr>
            <w:r>
              <w:rPr>
                <w:rFonts w:ascii="Arial" w:cs="Arial" w:eastAsia="Arial" w:hAnsi="Arial"/>
                <w:sz w:val="18"/>
                <w:szCs w:val="18"/>
                <w:color w:val="auto"/>
              </w:rPr>
              <w:t>(952) 887-8984</w:t>
            </w:r>
          </w:p>
        </w:tc>
        <w:tc>
          <w:tcPr>
            <w:tcW w:w="2060" w:type="dxa"/>
            <w:vAlign w:val="bottom"/>
          </w:tcPr>
          <w:p>
            <w:pPr>
              <w:ind w:left="360"/>
              <w:spacing w:after="0"/>
              <w:rPr>
                <w:sz w:val="20"/>
                <w:szCs w:val="20"/>
                <w:color w:val="auto"/>
              </w:rPr>
            </w:pPr>
            <w:r>
              <w:rPr>
                <w:rFonts w:ascii="Arial" w:cs="Arial" w:eastAsia="Arial" w:hAnsi="Arial"/>
                <w:sz w:val="18"/>
                <w:szCs w:val="18"/>
                <w:color w:val="auto"/>
                <w:w w:val="89"/>
              </w:rPr>
              <w:t>www.thetorocompany.c</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(952) 887-8076</w:t>
            </w:r>
          </w:p>
        </w:tc>
        <w:tc>
          <w:tcPr>
            <w:tcW w:w="3280" w:type="dxa"/>
            <w:vAlign w:val="bottom"/>
          </w:tcPr>
          <w:p>
            <w:pPr>
              <w:spacing w:after="0"/>
              <w:rPr>
                <w:sz w:val="20"/>
                <w:szCs w:val="20"/>
                <w:color w:val="auto"/>
              </w:rPr>
            </w:pPr>
          </w:p>
        </w:tc>
        <w:tc>
          <w:tcPr>
            <w:tcW w:w="2760" w:type="dxa"/>
            <w:vAlign w:val="bottom"/>
          </w:tcPr>
          <w:p>
            <w:pPr>
              <w:ind w:left="740"/>
              <w:spacing w:after="0"/>
              <w:rPr>
                <w:sz w:val="20"/>
                <w:szCs w:val="20"/>
                <w:color w:val="auto"/>
              </w:rPr>
            </w:pPr>
            <w:r>
              <w:rPr>
                <w:rFonts w:ascii="Arial" w:cs="Arial" w:eastAsia="Arial" w:hAnsi="Arial"/>
                <w:sz w:val="18"/>
                <w:szCs w:val="18"/>
                <w:color w:val="auto"/>
              </w:rPr>
              <w:t>www, pr@toro.com</w:t>
            </w:r>
          </w:p>
        </w:tc>
        <w:tc>
          <w:tcPr>
            <w:tcW w:w="2060" w:type="dxa"/>
            <w:vAlign w:val="bottom"/>
          </w:tcPr>
          <w:p>
            <w:pPr>
              <w:ind w:left="360"/>
              <w:spacing w:after="0"/>
              <w:rPr>
                <w:sz w:val="20"/>
                <w:szCs w:val="20"/>
                <w:color w:val="auto"/>
              </w:rPr>
            </w:pPr>
            <w:r>
              <w:rPr>
                <w:rFonts w:ascii="Arial" w:cs="Arial" w:eastAsia="Arial" w:hAnsi="Arial"/>
                <w:sz w:val="18"/>
                <w:szCs w:val="18"/>
                <w:color w:val="auto"/>
              </w:rPr>
              <w:t>om</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TORO REPORTS RECORD THIRD QUARTER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NET EARNINGS PER DILUTED SHARE OF $0.74</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Year-to-Date Net Earnings Per Diluted Share Up 24.5% on 9.6% Sales Growth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August 23, 10:00 a.m. CT</w:t>
      </w:r>
    </w:p>
    <w:p>
      <w:pPr>
        <w:jc w:val="center"/>
        <w:ind w:right="-19"/>
        <w:spacing w:after="0"/>
        <w:rPr>
          <w:sz w:val="20"/>
          <w:szCs w:val="20"/>
          <w:color w:val="auto"/>
        </w:rPr>
      </w:pPr>
      <w:r>
        <w:rPr>
          <w:rFonts w:ascii="Arial" w:cs="Arial" w:eastAsia="Arial" w:hAnsi="Arial"/>
          <w:sz w:val="22"/>
          <w:szCs w:val="22"/>
          <w:u w:val="single" w:color="auto"/>
          <w:color w:val="auto"/>
        </w:rPr>
        <w:t>www.thetorocompany.com/invest</w:t>
      </w:r>
    </w:p>
    <w:p>
      <w:pPr>
        <w:spacing w:after="0" w:line="188" w:lineRule="exact"/>
        <w:rPr>
          <w:sz w:val="20"/>
          <w:szCs w:val="20"/>
          <w:color w:val="auto"/>
        </w:rPr>
      </w:pPr>
    </w:p>
    <w:p>
      <w:pPr>
        <w:jc w:val="both"/>
        <w:ind w:right="560" w:firstLine="456"/>
        <w:spacing w:after="0" w:line="238" w:lineRule="auto"/>
        <w:rPr>
          <w:sz w:val="20"/>
          <w:szCs w:val="20"/>
          <w:color w:val="auto"/>
        </w:rPr>
      </w:pPr>
      <w:r>
        <w:rPr>
          <w:rFonts w:ascii="Arial" w:cs="Arial" w:eastAsia="Arial" w:hAnsi="Arial"/>
          <w:sz w:val="22"/>
          <w:szCs w:val="22"/>
          <w:color w:val="auto"/>
        </w:rPr>
        <w:t>BLOOMINGTON, Minn. (August 23, 2005) – The Toro Company (NYSE: TTC) today reported record net earnings of $34.4 million, or $0.74 per diluted share, on net sales of $466.9 million for its fiscal third quarter ended July 29, 2005. In the comparable fiscal 2004 period, the company reported net earnings of $34.2 million, or $0.66 per diluted share, on net sales of $454.0 million.</w:t>
      </w:r>
    </w:p>
    <w:p>
      <w:pPr>
        <w:spacing w:after="0" w:line="185" w:lineRule="exact"/>
        <w:rPr>
          <w:sz w:val="20"/>
          <w:szCs w:val="20"/>
          <w:color w:val="auto"/>
        </w:rPr>
      </w:pPr>
    </w:p>
    <w:p>
      <w:pPr>
        <w:jc w:val="both"/>
        <w:ind w:right="40" w:firstLine="456"/>
        <w:spacing w:after="0"/>
        <w:rPr>
          <w:sz w:val="20"/>
          <w:szCs w:val="20"/>
          <w:color w:val="auto"/>
        </w:rPr>
      </w:pPr>
      <w:r>
        <w:rPr>
          <w:rFonts w:ascii="Arial" w:cs="Arial" w:eastAsia="Arial" w:hAnsi="Arial"/>
          <w:sz w:val="22"/>
          <w:szCs w:val="22"/>
          <w:color w:val="auto"/>
        </w:rPr>
        <w:t>For the nine months ended July 29, 2005, Toro reported net earnings of $107.5 million, or $2.29 per diluted share, on net sales of $1,442.3 million compared with net earnings of $95.7 million, or $1.84 per diluted share, on net sales of $1,315.6 million in the first nine months of fiscal 2004.</w:t>
      </w:r>
    </w:p>
    <w:p>
      <w:pPr>
        <w:spacing w:after="0" w:line="186" w:lineRule="exact"/>
        <w:rPr>
          <w:sz w:val="20"/>
          <w:szCs w:val="20"/>
          <w:color w:val="auto"/>
        </w:rPr>
      </w:pPr>
    </w:p>
    <w:p>
      <w:pPr>
        <w:ind w:right="400" w:firstLine="456"/>
        <w:spacing w:after="0" w:line="251" w:lineRule="auto"/>
        <w:rPr>
          <w:sz w:val="20"/>
          <w:szCs w:val="20"/>
          <w:color w:val="auto"/>
        </w:rPr>
      </w:pPr>
      <w:r>
        <w:rPr>
          <w:rFonts w:ascii="Arial" w:cs="Arial" w:eastAsia="Arial" w:hAnsi="Arial"/>
          <w:sz w:val="22"/>
          <w:szCs w:val="22"/>
          <w:color w:val="auto"/>
        </w:rPr>
        <w:t>Earnings per share figures for all periods reported have been adjusted to reflect the effects of a 2-for-1 stock split effective March 28, 2005.</w:t>
      </w:r>
    </w:p>
    <w:p>
      <w:pPr>
        <w:spacing w:after="0" w:line="173" w:lineRule="exact"/>
        <w:rPr>
          <w:sz w:val="20"/>
          <w:szCs w:val="20"/>
          <w:color w:val="auto"/>
        </w:rPr>
      </w:pPr>
    </w:p>
    <w:p>
      <w:pPr>
        <w:ind w:right="60" w:firstLine="456"/>
        <w:spacing w:after="0" w:line="238" w:lineRule="auto"/>
        <w:rPr>
          <w:sz w:val="20"/>
          <w:szCs w:val="20"/>
          <w:color w:val="auto"/>
        </w:rPr>
      </w:pPr>
      <w:r>
        <w:rPr>
          <w:rFonts w:ascii="Arial" w:cs="Arial" w:eastAsia="Arial" w:hAnsi="Arial"/>
          <w:sz w:val="22"/>
          <w:szCs w:val="22"/>
          <w:color w:val="auto"/>
        </w:rPr>
        <w:t>“Sales growth in international markets helped drive revenues to record levels for the third quarter in both the professional and residential segments helping to mitigate weather related softness in our domestic markets,” said Michael J. Hoffman, The Toro Company’s president and chief executive officer. “Despite a challenging environment year-to-date consolidated net sales are nearly 10 percent ahead of fiscal 2004’s record level.”</w:t>
      </w:r>
    </w:p>
    <w:p>
      <w:pPr>
        <w:spacing w:after="0" w:line="185" w:lineRule="exact"/>
        <w:rPr>
          <w:sz w:val="20"/>
          <w:szCs w:val="20"/>
          <w:color w:val="auto"/>
        </w:rPr>
      </w:pPr>
    </w:p>
    <w:p>
      <w:pPr>
        <w:ind w:firstLine="456"/>
        <w:spacing w:after="0" w:line="287" w:lineRule="auto"/>
        <w:rPr>
          <w:sz w:val="20"/>
          <w:szCs w:val="20"/>
          <w:color w:val="auto"/>
        </w:rPr>
      </w:pPr>
      <w:r>
        <w:rPr>
          <w:rFonts w:ascii="Arial" w:cs="Arial" w:eastAsia="Arial" w:hAnsi="Arial"/>
          <w:sz w:val="19"/>
          <w:szCs w:val="19"/>
          <w:color w:val="auto"/>
        </w:rPr>
        <w:t>“Our strong performance in the third quarter and year to date gives evidence of our ability to sustain solid earnings growth and has us on track to deliver another record year of financial results,” said Kendrick B. Melrose, executive chairman, The Toro Company. “We continue to enhance our operating model to reduce the volatility to external factors such as weather, while tenaciously focusing on strategic initiatives that will drive sustainable long-term growth and profitability.”</w:t>
      </w:r>
    </w:p>
    <w:p>
      <w:pPr>
        <w:spacing w:after="0" w:line="133"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SEGMENT RESULTS</w:t>
      </w:r>
    </w:p>
    <w:p>
      <w:pPr>
        <w:spacing w:after="0" w:line="259" w:lineRule="exact"/>
        <w:rPr>
          <w:sz w:val="20"/>
          <w:szCs w:val="20"/>
          <w:color w:val="auto"/>
        </w:rPr>
      </w:pPr>
    </w:p>
    <w:p>
      <w:pPr>
        <w:ind w:right="2020" w:firstLine="456"/>
        <w:spacing w:after="0" w:line="442" w:lineRule="auto"/>
        <w:rPr>
          <w:sz w:val="20"/>
          <w:szCs w:val="20"/>
          <w:color w:val="auto"/>
        </w:rPr>
      </w:pPr>
      <w:r>
        <w:rPr>
          <w:rFonts w:ascii="Arial" w:cs="Arial" w:eastAsia="Arial" w:hAnsi="Arial"/>
          <w:sz w:val="22"/>
          <w:szCs w:val="22"/>
          <w:color w:val="auto"/>
        </w:rPr>
        <w:t xml:space="preserve">Segment data is provided in the table following the “Condensed Consolidated Statements of Earnings.” </w:t>
      </w:r>
      <w:r>
        <w:rPr>
          <w:rFonts w:ascii="Arial" w:cs="Arial" w:eastAsia="Arial" w:hAnsi="Arial"/>
          <w:sz w:val="22"/>
          <w:szCs w:val="22"/>
          <w:b w:val="1"/>
          <w:bCs w:val="1"/>
          <w:color w:val="auto"/>
        </w:rPr>
        <w:t>Professional</w:t>
      </w:r>
    </w:p>
    <w:p>
      <w:pPr>
        <w:ind w:right="240" w:firstLine="456"/>
        <w:spacing w:after="0" w:line="274" w:lineRule="auto"/>
        <w:rPr>
          <w:sz w:val="20"/>
          <w:szCs w:val="20"/>
          <w:color w:val="auto"/>
        </w:rPr>
      </w:pPr>
      <w:r>
        <w:rPr>
          <w:rFonts w:ascii="Arial" w:cs="Arial" w:eastAsia="Arial" w:hAnsi="Arial"/>
          <w:sz w:val="21"/>
          <w:szCs w:val="21"/>
          <w:color w:val="auto"/>
        </w:rPr>
        <w:t>For the third quarter, professional segment sales increased 5.1 percent to $302.5 million. Shipments were particularly strong throughout our international markets and in golf irrigation driven by the introduction of new products.</w:t>
      </w:r>
    </w:p>
    <w:p>
      <w:pPr>
        <w:spacing w:after="0" w:line="151" w:lineRule="exact"/>
        <w:rPr>
          <w:sz w:val="20"/>
          <w:szCs w:val="20"/>
          <w:color w:val="auto"/>
        </w:rPr>
      </w:pPr>
    </w:p>
    <w:p>
      <w:pPr>
        <w:ind w:right="580" w:firstLine="456"/>
        <w:spacing w:after="0" w:line="251" w:lineRule="auto"/>
        <w:rPr>
          <w:sz w:val="20"/>
          <w:szCs w:val="20"/>
          <w:color w:val="auto"/>
        </w:rPr>
      </w:pPr>
      <w:r>
        <w:rPr>
          <w:rFonts w:ascii="Arial" w:cs="Arial" w:eastAsia="Arial" w:hAnsi="Arial"/>
          <w:sz w:val="22"/>
          <w:szCs w:val="22"/>
          <w:color w:val="auto"/>
        </w:rPr>
        <w:t>Professional segment earnings for the quarter were $59.9 million, up 10.2 percent from $54.3 million in last year’s third quarter.</w:t>
      </w:r>
    </w:p>
    <w:p>
      <w:pPr>
        <w:spacing w:after="0" w:line="173" w:lineRule="exact"/>
        <w:rPr>
          <w:sz w:val="20"/>
          <w:szCs w:val="20"/>
          <w:color w:val="auto"/>
        </w:rPr>
      </w:pPr>
    </w:p>
    <w:p>
      <w:pPr>
        <w:ind w:right="620" w:firstLine="456"/>
        <w:spacing w:after="0" w:line="251" w:lineRule="auto"/>
        <w:rPr>
          <w:sz w:val="20"/>
          <w:szCs w:val="20"/>
          <w:color w:val="auto"/>
        </w:rPr>
      </w:pPr>
      <w:r>
        <w:rPr>
          <w:rFonts w:ascii="Arial" w:cs="Arial" w:eastAsia="Arial" w:hAnsi="Arial"/>
          <w:sz w:val="22"/>
          <w:szCs w:val="22"/>
          <w:color w:val="auto"/>
        </w:rPr>
        <w:t>For the year to date, professional segment earnings totaled $183.4 million on net sales of $936.8 million compared with earnings of $154.5 million on net sales of $834.1 million in last year’s first nine months.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w:t>
      </w:r>
    </w:p>
    <w:p>
      <w:pPr>
        <w:spacing w:after="0" w:line="212" w:lineRule="exact"/>
        <w:rPr>
          <w:sz w:val="20"/>
          <w:szCs w:val="20"/>
          <w:color w:val="auto"/>
        </w:rPr>
      </w:pPr>
    </w:p>
    <w:p>
      <w:pPr>
        <w:ind w:right="100" w:firstLine="456"/>
        <w:spacing w:after="0"/>
        <w:rPr>
          <w:sz w:val="20"/>
          <w:szCs w:val="20"/>
          <w:color w:val="auto"/>
        </w:rPr>
      </w:pPr>
      <w:r>
        <w:rPr>
          <w:rFonts w:ascii="Arial" w:cs="Arial" w:eastAsia="Arial" w:hAnsi="Arial"/>
          <w:sz w:val="22"/>
          <w:szCs w:val="22"/>
          <w:color w:val="auto"/>
        </w:rPr>
        <w:t>Residential segment sales for the third quarter totaled $148.6 million, up 3.0 percent from last year’s third quarter. Increased international sales of Hayter products and strong snow thrower shipments both domestically and internationally drove third quarter sales growth.</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21"/>
          <w:szCs w:val="21"/>
          <w:color w:val="auto"/>
        </w:rPr>
        <w:t>For the year to date, net sales were $472.2 million, up 8.1 percent compared with the first nine months of fiscal 2004.</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Segment earnings for the quarter totaled $10.1 million, down 42.8 percent from $17.6 million in the same period last year.</w:t>
      </w:r>
    </w:p>
    <w:p>
      <w:pPr>
        <w:spacing w:after="0" w:line="241" w:lineRule="exact"/>
        <w:rPr>
          <w:sz w:val="20"/>
          <w:szCs w:val="20"/>
          <w:color w:val="auto"/>
        </w:rPr>
      </w:pPr>
    </w:p>
    <w:p>
      <w:pPr>
        <w:ind w:left="460"/>
        <w:spacing w:after="0"/>
        <w:rPr>
          <w:sz w:val="20"/>
          <w:szCs w:val="20"/>
          <w:color w:val="auto"/>
        </w:rPr>
      </w:pPr>
      <w:r>
        <w:rPr>
          <w:rFonts w:ascii="Arial" w:cs="Arial" w:eastAsia="Arial" w:hAnsi="Arial"/>
          <w:sz w:val="21"/>
          <w:szCs w:val="21"/>
          <w:color w:val="auto"/>
        </w:rPr>
        <w:t>For the year to date, segment earnings were $43.5 million compared with $52.7 million in the same period last year.</w:t>
      </w:r>
    </w:p>
    <w:p>
      <w:pPr>
        <w:sectPr>
          <w:pgSz w:w="11900" w:h="16838" w:orient="portrait"/>
          <w:cols w:equalWidth="0" w:num="1">
            <w:col w:w="11420"/>
          </w:cols>
          <w:pgMar w:left="240" w:top="314" w:right="239" w:bottom="0" w:gutter="0" w:footer="0" w:header="0"/>
        </w:sectPr>
      </w:pPr>
    </w:p>
    <w:bookmarkStart w:id="5" w:name="page6"/>
    <w:bookmarkEnd w:id="5"/>
    <w:p>
      <w:pPr>
        <w:ind w:right="1340" w:firstLine="456"/>
        <w:spacing w:after="0" w:line="435" w:lineRule="auto"/>
        <w:rPr>
          <w:sz w:val="20"/>
          <w:szCs w:val="20"/>
          <w:color w:val="auto"/>
        </w:rPr>
      </w:pPr>
      <w:r>
        <w:rPr>
          <w:rFonts w:ascii="Arial" w:cs="Arial" w:eastAsia="Arial" w:hAnsi="Arial"/>
          <w:sz w:val="22"/>
          <w:szCs w:val="22"/>
          <w:color w:val="auto"/>
        </w:rPr>
        <w:t xml:space="preserve">The decline in segment earnings for the quarter and year to date were primarily due to higher commodity costs. </w:t>
      </w:r>
      <w:r>
        <w:rPr>
          <w:rFonts w:ascii="Arial" w:cs="Arial" w:eastAsia="Arial" w:hAnsi="Arial"/>
          <w:sz w:val="22"/>
          <w:szCs w:val="22"/>
          <w:b w:val="1"/>
          <w:bCs w:val="1"/>
          <w:u w:val="single" w:color="auto"/>
          <w:color w:val="auto"/>
        </w:rPr>
        <w:t>REVIEW OF OPERATIONS</w:t>
      </w:r>
    </w:p>
    <w:p>
      <w:pPr>
        <w:spacing w:after="0" w:line="2" w:lineRule="exact"/>
        <w:rPr>
          <w:sz w:val="20"/>
          <w:szCs w:val="20"/>
          <w:color w:val="auto"/>
        </w:rPr>
      </w:pPr>
    </w:p>
    <w:p>
      <w:pPr>
        <w:jc w:val="both"/>
        <w:ind w:right="400" w:firstLine="456"/>
        <w:spacing w:after="0" w:line="328" w:lineRule="auto"/>
        <w:rPr>
          <w:sz w:val="20"/>
          <w:szCs w:val="20"/>
          <w:color w:val="auto"/>
        </w:rPr>
      </w:pPr>
      <w:r>
        <w:rPr>
          <w:rFonts w:ascii="Arial" w:cs="Arial" w:eastAsia="Arial" w:hAnsi="Arial"/>
          <w:sz w:val="19"/>
          <w:szCs w:val="19"/>
          <w:color w:val="auto"/>
        </w:rPr>
        <w:t>Gross margin for the third quarter was 35.0 percent compared with 36.2 percent in the prior year’s third quarter. As in the preceding quarters, the decline resulted primarily from the impact of higher commodity costs, as well as the Hayter acquisition.</w:t>
      </w:r>
    </w:p>
    <w:p>
      <w:pPr>
        <w:spacing w:after="0" w:line="105" w:lineRule="exact"/>
        <w:rPr>
          <w:sz w:val="20"/>
          <w:szCs w:val="20"/>
          <w:color w:val="auto"/>
        </w:rPr>
      </w:pPr>
    </w:p>
    <w:p>
      <w:pPr>
        <w:ind w:right="260" w:firstLine="456"/>
        <w:spacing w:after="0" w:line="251" w:lineRule="auto"/>
        <w:rPr>
          <w:sz w:val="20"/>
          <w:szCs w:val="20"/>
          <w:color w:val="auto"/>
        </w:rPr>
      </w:pPr>
      <w:r>
        <w:rPr>
          <w:rFonts w:ascii="Arial" w:cs="Arial" w:eastAsia="Arial" w:hAnsi="Arial"/>
          <w:sz w:val="22"/>
          <w:szCs w:val="22"/>
          <w:color w:val="auto"/>
        </w:rPr>
        <w:t>SG&amp;A expenses for the third quarter were 23.3 percent of net sales, down from 24.6 percent last year, primarily from lower incentive compensation expenses.</w:t>
      </w:r>
    </w:p>
    <w:p>
      <w:pPr>
        <w:spacing w:after="0" w:line="173" w:lineRule="exact"/>
        <w:rPr>
          <w:sz w:val="20"/>
          <w:szCs w:val="20"/>
          <w:color w:val="auto"/>
        </w:rPr>
      </w:pPr>
    </w:p>
    <w:p>
      <w:pPr>
        <w:jc w:val="both"/>
        <w:ind w:right="240" w:firstLine="456"/>
        <w:spacing w:after="0" w:line="328" w:lineRule="auto"/>
        <w:rPr>
          <w:sz w:val="20"/>
          <w:szCs w:val="20"/>
          <w:color w:val="auto"/>
        </w:rPr>
      </w:pPr>
      <w:r>
        <w:rPr>
          <w:rFonts w:ascii="Arial" w:cs="Arial" w:eastAsia="Arial" w:hAnsi="Arial"/>
          <w:sz w:val="19"/>
          <w:szCs w:val="19"/>
          <w:color w:val="auto"/>
        </w:rPr>
        <w:t>Interest expense for the third quarter was $4.8 million compared with $3.9 million in the same period last year. The increase was due to higher levels of short-term borrowing to support the company’s share repurchase program and the Hayter acquisition.</w:t>
      </w:r>
    </w:p>
    <w:p>
      <w:pPr>
        <w:spacing w:after="0" w:line="105" w:lineRule="exact"/>
        <w:rPr>
          <w:sz w:val="20"/>
          <w:szCs w:val="20"/>
          <w:color w:val="auto"/>
        </w:rPr>
      </w:pPr>
    </w:p>
    <w:p>
      <w:pPr>
        <w:ind w:right="540" w:firstLine="456"/>
        <w:spacing w:after="0" w:line="251" w:lineRule="auto"/>
        <w:rPr>
          <w:sz w:val="20"/>
          <w:szCs w:val="20"/>
          <w:color w:val="auto"/>
        </w:rPr>
      </w:pPr>
      <w:r>
        <w:rPr>
          <w:rFonts w:ascii="Arial" w:cs="Arial" w:eastAsia="Arial" w:hAnsi="Arial"/>
          <w:sz w:val="22"/>
          <w:szCs w:val="22"/>
          <w:color w:val="auto"/>
        </w:rPr>
        <w:t>During the quarter the full year effective tax rate was reduced from 33.5 percent to 33.0 percent resulting from increased credits for our growing foreign export sales.</w:t>
      </w:r>
    </w:p>
    <w:p>
      <w:pPr>
        <w:spacing w:after="0" w:line="173" w:lineRule="exact"/>
        <w:rPr>
          <w:sz w:val="20"/>
          <w:szCs w:val="20"/>
          <w:color w:val="auto"/>
        </w:rPr>
      </w:pPr>
    </w:p>
    <w:p>
      <w:pPr>
        <w:ind w:right="240" w:firstLine="456"/>
        <w:spacing w:after="0" w:line="238" w:lineRule="auto"/>
        <w:rPr>
          <w:sz w:val="20"/>
          <w:szCs w:val="20"/>
          <w:color w:val="auto"/>
        </w:rPr>
      </w:pPr>
      <w:r>
        <w:rPr>
          <w:rFonts w:ascii="Arial" w:cs="Arial" w:eastAsia="Arial" w:hAnsi="Arial"/>
          <w:sz w:val="22"/>
          <w:szCs w:val="22"/>
          <w:color w:val="auto"/>
        </w:rPr>
        <w:t>Accounts receivable at the end of the third quarter totaled $399.9 million, up 4.9 percent. Net inventories at the end of the third quarter were $235.1 million, up 8.2 percent compared with the end of the fiscal 2004 third quarter. The increases in quarter-ending accounts receivable and inventories result primarily from higher currency exchange rates and the Hayter acquisition completed in the fiscal 2005 second quarter.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OUTLOOK</w:t>
      </w:r>
    </w:p>
    <w:p>
      <w:pPr>
        <w:spacing w:after="0" w:line="212" w:lineRule="exact"/>
        <w:rPr>
          <w:sz w:val="20"/>
          <w:szCs w:val="20"/>
          <w:color w:val="auto"/>
        </w:rPr>
      </w:pPr>
    </w:p>
    <w:p>
      <w:pPr>
        <w:ind w:right="720" w:firstLine="456"/>
        <w:spacing w:after="0" w:line="251" w:lineRule="auto"/>
        <w:rPr>
          <w:sz w:val="20"/>
          <w:szCs w:val="20"/>
          <w:color w:val="auto"/>
        </w:rPr>
      </w:pPr>
      <w:r>
        <w:rPr>
          <w:rFonts w:ascii="Arial" w:cs="Arial" w:eastAsia="Arial" w:hAnsi="Arial"/>
          <w:sz w:val="22"/>
          <w:szCs w:val="22"/>
          <w:color w:val="auto"/>
        </w:rPr>
        <w:t>Toro today said that it expects net earnings per diluted share for fiscal 2005 to exceed last year’s record levels by 16 to 18 percent on revised sales growth of 7 to 9 percent.</w:t>
      </w:r>
    </w:p>
    <w:p>
      <w:pPr>
        <w:spacing w:after="0" w:line="173" w:lineRule="exact"/>
        <w:rPr>
          <w:sz w:val="20"/>
          <w:szCs w:val="20"/>
          <w:color w:val="auto"/>
        </w:rPr>
      </w:pPr>
    </w:p>
    <w:p>
      <w:pPr>
        <w:ind w:right="140" w:firstLine="456"/>
        <w:spacing w:after="0" w:line="238" w:lineRule="auto"/>
        <w:rPr>
          <w:sz w:val="20"/>
          <w:szCs w:val="20"/>
          <w:color w:val="auto"/>
        </w:rPr>
      </w:pPr>
      <w:r>
        <w:rPr>
          <w:rFonts w:ascii="Arial" w:cs="Arial" w:eastAsia="Arial" w:hAnsi="Arial"/>
          <w:sz w:val="22"/>
          <w:szCs w:val="22"/>
          <w:color w:val="auto"/>
        </w:rPr>
        <w:t>“For the fiscal year, financial performance will benefit from a favorable mix of businesses and strong expense management,” said Hoffman. “With sales growth in nearly all professional segment categories and consistent returns from our international growth initiatives we will improve upon last year’s record financial performance despite higher materials costs and unfavorable weather.”</w:t>
      </w:r>
    </w:p>
    <w:p>
      <w:pPr>
        <w:spacing w:after="0" w:line="185" w:lineRule="exact"/>
        <w:rPr>
          <w:sz w:val="20"/>
          <w:szCs w:val="20"/>
          <w:color w:val="auto"/>
        </w:rPr>
      </w:pPr>
    </w:p>
    <w:p>
      <w:pPr>
        <w:ind w:right="20" w:firstLine="456"/>
        <w:spacing w:after="0" w:line="297" w:lineRule="auto"/>
        <w:rPr>
          <w:sz w:val="20"/>
          <w:szCs w:val="20"/>
          <w:color w:val="auto"/>
        </w:rPr>
      </w:pPr>
      <w:r>
        <w:rPr>
          <w:rFonts w:ascii="Arial" w:cs="Arial" w:eastAsia="Arial" w:hAnsi="Arial"/>
          <w:sz w:val="19"/>
          <w:szCs w:val="19"/>
          <w:color w:val="auto"/>
        </w:rPr>
        <w:t>Hoffman attributed the company’s achievements to its 6+8 profit improvement and growth initiative. “Our lean manufacturing and No Waste initiatives helped us to preserve strong profitability in the face of rising materials costs,” said Hoffman. “The efficiencies we are now achieving are sustainable and will continue to benefit our profitability going forward.”</w:t>
      </w:r>
    </w:p>
    <w:p>
      <w:pPr>
        <w:spacing w:after="0" w:line="134" w:lineRule="exact"/>
        <w:rPr>
          <w:sz w:val="20"/>
          <w:szCs w:val="20"/>
          <w:color w:val="auto"/>
        </w:rPr>
      </w:pPr>
    </w:p>
    <w:p>
      <w:pPr>
        <w:ind w:right="140" w:firstLine="456"/>
        <w:spacing w:after="0" w:line="251" w:lineRule="auto"/>
        <w:rPr>
          <w:sz w:val="20"/>
          <w:szCs w:val="20"/>
          <w:color w:val="auto"/>
        </w:rPr>
      </w:pPr>
      <w:r>
        <w:rPr>
          <w:rFonts w:ascii="Arial" w:cs="Arial" w:eastAsia="Arial" w:hAnsi="Arial"/>
          <w:sz w:val="22"/>
          <w:szCs w:val="22"/>
          <w:color w:val="auto"/>
        </w:rPr>
        <w:t>The Toro Company is a leading worldwide provider of outdoor maintenance and beautification products for home, recreation and commercial landscapes.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The Toro Company will conduct a conference call and webcast for investors beginning at</w:t>
      </w:r>
    </w:p>
    <w:p>
      <w:pPr>
        <w:spacing w:after="0" w:line="206" w:lineRule="exact"/>
        <w:rPr>
          <w:sz w:val="20"/>
          <w:szCs w:val="20"/>
          <w:color w:val="auto"/>
        </w:rPr>
      </w:pPr>
    </w:p>
    <w:p>
      <w:pPr>
        <w:ind w:right="360"/>
        <w:spacing w:after="0"/>
        <w:rPr>
          <w:sz w:val="20"/>
          <w:szCs w:val="20"/>
          <w:color w:val="auto"/>
        </w:rPr>
      </w:pPr>
      <w:r>
        <w:rPr>
          <w:rFonts w:ascii="Arial" w:cs="Arial" w:eastAsia="Arial" w:hAnsi="Arial"/>
          <w:sz w:val="22"/>
          <w:szCs w:val="22"/>
          <w:i w:val="1"/>
          <w:iCs w:val="1"/>
          <w:color w:val="auto"/>
        </w:rPr>
        <w:t xml:space="preserve">10:00 a.m. Central Time (CST) on August 23, 2005. The webcast will be available at </w:t>
      </w:r>
      <w:r>
        <w:rPr>
          <w:rFonts w:ascii="Arial" w:cs="Arial" w:eastAsia="Arial" w:hAnsi="Arial"/>
          <w:sz w:val="22"/>
          <w:szCs w:val="22"/>
          <w:i w:val="1"/>
          <w:iCs w:val="1"/>
          <w:u w:val="single" w:color="auto"/>
          <w:color w:val="auto"/>
        </w:rPr>
        <w:t>www.streetevents.com</w:t>
      </w:r>
      <w:r>
        <w:rPr>
          <w:rFonts w:ascii="Arial" w:cs="Arial" w:eastAsia="Arial" w:hAnsi="Arial"/>
          <w:sz w:val="22"/>
          <w:szCs w:val="22"/>
          <w:i w:val="1"/>
          <w:iCs w:val="1"/>
          <w:color w:val="auto"/>
        </w:rPr>
        <w:t xml:space="preserve"> or at </w:t>
      </w:r>
      <w:r>
        <w:rPr>
          <w:rFonts w:ascii="Arial" w:cs="Arial" w:eastAsia="Arial" w:hAnsi="Arial"/>
          <w:sz w:val="22"/>
          <w:szCs w:val="22"/>
          <w:i w:val="1"/>
          <w:iCs w:val="1"/>
          <w:u w:val="single" w:color="auto"/>
          <w:color w:val="auto"/>
        </w:rPr>
        <w:t>www.thetorocompany.com/invest</w:t>
      </w:r>
      <w:r>
        <w:rPr>
          <w:rFonts w:ascii="Arial" w:cs="Arial" w:eastAsia="Arial" w:hAnsi="Arial"/>
          <w:sz w:val="22"/>
          <w:szCs w:val="22"/>
          <w:i w:val="1"/>
          <w:iCs w:val="1"/>
          <w:color w:val="auto"/>
        </w:rPr>
        <w:t>. Webcast participants will need to complete a brief registration form and should allocate extra time before the webcast begins to register and, if necessary, download and install audio software.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initiative which is intended to improve our revenue growth and after-tax return on sales; the company’s ability to achieve sales and earnings per share growth in fiscal 2005; our ability to successfully integrate acquisitions and manage alliances; ability of management to manage around unplanned events; unforeseen product quality problems in the development and production of new and existing products; potential issues with moving production between facilities; fluctuations in the cost and availability of raw materials, including steel and other commodities; rising cost of transportation; level of growth in the golf market; increased dependence on The Home Depot as a customer for the residential segment; reduced government spending for grounds maintenance equipment due to reduced tax revenue and tighter government budgets; increased competition; elimination of shelf space for our products at retailers; financial viability of distributors and dealers; market acceptance of existing and new products; unforeseen inventory adjustments or changes in purchasing patterns by our customers; the impact of abnormal weather patterns; and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65"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(Financial tables follow)</w:t>
      </w:r>
    </w:p>
    <w:p>
      <w:pPr>
        <w:spacing w:after="0" w:line="200"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THE TORO COMPANY AND SUBSIDIARIES</w:t>
      </w:r>
    </w:p>
    <w:p>
      <w:pPr>
        <w:spacing w:after="0" w:line="14"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Condensed Consolidated Statements of Earnings (Unaudited)</w:t>
      </w:r>
    </w:p>
    <w:p>
      <w:pPr>
        <w:spacing w:after="0" w:line="182"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(Dollars and shares in thousands, except per-share data)</w:t>
      </w:r>
    </w:p>
    <w:p>
      <w:pPr>
        <w:sectPr>
          <w:pgSz w:w="11900" w:h="16838" w:orient="portrait"/>
          <w:cols w:equalWidth="0" w:num="1">
            <w:col w:w="11420"/>
          </w:cols>
          <w:pgMar w:left="240" w:top="118" w:right="239" w:bottom="107" w:gutter="0" w:footer="0" w:header="0"/>
        </w:sectPr>
      </w:pPr>
    </w:p>
    <w:bookmarkStart w:id="6" w:name="page7"/>
    <w:bookmarkEnd w:id="6"/>
    <w:p>
      <w:pPr>
        <w:spacing w:after="0" w:line="32"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5"/>
                <w:szCs w:val="15"/>
                <w:color w:val="auto"/>
              </w:rPr>
              <w:t>Three Months Ended</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5"/>
                <w:szCs w:val="15"/>
                <w:color w:val="auto"/>
              </w:rPr>
              <w:t>Nine Months Ended</w:t>
            </w:r>
          </w:p>
        </w:tc>
        <w:tc>
          <w:tcPr>
            <w:tcW w:w="0" w:type="dxa"/>
            <w:vAlign w:val="bottom"/>
          </w:tcPr>
          <w:p>
            <w:pPr>
              <w:spacing w:after="0"/>
              <w:rPr>
                <w:sz w:val="1"/>
                <w:szCs w:val="1"/>
                <w:color w:val="auto"/>
              </w:rPr>
            </w:pPr>
          </w:p>
        </w:tc>
      </w:tr>
      <w:tr>
        <w:trPr>
          <w:trHeight w:val="140"/>
        </w:trPr>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320"/>
              <w:spacing w:after="0" w:line="140" w:lineRule="exact"/>
              <w:rPr>
                <w:sz w:val="20"/>
                <w:szCs w:val="20"/>
                <w:color w:val="auto"/>
              </w:rPr>
            </w:pPr>
            <w:r>
              <w:rPr>
                <w:rFonts w:ascii="Arial" w:cs="Arial" w:eastAsia="Arial" w:hAnsi="Arial"/>
                <w:sz w:val="15"/>
                <w:szCs w:val="15"/>
                <w:b w:val="1"/>
                <w:bCs w:val="1"/>
                <w:color w:val="auto"/>
                <w:w w:val="98"/>
              </w:rPr>
              <w:t>July 29,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320"/>
              <w:spacing w:after="0" w:line="140" w:lineRule="exact"/>
              <w:rPr>
                <w:sz w:val="20"/>
                <w:szCs w:val="20"/>
                <w:color w:val="auto"/>
              </w:rPr>
            </w:pPr>
            <w:r>
              <w:rPr>
                <w:rFonts w:ascii="Arial" w:cs="Arial" w:eastAsia="Arial" w:hAnsi="Arial"/>
                <w:sz w:val="15"/>
                <w:szCs w:val="15"/>
                <w:b w:val="1"/>
                <w:bCs w:val="1"/>
                <w:color w:val="auto"/>
                <w:w w:val="98"/>
              </w:rPr>
              <w:t>July 30,</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520"/>
              <w:spacing w:after="0" w:line="140" w:lineRule="exact"/>
              <w:rPr>
                <w:sz w:val="20"/>
                <w:szCs w:val="20"/>
                <w:color w:val="auto"/>
              </w:rPr>
            </w:pPr>
            <w:r>
              <w:rPr>
                <w:rFonts w:ascii="Arial" w:cs="Arial" w:eastAsia="Arial" w:hAnsi="Arial"/>
                <w:sz w:val="15"/>
                <w:szCs w:val="15"/>
                <w:b w:val="1"/>
                <w:bCs w:val="1"/>
                <w:color w:val="auto"/>
              </w:rPr>
              <w:t>July 29,</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520"/>
              <w:spacing w:after="0" w:line="140" w:lineRule="exact"/>
              <w:rPr>
                <w:sz w:val="20"/>
                <w:szCs w:val="20"/>
                <w:color w:val="auto"/>
              </w:rPr>
            </w:pPr>
            <w:r>
              <w:rPr>
                <w:rFonts w:ascii="Arial" w:cs="Arial" w:eastAsia="Arial" w:hAnsi="Arial"/>
                <w:sz w:val="15"/>
                <w:szCs w:val="15"/>
                <w:b w:val="1"/>
                <w:bCs w:val="1"/>
                <w:color w:val="auto"/>
              </w:rPr>
              <w:t>July 30,</w:t>
            </w:r>
          </w:p>
        </w:tc>
        <w:tc>
          <w:tcPr>
            <w:tcW w:w="0" w:type="dxa"/>
            <w:vAlign w:val="bottom"/>
          </w:tcPr>
          <w:p>
            <w:pPr>
              <w:spacing w:after="0"/>
              <w:rPr>
                <w:sz w:val="1"/>
                <w:szCs w:val="1"/>
                <w:color w:val="auto"/>
              </w:rPr>
            </w:pPr>
          </w:p>
        </w:tc>
      </w:tr>
      <w:tr>
        <w:trPr>
          <w:trHeight w:val="205"/>
        </w:trPr>
        <w:tc>
          <w:tcPr>
            <w:tcW w:w="474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4" w:lineRule="exact"/>
              <w:rPr>
                <w:sz w:val="20"/>
                <w:szCs w:val="20"/>
                <w:color w:val="auto"/>
              </w:rPr>
            </w:pPr>
            <w:r>
              <w:rPr>
                <w:rFonts w:ascii="Arial" w:cs="Arial" w:eastAsia="Arial" w:hAnsi="Arial"/>
                <w:sz w:val="14"/>
                <w:szCs w:val="14"/>
                <w:b w:val="1"/>
                <w:bCs w:val="1"/>
                <w:color w:val="auto"/>
              </w:rPr>
              <w:t>2005</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4" w:lineRule="exact"/>
              <w:rPr>
                <w:sz w:val="20"/>
                <w:szCs w:val="20"/>
                <w:color w:val="auto"/>
              </w:rPr>
            </w:pPr>
            <w:r>
              <w:rPr>
                <w:rFonts w:ascii="Arial" w:cs="Arial" w:eastAsia="Arial" w:hAnsi="Arial"/>
                <w:sz w:val="14"/>
                <w:szCs w:val="14"/>
                <w:b w:val="1"/>
                <w:bCs w:val="1"/>
                <w:color w:val="auto"/>
              </w:rPr>
              <w:t>2004</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
              <w:spacing w:after="0" w:line="204" w:lineRule="exact"/>
              <w:rPr>
                <w:sz w:val="20"/>
                <w:szCs w:val="20"/>
                <w:color w:val="auto"/>
              </w:rPr>
            </w:pPr>
            <w:r>
              <w:rPr>
                <w:rFonts w:ascii="Arial" w:cs="Arial" w:eastAsia="Arial" w:hAnsi="Arial"/>
                <w:sz w:val="14"/>
                <w:szCs w:val="14"/>
                <w:b w:val="1"/>
                <w:bCs w:val="1"/>
                <w:color w:val="auto"/>
              </w:rPr>
              <w:t>2005</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2"/>
              <w:spacing w:after="0" w:line="204" w:lineRule="exact"/>
              <w:rPr>
                <w:sz w:val="20"/>
                <w:szCs w:val="20"/>
                <w:color w:val="auto"/>
              </w:rPr>
            </w:pPr>
            <w:r>
              <w:rPr>
                <w:rFonts w:ascii="Arial" w:cs="Arial" w:eastAsia="Arial" w:hAnsi="Arial"/>
                <w:sz w:val="14"/>
                <w:szCs w:val="14"/>
                <w:b w:val="1"/>
                <w:bCs w:val="1"/>
                <w:color w:val="auto"/>
              </w:rPr>
              <w:t>2004</w:t>
            </w:r>
            <w:r>
              <w:rPr>
                <w:rFonts w:ascii="Arial" w:cs="Arial" w:eastAsia="Arial" w:hAnsi="Arial"/>
                <w:sz w:val="23"/>
                <w:szCs w:val="23"/>
                <w:color w:val="auto"/>
                <w:vertAlign w:val="superscript"/>
              </w:rPr>
              <w:t>2</w:t>
            </w: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w w:val="86"/>
              </w:rPr>
              <w:t>466,942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w w:val="89"/>
              </w:rPr>
              <w:t>454,044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w w:val="87"/>
              </w:rPr>
              <w:t>1,442,296</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w w:val="87"/>
              </w:rPr>
              <w:t>1,315,644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163,261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164,202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501,567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475,691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Gross profit percent</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108,595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111,468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330,376</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324,630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140"/>
              <w:spacing w:after="0"/>
              <w:rPr>
                <w:sz w:val="20"/>
                <w:szCs w:val="20"/>
                <w:color w:val="auto"/>
              </w:rPr>
            </w:pPr>
            <w:r>
              <w:rPr>
                <w:rFonts w:ascii="Arial" w:cs="Arial" w:eastAsia="Arial" w:hAnsi="Arial"/>
                <w:sz w:val="18"/>
                <w:szCs w:val="18"/>
                <w:color w:val="auto"/>
              </w:rPr>
              <w:t>Earnings from operations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54,666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52,734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171,191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151,061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(4,820)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(3,893)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(13,453)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(11,477)</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140"/>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50,488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50,374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160,463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142,891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52,953</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34,377</w:t>
            </w:r>
          </w:p>
        </w:tc>
        <w:tc>
          <w:tcPr>
            <w:tcW w:w="2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34,213</w:t>
            </w:r>
          </w:p>
        </w:tc>
        <w:tc>
          <w:tcPr>
            <w:tcW w:w="2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107,510</w:t>
            </w: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Basic net earnings per share</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4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Diluted net earnings per share</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46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w:t>
            </w: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outstanding – Basic</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44,494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48,738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45,121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49,396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Weighted average number of shares of common stock</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outstanding – Dilutive</w:t>
            </w: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46,438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51,587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46,966</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52,043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940"/>
        <w:spacing w:after="0" w:line="277" w:lineRule="auto"/>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March 28, 2005.</w:t>
      </w:r>
    </w:p>
    <w:p>
      <w:pPr>
        <w:spacing w:after="0" w:line="90" w:lineRule="exact"/>
        <w:rPr>
          <w:sz w:val="20"/>
          <w:szCs w:val="20"/>
          <w:color w:val="auto"/>
        </w:rPr>
      </w:pPr>
    </w:p>
    <w:p>
      <w:pPr>
        <w:ind w:left="100" w:hanging="92"/>
        <w:spacing w:after="0"/>
        <w:tabs>
          <w:tab w:leader="none" w:pos="100" w:val="left"/>
        </w:tabs>
        <w:numPr>
          <w:ilvl w:val="0"/>
          <w:numId w:val="2"/>
        </w:numPr>
        <w:rPr>
          <w:rFonts w:ascii="Arial" w:cs="Arial" w:eastAsia="Arial" w:hAnsi="Arial"/>
          <w:sz w:val="24"/>
          <w:szCs w:val="24"/>
          <w:color w:val="auto"/>
          <w:vertAlign w:val="superscript"/>
        </w:rPr>
      </w:pPr>
      <w:r>
        <w:rPr>
          <w:rFonts w:ascii="Arial" w:cs="Arial" w:eastAsia="Arial" w:hAnsi="Arial"/>
          <w:sz w:val="15"/>
          <w:szCs w:val="15"/>
          <w:color w:val="auto"/>
        </w:rPr>
        <w:t>Prepared under the accounting provisions of Statement of Financial Accounting Standard No. 123 (Revised 2004), “Share-Based Payment.”</w:t>
      </w:r>
    </w:p>
    <w:p>
      <w:pPr>
        <w:spacing w:after="0" w:line="6"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5"/>
          <w:szCs w:val="25"/>
          <w:color w:val="auto"/>
          <w:vertAlign w:val="superscript"/>
        </w:rPr>
        <w:t>2</w:t>
      </w:r>
      <w:r>
        <w:rPr>
          <w:rFonts w:ascii="Arial" w:cs="Arial" w:eastAsia="Arial" w:hAnsi="Arial"/>
          <w:sz w:val="15"/>
          <w:szCs w:val="15"/>
          <w:color w:val="auto"/>
        </w:rPr>
        <w:t xml:space="preserve"> Prepared under the accounting provisions of Accounting Principles Board Opinion No. 25, “Accounting for Stock Issued to Employees,”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(APB No. 25), and related Interpretations.</w:t>
      </w:r>
    </w:p>
    <w:p>
      <w:pPr>
        <w:spacing w:after="0" w:line="124"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THE TORO COMPANY AND SUBSIDIARIES</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Segment Data (Unaudited)</w:t>
      </w:r>
    </w:p>
    <w:p>
      <w:pPr>
        <w:jc w:val="center"/>
        <w:ind w:right="-279"/>
        <w:spacing w:after="0"/>
        <w:rPr>
          <w:sz w:val="20"/>
          <w:szCs w:val="20"/>
          <w:color w:val="auto"/>
        </w:rPr>
      </w:pPr>
      <w:r>
        <w:rPr>
          <w:rFonts w:ascii="Arial" w:cs="Arial" w:eastAsia="Arial" w:hAnsi="Arial"/>
          <w:sz w:val="22"/>
          <w:szCs w:val="22"/>
          <w:b w:val="1"/>
          <w:bCs w:val="1"/>
          <w:color w:val="auto"/>
        </w:rPr>
        <w:t>(Dollars in thousands)</w:t>
      </w: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color w:val="auto"/>
              </w:rPr>
              <w:t>Nine Months Ended</w:t>
            </w:r>
          </w:p>
        </w:tc>
      </w:tr>
      <w:tr>
        <w:trPr>
          <w:trHeight w:val="191"/>
        </w:trPr>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ind w:left="320"/>
              <w:spacing w:after="0" w:line="191" w:lineRule="exact"/>
              <w:rPr>
                <w:sz w:val="20"/>
                <w:szCs w:val="20"/>
                <w:color w:val="auto"/>
              </w:rPr>
            </w:pPr>
            <w:r>
              <w:rPr>
                <w:rFonts w:ascii="Arial" w:cs="Arial" w:eastAsia="Arial" w:hAnsi="Arial"/>
                <w:sz w:val="18"/>
                <w:szCs w:val="18"/>
                <w:b w:val="1"/>
                <w:bCs w:val="1"/>
                <w:color w:val="auto"/>
              </w:rPr>
              <w:t>July 29,</w:t>
            </w:r>
          </w:p>
        </w:tc>
        <w:tc>
          <w:tcPr>
            <w:tcW w:w="260" w:type="dxa"/>
            <w:vAlign w:val="bottom"/>
          </w:tcPr>
          <w:p>
            <w:pPr>
              <w:spacing w:after="0"/>
              <w:rPr>
                <w:sz w:val="16"/>
                <w:szCs w:val="16"/>
                <w:color w:val="auto"/>
              </w:rPr>
            </w:pPr>
          </w:p>
        </w:tc>
        <w:tc>
          <w:tcPr>
            <w:tcW w:w="1280" w:type="dxa"/>
            <w:vAlign w:val="bottom"/>
            <w:gridSpan w:val="3"/>
          </w:tcPr>
          <w:p>
            <w:pPr>
              <w:ind w:left="340"/>
              <w:spacing w:after="0" w:line="191" w:lineRule="exact"/>
              <w:rPr>
                <w:sz w:val="20"/>
                <w:szCs w:val="20"/>
                <w:color w:val="auto"/>
              </w:rPr>
            </w:pPr>
            <w:r>
              <w:rPr>
                <w:rFonts w:ascii="Arial" w:cs="Arial" w:eastAsia="Arial" w:hAnsi="Arial"/>
                <w:sz w:val="18"/>
                <w:szCs w:val="18"/>
                <w:b w:val="1"/>
                <w:bCs w:val="1"/>
                <w:color w:val="auto"/>
              </w:rPr>
              <w:t>July 30,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July 29,</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July 30,</w:t>
            </w:r>
          </w:p>
        </w:tc>
      </w:t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Segment Net Sales</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2004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20"/>
                <w:szCs w:val="20"/>
                <w:color w:val="auto"/>
              </w:rPr>
            </w:pPr>
          </w:p>
        </w:tc>
      </w:tr>
      <w:tr>
        <w:trPr>
          <w:trHeight w:val="195"/>
        </w:trPr>
        <w:tc>
          <w:tcPr>
            <w:tcW w:w="3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260" w:type="dxa"/>
            <w:vAlign w:val="bottom"/>
          </w:tcPr>
          <w:p>
            <w:pPr>
              <w:spacing w:after="0"/>
              <w:rPr>
                <w:sz w:val="16"/>
                <w:szCs w:val="16"/>
                <w:color w:val="auto"/>
              </w:rPr>
            </w:pPr>
          </w:p>
        </w:tc>
        <w:tc>
          <w:tcPr>
            <w:tcW w:w="9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$302,517</w:t>
            </w:r>
          </w:p>
        </w:tc>
        <w:tc>
          <w:tcPr>
            <w:tcW w:w="3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287,928</w:t>
            </w:r>
          </w:p>
        </w:tc>
        <w:tc>
          <w:tcPr>
            <w:tcW w:w="3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936,799</w:t>
            </w:r>
          </w:p>
        </w:tc>
        <w:tc>
          <w:tcPr>
            <w:tcW w:w="4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834,130</w:t>
            </w:r>
          </w:p>
        </w:tc>
        <w:tc>
          <w:tcPr>
            <w:tcW w:w="500" w:type="dxa"/>
            <w:vAlign w:val="bottom"/>
            <w:tcBorders>
              <w:top w:val="single" w:sz="8" w:color="auto"/>
            </w:tcBorders>
          </w:tcPr>
          <w:p>
            <w:pPr>
              <w:spacing w:after="0"/>
              <w:rPr>
                <w:sz w:val="16"/>
                <w:szCs w:val="16"/>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148,590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144,227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472,188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436,952</w:t>
            </w:r>
          </w:p>
        </w:tc>
        <w:tc>
          <w:tcPr>
            <w:tcW w:w="500" w:type="dxa"/>
            <w:vAlign w:val="bottom"/>
          </w:tcPr>
          <w:p>
            <w:pPr>
              <w:spacing w:after="0"/>
              <w:rPr>
                <w:sz w:val="18"/>
                <w:szCs w:val="18"/>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15,835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21,889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33,309</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44,562</w:t>
            </w:r>
          </w:p>
        </w:tc>
        <w:tc>
          <w:tcPr>
            <w:tcW w:w="500" w:type="dxa"/>
            <w:vAlign w:val="bottom"/>
          </w:tcPr>
          <w:p>
            <w:pPr>
              <w:spacing w:after="0"/>
              <w:rPr>
                <w:sz w:val="20"/>
                <w:szCs w:val="20"/>
                <w:color w:val="auto"/>
              </w:rPr>
            </w:pPr>
          </w:p>
        </w:tc>
      </w:tr>
      <w:tr>
        <w:trPr>
          <w:trHeight w:val="223"/>
        </w:trPr>
        <w:tc>
          <w:tcPr>
            <w:tcW w:w="4220" w:type="dxa"/>
            <w:vAlign w:val="bottom"/>
            <w:gridSpan w:val="2"/>
          </w:tcPr>
          <w:p>
            <w:pPr>
              <w:ind w:left="140"/>
              <w:spacing w:after="0"/>
              <w:rPr>
                <w:sz w:val="20"/>
                <w:szCs w:val="20"/>
                <w:color w:val="auto"/>
              </w:rPr>
            </w:pPr>
            <w:r>
              <w:rPr>
                <w:rFonts w:ascii="Arial" w:cs="Arial" w:eastAsia="Arial" w:hAnsi="Arial"/>
                <w:sz w:val="18"/>
                <w:szCs w:val="18"/>
                <w:color w:val="auto"/>
              </w:rPr>
              <w:t>Total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466,942</w:t>
            </w:r>
          </w:p>
        </w:tc>
        <w:tc>
          <w:tcPr>
            <w:tcW w:w="3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454,044</w:t>
            </w:r>
          </w:p>
        </w:tc>
        <w:tc>
          <w:tcPr>
            <w:tcW w:w="3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1,442,296</w:t>
            </w:r>
          </w:p>
        </w:tc>
        <w:tc>
          <w:tcPr>
            <w:tcW w:w="4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1,315,644</w:t>
            </w:r>
          </w:p>
        </w:tc>
        <w:tc>
          <w:tcPr>
            <w:tcW w:w="500" w:type="dxa"/>
            <w:vAlign w:val="bottom"/>
          </w:tcPr>
          <w:p>
            <w:pPr>
              <w:spacing w:after="0"/>
              <w:rPr>
                <w:sz w:val="19"/>
                <w:szCs w:val="19"/>
                <w:color w:val="auto"/>
              </w:rPr>
            </w:pPr>
          </w:p>
        </w:tc>
      </w:tr>
      <w:tr>
        <w:trPr>
          <w:trHeight w:val="20"/>
        </w:trPr>
        <w:tc>
          <w:tcPr>
            <w:tcW w:w="4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1"/>
        </w:trPr>
        <w:tc>
          <w:tcPr>
            <w:tcW w:w="422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108,407</w:t>
            </w:r>
          </w:p>
        </w:tc>
        <w:tc>
          <w:tcPr>
            <w:tcW w:w="3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81,135</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355,782</w:t>
            </w:r>
          </w:p>
        </w:tc>
        <w:tc>
          <w:tcPr>
            <w:tcW w:w="4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268,286</w:t>
            </w:r>
          </w:p>
        </w:tc>
        <w:tc>
          <w:tcPr>
            <w:tcW w:w="500" w:type="dxa"/>
            <w:vAlign w:val="bottom"/>
          </w:tcPr>
          <w:p>
            <w:pPr>
              <w:spacing w:after="0"/>
              <w:rPr>
                <w:sz w:val="18"/>
                <w:szCs w:val="18"/>
                <w:color w:val="auto"/>
              </w:rPr>
            </w:pPr>
          </w:p>
        </w:tc>
      </w:tr>
    </w:tbl>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8"/>
                <w:szCs w:val="18"/>
                <w:color w:val="auto"/>
              </w:rPr>
              <w:t>Nine Months Ended</w:t>
            </w:r>
          </w:p>
        </w:tc>
      </w:tr>
      <w:tr>
        <w:trPr>
          <w:trHeight w:val="191"/>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2"/>
          </w:tcPr>
          <w:p>
            <w:pPr>
              <w:jc w:val="right"/>
              <w:ind w:right="410"/>
              <w:spacing w:after="0" w:line="191" w:lineRule="exact"/>
              <w:rPr>
                <w:sz w:val="20"/>
                <w:szCs w:val="20"/>
                <w:color w:val="auto"/>
              </w:rPr>
            </w:pPr>
            <w:r>
              <w:rPr>
                <w:rFonts w:ascii="Arial" w:cs="Arial" w:eastAsia="Arial" w:hAnsi="Arial"/>
                <w:sz w:val="18"/>
                <w:szCs w:val="18"/>
                <w:b w:val="1"/>
                <w:bCs w:val="1"/>
                <w:color w:val="auto"/>
                <w:w w:val="90"/>
              </w:rPr>
              <w:t>July 29,</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90"/>
              </w:rPr>
              <w:t>July 30,</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0"/>
              </w:rPr>
              <w:t>July 29,</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0"/>
              </w:rPr>
              <w:t>July 30,</w:t>
            </w:r>
          </w:p>
        </w:tc>
      </w:tr>
      <w:tr>
        <w:trPr>
          <w:trHeight w:val="234"/>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w w:val="95"/>
              </w:rPr>
              <w:t>Segment Earnings (Loss) Before Income Taxes</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2005</w:t>
            </w:r>
          </w:p>
        </w:tc>
        <w:tc>
          <w:tcPr>
            <w:tcW w:w="56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56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0"/>
                <w:szCs w:val="20"/>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2004</w:t>
            </w:r>
          </w:p>
        </w:tc>
        <w:tc>
          <w:tcPr>
            <w:tcW w:w="400" w:type="dxa"/>
            <w:vAlign w:val="bottom"/>
          </w:tcPr>
          <w:p>
            <w:pPr>
              <w:spacing w:after="0"/>
              <w:rPr>
                <w:sz w:val="20"/>
                <w:szCs w:val="20"/>
                <w:color w:val="auto"/>
              </w:rPr>
            </w:pPr>
          </w:p>
        </w:tc>
      </w:tr>
      <w:tr>
        <w:trPr>
          <w:trHeight w:val="195"/>
        </w:trPr>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Professional</w:t>
            </w:r>
          </w:p>
        </w:tc>
        <w:tc>
          <w:tcPr>
            <w:tcW w:w="280" w:type="dxa"/>
            <w:vAlign w:val="bottom"/>
          </w:tcPr>
          <w:p>
            <w:pPr>
              <w:spacing w:after="0"/>
              <w:rPr>
                <w:sz w:val="16"/>
                <w:szCs w:val="16"/>
                <w:color w:val="auto"/>
              </w:rPr>
            </w:pPr>
          </w:p>
        </w:tc>
        <w:tc>
          <w:tcPr>
            <w:tcW w:w="10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$ 59,894</w:t>
            </w:r>
          </w:p>
        </w:tc>
        <w:tc>
          <w:tcPr>
            <w:tcW w:w="56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$ 54,326</w:t>
            </w:r>
          </w:p>
        </w:tc>
        <w:tc>
          <w:tcPr>
            <w:tcW w:w="5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$183,382</w:t>
            </w:r>
          </w:p>
        </w:tc>
        <w:tc>
          <w:tcPr>
            <w:tcW w:w="3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$154,479</w:t>
            </w:r>
          </w:p>
        </w:tc>
        <w:tc>
          <w:tcPr>
            <w:tcW w:w="400" w:type="dxa"/>
            <w:vAlign w:val="bottom"/>
            <w:tcBorders>
              <w:top w:val="single" w:sz="8" w:color="auto"/>
            </w:tcBorders>
          </w:tcPr>
          <w:p>
            <w:pPr>
              <w:spacing w:after="0"/>
              <w:rPr>
                <w:sz w:val="16"/>
                <w:szCs w:val="16"/>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10,096</w:t>
            </w:r>
          </w:p>
        </w:tc>
        <w:tc>
          <w:tcPr>
            <w:tcW w:w="5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17,635</w:t>
            </w:r>
          </w:p>
        </w:tc>
        <w:tc>
          <w:tcPr>
            <w:tcW w:w="5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43,493</w:t>
            </w:r>
          </w:p>
        </w:tc>
        <w:tc>
          <w:tcPr>
            <w:tcW w:w="3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52,691</w:t>
            </w:r>
          </w:p>
        </w:tc>
        <w:tc>
          <w:tcPr>
            <w:tcW w:w="400" w:type="dxa"/>
            <w:vAlign w:val="bottom"/>
          </w:tcPr>
          <w:p>
            <w:pPr>
              <w:spacing w:after="0"/>
              <w:rPr>
                <w:sz w:val="18"/>
                <w:szCs w:val="18"/>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0" w:type="dxa"/>
            <w:vAlign w:val="bottom"/>
            <w:gridSpan w:val="3"/>
          </w:tcPr>
          <w:p>
            <w:pPr>
              <w:jc w:val="right"/>
              <w:ind w:right="410"/>
              <w:spacing w:after="0"/>
              <w:rPr>
                <w:sz w:val="20"/>
                <w:szCs w:val="20"/>
                <w:color w:val="auto"/>
              </w:rPr>
            </w:pPr>
            <w:r>
              <w:rPr>
                <w:rFonts w:ascii="Arial" w:cs="Arial" w:eastAsia="Arial" w:hAnsi="Arial"/>
                <w:sz w:val="18"/>
                <w:szCs w:val="18"/>
                <w:color w:val="auto"/>
              </w:rPr>
              <w:t>(19,502)</w:t>
            </w:r>
          </w:p>
        </w:tc>
        <w:tc>
          <w:tcPr>
            <w:tcW w:w="2020" w:type="dxa"/>
            <w:vAlign w:val="bottom"/>
            <w:gridSpan w:val="4"/>
          </w:tcPr>
          <w:p>
            <w:pPr>
              <w:jc w:val="right"/>
              <w:ind w:right="500"/>
              <w:spacing w:after="0"/>
              <w:rPr>
                <w:sz w:val="20"/>
                <w:szCs w:val="20"/>
                <w:color w:val="auto"/>
              </w:rPr>
            </w:pPr>
            <w:r>
              <w:rPr>
                <w:rFonts w:ascii="Arial" w:cs="Arial" w:eastAsia="Arial" w:hAnsi="Arial"/>
                <w:sz w:val="18"/>
                <w:szCs w:val="18"/>
                <w:color w:val="auto"/>
              </w:rPr>
              <w:t>(21,587)</w:t>
            </w:r>
          </w:p>
        </w:tc>
        <w:tc>
          <w:tcPr>
            <w:tcW w:w="1660" w:type="dxa"/>
            <w:vAlign w:val="bottom"/>
            <w:gridSpan w:val="4"/>
          </w:tcPr>
          <w:p>
            <w:pPr>
              <w:jc w:val="right"/>
              <w:ind w:right="340"/>
              <w:spacing w:after="0"/>
              <w:rPr>
                <w:sz w:val="20"/>
                <w:szCs w:val="20"/>
                <w:color w:val="auto"/>
              </w:rPr>
            </w:pPr>
            <w:r>
              <w:rPr>
                <w:rFonts w:ascii="Arial" w:cs="Arial" w:eastAsia="Arial" w:hAnsi="Arial"/>
                <w:sz w:val="18"/>
                <w:szCs w:val="18"/>
                <w:color w:val="auto"/>
              </w:rPr>
              <w:t>(66,412)</w:t>
            </w:r>
          </w:p>
        </w:tc>
        <w:tc>
          <w:tcPr>
            <w:tcW w:w="1700" w:type="dxa"/>
            <w:vAlign w:val="bottom"/>
            <w:gridSpan w:val="4"/>
          </w:tcPr>
          <w:p>
            <w:pPr>
              <w:jc w:val="right"/>
              <w:ind w:right="360"/>
              <w:spacing w:after="0"/>
              <w:rPr>
                <w:sz w:val="20"/>
                <w:szCs w:val="20"/>
                <w:color w:val="auto"/>
              </w:rPr>
            </w:pPr>
            <w:r>
              <w:rPr>
                <w:rFonts w:ascii="Arial" w:cs="Arial" w:eastAsia="Arial" w:hAnsi="Arial"/>
                <w:sz w:val="18"/>
                <w:szCs w:val="18"/>
                <w:color w:val="auto"/>
              </w:rPr>
              <w:t>(64,279)</w:t>
            </w:r>
          </w:p>
        </w:tc>
      </w:tr>
      <w:tr>
        <w:trPr>
          <w:trHeight w:val="223"/>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50,488</w:t>
            </w:r>
          </w:p>
        </w:tc>
        <w:tc>
          <w:tcPr>
            <w:tcW w:w="5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50,374</w:t>
            </w:r>
          </w:p>
        </w:tc>
        <w:tc>
          <w:tcPr>
            <w:tcW w:w="5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160,463</w:t>
            </w:r>
          </w:p>
        </w:tc>
        <w:tc>
          <w:tcPr>
            <w:tcW w:w="3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142,891</w:t>
            </w:r>
          </w:p>
        </w:tc>
        <w:tc>
          <w:tcPr>
            <w:tcW w:w="40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Condensed Consolidated Balance Sheets (Unaudited)</w:t>
      </w:r>
    </w:p>
    <w:p>
      <w:pPr>
        <w:spacing w:after="0" w:line="14"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(Dollars in thousands)</w:t>
      </w:r>
    </w:p>
    <w:p>
      <w:pPr>
        <w:spacing w:after="0" w:line="36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29,</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30,</w:t>
            </w:r>
          </w:p>
        </w:tc>
        <w:tc>
          <w:tcPr>
            <w:tcW w:w="0" w:type="dxa"/>
            <w:vAlign w:val="bottom"/>
          </w:tcPr>
          <w:p>
            <w:pPr>
              <w:spacing w:after="0"/>
              <w:rPr>
                <w:sz w:val="1"/>
                <w:szCs w:val="1"/>
                <w:color w:val="auto"/>
              </w:rPr>
            </w:pPr>
          </w:p>
        </w:tc>
      </w:tr>
      <w:tr>
        <w:trPr>
          <w:trHeight w:val="234"/>
        </w:trPr>
        <w:tc>
          <w:tcPr>
            <w:tcW w:w="736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2005</w:t>
            </w:r>
          </w:p>
        </w:tc>
        <w:tc>
          <w:tcPr>
            <w:tcW w:w="48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60" w:type="dxa"/>
            <w:vAlign w:val="bottom"/>
            <w:gridSpan w:val="3"/>
            <w:vMerge w:val="continue"/>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34,665</w:t>
            </w:r>
          </w:p>
        </w:tc>
        <w:tc>
          <w:tcPr>
            <w:tcW w:w="480" w:type="dxa"/>
            <w:vAlign w:val="bottom"/>
          </w:tcPr>
          <w:p>
            <w:pPr>
              <w:spacing w:after="0"/>
              <w:rPr>
                <w:sz w:val="18"/>
                <w:szCs w:val="18"/>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34,022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Receivables, net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399,883</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381,329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235,146</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217,357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14,142</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13,968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57,526</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ind w:left="12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741,362</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695,779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6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166,890</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164,851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3"/>
          </w:tcPr>
          <w:p>
            <w:pPr>
              <w:spacing w:after="0"/>
              <w:rPr>
                <w:sz w:val="20"/>
                <w:szCs w:val="20"/>
                <w:color w:val="auto"/>
              </w:rPr>
            </w:pPr>
            <w:r>
              <w:rPr>
                <w:rFonts w:ascii="Arial" w:cs="Arial" w:eastAsia="Arial" w:hAnsi="Arial"/>
                <w:sz w:val="18"/>
                <w:szCs w:val="18"/>
                <w:color w:val="auto"/>
              </w:rPr>
              <w:t>Goodwill and other assets</w:t>
            </w: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104,247</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ind w:left="120"/>
              <w:spacing w:after="0"/>
              <w:rPr>
                <w:sz w:val="20"/>
                <w:szCs w:val="20"/>
                <w:color w:val="auto"/>
              </w:rPr>
            </w:pPr>
            <w:r>
              <w:rPr>
                <w:rFonts w:ascii="Arial" w:cs="Arial" w:eastAsia="Arial" w:hAnsi="Arial"/>
                <w:sz w:val="18"/>
                <w:szCs w:val="18"/>
                <w:color w:val="auto"/>
              </w:rPr>
              <w:t>Total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1,012,538</w:t>
            </w:r>
          </w:p>
        </w:tc>
        <w:tc>
          <w:tcPr>
            <w:tcW w:w="4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960,753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3"/>
            <w:vMerge w:val="continue"/>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4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54,509</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75,964</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68,245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273,435</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256,392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ind w:left="12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403,953</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327,827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6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175,012</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175,058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gridSpan w:val="3"/>
          </w:tcPr>
          <w:p>
            <w:pPr>
              <w:spacing w:after="0"/>
              <w:rPr>
                <w:sz w:val="20"/>
                <w:szCs w:val="20"/>
                <w:color w:val="auto"/>
              </w:rPr>
            </w:pPr>
            <w:r>
              <w:rPr>
                <w:rFonts w:ascii="Arial" w:cs="Arial" w:eastAsia="Arial" w:hAnsi="Arial"/>
                <w:sz w:val="18"/>
                <w:szCs w:val="18"/>
                <w:color w:val="auto"/>
              </w:rPr>
              <w:t>Long-term deferred income taxes</w:t>
            </w: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3,837</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70" w:orient="portrait"/>
          <w:cols w:equalWidth="0" w:num="1">
            <w:col w:w="11140"/>
          </w:cols>
          <w:pgMar w:left="240" w:top="125" w:right="51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 revenue and other long-term liabilities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14,806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12,747</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Stockholders’ equity</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414,930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445,121</w:t>
            </w:r>
          </w:p>
        </w:tc>
      </w:tr>
      <w:tr>
        <w:trPr>
          <w:trHeight w:val="223"/>
        </w:trPr>
        <w:tc>
          <w:tcPr>
            <w:tcW w:w="560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1,012,538</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960,753</w:t>
            </w:r>
          </w:p>
        </w:tc>
      </w:tr>
      <w:tr>
        <w:trPr>
          <w:trHeight w:val="20"/>
        </w:trPr>
        <w:tc>
          <w:tcPr>
            <w:tcW w:w="5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THE TORO COMPANY AND SUBSIDIARIES</w:t>
      </w:r>
    </w:p>
    <w:p>
      <w:pPr>
        <w:spacing w:after="0" w:line="206"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Condensed Consolidated Statements of Cash Flows (Unaudited)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right"/>
              <w:ind w:right="10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1"/>
        </w:trPr>
        <w:tc>
          <w:tcPr>
            <w:tcW w:w="7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tcPr>
          <w:p>
            <w:pPr>
              <w:jc w:val="right"/>
              <w:ind w:right="520"/>
              <w:spacing w:after="0" w:line="191" w:lineRule="exact"/>
              <w:rPr>
                <w:sz w:val="20"/>
                <w:szCs w:val="20"/>
                <w:color w:val="auto"/>
              </w:rPr>
            </w:pPr>
            <w:r>
              <w:rPr>
                <w:rFonts w:ascii="Arial" w:cs="Arial" w:eastAsia="Arial" w:hAnsi="Arial"/>
                <w:sz w:val="18"/>
                <w:szCs w:val="18"/>
                <w:b w:val="1"/>
                <w:bCs w:val="1"/>
                <w:color w:val="auto"/>
                <w:w w:val="87"/>
              </w:rPr>
              <w:t>July 29,</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0"/>
              </w:rPr>
              <w:t>July 30,</w:t>
            </w:r>
          </w:p>
        </w:tc>
        <w:tc>
          <w:tcPr>
            <w:tcW w:w="0" w:type="dxa"/>
            <w:vAlign w:val="bottom"/>
          </w:tcPr>
          <w:p>
            <w:pPr>
              <w:spacing w:after="0"/>
              <w:rPr>
                <w:sz w:val="1"/>
                <w:szCs w:val="1"/>
                <w:color w:val="auto"/>
              </w:rPr>
            </w:pPr>
          </w:p>
        </w:tc>
      </w:tr>
      <w:tr>
        <w:trPr>
          <w:trHeight w:val="234"/>
        </w:trPr>
        <w:tc>
          <w:tcPr>
            <w:tcW w:w="72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2005</w:t>
            </w: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2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earnings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107,510</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95,737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Non-cash asset impairment recovery</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Equity losses from an investment</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510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Provision for depreciation and amortization</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30,110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25,398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Gain on disposal of property, plant, and equipment</w:t>
            </w:r>
          </w:p>
        </w:tc>
        <w:tc>
          <w:tcPr>
            <w:tcW w:w="48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7,284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Increase in deferred income taxes</w:t>
            </w:r>
          </w:p>
        </w:tc>
        <w:tc>
          <w:tcPr>
            <w:tcW w:w="48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(13,146)</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60"/>
              <w:spacing w:after="0"/>
              <w:rPr>
                <w:sz w:val="20"/>
                <w:szCs w:val="20"/>
                <w:color w:val="auto"/>
              </w:rPr>
            </w:pPr>
            <w:r>
              <w:rPr>
                <w:rFonts w:ascii="Arial" w:cs="Arial" w:eastAsia="Arial" w:hAnsi="Arial"/>
                <w:sz w:val="18"/>
                <w:szCs w:val="18"/>
                <w:color w:val="auto"/>
              </w:rPr>
              <w:t>Receivables, net</w:t>
            </w:r>
          </w:p>
        </w:tc>
        <w:tc>
          <w:tcPr>
            <w:tcW w:w="48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(91,979)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(107,990)</w:t>
            </w:r>
          </w:p>
        </w:tc>
        <w:tc>
          <w:tcPr>
            <w:tcW w:w="0" w:type="dxa"/>
            <w:vAlign w:val="bottom"/>
          </w:tcPr>
          <w:p>
            <w:pPr>
              <w:spacing w:after="0"/>
              <w:rPr>
                <w:sz w:val="1"/>
                <w:szCs w:val="1"/>
                <w:color w:val="auto"/>
              </w:rPr>
            </w:pPr>
          </w:p>
        </w:tc>
      </w:tr>
      <w:tr>
        <w:trPr>
          <w:trHeight w:val="216"/>
        </w:trPr>
        <w:tc>
          <w:tcPr>
            <w:tcW w:w="728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48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(767)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11,787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2,897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4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25,764</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50,343</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67,844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73,821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48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(24,294)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(31,185)</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Proceeds from disposal of property, plant, and equipment</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2,447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Increase in investment in affiliates</w:t>
            </w:r>
          </w:p>
        </w:tc>
        <w:tc>
          <w:tcPr>
            <w:tcW w:w="48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Decrease in other assets</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Proceeds from sale of a business</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765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Acquisition, net of cash acquired</w:t>
            </w:r>
          </w:p>
        </w:tc>
        <w:tc>
          <w:tcPr>
            <w:tcW w:w="480" w:type="dxa"/>
            <w:vAlign w:val="bottom"/>
          </w:tcPr>
          <w:p>
            <w:pPr>
              <w:spacing w:after="0"/>
              <w:rPr>
                <w:sz w:val="20"/>
                <w:szCs w:val="20"/>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(35,285)</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(56,406</w:t>
            </w:r>
          </w:p>
        </w:tc>
        <w:tc>
          <w:tcPr>
            <w:tcW w:w="480" w:type="dxa"/>
            <w:vAlign w:val="bottom"/>
            <w:gridSpan w:val="2"/>
          </w:tcPr>
          <w:p>
            <w:pPr>
              <w:jc w:val="right"/>
              <w:ind w:right="4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(30,345</w:t>
            </w:r>
          </w:p>
        </w:tc>
        <w:tc>
          <w:tcPr>
            <w:tcW w:w="480" w:type="dxa"/>
            <w:vAlign w:val="bottom"/>
          </w:tcPr>
          <w:p>
            <w:pPr>
              <w:jc w:val="right"/>
              <w:ind w:right="40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Increase in short-term debt</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53,374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48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Excess tax benefits from share-based arrangements</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5,665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8,087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7,609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12,018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Purchases of Toro common stock</w:t>
            </w:r>
          </w:p>
        </w:tc>
        <w:tc>
          <w:tcPr>
            <w:tcW w:w="48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w w:val="90"/>
              </w:rPr>
              <w:t>(125,093)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(132,234)</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Dividends paid on Toro common stock</w:t>
            </w:r>
          </w:p>
        </w:tc>
        <w:tc>
          <w:tcPr>
            <w:tcW w:w="480" w:type="dxa"/>
            <w:vAlign w:val="bottom"/>
          </w:tcPr>
          <w:p>
            <w:pPr>
              <w:spacing w:after="0"/>
              <w:rPr>
                <w:sz w:val="20"/>
                <w:szCs w:val="20"/>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auto"/>
              </w:rPr>
              <w:t>(8,151)</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23"/>
        </w:trPr>
        <w:tc>
          <w:tcPr>
            <w:tcW w:w="7280" w:type="dxa"/>
            <w:vAlign w:val="bottom"/>
          </w:tcPr>
          <w:p>
            <w:pPr>
              <w:ind w:left="400"/>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(66,630</w:t>
            </w:r>
          </w:p>
        </w:tc>
        <w:tc>
          <w:tcPr>
            <w:tcW w:w="480" w:type="dxa"/>
            <w:vAlign w:val="bottom"/>
            <w:gridSpan w:val="2"/>
          </w:tcPr>
          <w:p>
            <w:pPr>
              <w:jc w:val="right"/>
              <w:ind w:right="4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(119,344</w:t>
            </w:r>
          </w:p>
        </w:tc>
        <w:tc>
          <w:tcPr>
            <w:tcW w:w="480" w:type="dxa"/>
            <w:vAlign w:val="bottom"/>
          </w:tcPr>
          <w:p>
            <w:pPr>
              <w:jc w:val="right"/>
              <w:ind w:right="40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(899)</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2"/>
              </w:rPr>
              <w:t>(56,091)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(76,265)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4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90,756</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110,287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34,665</w:t>
            </w:r>
          </w:p>
        </w:tc>
        <w:tc>
          <w:tcPr>
            <w:tcW w:w="4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40"/>
      </w:cols>
      <w:pgMar w:left="54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2019-12-13T13:37:50Z</dcterms:created>
  <dcterms:modified xsi:type="dcterms:W3CDTF">2019-12-13T13:37:50Z</dcterms:modified>
</cp:coreProperties>
</file>