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1-8649</w:t>
            </w:r>
          </w:p>
        </w:tc>
        <w:tc>
          <w:tcPr>
            <w:tcW w:w="1420" w:type="dxa"/>
            <w:vAlign w:val="bottom"/>
          </w:tcPr>
          <w:p>
            <w:pPr>
              <w:spacing w:after="0"/>
              <w:rPr>
                <w:sz w:val="19"/>
                <w:szCs w:val="19"/>
                <w:color w:val="auto"/>
              </w:rPr>
            </w:pPr>
          </w:p>
        </w:tc>
        <w:tc>
          <w:tcPr>
            <w:tcW w:w="4000" w:type="dxa"/>
            <w:vAlign w:val="bottom"/>
          </w:tcPr>
          <w:p>
            <w:pPr>
              <w:jc w:val="right"/>
              <w:ind w:right="12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420" w:type="dxa"/>
            <w:vAlign w:val="bottom"/>
          </w:tcPr>
          <w:p>
            <w:pPr>
              <w:jc w:val="center"/>
              <w:ind w:right="750"/>
              <w:spacing w:after="0"/>
              <w:rPr>
                <w:sz w:val="20"/>
                <w:szCs w:val="20"/>
                <w:color w:val="auto"/>
              </w:rPr>
            </w:pPr>
            <w:r>
              <w:rPr>
                <w:rFonts w:ascii="Arial" w:cs="Arial" w:eastAsia="Arial" w:hAnsi="Arial"/>
                <w:sz w:val="18"/>
                <w:szCs w:val="18"/>
                <w:color w:val="auto"/>
                <w:w w:val="92"/>
              </w:rPr>
              <w:t>(State of Incorporation)</w:t>
            </w:r>
          </w:p>
        </w:tc>
        <w:tc>
          <w:tcPr>
            <w:tcW w:w="300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33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420" w:type="dxa"/>
            <w:vAlign w:val="bottom"/>
          </w:tcPr>
          <w:p>
            <w:pPr>
              <w:jc w:val="center"/>
              <w:ind w:left="930"/>
              <w:spacing w:after="0"/>
              <w:rPr>
                <w:sz w:val="20"/>
                <w:szCs w:val="20"/>
                <w:color w:val="auto"/>
              </w:rPr>
            </w:pPr>
            <w:r>
              <w:rPr>
                <w:rFonts w:ascii="Arial" w:cs="Arial" w:eastAsia="Arial" w:hAnsi="Arial"/>
                <w:sz w:val="18"/>
                <w:szCs w:val="18"/>
                <w:b w:val="1"/>
                <w:bCs w:val="1"/>
                <w:color w:val="auto"/>
                <w:w w:val="88"/>
              </w:rPr>
              <w:t>8111 Lyndale Avenue South</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4"/>
        </w:trPr>
        <w:tc>
          <w:tcPr>
            <w:tcW w:w="4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89"/>
              </w:rPr>
              <w:t>Bloomington, Minnesota</w:t>
            </w:r>
          </w:p>
        </w:tc>
        <w:tc>
          <w:tcPr>
            <w:tcW w:w="10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55420</w:t>
            </w:r>
          </w:p>
        </w:tc>
      </w:tr>
      <w:tr>
        <w:trPr>
          <w:trHeight w:val="224"/>
        </w:trPr>
        <w:tc>
          <w:tcPr>
            <w:tcW w:w="4420" w:type="dxa"/>
            <w:vAlign w:val="bottom"/>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On November 9, 2010, The Toro Company (“Toro”), and each of Toro Credit Company, Toro Manufacturing LLC, Exmark Manufacturing Company Incorporated, Toro International Company, Tover Overseas B.V., and Toro Factoring Company Limited, each of which is a subsidiary of Toro (collectively, with Toro, the “Borrowers”), entered into Amendment No. 5 to Credit Agreement (the “Amendment”), with certain lenders from time to time party thereto (the “Lenders”), and Bank of America, N.A., as Administrative Agent, Swing Line Lender, and L/C Issuer (the “Agent”). The Amendment amends that certain Credit Agreement, dated as of September 8, 2004 (as amended to date, the “Credit Agreement”), which was previously amended by Amendment No. 1 to Credit Agreement dated as of October 25, 2005, Amendment No. 2 to Credit Agreement dated as of January 10, 2007, Amendment No. 3 to Credit Agreement effective as of February 28, 2007, and Amendment No. 4 to Credit Agreement dated as of February 29, 2008.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Amendment, at Toro’s request, (i) reduces the aggregate loan commitments available to Toro under the Credit Agreement from $225 million to</w:t>
      </w:r>
    </w:p>
    <w:p>
      <w:pPr>
        <w:spacing w:after="0" w:line="35" w:lineRule="exact"/>
        <w:rPr>
          <w:sz w:val="20"/>
          <w:szCs w:val="20"/>
          <w:color w:val="auto"/>
        </w:rPr>
      </w:pPr>
    </w:p>
    <w:p>
      <w:pPr>
        <w:ind w:left="240" w:right="160"/>
        <w:spacing w:after="0" w:line="253" w:lineRule="auto"/>
        <w:rPr>
          <w:sz w:val="20"/>
          <w:szCs w:val="20"/>
          <w:color w:val="auto"/>
        </w:rPr>
      </w:pPr>
      <w:r>
        <w:rPr>
          <w:rFonts w:ascii="Arial" w:cs="Arial" w:eastAsia="Arial" w:hAnsi="Arial"/>
          <w:sz w:val="18"/>
          <w:szCs w:val="18"/>
          <w:color w:val="auto"/>
        </w:rPr>
        <w:t>$175 million, (ii) replaces the maximum total indebtedness to capitalization covenant with a covenant providing that Toro’s maximum total indebtedness to consolidated EBITDA shall not exceed 3.25 to 1.00 for any four-quarter period, and (iii) clarifies the restrictions regarding permitted loans and investments. The foregoing description of the Amendment is a summary of the material terms of such agreement, does not purport to be complete and is qualified in its entirety by reference to the complete text of the Amendment, a copy of which is filed as Exhibit 10.1 to this Current Report on Form 8-K and is incorporated herein by reference.</w:t>
      </w:r>
    </w:p>
    <w:p>
      <w:pPr>
        <w:spacing w:after="0" w:line="83" w:lineRule="exact"/>
        <w:rPr>
          <w:sz w:val="20"/>
          <w:szCs w:val="20"/>
          <w:color w:val="auto"/>
        </w:rPr>
      </w:pPr>
    </w:p>
    <w:p>
      <w:pPr>
        <w:ind w:left="240" w:right="80"/>
        <w:spacing w:after="0" w:line="255" w:lineRule="auto"/>
        <w:rPr>
          <w:sz w:val="20"/>
          <w:szCs w:val="20"/>
          <w:color w:val="auto"/>
        </w:rPr>
      </w:pPr>
      <w:r>
        <w:rPr>
          <w:rFonts w:ascii="Arial" w:cs="Arial" w:eastAsia="Arial" w:hAnsi="Arial"/>
          <w:sz w:val="18"/>
          <w:szCs w:val="18"/>
          <w:color w:val="auto"/>
        </w:rPr>
        <w:t>Bank of America, N.A. and its affiliates, including Banc of America Securities LLC, have in the past performed, and may in the future from time to time perform, investment banking, financial advisory, lending and/or commercial banking services for Toro and its subsidiaries in arm’s length transactions, on terms customarily available to unrelated third-parties and for which services it has in the past received, and may in the future receive, customary compensation and reimbursement of expenses. Additionally, certain other Lenders and their affiliates have in the past performed, and may in the future from time to time perform, financial services for Toro and its subsidiaries in arm’s length transactions, on terms customarily available to unrelated third-parties and for which services such Lenders have in the past received, and may in the future receive, customary compensation and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5"/>
              </w:rPr>
              <w:t>Amendment No. 5 to Credit Agreement, dated as of November 9, 2010, by and among The Toro Company, Toro Credit Company, Toro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Manufacturing LLC, Exmark Manufacturing Company Incorporated, Toro International Company, Tover Overseas B.V., and Toro Factoring</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Company Limited, each as a Borrower, each lender from time to time party thereto, and Bank of America, N.A., as Administrative Agent,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Swing Line Lender, and L/C Issuer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120" w:type="dxa"/>
            <w:vAlign w:val="bottom"/>
            <w:gridSpan w:val="2"/>
          </w:tcPr>
          <w:p>
            <w:pPr>
              <w:ind w:left="1720"/>
              <w:spacing w:after="0"/>
              <w:rPr>
                <w:sz w:val="20"/>
                <w:szCs w:val="20"/>
                <w:color w:val="auto"/>
              </w:rPr>
            </w:pPr>
            <w:r>
              <w:rPr>
                <w:rFonts w:ascii="Arial" w:cs="Arial" w:eastAsia="Arial" w:hAnsi="Arial"/>
                <w:sz w:val="18"/>
                <w:szCs w:val="18"/>
                <w:color w:val="auto"/>
              </w:rPr>
              <w:t>THE TORO COMPANY</w:t>
            </w:r>
          </w:p>
        </w:tc>
        <w:tc>
          <w:tcPr>
            <w:tcW w:w="16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612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10, 2010</w:t>
            </w:r>
          </w:p>
        </w:tc>
        <w:tc>
          <w:tcPr>
            <w:tcW w:w="6120" w:type="dxa"/>
            <w:vAlign w:val="bottom"/>
            <w:gridSpan w:val="2"/>
          </w:tcPr>
          <w:p>
            <w:pPr>
              <w:ind w:left="1720"/>
              <w:spacing w:after="0"/>
              <w:rPr>
                <w:sz w:val="20"/>
                <w:szCs w:val="20"/>
                <w:color w:val="auto"/>
              </w:rPr>
            </w:pPr>
            <w:r>
              <w:rPr>
                <w:rFonts w:ascii="Arial" w:cs="Arial" w:eastAsia="Arial" w:hAnsi="Arial"/>
                <w:sz w:val="18"/>
                <w:szCs w:val="18"/>
                <w:color w:val="auto"/>
              </w:rPr>
              <w:t>By /s/ Stephen P. Wolfe</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P. Wolfe</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9"/>
              </w:rPr>
              <w:t>Vice President, Finance and Chief Financial Officer</w:t>
            </w:r>
          </w:p>
        </w:tc>
        <w:tc>
          <w:tcPr>
            <w:tcW w:w="1680" w:type="dxa"/>
            <w:vAlign w:val="bottom"/>
          </w:tcPr>
          <w:p>
            <w:pPr>
              <w:spacing w:after="0"/>
              <w:rPr>
                <w:sz w:val="20"/>
                <w:szCs w:val="20"/>
                <w:color w:val="auto"/>
              </w:rPr>
            </w:pPr>
          </w:p>
        </w:tc>
      </w:tr>
      <w:tr>
        <w:trPr>
          <w:trHeight w:val="632"/>
        </w:trPr>
        <w:tc>
          <w:tcPr>
            <w:tcW w:w="36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8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9800" w:type="dxa"/>
            <w:vAlign w:val="bottom"/>
          </w:tcPr>
          <w:p>
            <w:pPr>
              <w:spacing w:after="0" w:line="195" w:lineRule="exact"/>
              <w:rPr>
                <w:sz w:val="20"/>
                <w:szCs w:val="20"/>
                <w:color w:val="auto"/>
              </w:rPr>
            </w:pPr>
            <w:r>
              <w:rPr>
                <w:rFonts w:ascii="Arial" w:cs="Arial" w:eastAsia="Arial" w:hAnsi="Arial"/>
                <w:sz w:val="18"/>
                <w:szCs w:val="18"/>
                <w:color w:val="auto"/>
                <w:w w:val="90"/>
              </w:rPr>
              <w:t>Amendment No. 5 to Credit Agreement, dated as of November 9, 2010, by and among The Toro Company, Toro Credit Company, Toro</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Manufacturing LLC, Exmark Manufacturing Company Incorporated, Toro International Company, Tover Overseas B.V., and Toro</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Factoring Company Limited, each as a Borrower, each lender from time to time party thereto, and Bank of America, N.A., as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Administrative Agent, Swing Line Lender, and L/C Issuer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CREDIT AGREEMENT</w:t>
      </w:r>
    </w:p>
    <w:p>
      <w:pPr>
        <w:spacing w:after="0" w:line="117" w:lineRule="exact"/>
        <w:rPr>
          <w:sz w:val="20"/>
          <w:szCs w:val="20"/>
          <w:color w:val="auto"/>
        </w:rPr>
      </w:pPr>
    </w:p>
    <w:p>
      <w:pPr>
        <w:ind w:right="20" w:firstLine="222"/>
        <w:spacing w:after="0" w:line="274" w:lineRule="auto"/>
        <w:rPr>
          <w:sz w:val="20"/>
          <w:szCs w:val="20"/>
          <w:color w:val="auto"/>
        </w:rPr>
      </w:pPr>
      <w:r>
        <w:rPr>
          <w:rFonts w:ascii="Arial" w:cs="Arial" w:eastAsia="Arial" w:hAnsi="Arial"/>
          <w:sz w:val="17"/>
          <w:szCs w:val="17"/>
          <w:color w:val="auto"/>
        </w:rPr>
        <w:t>This Amendment No. 5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dated as of November 9, 2010, is made by and among </w:t>
      </w:r>
      <w:r>
        <w:rPr>
          <w:rFonts w:ascii="Arial" w:cs="Arial" w:eastAsia="Arial" w:hAnsi="Arial"/>
          <w:sz w:val="17"/>
          <w:szCs w:val="17"/>
          <w:b w:val="1"/>
          <w:bCs w:val="1"/>
          <w:color w:val="auto"/>
        </w:rPr>
        <w:t>THE TORO COMPANY</w:t>
      </w:r>
      <w:r>
        <w:rPr>
          <w:rFonts w:ascii="Arial" w:cs="Arial" w:eastAsia="Arial" w:hAnsi="Arial"/>
          <w:sz w:val="17"/>
          <w:szCs w:val="17"/>
          <w:color w:val="auto"/>
        </w:rPr>
        <w:t xml:space="preserve">, a Delaware corporation (“ </w:t>
      </w:r>
      <w:r>
        <w:rPr>
          <w:rFonts w:ascii="Arial" w:cs="Arial" w:eastAsia="Arial" w:hAnsi="Arial"/>
          <w:sz w:val="17"/>
          <w:szCs w:val="17"/>
          <w:u w:val="single" w:color="auto"/>
          <w:color w:val="auto"/>
        </w:rPr>
        <w:t>Toro</w:t>
      </w:r>
      <w:r>
        <w:rPr>
          <w:rFonts w:ascii="Arial" w:cs="Arial" w:eastAsia="Arial" w:hAnsi="Arial"/>
          <w:sz w:val="17"/>
          <w:szCs w:val="17"/>
          <w:color w:val="auto"/>
        </w:rPr>
        <w:t xml:space="preserve">”), </w:t>
      </w:r>
      <w:r>
        <w:rPr>
          <w:rFonts w:ascii="Arial" w:cs="Arial" w:eastAsia="Arial" w:hAnsi="Arial"/>
          <w:sz w:val="17"/>
          <w:szCs w:val="17"/>
          <w:b w:val="1"/>
          <w:bCs w:val="1"/>
          <w:color w:val="auto"/>
        </w:rPr>
        <w:t>TORO CREDIT COMPANY</w:t>
      </w:r>
      <w:r>
        <w:rPr>
          <w:rFonts w:ascii="Arial" w:cs="Arial" w:eastAsia="Arial" w:hAnsi="Arial"/>
          <w:sz w:val="17"/>
          <w:szCs w:val="17"/>
          <w:color w:val="auto"/>
        </w:rPr>
        <w:t xml:space="preserve">, a Minnesota corporation, </w:t>
      </w:r>
      <w:r>
        <w:rPr>
          <w:rFonts w:ascii="Arial" w:cs="Arial" w:eastAsia="Arial" w:hAnsi="Arial"/>
          <w:sz w:val="17"/>
          <w:szCs w:val="17"/>
          <w:b w:val="1"/>
          <w:bCs w:val="1"/>
          <w:color w:val="auto"/>
        </w:rPr>
        <w:t>TORO MANUFACTURING LLC</w:t>
      </w:r>
      <w:r>
        <w:rPr>
          <w:rFonts w:ascii="Arial" w:cs="Arial" w:eastAsia="Arial" w:hAnsi="Arial"/>
          <w:sz w:val="17"/>
          <w:szCs w:val="17"/>
          <w:color w:val="auto"/>
        </w:rPr>
        <w:t xml:space="preserve">, a Delaware limited liability company, </w:t>
      </w:r>
      <w:r>
        <w:rPr>
          <w:rFonts w:ascii="Arial" w:cs="Arial" w:eastAsia="Arial" w:hAnsi="Arial"/>
          <w:sz w:val="17"/>
          <w:szCs w:val="17"/>
          <w:b w:val="1"/>
          <w:bCs w:val="1"/>
          <w:color w:val="auto"/>
        </w:rPr>
        <w:t>EXMARK MANUFACTURING COMPANY INCORPORATED</w:t>
      </w:r>
      <w:r>
        <w:rPr>
          <w:rFonts w:ascii="Arial" w:cs="Arial" w:eastAsia="Arial" w:hAnsi="Arial"/>
          <w:sz w:val="17"/>
          <w:szCs w:val="17"/>
          <w:color w:val="auto"/>
        </w:rPr>
        <w:t xml:space="preserve">, a Nebraska corporation, </w:t>
      </w:r>
      <w:r>
        <w:rPr>
          <w:rFonts w:ascii="Arial" w:cs="Arial" w:eastAsia="Arial" w:hAnsi="Arial"/>
          <w:sz w:val="17"/>
          <w:szCs w:val="17"/>
          <w:b w:val="1"/>
          <w:bCs w:val="1"/>
          <w:color w:val="auto"/>
        </w:rPr>
        <w:t>TORO INTERNATIONAL COMPANY</w:t>
      </w:r>
      <w:r>
        <w:rPr>
          <w:rFonts w:ascii="Arial" w:cs="Arial" w:eastAsia="Arial" w:hAnsi="Arial"/>
          <w:sz w:val="17"/>
          <w:szCs w:val="17"/>
          <w:color w:val="auto"/>
        </w:rPr>
        <w:t xml:space="preserve">, a Minnesota corporation, </w:t>
      </w:r>
      <w:r>
        <w:rPr>
          <w:rFonts w:ascii="Arial" w:cs="Arial" w:eastAsia="Arial" w:hAnsi="Arial"/>
          <w:sz w:val="17"/>
          <w:szCs w:val="17"/>
          <w:b w:val="1"/>
          <w:bCs w:val="1"/>
          <w:color w:val="auto"/>
        </w:rPr>
        <w:t>TOVER OVERSEAS B.V.,</w:t>
      </w:r>
      <w:r>
        <w:rPr>
          <w:rFonts w:ascii="Arial" w:cs="Arial" w:eastAsia="Arial" w:hAnsi="Arial"/>
          <w:sz w:val="17"/>
          <w:szCs w:val="17"/>
          <w:color w:val="auto"/>
        </w:rPr>
        <w:t xml:space="preserve"> a Netherlands company, and </w:t>
      </w:r>
      <w:r>
        <w:rPr>
          <w:rFonts w:ascii="Arial" w:cs="Arial" w:eastAsia="Arial" w:hAnsi="Arial"/>
          <w:sz w:val="17"/>
          <w:szCs w:val="17"/>
          <w:b w:val="1"/>
          <w:bCs w:val="1"/>
          <w:color w:val="auto"/>
        </w:rPr>
        <w:t>TORO FACTORING COMPANY LIMITED,</w:t>
      </w:r>
      <w:r>
        <w:rPr>
          <w:rFonts w:ascii="Arial" w:cs="Arial" w:eastAsia="Arial" w:hAnsi="Arial"/>
          <w:sz w:val="17"/>
          <w:szCs w:val="17"/>
          <w:color w:val="auto"/>
        </w:rPr>
        <w:t xml:space="preserve"> a Guernsey, Channel Islands company (all of the foregoing, collectively, the “ </w:t>
      </w:r>
      <w:r>
        <w:rPr>
          <w:rFonts w:ascii="Arial" w:cs="Arial" w:eastAsia="Arial" w:hAnsi="Arial"/>
          <w:sz w:val="17"/>
          <w:szCs w:val="17"/>
          <w:u w:val="single" w:color="auto"/>
          <w:color w:val="auto"/>
        </w:rPr>
        <w:t>Borrowers</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BANK OF</w:t>
      </w:r>
      <w:r>
        <w:rPr>
          <w:rFonts w:ascii="Arial" w:cs="Arial" w:eastAsia="Arial" w:hAnsi="Arial"/>
          <w:sz w:val="17"/>
          <w:szCs w:val="17"/>
          <w:color w:val="auto"/>
        </w:rPr>
        <w:t xml:space="preserve"> </w:t>
      </w:r>
      <w:r>
        <w:rPr>
          <w:rFonts w:ascii="Arial" w:cs="Arial" w:eastAsia="Arial" w:hAnsi="Arial"/>
          <w:sz w:val="17"/>
          <w:szCs w:val="17"/>
          <w:b w:val="1"/>
          <w:bCs w:val="1"/>
          <w:color w:val="auto"/>
        </w:rPr>
        <w:t>AMERICA, N.A.</w:t>
      </w:r>
      <w:r>
        <w:rPr>
          <w:rFonts w:ascii="Arial" w:cs="Arial" w:eastAsia="Arial" w:hAnsi="Arial"/>
          <w:sz w:val="17"/>
          <w:szCs w:val="17"/>
          <w:color w:val="auto"/>
        </w:rPr>
        <w:t>, as Administrative Agent, Swing Line Lender and L/C Issuer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70"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 xml:space="preserve">WHEREAS, the Borrowers, the Administrative Agent and the Lenders have entered into that certain Credit Agreement dated as of September 8, 2004 (as amended by Amendment No. 1 to Credit Agreement dated as of October 25, 2005, Amendment No. 2 to Credit Agreement dated as of January 10, 2007, Amendment No. 3 to Credit Agreement effective as of February 28, 2007, and Amendment No. 4 to Credit Agreement effective as of February 29, 2008, as hereby amended and as from time to time hereafter further amended, modified, supplemented, restated or amended and restated, the ”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and not otherwise defined in this Amendment shall have the respective meanings given thereto in the Credit Agreement)), pursuant to which the Lenders have made available to the Borrowers a revolving credit facility (including a letter of credit facility and a swing line facility); and</w:t>
      </w:r>
    </w:p>
    <w:p>
      <w:pPr>
        <w:spacing w:after="0" w:line="57" w:lineRule="exact"/>
        <w:rPr>
          <w:sz w:val="20"/>
          <w:szCs w:val="20"/>
          <w:color w:val="auto"/>
        </w:rPr>
      </w:pPr>
    </w:p>
    <w:p>
      <w:pPr>
        <w:ind w:right="1120" w:firstLine="222"/>
        <w:spacing w:after="0" w:line="308" w:lineRule="auto"/>
        <w:rPr>
          <w:sz w:val="20"/>
          <w:szCs w:val="20"/>
          <w:color w:val="auto"/>
        </w:rPr>
      </w:pPr>
      <w:r>
        <w:rPr>
          <w:rFonts w:ascii="Arial" w:cs="Arial" w:eastAsia="Arial" w:hAnsi="Arial"/>
          <w:sz w:val="17"/>
          <w:szCs w:val="17"/>
          <w:color w:val="auto"/>
        </w:rPr>
        <w:t>WHEREAS, the Borrowers have requested that (i) the Aggregate Commitments be reduced from $225,000,000 to $175,000,000 and (ii) the Administrative Agent and the Required Lenders amend certain provisions of the Credit Agreement as set forth herein;</w:t>
      </w:r>
    </w:p>
    <w:p>
      <w:pPr>
        <w:spacing w:after="0" w:line="38"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Amendment and to make this Amendment valid and binding have been complied with or have been done or performed;</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receipt of which is hereby acknowledged, the parties hereto hereby agree as follows:</w:t>
      </w:r>
    </w:p>
    <w:p>
      <w:pPr>
        <w:spacing w:after="0" w:line="62" w:lineRule="exact"/>
        <w:rPr>
          <w:sz w:val="20"/>
          <w:szCs w:val="20"/>
          <w:color w:val="auto"/>
        </w:rPr>
      </w:pPr>
    </w:p>
    <w:p>
      <w:pPr>
        <w:ind w:firstLine="233"/>
        <w:spacing w:after="0" w:line="259"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Reduction in Aggregate Commitments</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of the Credit Agreement, the Borrowers have requested the Aggregate Commitments be reduced from $225,000,000 to $175,000,000. The Lenders hereto hereby waive any prior notice requirement set forth in such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of the Credit Agreement. As of the date hereof, the Commitments shall be reduced on a pro rata basis, and the new Commitment and Applicable Percentage of each Lender shall be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terms and conditions set forth herein, the Credit Agreement is hereby amended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40" w:hanging="247"/>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of the Credit Agreement is amended by deleting “any Person” from third and fifth lines and inserting “another Person” in lieu thereof.</w:t>
      </w:r>
    </w:p>
    <w:p>
      <w:pPr>
        <w:spacing w:after="0" w:line="128" w:lineRule="exact"/>
        <w:rPr>
          <w:rFonts w:ascii="Arial" w:cs="Arial" w:eastAsia="Arial" w:hAnsi="Arial"/>
          <w:sz w:val="17"/>
          <w:szCs w:val="17"/>
          <w:color w:val="auto"/>
        </w:rPr>
      </w:pPr>
    </w:p>
    <w:p>
      <w:pPr>
        <w:ind w:left="440" w:hanging="24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of the Credit Agreement is deleted in its entirety and the following is inserted in lieu thereof:</w:t>
      </w:r>
    </w:p>
    <w:p>
      <w:pPr>
        <w:spacing w:after="0" w:line="113" w:lineRule="exact"/>
        <w:rPr>
          <w:sz w:val="20"/>
          <w:szCs w:val="20"/>
          <w:color w:val="auto"/>
        </w:rPr>
      </w:pPr>
    </w:p>
    <w:p>
      <w:pPr>
        <w:jc w:val="both"/>
        <w:ind w:left="200" w:right="80" w:firstLine="225"/>
        <w:spacing w:after="0" w:line="266" w:lineRule="auto"/>
        <w:rPr>
          <w:sz w:val="20"/>
          <w:szCs w:val="20"/>
          <w:color w:val="auto"/>
        </w:rPr>
      </w:pPr>
      <w:r>
        <w:rPr>
          <w:rFonts w:ascii="Arial" w:cs="Arial" w:eastAsia="Arial" w:hAnsi="Arial"/>
          <w:sz w:val="18"/>
          <w:szCs w:val="18"/>
          <w:b w:val="1"/>
          <w:bCs w:val="1"/>
          <w:color w:val="auto"/>
        </w:rPr>
        <w:t xml:space="preserve">7.10 Maximum Total Indebtedness to Consolidated EBITDA. </w:t>
      </w:r>
      <w:r>
        <w:rPr>
          <w:rFonts w:ascii="Arial" w:cs="Arial" w:eastAsia="Arial" w:hAnsi="Arial"/>
          <w:sz w:val="18"/>
          <w:szCs w:val="18"/>
          <w:color w:val="auto"/>
        </w:rPr>
        <w:t>Toro, on a consolidated basis, shall not, as of the end of any fiscal quarter, permit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consolidated ratio of (a) total Indebtedness as of such date to (b) the sum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the period of four prior fiscal quarters ending on such date to be more than 3.25 to 1.00.</w:t>
      </w:r>
    </w:p>
    <w:p>
      <w:pPr>
        <w:spacing w:after="0" w:line="72" w:lineRule="exact"/>
        <w:rPr>
          <w:sz w:val="20"/>
          <w:szCs w:val="20"/>
          <w:color w:val="auto"/>
        </w:rPr>
      </w:pPr>
    </w:p>
    <w:p>
      <w:pPr>
        <w:ind w:left="440" w:hanging="24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Credit Agreement is amended by deleting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thereto and inserting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satisfaction of the following conditions precedent:</w:t>
      </w:r>
    </w:p>
    <w:p>
      <w:pPr>
        <w:spacing w:after="0" w:line="117" w:lineRule="exact"/>
        <w:rPr>
          <w:sz w:val="20"/>
          <w:szCs w:val="20"/>
          <w:color w:val="auto"/>
        </w:rPr>
      </w:pPr>
    </w:p>
    <w:p>
      <w:pPr>
        <w:ind w:left="-40" w:right="460" w:firstLine="233"/>
        <w:spacing w:after="0" w:line="277" w:lineRule="auto"/>
        <w:tabs>
          <w:tab w:leader="none" w:pos="4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documents or instruments in form and substance reasonably acceptable to the Administrative Agent:</w:t>
      </w:r>
    </w:p>
    <w:p>
      <w:pPr>
        <w:spacing w:after="0" w:line="62" w:lineRule="exact"/>
        <w:rPr>
          <w:rFonts w:ascii="Arial" w:cs="Arial" w:eastAsia="Arial" w:hAnsi="Arial"/>
          <w:sz w:val="18"/>
          <w:szCs w:val="18"/>
          <w:color w:val="auto"/>
        </w:rPr>
      </w:pPr>
    </w:p>
    <w:p>
      <w:pPr>
        <w:ind w:left="200" w:firstLine="221"/>
        <w:spacing w:after="0" w:line="277"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one or more counterparts of this Amendment, duly executed by the Borrowers, the Administrative Agent and the Required Lenders, together with all schedules and exhibits thereto duly completed;</w:t>
      </w:r>
    </w:p>
    <w:p>
      <w:pPr>
        <w:spacing w:after="0" w:line="62" w:lineRule="exact"/>
        <w:rPr>
          <w:rFonts w:ascii="Arial" w:cs="Arial" w:eastAsia="Arial" w:hAnsi="Arial"/>
          <w:sz w:val="18"/>
          <w:szCs w:val="18"/>
          <w:color w:val="auto"/>
        </w:rPr>
      </w:pPr>
    </w:p>
    <w:p>
      <w:pPr>
        <w:ind w:left="200" w:right="260" w:firstLine="221"/>
        <w:spacing w:after="0" w:line="277"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such other documents, instruments, opinions, certifications, undertakings, further assurances and other matters as the Administrative Agent shall reasonably require;</w:t>
      </w:r>
    </w:p>
    <w:p>
      <w:pPr>
        <w:spacing w:after="0" w:line="62" w:lineRule="exact"/>
        <w:rPr>
          <w:rFonts w:ascii="Arial" w:cs="Arial" w:eastAsia="Arial" w:hAnsi="Arial"/>
          <w:sz w:val="18"/>
          <w:szCs w:val="18"/>
          <w:color w:val="auto"/>
        </w:rPr>
      </w:pPr>
    </w:p>
    <w:p>
      <w:pPr>
        <w:ind w:left="-40" w:right="220" w:firstLine="233"/>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Borrowers shall have paid to each Lender that signs this Amendment on or before the effective date hereof a fee in an amount equal to 0.025% times such Lender’s Commitment (after giving effect to this Amendment), which fee shall be fully earned and due on the effective date hereof and shall be nonrefundable; and</w:t>
      </w:r>
    </w:p>
    <w:p>
      <w:pPr>
        <w:spacing w:after="0" w:line="73" w:lineRule="exact"/>
        <w:rPr>
          <w:rFonts w:ascii="Arial" w:cs="Arial" w:eastAsia="Arial" w:hAnsi="Arial"/>
          <w:sz w:val="18"/>
          <w:szCs w:val="18"/>
          <w:color w:val="auto"/>
        </w:rPr>
      </w:pPr>
    </w:p>
    <w:p>
      <w:pPr>
        <w:ind w:left="-40" w:right="200" w:firstLine="233"/>
        <w:spacing w:after="0" w:line="264" w:lineRule="auto"/>
        <w:tabs>
          <w:tab w:leader="none" w:pos="43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waived by the Administrative Agent, all fees and expenses of the Administrative Agent and the Lenders (including the reasonable fees and expenses of counsel to the Administrative Agent to the extent invoiced prior to the date hereof) in connection with this Amendment shall have been paid in full (without prejudice to final settling of accounts for such fees and expenses).</w:t>
      </w:r>
    </w:p>
    <w:p>
      <w:pPr>
        <w:spacing w:after="0" w:line="73" w:lineRule="exact"/>
        <w:rPr>
          <w:sz w:val="20"/>
          <w:szCs w:val="20"/>
          <w:color w:val="auto"/>
        </w:rPr>
      </w:pPr>
    </w:p>
    <w:p>
      <w:pPr>
        <w:ind w:left="-40" w:right="60" w:firstLine="233"/>
        <w:spacing w:after="0" w:line="277" w:lineRule="auto"/>
        <w:tabs>
          <w:tab w:leader="none" w:pos="36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Reaffirmation by each of the Borrowers</w:t>
      </w:r>
      <w:r>
        <w:rPr>
          <w:rFonts w:ascii="Arial" w:cs="Arial" w:eastAsia="Arial" w:hAnsi="Arial"/>
          <w:sz w:val="18"/>
          <w:szCs w:val="18"/>
          <w:color w:val="auto"/>
        </w:rPr>
        <w:t>. Each of the Borrowers hereby consents, acknowledges and agrees to the amendments of the Credit Agreement set forth herein.</w:t>
      </w:r>
    </w:p>
    <w:p>
      <w:pPr>
        <w:spacing w:after="0" w:line="62" w:lineRule="exact"/>
        <w:rPr>
          <w:rFonts w:ascii="Arial" w:cs="Arial" w:eastAsia="Arial" w:hAnsi="Arial"/>
          <w:sz w:val="18"/>
          <w:szCs w:val="18"/>
          <w:color w:val="auto"/>
        </w:rPr>
      </w:pPr>
    </w:p>
    <w:p>
      <w:pPr>
        <w:ind w:left="-40" w:right="400" w:firstLine="233"/>
        <w:spacing w:after="0" w:line="277" w:lineRule="auto"/>
        <w:tabs>
          <w:tab w:leader="none" w:pos="36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the Administrative Agent and the Lenders to enter into this Amendment, each of the Borrowers represents and warrants to the Administrative Agent and the Lenders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9" w:name="page10"/>
    <w:bookmarkEnd w:id="9"/>
    <w:p>
      <w:pPr>
        <w:ind w:left="-40" w:firstLine="233"/>
        <w:spacing w:after="0" w:line="276" w:lineRule="auto"/>
        <w:tabs>
          <w:tab w:leader="none" w:pos="42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Borrowers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(ii) each Loan Party contained in each other Loan Document or in any document furnished at any time under or in connection herewith or therewith, shall be true and correct on and as of the date hereof, except to the extent that such representations and warranties specifically refer to an earlier date, in which case they shall be true and correct as of such earlier date, and except that for purposes of this Amendment, the representations and warranties contained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0" w:right="120" w:firstLine="233"/>
        <w:spacing w:after="0" w:line="264" w:lineRule="auto"/>
        <w:tabs>
          <w:tab w:leader="none" w:pos="4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 Authority that purports to affect any transaction contemplated under this Amendment or the ability of any Borrower to perform its respective obligations under this Amendment.</w:t>
      </w:r>
    </w:p>
    <w:p>
      <w:pPr>
        <w:spacing w:after="0" w:line="73" w:lineRule="exact"/>
        <w:rPr>
          <w:rFonts w:ascii="Arial" w:cs="Arial" w:eastAsia="Arial" w:hAnsi="Arial"/>
          <w:sz w:val="18"/>
          <w:szCs w:val="18"/>
          <w:color w:val="auto"/>
        </w:rPr>
      </w:pPr>
    </w:p>
    <w:p>
      <w:pPr>
        <w:ind w:left="-40" w:right="200" w:firstLine="233"/>
        <w:spacing w:after="0" w:line="264" w:lineRule="auto"/>
        <w:tabs>
          <w:tab w:leader="none" w:pos="4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not occurred since October 31, 2009 any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73" w:lineRule="exact"/>
        <w:rPr>
          <w:rFonts w:ascii="Arial" w:cs="Arial" w:eastAsia="Arial" w:hAnsi="Arial"/>
          <w:sz w:val="18"/>
          <w:szCs w:val="18"/>
          <w:color w:val="auto"/>
        </w:rPr>
      </w:pPr>
    </w:p>
    <w:p>
      <w:pPr>
        <w:ind w:left="440" w:hanging="247"/>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17" w:lineRule="exact"/>
        <w:rPr>
          <w:sz w:val="20"/>
          <w:szCs w:val="20"/>
          <w:color w:val="auto"/>
        </w:rPr>
      </w:pPr>
    </w:p>
    <w:p>
      <w:pPr>
        <w:ind w:left="-40" w:right="100" w:firstLine="233"/>
        <w:spacing w:after="0" w:line="255" w:lineRule="auto"/>
        <w:tabs>
          <w:tab w:leader="none" w:pos="3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Amendment, together with all the Loan Documents (collectively, the “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Amendment may be changed, modified, waived or canceled orally or otherwise, except as permitted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81" w:lineRule="exact"/>
        <w:rPr>
          <w:rFonts w:ascii="Arial" w:cs="Arial" w:eastAsia="Arial" w:hAnsi="Arial"/>
          <w:sz w:val="18"/>
          <w:szCs w:val="18"/>
          <w:color w:val="auto"/>
        </w:rPr>
      </w:pPr>
    </w:p>
    <w:p>
      <w:pPr>
        <w:ind w:left="-40" w:right="60" w:firstLine="233"/>
        <w:spacing w:after="0" w:line="264" w:lineRule="auto"/>
        <w:tabs>
          <w:tab w:leader="none" w:pos="3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Full Force and Effect of Amendment.</w:t>
      </w:r>
      <w:r>
        <w:rPr>
          <w:rFonts w:ascii="Arial" w:cs="Arial" w:eastAsia="Arial" w:hAnsi="Arial"/>
          <w:sz w:val="18"/>
          <w:szCs w:val="18"/>
          <w:color w:val="auto"/>
        </w:rPr>
        <w:t xml:space="preserve">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73" w:lineRule="exact"/>
        <w:rPr>
          <w:rFonts w:ascii="Arial" w:cs="Arial" w:eastAsia="Arial" w:hAnsi="Arial"/>
          <w:sz w:val="18"/>
          <w:szCs w:val="18"/>
          <w:color w:val="auto"/>
        </w:rPr>
      </w:pPr>
    </w:p>
    <w:p>
      <w:pPr>
        <w:jc w:val="both"/>
        <w:ind w:left="-40" w:right="100" w:firstLine="233"/>
        <w:spacing w:after="0" w:line="259" w:lineRule="auto"/>
        <w:tabs>
          <w:tab w:leader="none" w:pos="3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0" w:name="page11"/>
    <w:bookmarkEnd w:id="10"/>
    <w:p>
      <w:pPr>
        <w:ind w:left="300" w:hanging="18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in all respects be governed by, and construed in accordance with the laws of the State of New York.</w:t>
      </w:r>
    </w:p>
    <w:p>
      <w:pPr>
        <w:spacing w:after="0" w:line="128" w:lineRule="exact"/>
        <w:rPr>
          <w:rFonts w:ascii="Arial" w:cs="Arial" w:eastAsia="Arial" w:hAnsi="Arial"/>
          <w:sz w:val="17"/>
          <w:szCs w:val="17"/>
          <w:color w:val="auto"/>
        </w:rPr>
      </w:pPr>
    </w:p>
    <w:p>
      <w:pPr>
        <w:ind w:left="-120" w:right="280" w:firstLine="233"/>
        <w:spacing w:after="0" w:line="277"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62" w:lineRule="exact"/>
        <w:rPr>
          <w:rFonts w:ascii="Arial" w:cs="Arial" w:eastAsia="Arial" w:hAnsi="Arial"/>
          <w:sz w:val="18"/>
          <w:szCs w:val="18"/>
          <w:color w:val="auto"/>
        </w:rPr>
      </w:pPr>
    </w:p>
    <w:p>
      <w:pPr>
        <w:ind w:left="380" w:hanging="267"/>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References</w:t>
      </w:r>
      <w:r>
        <w:rPr>
          <w:rFonts w:ascii="Arial" w:cs="Arial" w:eastAsia="Arial" w:hAnsi="Arial"/>
          <w:sz w:val="17"/>
          <w:szCs w:val="17"/>
          <w:color w:val="auto"/>
        </w:rPr>
        <w:t>. All references in any of the Loan Documents to the “Credit Agreement” shall mean the Credit Agreement as amended hereby.</w:t>
      </w:r>
    </w:p>
    <w:p>
      <w:pPr>
        <w:spacing w:after="0" w:line="128" w:lineRule="exact"/>
        <w:rPr>
          <w:rFonts w:ascii="Arial" w:cs="Arial" w:eastAsia="Arial" w:hAnsi="Arial"/>
          <w:sz w:val="17"/>
          <w:szCs w:val="17"/>
          <w:color w:val="auto"/>
        </w:rPr>
      </w:pPr>
    </w:p>
    <w:p>
      <w:pPr>
        <w:jc w:val="both"/>
        <w:ind w:left="-120" w:right="100" w:firstLine="233"/>
        <w:spacing w:after="0" w:line="264"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Amendment shall be binding upon and inure to the benefit of the Borrowers, the Administrative Agent and each of the Lenders, and their respective successors, assigns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Borrower, without the prior consent of the Required Lenders, may assign any rights, powers, duties or obligations hereunder.</w:t>
      </w:r>
    </w:p>
    <w:p>
      <w:pPr>
        <w:spacing w:after="0" w:line="73" w:lineRule="exact"/>
        <w:rPr>
          <w:rFonts w:ascii="Arial" w:cs="Arial" w:eastAsia="Arial" w:hAnsi="Arial"/>
          <w:sz w:val="18"/>
          <w:szCs w:val="18"/>
          <w:color w:val="auto"/>
        </w:rPr>
      </w:pPr>
    </w:p>
    <w:p>
      <w:pPr>
        <w:ind w:left="-120" w:firstLine="233"/>
        <w:spacing w:after="0" w:line="277"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Toro agrees to pay to the Administrative Agent all reasonable out-of-pocket expenses incurred or arising in connection with the negotiation and preparation of this Amendment.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sectPr>
      </w:pPr>
    </w:p>
    <w:bookmarkStart w:id="11" w:name="page12"/>
    <w:bookmarkEnd w:id="11"/>
    <w:p>
      <w:pPr>
        <w:ind w:firstLine="22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5 to Credit Agreement to be made,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or representatives as of the day and year first above written.</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TORO COMPANY</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Finance and Chief</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Treasurer</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TORO CREDIT COMPANY</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TORO MANUFACTURING LLC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EXMARK MANUFACTURING COMPANY</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TORO INTERNATIONAL COMPANY</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12" w:name="page13"/>
    <w:bookmarkEnd w:id="12"/>
    <w:p>
      <w:pPr>
        <w:ind w:left="3920"/>
        <w:spacing w:after="0"/>
        <w:rPr>
          <w:sz w:val="20"/>
          <w:szCs w:val="20"/>
          <w:color w:val="auto"/>
        </w:rPr>
      </w:pPr>
      <w:r>
        <w:rPr>
          <w:rFonts w:ascii="Arial" w:cs="Arial" w:eastAsia="Arial" w:hAnsi="Arial"/>
          <w:sz w:val="18"/>
          <w:szCs w:val="18"/>
          <w:b w:val="1"/>
          <w:bCs w:val="1"/>
          <w:color w:val="auto"/>
        </w:rPr>
        <w:t>TOVER OVERSEAS B.V.</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TORO FACTORING COMPANY LIMITED</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Thomas J. Larson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3" w:name="page14"/>
    <w:bookmarkEnd w:id="13"/>
    <w:p>
      <w:pPr>
        <w:ind w:left="392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Administrative Agent</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Maurice Washington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Maurice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L/C</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Issuer and Swing Line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Brian Lukehart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Lender and a</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Co-Syndication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Simpson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Lender and a Co-Syndication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Magnus McDowell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Magnus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xml:space="preserve">HARRIS NATIONAL ASSOCIATION, </w:t>
      </w:r>
      <w:r>
        <w:rPr>
          <w:rFonts w:ascii="Arial" w:cs="Arial" w:eastAsia="Arial" w:hAnsi="Arial"/>
          <w:sz w:val="18"/>
          <w:szCs w:val="18"/>
          <w:color w:val="auto"/>
        </w:rPr>
        <w:t>as a</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Lender and a Co-Documentation Agent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Robert Wolohan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Wolohan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4" w:name="page15"/>
    <w:bookmarkEnd w:id="14"/>
    <w:p>
      <w:pPr>
        <w:ind w:left="3920" w:right="519"/>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a Co-Documentation Agent</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Brian Buck</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Brian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 as a Lender</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John T. Smathers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First Vice President</w:t>
      </w:r>
    </w:p>
    <w:sectPr>
      <w:pgSz w:w="11900" w:h="16838" w:orient="portrait"/>
      <w:cols w:equalWidth="0" w:num="1">
        <w:col w:w="9019"/>
      </w:cols>
      <w:pgMar w:left="1440" w:top="1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1"/>
    </w:lvl>
    <w:lvl w:ilvl="1">
      <w:lvlJc w:val="left"/>
      <w:lvlText w:val="(%2)"/>
      <w:numFmt w:val="lowerRoman"/>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2019-12-10T05:17:25Z</dcterms:created>
  <dcterms:modified xsi:type="dcterms:W3CDTF">2019-12-10T05:17:25Z</dcterms:modified>
</cp:coreProperties>
</file>