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131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1315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BROWN WILLIAM E JR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03/08/2012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03"/>
        <w:spacing w:after="0"/>
        <w:rPr>
          <w:sz w:val="20"/>
          <w:szCs w:val="20"/>
          <w:color w:val="auto"/>
        </w:rPr>
      </w:pPr>
      <w:r>
        <w:rPr>
          <w:rFonts w:ascii="Arial" w:cs="Arial" w:eastAsia="Arial" w:hAnsi="Arial"/>
          <w:sz w:val="18"/>
          <w:szCs w:val="18"/>
          <w:color w:val="0000FF"/>
        </w:rPr>
        <w:t>VP, International Business</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48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60" w:type="dxa"/>
            <w:vAlign w:val="bottom"/>
            <w:gridSpan w:val="2"/>
          </w:tcPr>
          <w:p>
            <w:pPr>
              <w:ind w:left="560"/>
              <w:spacing w:after="0"/>
              <w:rPr>
                <w:sz w:val="20"/>
                <w:szCs w:val="20"/>
                <w:color w:val="auto"/>
              </w:rPr>
            </w:pPr>
            <w:r>
              <w:rPr>
                <w:rFonts w:ascii="Arial" w:cs="Arial" w:eastAsia="Arial" w:hAnsi="Arial"/>
                <w:sz w:val="18"/>
                <w:szCs w:val="18"/>
                <w:color w:val="0000FF"/>
              </w:rPr>
              <w:t>03/08/2012</w:t>
            </w: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60" w:type="dxa"/>
            <w:vAlign w:val="bottom"/>
          </w:tcPr>
          <w:p>
            <w:pPr>
              <w:ind w:left="180"/>
              <w:spacing w:after="0"/>
              <w:rPr>
                <w:sz w:val="20"/>
                <w:szCs w:val="20"/>
                <w:color w:val="auto"/>
              </w:rPr>
            </w:pPr>
            <w:r>
              <w:rPr>
                <w:rFonts w:ascii="Arial" w:cs="Arial" w:eastAsia="Arial" w:hAnsi="Arial"/>
                <w:sz w:val="14"/>
                <w:szCs w:val="14"/>
                <w:color w:val="0000FF"/>
              </w:rPr>
              <w:t>M</w:t>
            </w:r>
          </w:p>
        </w:tc>
        <w:tc>
          <w:tcPr>
            <w:tcW w:w="780" w:type="dxa"/>
            <w:vAlign w:val="bottom"/>
          </w:tcPr>
          <w:p>
            <w:pPr>
              <w:ind w:left="180"/>
              <w:spacing w:after="0"/>
              <w:rPr>
                <w:sz w:val="20"/>
                <w:szCs w:val="20"/>
                <w:color w:val="auto"/>
              </w:rPr>
            </w:pPr>
            <w:r>
              <w:rPr>
                <w:rFonts w:ascii="Arial" w:cs="Arial" w:eastAsia="Arial" w:hAnsi="Arial"/>
                <w:sz w:val="18"/>
                <w:szCs w:val="18"/>
                <w:color w:val="0000FF"/>
              </w:rPr>
              <w:t>2,902</w:t>
            </w:r>
          </w:p>
        </w:tc>
        <w:tc>
          <w:tcPr>
            <w:tcW w:w="540" w:type="dxa"/>
            <w:vAlign w:val="bottom"/>
          </w:tcPr>
          <w:p>
            <w:pPr>
              <w:ind w:left="200"/>
              <w:spacing w:after="0"/>
              <w:rPr>
                <w:sz w:val="20"/>
                <w:szCs w:val="20"/>
                <w:color w:val="auto"/>
              </w:rPr>
            </w:pPr>
            <w:r>
              <w:rPr>
                <w:rFonts w:ascii="Arial" w:cs="Arial" w:eastAsia="Arial" w:hAnsi="Arial"/>
                <w:sz w:val="18"/>
                <w:szCs w:val="18"/>
                <w:color w:val="0000FF"/>
              </w:rPr>
              <w:t>A</w:t>
            </w: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16.1375</w:t>
            </w:r>
          </w:p>
        </w:tc>
        <w:tc>
          <w:tcPr>
            <w:tcW w:w="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44,907</w:t>
            </w:r>
          </w:p>
        </w:tc>
        <w:tc>
          <w:tcPr>
            <w:tcW w:w="320" w:type="dxa"/>
            <w:vAlign w:val="bottom"/>
          </w:tcPr>
          <w:p>
            <w:pPr>
              <w:spacing w:after="0"/>
              <w:rPr>
                <w:sz w:val="23"/>
                <w:szCs w:val="23"/>
                <w:color w:val="auto"/>
              </w:rPr>
            </w:pPr>
          </w:p>
        </w:tc>
        <w:tc>
          <w:tcPr>
            <w:tcW w:w="600" w:type="dxa"/>
            <w:vAlign w:val="bottom"/>
          </w:tcPr>
          <w:p>
            <w:pPr>
              <w:jc w:val="center"/>
              <w:ind w:right="330"/>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60"/>
              <w:spacing w:after="0"/>
              <w:rPr>
                <w:sz w:val="20"/>
                <w:szCs w:val="20"/>
                <w:color w:val="auto"/>
              </w:rPr>
            </w:pPr>
            <w:r>
              <w:rPr>
                <w:rFonts w:ascii="Arial" w:cs="Arial" w:eastAsia="Arial" w:hAnsi="Arial"/>
                <w:sz w:val="18"/>
                <w:szCs w:val="18"/>
                <w:color w:val="0000FF"/>
              </w:rPr>
              <w:t>03/08/2012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2,902</w:t>
            </w:r>
          </w:p>
        </w:tc>
        <w:tc>
          <w:tcPr>
            <w:tcW w:w="5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68.04</w:t>
            </w:r>
            <w:r>
              <w:rPr>
                <w:rFonts w:ascii="Arial" w:cs="Arial" w:eastAsia="Arial" w:hAnsi="Arial"/>
                <w:sz w:val="22"/>
                <w:szCs w:val="22"/>
                <w:color w:val="008000"/>
                <w:w w:val="90"/>
                <w:vertAlign w:val="superscript"/>
              </w:rPr>
              <w:t>(1)</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42,005</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5"/>
              </w:rPr>
              <w:t>7,051.783</w:t>
            </w:r>
            <w:r>
              <w:rPr>
                <w:rFonts w:ascii="Arial" w:cs="Arial" w:eastAsia="Arial" w:hAnsi="Arial"/>
                <w:sz w:val="22"/>
                <w:szCs w:val="22"/>
                <w:color w:val="008000"/>
                <w:w w:val="85"/>
                <w:vertAlign w:val="superscript"/>
              </w:rPr>
              <w:t>(2)</w:t>
            </w:r>
          </w:p>
        </w:tc>
        <w:tc>
          <w:tcPr>
            <w:tcW w:w="320" w:type="dxa"/>
            <w:vAlign w:val="bottom"/>
          </w:tcPr>
          <w:p>
            <w:pPr>
              <w:spacing w:after="0"/>
              <w:rPr>
                <w:sz w:val="18"/>
                <w:szCs w:val="18"/>
                <w:color w:val="auto"/>
              </w:rPr>
            </w:pPr>
          </w:p>
        </w:tc>
        <w:tc>
          <w:tcPr>
            <w:tcW w:w="600" w:type="dxa"/>
            <w:vAlign w:val="bottom"/>
          </w:tcPr>
          <w:p>
            <w:pPr>
              <w:jc w:val="center"/>
              <w:ind w:right="310"/>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720" w:type="dxa"/>
            <w:vAlign w:val="bottom"/>
            <w:tcBorders>
              <w:bottom w:val="single" w:sz="8" w:color="2C2C2C"/>
            </w:tcBorders>
            <w:gridSpan w:val="9"/>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1"/>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9"/>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4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Number</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78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6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Qualified</w:t>
            </w:r>
          </w:p>
        </w:tc>
        <w:tc>
          <w:tcPr>
            <w:tcW w:w="820" w:type="dxa"/>
            <w:vAlign w:val="bottom"/>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16.1375</w:t>
            </w:r>
          </w:p>
        </w:tc>
        <w:tc>
          <w:tcPr>
            <w:tcW w:w="1140" w:type="dxa"/>
            <w:vAlign w:val="bottom"/>
          </w:tcPr>
          <w:p>
            <w:pPr>
              <w:ind w:left="260"/>
              <w:spacing w:after="0"/>
              <w:rPr>
                <w:sz w:val="20"/>
                <w:szCs w:val="20"/>
                <w:color w:val="auto"/>
              </w:rPr>
            </w:pPr>
            <w:r>
              <w:rPr>
                <w:rFonts w:ascii="Arial" w:cs="Arial" w:eastAsia="Arial" w:hAnsi="Arial"/>
                <w:sz w:val="14"/>
                <w:szCs w:val="14"/>
                <w:color w:val="0000FF"/>
              </w:rPr>
              <w:t>03/08/2012</w:t>
            </w:r>
          </w:p>
        </w:tc>
        <w:tc>
          <w:tcPr>
            <w:tcW w:w="1140" w:type="dxa"/>
            <w:vAlign w:val="bottom"/>
          </w:tcPr>
          <w:p>
            <w:pPr>
              <w:spacing w:after="0"/>
              <w:rPr>
                <w:sz w:val="17"/>
                <w:szCs w:val="17"/>
                <w:color w:val="auto"/>
              </w:rPr>
            </w:pPr>
          </w:p>
        </w:tc>
        <w:tc>
          <w:tcPr>
            <w:tcW w:w="420" w:type="dxa"/>
            <w:vAlign w:val="bottom"/>
          </w:tcPr>
          <w:p>
            <w:pPr>
              <w:ind w:left="160"/>
              <w:spacing w:after="0"/>
              <w:rPr>
                <w:sz w:val="20"/>
                <w:szCs w:val="20"/>
                <w:color w:val="auto"/>
              </w:rPr>
            </w:pPr>
            <w:r>
              <w:rPr>
                <w:rFonts w:ascii="Arial" w:cs="Arial" w:eastAsia="Arial" w:hAnsi="Arial"/>
                <w:sz w:val="14"/>
                <w:szCs w:val="14"/>
                <w:color w:val="0000FF"/>
              </w:rPr>
              <w:t>M</w:t>
            </w:r>
          </w:p>
        </w:tc>
        <w:tc>
          <w:tcPr>
            <w:tcW w:w="420" w:type="dxa"/>
            <w:vAlign w:val="bottom"/>
          </w:tcPr>
          <w:p>
            <w:pPr>
              <w:spacing w:after="0"/>
              <w:rPr>
                <w:sz w:val="17"/>
                <w:szCs w:val="17"/>
                <w:color w:val="auto"/>
              </w:rPr>
            </w:pPr>
          </w:p>
        </w:tc>
        <w:tc>
          <w:tcPr>
            <w:tcW w:w="680" w:type="dxa"/>
            <w:vAlign w:val="bottom"/>
          </w:tcPr>
          <w:p>
            <w:pPr>
              <w:ind w:left="380"/>
              <w:spacing w:after="0"/>
              <w:rPr>
                <w:sz w:val="20"/>
                <w:szCs w:val="20"/>
                <w:color w:val="auto"/>
              </w:rPr>
            </w:pPr>
            <w:r>
              <w:rPr>
                <w:rFonts w:ascii="Arial" w:cs="Arial" w:eastAsia="Arial" w:hAnsi="Arial"/>
                <w:sz w:val="14"/>
                <w:szCs w:val="14"/>
                <w:color w:val="0000FF"/>
                <w:w w:val="79"/>
              </w:rPr>
              <w:t>2,902</w:t>
            </w:r>
          </w:p>
        </w:tc>
        <w:tc>
          <w:tcPr>
            <w:tcW w:w="860" w:type="dxa"/>
            <w:vAlign w:val="bottom"/>
          </w:tcPr>
          <w:p>
            <w:pPr>
              <w:ind w:left="180"/>
              <w:spacing w:after="0"/>
              <w:rPr>
                <w:sz w:val="20"/>
                <w:szCs w:val="20"/>
                <w:color w:val="auto"/>
              </w:rPr>
            </w:pPr>
            <w:r>
              <w:rPr>
                <w:rFonts w:ascii="Arial" w:cs="Arial" w:eastAsia="Arial" w:hAnsi="Arial"/>
                <w:sz w:val="14"/>
                <w:szCs w:val="14"/>
                <w:color w:val="0000FF"/>
                <w:w w:val="94"/>
              </w:rPr>
              <w:t>12/04/2002</w:t>
            </w:r>
          </w:p>
        </w:tc>
        <w:tc>
          <w:tcPr>
            <w:tcW w:w="780" w:type="dxa"/>
            <w:vAlign w:val="bottom"/>
          </w:tcPr>
          <w:p>
            <w:pPr>
              <w:ind w:left="120"/>
              <w:spacing w:after="0"/>
              <w:rPr>
                <w:sz w:val="20"/>
                <w:szCs w:val="20"/>
                <w:color w:val="auto"/>
              </w:rPr>
            </w:pPr>
            <w:r>
              <w:rPr>
                <w:rFonts w:ascii="Arial" w:cs="Arial" w:eastAsia="Arial" w:hAnsi="Arial"/>
                <w:sz w:val="14"/>
                <w:szCs w:val="14"/>
                <w:color w:val="0000FF"/>
                <w:w w:val="91"/>
              </w:rPr>
              <w:t>12/04/2012</w:t>
            </w:r>
          </w:p>
        </w:tc>
        <w:tc>
          <w:tcPr>
            <w:tcW w:w="1320" w:type="dxa"/>
            <w:vAlign w:val="bottom"/>
            <w:gridSpan w:val="3"/>
          </w:tcPr>
          <w:p>
            <w:pPr>
              <w:ind w:left="100"/>
              <w:spacing w:after="0" w:line="200" w:lineRule="exact"/>
              <w:rPr>
                <w:sz w:val="20"/>
                <w:szCs w:val="20"/>
                <w:color w:val="auto"/>
              </w:rPr>
            </w:pPr>
            <w:r>
              <w:rPr>
                <w:rFonts w:ascii="Arial" w:cs="Arial" w:eastAsia="Arial" w:hAnsi="Arial"/>
                <w:sz w:val="11"/>
                <w:szCs w:val="11"/>
                <w:color w:val="0000FF"/>
              </w:rPr>
              <w:t xml:space="preserve">Common   </w:t>
            </w:r>
            <w:r>
              <w:rPr>
                <w:rFonts w:ascii="Arial" w:cs="Arial" w:eastAsia="Arial" w:hAnsi="Arial"/>
                <w:sz w:val="23"/>
                <w:szCs w:val="23"/>
                <w:color w:val="0000FF"/>
                <w:vertAlign w:val="subscript"/>
              </w:rPr>
              <w:t>2,902</w:t>
            </w:r>
          </w:p>
        </w:tc>
        <w:tc>
          <w:tcPr>
            <w:tcW w:w="7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00" w:type="dxa"/>
            <w:vAlign w:val="bottom"/>
            <w:gridSpan w:val="2"/>
          </w:tcPr>
          <w:p>
            <w:pPr>
              <w:ind w:left="280"/>
              <w:spacing w:after="0"/>
              <w:rPr>
                <w:sz w:val="20"/>
                <w:szCs w:val="20"/>
                <w:color w:val="auto"/>
              </w:rPr>
            </w:pPr>
            <w:r>
              <w:rPr>
                <w:rFonts w:ascii="Arial" w:cs="Arial" w:eastAsia="Arial" w:hAnsi="Arial"/>
                <w:sz w:val="14"/>
                <w:szCs w:val="14"/>
                <w:color w:val="0000FF"/>
              </w:rPr>
              <w:t>2,902</w:t>
            </w:r>
          </w:p>
        </w:tc>
        <w:tc>
          <w:tcPr>
            <w:tcW w:w="600" w:type="dxa"/>
            <w:vAlign w:val="bottom"/>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Stock</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80" w:type="dxa"/>
            <w:vAlign w:val="bottom"/>
          </w:tcPr>
          <w:p>
            <w:pPr>
              <w:spacing w:after="0"/>
              <w:rPr>
                <w:sz w:val="9"/>
                <w:szCs w:val="9"/>
                <w:color w:val="auto"/>
              </w:rPr>
            </w:pPr>
          </w:p>
        </w:tc>
        <w:tc>
          <w:tcPr>
            <w:tcW w:w="540" w:type="dxa"/>
            <w:vAlign w:val="bottom"/>
          </w:tcPr>
          <w:p>
            <w:pPr>
              <w:ind w:left="180"/>
              <w:spacing w:after="0" w:line="110" w:lineRule="exact"/>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$67.97 to $68.16, inclusive. The reporting person undertakes to provide to The Toro Company, any security holder of The Toro Company,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24.442 shares of common stock acquired by the reporting person under the dividend reinvestment feature of The Toro Company Investment, Savings &amp; ESOP since the date of his last report.</w:t>
      </w:r>
    </w:p>
    <w:p>
      <w:pPr>
        <w:spacing w:after="0" w:line="71"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03/12/2012</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7664"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2019-12-17T00:57:33Z</dcterms:created>
  <dcterms:modified xsi:type="dcterms:W3CDTF">2019-12-17T00:57:33Z</dcterms:modified>
</cp:coreProperties>
</file>