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79"/>
        <w:spacing w:after="0"/>
        <w:rPr>
          <w:sz w:val="20"/>
          <w:szCs w:val="20"/>
          <w:color w:val="auto"/>
        </w:rPr>
      </w:pPr>
      <w:r>
        <w:rPr>
          <w:rFonts w:ascii="Courier New" w:cs="Courier New" w:eastAsia="Courier New" w:hAnsi="Courier New"/>
          <w:sz w:val="18"/>
          <w:szCs w:val="18"/>
          <w:color w:val="auto"/>
        </w:rPr>
        <w:t>UNITED STATES</w:t>
      </w:r>
    </w:p>
    <w:p>
      <w:pPr>
        <w:jc w:val="center"/>
        <w:ind w:right="38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8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9"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447" w:right="1440" w:bottom="1440" w:gutter="0" w:footer="0" w:header="0"/>
        </w:sectPr>
      </w:pPr>
    </w:p>
    <w:p>
      <w:pPr>
        <w:spacing w:after="0" w:line="22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85" w:lineRule="exact"/>
        <w:rPr>
          <w:sz w:val="24"/>
          <w:szCs w:val="24"/>
          <w:color w:val="auto"/>
        </w:rPr>
      </w:pPr>
    </w:p>
    <w:p>
      <w:pPr>
        <w:sectPr>
          <w:pgSz w:w="11900" w:h="16838" w:orient="portrait"/>
          <w:cols w:equalWidth="0" w:num="3">
            <w:col w:w="3380" w:space="0"/>
            <w:col w:w="940" w:space="0"/>
            <w:col w:w="5899"/>
          </w:cols>
          <w:pgMar w:left="240" w:top="447" w:right="1440" w:bottom="1440" w:gutter="0" w:footer="0" w:header="0"/>
          <w:type w:val="continuous"/>
        </w:sectPr>
      </w:pPr>
    </w:p>
    <w:p>
      <w:pPr>
        <w:spacing w:after="0" w:line="1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Toro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891092-10-8</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 A</w:t>
      </w:r>
    </w:p>
    <w:p>
      <w:pPr>
        <w:spacing w:after="0" w:line="4" w:lineRule="exact"/>
        <w:rPr>
          <w:sz w:val="24"/>
          <w:szCs w:val="24"/>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fee is not required only if the filing person: (1) has a previous statement on file reporting beneficial ownership of more than five percent of the class</w:t>
      </w:r>
    </w:p>
    <w:p>
      <w:pPr>
        <w:ind w:right="1999"/>
        <w:spacing w:after="0" w:line="236" w:lineRule="auto"/>
        <w:rPr>
          <w:sz w:val="20"/>
          <w:szCs w:val="20"/>
          <w:color w:val="auto"/>
        </w:rPr>
      </w:pPr>
      <w:r>
        <w:rPr>
          <w:rFonts w:ascii="Courier New" w:cs="Courier New" w:eastAsia="Courier New" w:hAnsi="Courier New"/>
          <w:sz w:val="18"/>
          <w:szCs w:val="18"/>
          <w:color w:val="auto"/>
        </w:rPr>
        <w:t>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tabs>
          <w:tab w:leader="none" w:pos="3880" w:val="left"/>
          <w:tab w:leader="none" w:pos="6420" w:val="left"/>
        </w:tabs>
        <w:rPr>
          <w:sz w:val="20"/>
          <w:szCs w:val="20"/>
          <w:color w:val="auto"/>
        </w:rPr>
      </w:pPr>
      <w:r>
        <w:rPr>
          <w:rFonts w:ascii="Courier New" w:cs="Courier New" w:eastAsia="Courier New" w:hAnsi="Courier New"/>
          <w:sz w:val="18"/>
          <w:szCs w:val="18"/>
          <w:color w:val="auto"/>
        </w:rPr>
        <w:t>CUSIP No. 891092-10-8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 S.S. or I.R.S.</w:t>
      </w:r>
    </w:p>
    <w:p>
      <w:pPr>
        <w:spacing w:after="0" w:line="4" w:lineRule="exact"/>
        <w:rPr>
          <w:rFonts w:ascii="Courier New" w:cs="Courier New" w:eastAsia="Courier New" w:hAnsi="Courier New"/>
          <w:sz w:val="16"/>
          <w:szCs w:val="16"/>
          <w:color w:val="auto"/>
        </w:rPr>
      </w:pPr>
    </w:p>
    <w:p>
      <w:pPr>
        <w:ind w:left="540" w:right="6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IDENTIFICATION NO. OF ABOVE PERSON First Bank System Inc.</w:t>
      </w:r>
    </w:p>
    <w:p>
      <w:pPr>
        <w:spacing w:after="0" w:line="5" w:lineRule="exact"/>
        <w:rPr>
          <w:rFonts w:ascii="Courier New" w:cs="Courier New" w:eastAsia="Courier New" w:hAnsi="Courier New"/>
          <w:sz w:val="16"/>
          <w:szCs w:val="16"/>
          <w:color w:val="auto"/>
        </w:rPr>
      </w:pPr>
    </w:p>
    <w:p>
      <w:pPr>
        <w:ind w:left="540" w:right="68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601 2nd Ave. South Minneapolis, MN 55402-4302 Tax I.D. No.: 41-0255900</w:t>
      </w:r>
    </w:p>
    <w:p>
      <w:pPr>
        <w:spacing w:after="0" w:line="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1" w:lineRule="exact"/>
        <w:rPr>
          <w:rFonts w:ascii="Courier New" w:cs="Courier New" w:eastAsia="Courier New" w:hAnsi="Courier New"/>
          <w:sz w:val="16"/>
          <w:szCs w:val="16"/>
          <w:color w:val="auto"/>
        </w:rPr>
      </w:pPr>
    </w:p>
    <w:p>
      <w:pPr>
        <w:ind w:left="5480" w:hanging="416"/>
        <w:spacing w:after="0"/>
        <w:tabs>
          <w:tab w:leader="none" w:pos="54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80" w:hanging="416"/>
        <w:spacing w:after="0" w:line="238" w:lineRule="auto"/>
        <w:tabs>
          <w:tab w:leader="none" w:pos="54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 U.S.A.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spacing w:after="0"/>
              <w:rPr>
                <w:sz w:val="17"/>
                <w:szCs w:val="17"/>
                <w:color w:val="auto"/>
              </w:rPr>
            </w:pPr>
          </w:p>
        </w:tc>
        <w:tc>
          <w:tcPr>
            <w:tcW w:w="316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69,783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800" w:type="dxa"/>
            <w:vAlign w:val="bottom"/>
            <w:gridSpan w:val="2"/>
          </w:tcPr>
          <w:p>
            <w:pPr>
              <w:ind w:left="320"/>
              <w:spacing w:after="0"/>
              <w:rPr>
                <w:sz w:val="20"/>
                <w:szCs w:val="20"/>
                <w:color w:val="auto"/>
              </w:rPr>
            </w:pPr>
            <w:r>
              <w:rPr>
                <w:rFonts w:ascii="Courier New" w:cs="Courier New" w:eastAsia="Courier New" w:hAnsi="Courier New"/>
                <w:sz w:val="13"/>
                <w:szCs w:val="13"/>
                <w:color w:val="auto"/>
                <w:w w:val="72"/>
              </w:rPr>
              <w:t>-------------------------------------------------------------</w:t>
            </w:r>
          </w:p>
        </w:tc>
      </w:tr>
      <w:tr>
        <w:trPr>
          <w:trHeight w:val="203"/>
        </w:trPr>
        <w:tc>
          <w:tcPr>
            <w:tcW w:w="158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0" w:type="dxa"/>
            <w:vAlign w:val="bottom"/>
          </w:tcPr>
          <w:p>
            <w:pPr>
              <w:spacing w:after="0"/>
              <w:rPr>
                <w:sz w:val="17"/>
                <w:szCs w:val="17"/>
                <w:color w:val="auto"/>
              </w:rPr>
            </w:pPr>
          </w:p>
        </w:tc>
        <w:tc>
          <w:tcPr>
            <w:tcW w:w="316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w w:val="96"/>
              </w:rPr>
              <w:t>633,841(1)</w:t>
            </w: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800" w:type="dxa"/>
            <w:vAlign w:val="bottom"/>
            <w:gridSpan w:val="2"/>
          </w:tcPr>
          <w:p>
            <w:pPr>
              <w:ind w:left="320"/>
              <w:spacing w:after="0"/>
              <w:rPr>
                <w:sz w:val="20"/>
                <w:szCs w:val="20"/>
                <w:color w:val="auto"/>
              </w:rPr>
            </w:pPr>
            <w:r>
              <w:rPr>
                <w:rFonts w:ascii="Courier New" w:cs="Courier New" w:eastAsia="Courier New" w:hAnsi="Courier New"/>
                <w:sz w:val="13"/>
                <w:szCs w:val="13"/>
                <w:color w:val="auto"/>
                <w:w w:val="72"/>
              </w:rPr>
              <w:t>-------------------------------------------------------------</w:t>
            </w:r>
          </w:p>
        </w:tc>
      </w:tr>
      <w:tr>
        <w:trPr>
          <w:trHeight w:val="203"/>
        </w:trPr>
        <w:tc>
          <w:tcPr>
            <w:tcW w:w="158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0" w:type="dxa"/>
            <w:vAlign w:val="bottom"/>
          </w:tcPr>
          <w:p>
            <w:pPr>
              <w:spacing w:after="0"/>
              <w:rPr>
                <w:sz w:val="17"/>
                <w:szCs w:val="17"/>
                <w:color w:val="auto"/>
              </w:rPr>
            </w:pPr>
          </w:p>
        </w:tc>
        <w:tc>
          <w:tcPr>
            <w:tcW w:w="316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9,386</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320" w:right="4839" w:hanging="2416"/>
        <w:spacing w:after="0" w:line="268" w:lineRule="auto"/>
        <w:tabs>
          <w:tab w:leader="none" w:pos="221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634,841(1)</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704,424(1)</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5.69%</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ind w:left="6540"/>
        <w:spacing w:after="0"/>
        <w:rPr>
          <w:sz w:val="20"/>
          <w:szCs w:val="20"/>
          <w:color w:val="auto"/>
        </w:rPr>
      </w:pPr>
      <w:r>
        <w:rPr>
          <w:rFonts w:ascii="Courier New" w:cs="Courier New" w:eastAsia="Courier New" w:hAnsi="Courier New"/>
          <w:sz w:val="18"/>
          <w:szCs w:val="18"/>
          <w:color w:val="auto"/>
        </w:rPr>
        <w:t>Page 3 of 6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960" w:right="7679" w:hanging="531"/>
        <w:spacing w:after="0" w:line="536"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Toro Company</w:t>
      </w: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Toro Company</w:t>
      </w:r>
    </w:p>
    <w:p>
      <w:pPr>
        <w:ind w:left="960"/>
        <w:spacing w:after="0" w:line="238" w:lineRule="auto"/>
        <w:rPr>
          <w:sz w:val="20"/>
          <w:szCs w:val="20"/>
          <w:color w:val="auto"/>
        </w:rPr>
      </w:pPr>
      <w:r>
        <w:rPr>
          <w:rFonts w:ascii="Courier New" w:cs="Courier New" w:eastAsia="Courier New" w:hAnsi="Courier New"/>
          <w:sz w:val="18"/>
          <w:szCs w:val="18"/>
          <w:color w:val="auto"/>
        </w:rPr>
        <w:t>8111 Lyndale Aye So.</w:t>
      </w:r>
    </w:p>
    <w:p>
      <w:pPr>
        <w:ind w:left="960"/>
        <w:spacing w:after="0"/>
        <w:rPr>
          <w:sz w:val="20"/>
          <w:szCs w:val="20"/>
          <w:color w:val="auto"/>
        </w:rPr>
      </w:pPr>
      <w:r>
        <w:rPr>
          <w:rFonts w:ascii="Courier New" w:cs="Courier New" w:eastAsia="Courier New" w:hAnsi="Courier New"/>
          <w:sz w:val="18"/>
          <w:szCs w:val="18"/>
          <w:color w:val="auto"/>
        </w:rPr>
        <w:t>Minneapolis, Minnesota 55420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6839" w:hanging="531"/>
        <w:spacing w:after="0" w:line="536"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First Bank System, Inc.</w:t>
      </w:r>
    </w:p>
    <w:p>
      <w:pPr>
        <w:ind w:left="960" w:hanging="531"/>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PERSON'S FILING PRINCIPAL EXECUTIVE OFFICES:</w:t>
      </w:r>
    </w:p>
    <w:p>
      <w:pPr>
        <w:spacing w:after="0" w:line="206" w:lineRule="exact"/>
        <w:rPr>
          <w:rFonts w:ascii="Courier New" w:cs="Courier New" w:eastAsia="Courier New" w:hAnsi="Courier New"/>
          <w:sz w:val="18"/>
          <w:szCs w:val="18"/>
          <w:color w:val="auto"/>
        </w:rPr>
      </w:pPr>
    </w:p>
    <w:p>
      <w:pPr>
        <w:ind w:left="960" w:right="6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601 2nd Ave South Minneapolis, MN 55402-4302 United States</w:t>
      </w:r>
    </w:p>
    <w:p>
      <w:pPr>
        <w:spacing w:after="0" w:line="208" w:lineRule="exact"/>
        <w:rPr>
          <w:rFonts w:ascii="Courier New" w:cs="Courier New" w:eastAsia="Courier New" w:hAnsi="Courier New"/>
          <w:sz w:val="18"/>
          <w:szCs w:val="18"/>
          <w:color w:val="auto"/>
        </w:rPr>
      </w:pPr>
    </w:p>
    <w:p>
      <w:pPr>
        <w:ind w:left="960" w:right="6199" w:hanging="531"/>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11" w:lineRule="exact"/>
        <w:rPr>
          <w:rFonts w:ascii="Courier New" w:cs="Courier New" w:eastAsia="Courier New" w:hAnsi="Courier New"/>
          <w:sz w:val="18"/>
          <w:szCs w:val="18"/>
          <w:color w:val="auto"/>
        </w:rPr>
      </w:pPr>
    </w:p>
    <w:p>
      <w:pPr>
        <w:ind w:left="960" w:right="7899" w:hanging="531"/>
        <w:spacing w:after="0" w:line="536"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891092-10-8</w:t>
      </w:r>
    </w:p>
    <w:p>
      <w:pPr>
        <w:spacing w:after="0" w:line="234" w:lineRule="auto"/>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person filing this statement is a:</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4620" w:type="dxa"/>
            <w:vAlign w:val="bottom"/>
          </w:tcPr>
          <w:p>
            <w:pPr>
              <w:ind w:left="100"/>
              <w:spacing w:after="0"/>
              <w:rPr>
                <w:sz w:val="20"/>
                <w:szCs w:val="20"/>
                <w:color w:val="auto"/>
              </w:rPr>
            </w:pPr>
            <w:r>
              <w:rPr>
                <w:rFonts w:ascii="Courier New" w:cs="Courier New" w:eastAsia="Courier New" w:hAnsi="Courier New"/>
                <w:sz w:val="18"/>
                <w:szCs w:val="18"/>
                <w:color w:val="auto"/>
              </w:rPr>
              <w:t>Amount beneficially owned:</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704,424(1)</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4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Percentage of Class:</w:t>
            </w: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w:t>
            </w:r>
          </w:p>
        </w:tc>
      </w:tr>
    </w:tbl>
    <w:p>
      <w:pPr>
        <w:ind w:left="960" w:hanging="425"/>
        <w:spacing w:after="0" w:line="238"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83"/>
              </w:rPr>
              <w:t>1.</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w:t>
            </w:r>
          </w:p>
        </w:tc>
        <w:tc>
          <w:tcPr>
            <w:tcW w:w="4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to vote or direct the vote: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69,783</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2.</w:t>
            </w:r>
          </w:p>
        </w:tc>
        <w:tc>
          <w:tcPr>
            <w:tcW w:w="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Shared</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power to vote or</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 vote: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704,424(1)</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3.</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4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dispose or direct the disposition:</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9,386</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4.</w:t>
            </w:r>
          </w:p>
        </w:tc>
        <w:tc>
          <w:tcPr>
            <w:tcW w:w="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Shared</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power to dispose</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direct the disposition:</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634,841(1)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7"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number includes 618,216 shares held in the "unallocated" account, as of December 31, 1993, of the Toro Company Employee Stock Ownership Plan and Trust, as to which an affiliate of First Bank System, Inc. acts as trustee. The number of "allocated" shares held in such trust (1,096,889 shares as of December 31, 1993) is not included in this number, based upon our interpretation of SEC staff no action letters.</w:t>
      </w:r>
    </w:p>
    <w:p>
      <w:pPr>
        <w:sectPr>
          <w:pgSz w:w="11900" w:h="16838" w:orient="portrait"/>
          <w:cols w:equalWidth="0" w:num="1">
            <w:col w:w="10219"/>
          </w:cols>
          <w:pgMar w:left="240" w:top="514" w:right="1440" w:bottom="1440" w:gutter="0" w:footer="0" w:header="0"/>
        </w:sectPr>
      </w:pPr>
    </w:p>
    <w:bookmarkStart w:id="3" w:name="page4"/>
    <w:bookmarkEnd w:id="3"/>
    <w:p>
      <w:pPr>
        <w:jc w:val="right"/>
        <w:ind w:right="1879"/>
        <w:spacing w:after="0"/>
        <w:rPr>
          <w:sz w:val="20"/>
          <w:szCs w:val="20"/>
          <w:color w:val="auto"/>
        </w:rPr>
      </w:pPr>
      <w:r>
        <w:rPr>
          <w:rFonts w:ascii="Courier New" w:cs="Courier New" w:eastAsia="Courier New" w:hAnsi="Courier New"/>
          <w:sz w:val="18"/>
          <w:szCs w:val="18"/>
          <w:color w:val="auto"/>
        </w:rPr>
        <w:t>Page 4 of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left="540"/>
        <w:spacing w:after="0"/>
        <w:tabs>
          <w:tab w:leader="none" w:pos="5260" w:val="left"/>
          <w:tab w:leader="none" w:pos="5880" w:val="left"/>
        </w:tabs>
        <w:rPr>
          <w:sz w:val="20"/>
          <w:szCs w:val="20"/>
          <w:color w:val="auto"/>
        </w:rPr>
      </w:pPr>
      <w:r>
        <w:rPr>
          <w:rFonts w:ascii="Courier New" w:cs="Courier New" w:eastAsia="Courier New" w:hAnsi="Courier New"/>
          <w:sz w:val="18"/>
          <w:szCs w:val="18"/>
          <w:color w:val="auto"/>
        </w:rPr>
        <w:t>OWNERSHIP OF FIVE PERCENT OR LESS OF CLASS:</w:t>
        <w:tab/>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Other persons have the right to receive or the power to direct the receipt of, dividend from, or the proceeds from the sale of, such securities. To our knowledge no interest of any such person relates to more than 5% of the class.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IDENTIFICATION AND CLASSIFICATION OF MEMBERS OF THE SUBSIDIARY</w:t>
      </w:r>
    </w:p>
    <w:p>
      <w:pPr>
        <w:ind w:left="540"/>
        <w:spacing w:after="0" w:line="238" w:lineRule="auto"/>
        <w:rPr>
          <w:sz w:val="20"/>
          <w:szCs w:val="20"/>
          <w:color w:val="auto"/>
        </w:rPr>
      </w:pPr>
      <w:r>
        <w:rPr>
          <w:rFonts w:ascii="Courier New" w:cs="Courier New" w:eastAsia="Courier New" w:hAnsi="Courier New"/>
          <w:sz w:val="18"/>
          <w:szCs w:val="18"/>
          <w:color w:val="auto"/>
        </w:rPr>
        <w:t>WHICH ACQUIRED THE SECURITY BEING REPORTED ON BY PARENT HOLDING COMPANY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1994</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Bruce L. Wilson</w:t>
      </w:r>
    </w:p>
    <w:p>
      <w:pPr>
        <w:spacing w:after="0" w:line="20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Bruce L. Wilson Vice President</w:t>
      </w:r>
    </w:p>
    <w:p>
      <w:pPr>
        <w:sectPr>
          <w:pgSz w:w="11900" w:h="16838" w:orient="portrait"/>
          <w:cols w:equalWidth="0" w:num="1">
            <w:col w:w="10219"/>
          </w:cols>
          <w:pgMar w:left="240" w:top="514"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Page 5 of 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Schedule to which this attachment is appended is filed on behalf of the following subsidiary or subsidiaries listed below, which are classified as banks for the purposes of 17 CFR 140.13d-1 (b) (ii) (B).</w:t>
      </w:r>
    </w:p>
    <w:p>
      <w:pPr>
        <w:sectPr>
          <w:pgSz w:w="11900" w:h="16838" w:orient="portrait"/>
          <w:cols w:equalWidth="0" w:num="1">
            <w:col w:w="10219"/>
          </w:cols>
          <w:pgMar w:left="240" w:top="514" w:right="1440" w:bottom="1440" w:gutter="0" w:footer="0" w:header="0"/>
        </w:sectPr>
      </w:pPr>
    </w:p>
    <w:p>
      <w:pPr>
        <w:spacing w:after="0" w:line="209" w:lineRule="exact"/>
        <w:rPr>
          <w:sz w:val="20"/>
          <w:szCs w:val="20"/>
          <w:color w:val="auto"/>
        </w:rPr>
      </w:pPr>
    </w:p>
    <w:p>
      <w:pPr>
        <w:jc w:val="both"/>
        <w:ind w:right="120"/>
        <w:spacing w:after="0" w:line="279" w:lineRule="auto"/>
        <w:rPr>
          <w:sz w:val="20"/>
          <w:szCs w:val="20"/>
          <w:color w:val="auto"/>
        </w:rPr>
      </w:pPr>
      <w:r>
        <w:rPr>
          <w:rFonts w:ascii="Courier New" w:cs="Courier New" w:eastAsia="Courier New" w:hAnsi="Courier New"/>
          <w:sz w:val="16"/>
          <w:szCs w:val="16"/>
          <w:color w:val="auto"/>
        </w:rPr>
        <w:t>First Trust National Association 180 East Fifth Street, Suite 200 St. Paul, Minnesota 55101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Bank National Association</w:t>
      </w:r>
    </w:p>
    <w:p>
      <w:pPr>
        <w:spacing w:after="0" w:line="238" w:lineRule="auto"/>
        <w:rPr>
          <w:sz w:val="20"/>
          <w:szCs w:val="20"/>
          <w:color w:val="auto"/>
        </w:rPr>
      </w:pPr>
      <w:r>
        <w:rPr>
          <w:rFonts w:ascii="Courier New" w:cs="Courier New" w:eastAsia="Courier New" w:hAnsi="Courier New"/>
          <w:sz w:val="18"/>
          <w:szCs w:val="18"/>
          <w:color w:val="auto"/>
        </w:rPr>
        <w:t>601 2nd Ave South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 55402-4302</w:t>
      </w:r>
    </w:p>
    <w:p>
      <w:pPr>
        <w:spacing w:after="0" w:line="223" w:lineRule="exact"/>
        <w:rPr>
          <w:sz w:val="20"/>
          <w:szCs w:val="20"/>
          <w:color w:val="auto"/>
        </w:rPr>
      </w:pPr>
    </w:p>
    <w:p>
      <w:pPr>
        <w:sectPr>
          <w:pgSz w:w="11900" w:h="16838" w:orient="portrait"/>
          <w:cols w:equalWidth="0" w:num="2">
            <w:col w:w="3500" w:space="720"/>
            <w:col w:w="5999"/>
          </w:cols>
          <w:pgMar w:left="240" w:top="514" w:right="1440" w:bottom="1440" w:gutter="0" w:footer="0" w:header="0"/>
          <w:type w:val="continuous"/>
        </w:sectPr>
      </w:pPr>
    </w:p>
    <w:p>
      <w:pPr>
        <w:ind w:right="540"/>
        <w:spacing w:after="0" w:line="275" w:lineRule="auto"/>
        <w:rPr>
          <w:sz w:val="20"/>
          <w:szCs w:val="20"/>
          <w:color w:val="auto"/>
        </w:rPr>
      </w:pPr>
      <w:r>
        <w:rPr>
          <w:rFonts w:ascii="Courier New" w:cs="Courier New" w:eastAsia="Courier New" w:hAnsi="Courier New"/>
          <w:sz w:val="16"/>
          <w:szCs w:val="16"/>
          <w:color w:val="auto"/>
        </w:rPr>
        <w:t>First Trust Company of North Dakota National Association 505 Second Avenue North Fargo, North Dakota 58102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Colorado National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5548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 80217</w:t>
      </w:r>
    </w:p>
    <w:p>
      <w:pPr>
        <w:sectPr>
          <w:pgSz w:w="11900" w:h="16838" w:orient="portrait"/>
          <w:cols w:equalWidth="0" w:num="2">
            <w:col w:w="3500" w:space="720"/>
            <w:col w:w="5999"/>
          </w:cols>
          <w:pgMar w:left="240" w:top="514" w:right="1440" w:bottom="1440" w:gutter="0" w:footer="0" w:header="0"/>
          <w:type w:val="continuous"/>
        </w:sectPr>
      </w:pPr>
    </w:p>
    <w:bookmarkStart w:id="5" w:name="page6"/>
    <w:bookmarkEnd w:id="5"/>
    <w:p>
      <w:pPr>
        <w:ind w:left="7180"/>
        <w:spacing w:after="0"/>
        <w:rPr>
          <w:sz w:val="20"/>
          <w:szCs w:val="20"/>
          <w:color w:val="auto"/>
        </w:rPr>
      </w:pPr>
      <w:r>
        <w:rPr>
          <w:rFonts w:ascii="Courier New" w:cs="Courier New" w:eastAsia="Courier New" w:hAnsi="Courier New"/>
          <w:sz w:val="18"/>
          <w:szCs w:val="18"/>
          <w:color w:val="auto"/>
        </w:rPr>
        <w:t>Page 6 of 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 B - DISCLAIMER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on the attached Schedule 13G is provided solely for the purpose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complying with Section 13(d) and 13(g) of the Securities Exchange Act of 1934 and Regulations promulgated under authority thereof and is not intended as an admission that First Bank System, Inc. or any of its subsidiaries, is a beneficial owner of the securities described herein for any other purpose (including without limitation for purposes of the Minnesota Control Share Acquisition Act).</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2"/>
      <w:numFmt w:val="decimal"/>
      <w:start w:val="1"/>
    </w:lvl>
    <w:lvl w:ilvl="2">
      <w:lvlJc w:val="left"/>
      <w:lvlText w:val="(%3)"/>
      <w:numFmt w:val="upperLetter"/>
      <w:start w:val="1"/>
    </w:lvl>
  </w:abstractNum>
  <w:abstractNum w:abstractNumId="3">
    <w:nsid w:val="515F007C"/>
    <w:multiLevelType w:val="hybridMultilevel"/>
    <w:lvl w:ilvl="0">
      <w:lvlJc w:val="left"/>
      <w:lvlText w:val="-"/>
      <w:numFmt w:val="bullet"/>
      <w:start w:val="1"/>
    </w:lvl>
    <w:lvl w:ilvl="1">
      <w:lvlJc w:val="left"/>
      <w:lvlText w:val="8"/>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7"/>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2019-12-13T13:39:55Z</dcterms:created>
  <dcterms:modified xsi:type="dcterms:W3CDTF">2019-12-13T13:39:55Z</dcterms:modified>
</cp:coreProperties>
</file>